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8E124" w14:textId="77777777" w:rsidR="009904B2" w:rsidRPr="00E658D2" w:rsidRDefault="009904B2" w:rsidP="009904B2">
      <w:pPr>
        <w:jc w:val="both"/>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Table 1: Comparison of Antiresorptive Therapy Duration in Cancer to Equivalent 4-Year Osteoporosis Treatment [8]</w:t>
      </w:r>
    </w:p>
    <w:tbl>
      <w:tblPr>
        <w:tblStyle w:val="PlainTable2"/>
        <w:tblW w:w="0" w:type="auto"/>
        <w:tblLook w:val="04A0" w:firstRow="1" w:lastRow="0" w:firstColumn="1" w:lastColumn="0" w:noHBand="0" w:noVBand="1"/>
      </w:tblPr>
      <w:tblGrid>
        <w:gridCol w:w="1257"/>
        <w:gridCol w:w="1906"/>
        <w:gridCol w:w="1344"/>
        <w:gridCol w:w="815"/>
        <w:gridCol w:w="1210"/>
        <w:gridCol w:w="2023"/>
        <w:gridCol w:w="805"/>
      </w:tblGrid>
      <w:tr w:rsidR="009904B2" w:rsidRPr="00E658D2" w14:paraId="03666F0D" w14:textId="77777777" w:rsidTr="00F55C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7" w:type="dxa"/>
          </w:tcPr>
          <w:p w14:paraId="415203B6" w14:textId="77777777" w:rsidR="009904B2" w:rsidRPr="00E658D2" w:rsidRDefault="009904B2" w:rsidP="00F55CE4">
            <w:pPr>
              <w:jc w:val="both"/>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 xml:space="preserve">Agent </w:t>
            </w:r>
          </w:p>
        </w:tc>
        <w:tc>
          <w:tcPr>
            <w:tcW w:w="1906" w:type="dxa"/>
          </w:tcPr>
          <w:p w14:paraId="02652A99"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Route of Administration</w:t>
            </w:r>
          </w:p>
        </w:tc>
        <w:tc>
          <w:tcPr>
            <w:tcW w:w="1344" w:type="dxa"/>
          </w:tcPr>
          <w:p w14:paraId="7E1FDC03"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Osteoporosis</w:t>
            </w:r>
          </w:p>
          <w:p w14:paraId="27485448"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Dose Regimen</w:t>
            </w:r>
          </w:p>
        </w:tc>
        <w:tc>
          <w:tcPr>
            <w:tcW w:w="815" w:type="dxa"/>
          </w:tcPr>
          <w:p w14:paraId="1CD61C02"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Total Dose</w:t>
            </w:r>
          </w:p>
          <w:p w14:paraId="5CFD4800"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at 4 years</w:t>
            </w:r>
          </w:p>
        </w:tc>
        <w:tc>
          <w:tcPr>
            <w:tcW w:w="1210" w:type="dxa"/>
          </w:tcPr>
          <w:p w14:paraId="7BC00894"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Cancer</w:t>
            </w:r>
          </w:p>
          <w:p w14:paraId="11161B24"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Dosing Regimen</w:t>
            </w:r>
          </w:p>
        </w:tc>
        <w:tc>
          <w:tcPr>
            <w:tcW w:w="2828" w:type="dxa"/>
            <w:gridSpan w:val="2"/>
          </w:tcPr>
          <w:p w14:paraId="181BF3D8"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Duration of Antiresorptive Treatment to Achieve 4-Year Osteoporosis Dose</w:t>
            </w:r>
            <w:r w:rsidRPr="00E658D2">
              <w:rPr>
                <w:rFonts w:asciiTheme="majorBidi" w:hAnsiTheme="majorBidi" w:cstheme="majorBidi"/>
                <w:color w:val="000000" w:themeColor="text1"/>
                <w:sz w:val="20"/>
                <w:szCs w:val="20"/>
                <w:vertAlign w:val="superscript"/>
              </w:rPr>
              <w:t>*</w:t>
            </w:r>
          </w:p>
        </w:tc>
      </w:tr>
      <w:tr w:rsidR="009904B2" w:rsidRPr="00E658D2" w14:paraId="07C4B24D"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7" w:type="dxa"/>
          </w:tcPr>
          <w:p w14:paraId="0BBF0770" w14:textId="77777777" w:rsidR="009904B2" w:rsidRPr="00E658D2" w:rsidRDefault="009904B2" w:rsidP="00F55CE4">
            <w:pPr>
              <w:jc w:val="both"/>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Zoledronate (Aclasta)</w:t>
            </w:r>
          </w:p>
        </w:tc>
        <w:tc>
          <w:tcPr>
            <w:tcW w:w="1906" w:type="dxa"/>
          </w:tcPr>
          <w:p w14:paraId="3A8D12A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IV</w:t>
            </w:r>
            <w:r w:rsidRPr="00E658D2">
              <w:rPr>
                <w:rFonts w:asciiTheme="majorBidi" w:eastAsia="Times New Roman" w:hAnsiTheme="majorBidi" w:cstheme="majorBidi"/>
                <w:color w:val="000000" w:themeColor="text1"/>
                <w:kern w:val="0"/>
                <w:sz w:val="21"/>
                <w:szCs w:val="21"/>
                <w14:ligatures w14:val="none"/>
              </w:rPr>
              <w:t>(Intravenous)</w:t>
            </w:r>
          </w:p>
        </w:tc>
        <w:tc>
          <w:tcPr>
            <w:tcW w:w="1344" w:type="dxa"/>
          </w:tcPr>
          <w:p w14:paraId="5110742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5 mg/year</w:t>
            </w:r>
          </w:p>
        </w:tc>
        <w:tc>
          <w:tcPr>
            <w:tcW w:w="815" w:type="dxa"/>
          </w:tcPr>
          <w:p w14:paraId="7F44781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20 mg</w:t>
            </w:r>
          </w:p>
        </w:tc>
        <w:tc>
          <w:tcPr>
            <w:tcW w:w="1210" w:type="dxa"/>
          </w:tcPr>
          <w:p w14:paraId="00C11E7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4 mg every</w:t>
            </w:r>
          </w:p>
          <w:p w14:paraId="0BB9C58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3 weeks</w:t>
            </w:r>
          </w:p>
        </w:tc>
        <w:tc>
          <w:tcPr>
            <w:tcW w:w="2023" w:type="dxa"/>
          </w:tcPr>
          <w:p w14:paraId="70DB4B71" w14:textId="77777777" w:rsidR="009904B2" w:rsidRPr="00E658D2" w:rsidRDefault="009904B2" w:rsidP="00F55CE4">
            <w:pPr>
              <w:pStyle w:val="ListParagraph"/>
              <w:numPr>
                <w:ilvl w:val="0"/>
                <w:numId w:val="1"/>
              </w:numPr>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20 mg/4 mg = 5 doses</w:t>
            </w:r>
          </w:p>
          <w:p w14:paraId="27EA285F" w14:textId="77777777" w:rsidR="009904B2" w:rsidRPr="00E658D2" w:rsidRDefault="009904B2" w:rsidP="00F55CE4">
            <w:pPr>
              <w:pStyle w:val="ListParagraph"/>
              <w:numPr>
                <w:ilvl w:val="0"/>
                <w:numId w:val="1"/>
              </w:numPr>
              <w:spacing w:line="24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5 doses given every 3 weeks = 15 weeks = 3.5 months</w:t>
            </w:r>
          </w:p>
        </w:tc>
        <w:tc>
          <w:tcPr>
            <w:tcW w:w="805" w:type="dxa"/>
          </w:tcPr>
          <w:p w14:paraId="5D1B9F8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3.5 months</w:t>
            </w:r>
          </w:p>
        </w:tc>
      </w:tr>
      <w:tr w:rsidR="009904B2" w:rsidRPr="00E658D2" w14:paraId="5890F5C1" w14:textId="77777777" w:rsidTr="00F55CE4">
        <w:tc>
          <w:tcPr>
            <w:cnfStyle w:val="001000000000" w:firstRow="0" w:lastRow="0" w:firstColumn="1" w:lastColumn="0" w:oddVBand="0" w:evenVBand="0" w:oddHBand="0" w:evenHBand="0" w:firstRowFirstColumn="0" w:firstRowLastColumn="0" w:lastRowFirstColumn="0" w:lastRowLastColumn="0"/>
            <w:tcW w:w="1257" w:type="dxa"/>
          </w:tcPr>
          <w:p w14:paraId="1FF8F1CA" w14:textId="77777777" w:rsidR="009904B2" w:rsidRPr="00E658D2" w:rsidRDefault="009904B2" w:rsidP="00F55CE4">
            <w:pPr>
              <w:autoSpaceDE w:val="0"/>
              <w:autoSpaceDN w:val="0"/>
              <w:adjustRightInd w:val="0"/>
              <w:jc w:val="both"/>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Denosumab</w:t>
            </w:r>
          </w:p>
          <w:p w14:paraId="2C60A69B" w14:textId="77777777" w:rsidR="009904B2" w:rsidRPr="00E658D2" w:rsidRDefault="009904B2" w:rsidP="00F55CE4">
            <w:pPr>
              <w:jc w:val="both"/>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(Prolia)</w:t>
            </w:r>
          </w:p>
        </w:tc>
        <w:tc>
          <w:tcPr>
            <w:tcW w:w="1906" w:type="dxa"/>
          </w:tcPr>
          <w:p w14:paraId="12E4421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SQ</w:t>
            </w:r>
            <w:r w:rsidRPr="00E658D2">
              <w:rPr>
                <w:rFonts w:asciiTheme="majorBidi" w:eastAsia="Times New Roman" w:hAnsiTheme="majorBidi" w:cstheme="majorBidi"/>
                <w:color w:val="000000" w:themeColor="text1"/>
                <w:kern w:val="0"/>
                <w:sz w:val="21"/>
                <w:szCs w:val="21"/>
                <w14:ligatures w14:val="none"/>
              </w:rPr>
              <w:t>(Subcutaneous)</w:t>
            </w:r>
          </w:p>
        </w:tc>
        <w:tc>
          <w:tcPr>
            <w:tcW w:w="1344" w:type="dxa"/>
          </w:tcPr>
          <w:p w14:paraId="59C7D4D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60 mg every</w:t>
            </w:r>
          </w:p>
          <w:p w14:paraId="623CA18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6 months</w:t>
            </w:r>
          </w:p>
        </w:tc>
        <w:tc>
          <w:tcPr>
            <w:tcW w:w="815" w:type="dxa"/>
          </w:tcPr>
          <w:p w14:paraId="4B0CBF8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480 mg</w:t>
            </w:r>
          </w:p>
        </w:tc>
        <w:tc>
          <w:tcPr>
            <w:tcW w:w="1210" w:type="dxa"/>
          </w:tcPr>
          <w:p w14:paraId="431DA7CB"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120 mg every</w:t>
            </w:r>
          </w:p>
          <w:p w14:paraId="63BADE3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4 weeks</w:t>
            </w:r>
          </w:p>
        </w:tc>
        <w:tc>
          <w:tcPr>
            <w:tcW w:w="2023" w:type="dxa"/>
          </w:tcPr>
          <w:p w14:paraId="12EC3BDA" w14:textId="77777777" w:rsidR="009904B2" w:rsidRPr="00E658D2" w:rsidRDefault="009904B2" w:rsidP="00F55CE4">
            <w:pPr>
              <w:pStyle w:val="ListParagraph"/>
              <w:numPr>
                <w:ilvl w:val="0"/>
                <w:numId w:val="2"/>
              </w:numPr>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480 mg/120 mg = 4 doses</w:t>
            </w:r>
          </w:p>
          <w:p w14:paraId="0BC0D970" w14:textId="77777777" w:rsidR="009904B2" w:rsidRPr="00E658D2" w:rsidRDefault="009904B2" w:rsidP="00F55CE4">
            <w:pPr>
              <w:pStyle w:val="ListParagraph"/>
              <w:numPr>
                <w:ilvl w:val="0"/>
                <w:numId w:val="2"/>
              </w:numPr>
              <w:spacing w:line="24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color w:val="000000" w:themeColor="text1"/>
                <w:sz w:val="20"/>
                <w:szCs w:val="20"/>
              </w:rPr>
              <w:t>4 doses every 4 weeks = 16 weeks = 3.6 months</w:t>
            </w:r>
          </w:p>
        </w:tc>
        <w:tc>
          <w:tcPr>
            <w:tcW w:w="805" w:type="dxa"/>
          </w:tcPr>
          <w:p w14:paraId="00625CDB"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0"/>
                <w:szCs w:val="20"/>
              </w:rPr>
            </w:pPr>
            <w:r w:rsidRPr="00E658D2">
              <w:rPr>
                <w:rFonts w:asciiTheme="majorBidi" w:hAnsiTheme="majorBidi" w:cstheme="majorBidi"/>
                <w:b/>
                <w:bCs/>
                <w:color w:val="000000" w:themeColor="text1"/>
                <w:kern w:val="0"/>
                <w:sz w:val="15"/>
                <w:szCs w:val="15"/>
              </w:rPr>
              <w:t>3 months</w:t>
            </w:r>
          </w:p>
        </w:tc>
      </w:tr>
    </w:tbl>
    <w:p w14:paraId="4C30CFCB" w14:textId="77777777" w:rsidR="009904B2" w:rsidRPr="00E658D2" w:rsidRDefault="009904B2" w:rsidP="009904B2">
      <w:pPr>
        <w:jc w:val="both"/>
        <w:rPr>
          <w:rFonts w:asciiTheme="majorBidi" w:hAnsiTheme="majorBidi" w:cstheme="majorBidi"/>
          <w:i/>
          <w:iCs/>
          <w:color w:val="000000" w:themeColor="text1"/>
          <w:kern w:val="0"/>
          <w:sz w:val="16"/>
          <w:szCs w:val="16"/>
        </w:rPr>
      </w:pPr>
      <w:r w:rsidRPr="00E658D2">
        <w:rPr>
          <w:rFonts w:asciiTheme="majorBidi" w:hAnsiTheme="majorBidi" w:cstheme="majorBidi"/>
          <w:i/>
          <w:iCs/>
          <w:color w:val="000000" w:themeColor="text1"/>
          <w:sz w:val="16"/>
          <w:szCs w:val="16"/>
        </w:rPr>
        <w:t>*The durations provided indicate how long it would take to reach the equivalent of a 4-year total dose for osteoporosis treatment in a cancer setting, based on the specified dosing regimens.[</w:t>
      </w:r>
      <w:r w:rsidRPr="00E658D2">
        <w:rPr>
          <w:rFonts w:asciiTheme="majorBidi" w:hAnsiTheme="majorBidi" w:cstheme="majorBidi"/>
          <w:i/>
          <w:iCs/>
          <w:color w:val="000000" w:themeColor="text1"/>
          <w:kern w:val="0"/>
          <w:sz w:val="16"/>
          <w:szCs w:val="16"/>
        </w:rPr>
        <w:t>8]</w:t>
      </w:r>
    </w:p>
    <w:p w14:paraId="07A08F71" w14:textId="77777777" w:rsidR="009904B2" w:rsidRPr="00E658D2" w:rsidRDefault="009904B2" w:rsidP="009904B2">
      <w:pPr>
        <w:rPr>
          <w:rFonts w:ascii="STIXTwoText-Italic" w:hAnsi="STIXTwoText-Italic" w:cs="STIXTwoText-Italic"/>
          <w:i/>
          <w:iCs/>
          <w:color w:val="000000" w:themeColor="text1"/>
          <w:kern w:val="0"/>
          <w:sz w:val="14"/>
          <w:szCs w:val="14"/>
        </w:rPr>
      </w:pPr>
      <w:r w:rsidRPr="00E658D2">
        <w:rPr>
          <w:rFonts w:ascii="STIXTwoText-Italic" w:hAnsi="STIXTwoText-Italic" w:cs="STIXTwoText-Italic"/>
          <w:i/>
          <w:iCs/>
          <w:color w:val="000000" w:themeColor="text1"/>
          <w:kern w:val="0"/>
          <w:sz w:val="14"/>
          <w:szCs w:val="14"/>
        </w:rPr>
        <w:br w:type="page"/>
      </w:r>
    </w:p>
    <w:p w14:paraId="35AB9CB8" w14:textId="77777777" w:rsidR="009904B2" w:rsidRPr="00E658D2" w:rsidRDefault="009904B2" w:rsidP="009904B2">
      <w:pPr>
        <w:jc w:val="both"/>
        <w:rPr>
          <w:rFonts w:ascii="Times New Roman" w:hAnsi="Times New Roman" w:cs="B Nazanin"/>
          <w:color w:val="000000" w:themeColor="text1"/>
          <w:kern w:val="0"/>
          <w:sz w:val="28"/>
          <w:szCs w:val="28"/>
          <w:lang w:bidi="fa-IR"/>
          <w14:ligatures w14:val="none"/>
        </w:rPr>
      </w:pPr>
      <w:r w:rsidRPr="00E658D2">
        <w:rPr>
          <w:rFonts w:ascii="Times New Roman" w:hAnsi="Times New Roman" w:cs="B Nazanin"/>
          <w:color w:val="000000" w:themeColor="text1"/>
          <w:kern w:val="0"/>
          <w:sz w:val="24"/>
          <w:szCs w:val="24"/>
          <w:lang w:bidi="fa-IR"/>
          <w14:ligatures w14:val="none"/>
        </w:rPr>
        <w:lastRenderedPageBreak/>
        <w:t>Table 2: Demographic and baseline characteristics of study population.</w:t>
      </w:r>
      <w:r w:rsidRPr="00E658D2">
        <w:rPr>
          <w:rFonts w:cs="B Nazanin"/>
          <w:color w:val="000000" w:themeColor="text1"/>
          <w:sz w:val="20"/>
          <w:szCs w:val="20"/>
        </w:rPr>
        <w:t xml:space="preserve"> </w:t>
      </w:r>
    </w:p>
    <w:tbl>
      <w:tblPr>
        <w:tblStyle w:val="PlainTable2"/>
        <w:tblW w:w="0" w:type="auto"/>
        <w:tblLook w:val="04A0" w:firstRow="1" w:lastRow="0" w:firstColumn="1" w:lastColumn="0" w:noHBand="0" w:noVBand="1"/>
      </w:tblPr>
      <w:tblGrid>
        <w:gridCol w:w="1558"/>
        <w:gridCol w:w="1558"/>
        <w:gridCol w:w="1558"/>
        <w:gridCol w:w="1558"/>
        <w:gridCol w:w="1559"/>
        <w:gridCol w:w="1559"/>
      </w:tblGrid>
      <w:tr w:rsidR="009904B2" w:rsidRPr="00E658D2" w14:paraId="3C88F319" w14:textId="77777777" w:rsidTr="00F55C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gridSpan w:val="2"/>
          </w:tcPr>
          <w:p w14:paraId="13A8214D"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Variable </w:t>
            </w:r>
          </w:p>
        </w:tc>
        <w:tc>
          <w:tcPr>
            <w:tcW w:w="1558" w:type="dxa"/>
          </w:tcPr>
          <w:p w14:paraId="34125460"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MRONJ group  </w:t>
            </w:r>
          </w:p>
        </w:tc>
        <w:tc>
          <w:tcPr>
            <w:tcW w:w="1558" w:type="dxa"/>
          </w:tcPr>
          <w:p w14:paraId="3E3BB2B4"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At-risk</w:t>
            </w:r>
          </w:p>
          <w:p w14:paraId="13437657"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group</w:t>
            </w:r>
          </w:p>
        </w:tc>
        <w:tc>
          <w:tcPr>
            <w:tcW w:w="1559" w:type="dxa"/>
          </w:tcPr>
          <w:p w14:paraId="1E1F9E01"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Total</w:t>
            </w:r>
          </w:p>
        </w:tc>
        <w:tc>
          <w:tcPr>
            <w:tcW w:w="1559" w:type="dxa"/>
          </w:tcPr>
          <w:p w14:paraId="3DFD6142"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P Value</w:t>
            </w:r>
            <w:r w:rsidRPr="00E658D2">
              <w:rPr>
                <w:rFonts w:ascii="Times New Roman" w:hAnsi="Times New Roman" w:cs="B Nazanin"/>
                <w:color w:val="000000" w:themeColor="text1"/>
                <w:kern w:val="0"/>
                <w:sz w:val="20"/>
                <w:szCs w:val="20"/>
                <w:vertAlign w:val="superscript"/>
                <w:lang w:bidi="fa-IR"/>
                <w14:ligatures w14:val="none"/>
              </w:rPr>
              <w:t>*</w:t>
            </w:r>
          </w:p>
        </w:tc>
      </w:tr>
      <w:tr w:rsidR="009904B2" w:rsidRPr="00E658D2" w14:paraId="52065B35"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vMerge w:val="restart"/>
          </w:tcPr>
          <w:p w14:paraId="6CE2E2EA"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Sex (based on biologic characteristic) </w:t>
            </w:r>
          </w:p>
        </w:tc>
        <w:tc>
          <w:tcPr>
            <w:tcW w:w="1558" w:type="dxa"/>
          </w:tcPr>
          <w:p w14:paraId="57282D3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Female </w:t>
            </w:r>
          </w:p>
        </w:tc>
        <w:tc>
          <w:tcPr>
            <w:tcW w:w="1558" w:type="dxa"/>
          </w:tcPr>
          <w:p w14:paraId="3B5C24F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56(39.2%)</w:t>
            </w:r>
          </w:p>
        </w:tc>
        <w:tc>
          <w:tcPr>
            <w:tcW w:w="1558" w:type="dxa"/>
          </w:tcPr>
          <w:p w14:paraId="5902430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87(67.8%)</w:t>
            </w:r>
          </w:p>
        </w:tc>
        <w:tc>
          <w:tcPr>
            <w:tcW w:w="1559" w:type="dxa"/>
          </w:tcPr>
          <w:p w14:paraId="46D38CE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143(100%)</w:t>
            </w:r>
          </w:p>
        </w:tc>
        <w:tc>
          <w:tcPr>
            <w:tcW w:w="1559" w:type="dxa"/>
            <w:vMerge w:val="restart"/>
          </w:tcPr>
          <w:p w14:paraId="3CD1A72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0.54</w:t>
            </w:r>
            <w:r w:rsidRPr="00E658D2">
              <w:rPr>
                <w:rFonts w:ascii="Times New Roman" w:hAnsi="Times New Roman" w:cs="B Nazanin"/>
                <w:color w:val="000000" w:themeColor="text1"/>
                <w:kern w:val="0"/>
                <w:sz w:val="20"/>
                <w:szCs w:val="20"/>
                <w:vertAlign w:val="superscript"/>
                <w:lang w:bidi="fa-IR"/>
                <w14:ligatures w14:val="none"/>
              </w:rPr>
              <w:t>**</w:t>
            </w:r>
          </w:p>
        </w:tc>
      </w:tr>
      <w:tr w:rsidR="009904B2" w:rsidRPr="00E658D2" w14:paraId="54B1366A" w14:textId="77777777" w:rsidTr="00F55CE4">
        <w:tc>
          <w:tcPr>
            <w:cnfStyle w:val="001000000000" w:firstRow="0" w:lastRow="0" w:firstColumn="1" w:lastColumn="0" w:oddVBand="0" w:evenVBand="0" w:oddHBand="0" w:evenHBand="0" w:firstRowFirstColumn="0" w:firstRowLastColumn="0" w:lastRowFirstColumn="0" w:lastRowLastColumn="0"/>
            <w:tcW w:w="1558" w:type="dxa"/>
            <w:vMerge/>
          </w:tcPr>
          <w:p w14:paraId="58E5EA80"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0762201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Male </w:t>
            </w:r>
          </w:p>
        </w:tc>
        <w:tc>
          <w:tcPr>
            <w:tcW w:w="1558" w:type="dxa"/>
          </w:tcPr>
          <w:p w14:paraId="5A7517C6"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22(44)</w:t>
            </w:r>
          </w:p>
        </w:tc>
        <w:tc>
          <w:tcPr>
            <w:tcW w:w="1558" w:type="dxa"/>
          </w:tcPr>
          <w:p w14:paraId="591DDA7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28(56%)</w:t>
            </w:r>
          </w:p>
        </w:tc>
        <w:tc>
          <w:tcPr>
            <w:tcW w:w="1559" w:type="dxa"/>
          </w:tcPr>
          <w:p w14:paraId="6953421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50(100%)</w:t>
            </w:r>
          </w:p>
        </w:tc>
        <w:tc>
          <w:tcPr>
            <w:tcW w:w="1559" w:type="dxa"/>
            <w:vMerge/>
          </w:tcPr>
          <w:p w14:paraId="3A1BB9B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4441F4EF"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gridSpan w:val="2"/>
          </w:tcPr>
          <w:p w14:paraId="2D816789"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Age </w:t>
            </w:r>
          </w:p>
        </w:tc>
        <w:tc>
          <w:tcPr>
            <w:tcW w:w="1558" w:type="dxa"/>
          </w:tcPr>
          <w:p w14:paraId="586DC33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59.64</w:t>
            </w:r>
            <w:r w:rsidRPr="00E658D2">
              <w:rPr>
                <w:rFonts w:ascii="Calibri" w:hAnsi="Calibri" w:cs="B Nazanin"/>
                <w:color w:val="000000" w:themeColor="text1"/>
                <w:sz w:val="20"/>
                <w:szCs w:val="20"/>
              </w:rPr>
              <w:t>±13.67</w:t>
            </w:r>
          </w:p>
        </w:tc>
        <w:tc>
          <w:tcPr>
            <w:tcW w:w="1558" w:type="dxa"/>
          </w:tcPr>
          <w:p w14:paraId="05E7FE8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53.24</w:t>
            </w:r>
            <w:r w:rsidRPr="00E658D2">
              <w:rPr>
                <w:rFonts w:ascii="Calibri" w:hAnsi="Calibri" w:cs="B Nazanin"/>
                <w:color w:val="000000" w:themeColor="text1"/>
                <w:sz w:val="20"/>
                <w:szCs w:val="20"/>
              </w:rPr>
              <w:t>±11.32</w:t>
            </w:r>
          </w:p>
        </w:tc>
        <w:tc>
          <w:tcPr>
            <w:tcW w:w="1559" w:type="dxa"/>
          </w:tcPr>
          <w:p w14:paraId="301BAB0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55.82</w:t>
            </w:r>
            <w:r w:rsidRPr="00E658D2">
              <w:rPr>
                <w:rFonts w:ascii="Calibri" w:hAnsi="Calibri" w:cs="B Nazanin"/>
                <w:color w:val="000000" w:themeColor="text1"/>
                <w:sz w:val="20"/>
                <w:szCs w:val="20"/>
              </w:rPr>
              <w:t>±12.68</w:t>
            </w:r>
          </w:p>
        </w:tc>
        <w:tc>
          <w:tcPr>
            <w:tcW w:w="1559" w:type="dxa"/>
          </w:tcPr>
          <w:p w14:paraId="307CF14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0.001</w:t>
            </w:r>
            <w:r w:rsidRPr="00E658D2">
              <w:rPr>
                <w:rFonts w:ascii="Times New Roman" w:hAnsi="Times New Roman" w:cs="B Nazanin"/>
                <w:color w:val="000000" w:themeColor="text1"/>
                <w:kern w:val="0"/>
                <w:sz w:val="20"/>
                <w:szCs w:val="20"/>
                <w:vertAlign w:val="superscript"/>
                <w:lang w:bidi="fa-IR"/>
                <w14:ligatures w14:val="none"/>
              </w:rPr>
              <w:t>***</w:t>
            </w:r>
          </w:p>
        </w:tc>
      </w:tr>
      <w:tr w:rsidR="009904B2" w:rsidRPr="00E658D2" w14:paraId="2507453E" w14:textId="77777777" w:rsidTr="00F55CE4">
        <w:tc>
          <w:tcPr>
            <w:cnfStyle w:val="001000000000" w:firstRow="0" w:lastRow="0" w:firstColumn="1" w:lastColumn="0" w:oddVBand="0" w:evenVBand="0" w:oddHBand="0" w:evenHBand="0" w:firstRowFirstColumn="0" w:firstRowLastColumn="0" w:lastRowFirstColumn="0" w:lastRowLastColumn="0"/>
            <w:tcW w:w="1558" w:type="dxa"/>
          </w:tcPr>
          <w:p w14:paraId="315E461F"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BMI</w:t>
            </w:r>
          </w:p>
        </w:tc>
        <w:tc>
          <w:tcPr>
            <w:tcW w:w="1558" w:type="dxa"/>
          </w:tcPr>
          <w:p w14:paraId="08B4F02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c>
          <w:tcPr>
            <w:tcW w:w="1558" w:type="dxa"/>
          </w:tcPr>
          <w:p w14:paraId="206EAAD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26.62</w:t>
            </w:r>
            <w:r w:rsidRPr="00E658D2">
              <w:rPr>
                <w:rFonts w:ascii="Calibri" w:hAnsi="Calibri" w:cs="B Nazanin"/>
                <w:color w:val="000000" w:themeColor="text1"/>
                <w:sz w:val="20"/>
                <w:szCs w:val="20"/>
              </w:rPr>
              <w:t>±4.75</w:t>
            </w:r>
          </w:p>
        </w:tc>
        <w:tc>
          <w:tcPr>
            <w:tcW w:w="1558" w:type="dxa"/>
          </w:tcPr>
          <w:p w14:paraId="509BDDC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27.09</w:t>
            </w:r>
            <w:r w:rsidRPr="00E658D2">
              <w:rPr>
                <w:rFonts w:ascii="Calibri" w:hAnsi="Calibri" w:cs="B Nazanin"/>
                <w:color w:val="000000" w:themeColor="text1"/>
                <w:sz w:val="20"/>
                <w:szCs w:val="20"/>
              </w:rPr>
              <w:t>±4.59</w:t>
            </w:r>
          </w:p>
        </w:tc>
        <w:tc>
          <w:tcPr>
            <w:tcW w:w="1559" w:type="dxa"/>
          </w:tcPr>
          <w:p w14:paraId="0699056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26.94</w:t>
            </w:r>
            <w:r w:rsidRPr="00E658D2">
              <w:rPr>
                <w:rFonts w:ascii="Calibri" w:hAnsi="Calibri" w:cs="B Nazanin"/>
                <w:color w:val="000000" w:themeColor="text1"/>
                <w:sz w:val="20"/>
                <w:szCs w:val="20"/>
              </w:rPr>
              <w:t>±4.62</w:t>
            </w:r>
          </w:p>
        </w:tc>
        <w:tc>
          <w:tcPr>
            <w:tcW w:w="1559" w:type="dxa"/>
          </w:tcPr>
          <w:p w14:paraId="3771D50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0.65</w:t>
            </w:r>
            <w:r w:rsidRPr="00E658D2">
              <w:rPr>
                <w:rFonts w:ascii="Times New Roman" w:hAnsi="Times New Roman" w:cs="B Nazanin"/>
                <w:color w:val="000000" w:themeColor="text1"/>
                <w:kern w:val="0"/>
                <w:sz w:val="20"/>
                <w:szCs w:val="20"/>
                <w:vertAlign w:val="superscript"/>
                <w:lang w:bidi="fa-IR"/>
                <w14:ligatures w14:val="none"/>
              </w:rPr>
              <w:t>***</w:t>
            </w:r>
          </w:p>
        </w:tc>
      </w:tr>
      <w:tr w:rsidR="009904B2" w:rsidRPr="00E658D2" w14:paraId="19EFCDEC"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vMerge w:val="restart"/>
          </w:tcPr>
          <w:p w14:paraId="22F8161F"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Oral health indices </w:t>
            </w:r>
          </w:p>
        </w:tc>
        <w:tc>
          <w:tcPr>
            <w:tcW w:w="1558" w:type="dxa"/>
          </w:tcPr>
          <w:p w14:paraId="2275586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CPI</w:t>
            </w:r>
            <w:r w:rsidRPr="00E658D2">
              <w:rPr>
                <w:rFonts w:ascii="Times New Roman" w:hAnsi="Times New Roman" w:cs="Times New Roman"/>
                <w:color w:val="000000" w:themeColor="text1"/>
                <w:kern w:val="0"/>
                <w:sz w:val="20"/>
                <w:szCs w:val="20"/>
                <w:vertAlign w:val="superscript"/>
                <w:lang w:bidi="fa-IR"/>
                <w14:ligatures w14:val="none"/>
              </w:rPr>
              <w:t>a</w:t>
            </w:r>
          </w:p>
        </w:tc>
        <w:tc>
          <w:tcPr>
            <w:tcW w:w="1558" w:type="dxa"/>
          </w:tcPr>
          <w:p w14:paraId="0ACC9F7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1.22(0-2)</w:t>
            </w:r>
          </w:p>
        </w:tc>
        <w:tc>
          <w:tcPr>
            <w:tcW w:w="1558" w:type="dxa"/>
          </w:tcPr>
          <w:p w14:paraId="670F49D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0.98(0-1.45)</w:t>
            </w:r>
          </w:p>
        </w:tc>
        <w:tc>
          <w:tcPr>
            <w:tcW w:w="1559" w:type="dxa"/>
          </w:tcPr>
          <w:p w14:paraId="509179C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1.06(0-2)</w:t>
            </w:r>
          </w:p>
        </w:tc>
        <w:tc>
          <w:tcPr>
            <w:tcW w:w="1559" w:type="dxa"/>
          </w:tcPr>
          <w:p w14:paraId="77F8AC1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0.5</w:t>
            </w:r>
            <w:r w:rsidRPr="00E658D2">
              <w:rPr>
                <w:rFonts w:ascii="Times New Roman" w:hAnsi="Times New Roman" w:cs="B Nazanin"/>
                <w:color w:val="000000" w:themeColor="text1"/>
                <w:kern w:val="0"/>
                <w:sz w:val="20"/>
                <w:szCs w:val="20"/>
                <w:vertAlign w:val="superscript"/>
                <w:lang w:bidi="fa-IR"/>
                <w14:ligatures w14:val="none"/>
              </w:rPr>
              <w:t>****</w:t>
            </w:r>
          </w:p>
        </w:tc>
      </w:tr>
      <w:tr w:rsidR="009904B2" w:rsidRPr="00E658D2" w14:paraId="757CCC1B" w14:textId="77777777" w:rsidTr="00F55CE4">
        <w:tc>
          <w:tcPr>
            <w:cnfStyle w:val="001000000000" w:firstRow="0" w:lastRow="0" w:firstColumn="1" w:lastColumn="0" w:oddVBand="0" w:evenVBand="0" w:oddHBand="0" w:evenHBand="0" w:firstRowFirstColumn="0" w:firstRowLastColumn="0" w:lastRowFirstColumn="0" w:lastRowLastColumn="0"/>
            <w:tcW w:w="1558" w:type="dxa"/>
            <w:vMerge/>
          </w:tcPr>
          <w:p w14:paraId="1FBB941A"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7A2D7A3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PI</w:t>
            </w:r>
            <w:r w:rsidRPr="00E658D2">
              <w:rPr>
                <w:rFonts w:ascii="Times New Roman" w:hAnsi="Times New Roman" w:cs="B Nazanin"/>
                <w:color w:val="000000" w:themeColor="text1"/>
                <w:kern w:val="0"/>
                <w:sz w:val="20"/>
                <w:szCs w:val="20"/>
                <w:vertAlign w:val="superscript"/>
                <w:lang w:bidi="fa-IR"/>
                <w14:ligatures w14:val="none"/>
              </w:rPr>
              <w:t>b</w:t>
            </w:r>
          </w:p>
        </w:tc>
        <w:tc>
          <w:tcPr>
            <w:tcW w:w="1558" w:type="dxa"/>
          </w:tcPr>
          <w:p w14:paraId="3DB688D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1.08(0.4-1.6)</w:t>
            </w:r>
          </w:p>
        </w:tc>
        <w:tc>
          <w:tcPr>
            <w:tcW w:w="1558" w:type="dxa"/>
          </w:tcPr>
          <w:p w14:paraId="1EAC797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0.88(0.1-1.2)</w:t>
            </w:r>
          </w:p>
        </w:tc>
        <w:tc>
          <w:tcPr>
            <w:tcW w:w="1559" w:type="dxa"/>
          </w:tcPr>
          <w:p w14:paraId="59BDCB5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0.95(0.2-1.4)</w:t>
            </w:r>
          </w:p>
        </w:tc>
        <w:tc>
          <w:tcPr>
            <w:tcW w:w="1559" w:type="dxa"/>
          </w:tcPr>
          <w:p w14:paraId="612F7A8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0.29</w:t>
            </w:r>
            <w:r w:rsidRPr="00E658D2">
              <w:rPr>
                <w:rFonts w:ascii="Times New Roman" w:hAnsi="Times New Roman" w:cs="B Nazanin"/>
                <w:color w:val="000000" w:themeColor="text1"/>
                <w:kern w:val="0"/>
                <w:sz w:val="20"/>
                <w:szCs w:val="20"/>
                <w:vertAlign w:val="superscript"/>
                <w:lang w:bidi="fa-IR"/>
                <w14:ligatures w14:val="none"/>
              </w:rPr>
              <w:t>****</w:t>
            </w:r>
          </w:p>
        </w:tc>
      </w:tr>
      <w:tr w:rsidR="009904B2" w:rsidRPr="00E658D2" w14:paraId="6C09F1B4"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vMerge w:val="restart"/>
          </w:tcPr>
          <w:p w14:paraId="4FAF2F0E"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Habits </w:t>
            </w:r>
          </w:p>
        </w:tc>
        <w:tc>
          <w:tcPr>
            <w:tcW w:w="1558" w:type="dxa"/>
          </w:tcPr>
          <w:p w14:paraId="0EAD00A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Smoking </w:t>
            </w:r>
          </w:p>
        </w:tc>
        <w:tc>
          <w:tcPr>
            <w:tcW w:w="1558" w:type="dxa"/>
          </w:tcPr>
          <w:p w14:paraId="1DFFEFD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3(37.5%)</w:t>
            </w:r>
          </w:p>
        </w:tc>
        <w:tc>
          <w:tcPr>
            <w:tcW w:w="1558" w:type="dxa"/>
          </w:tcPr>
          <w:p w14:paraId="7EA0389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5(62.5%)</w:t>
            </w:r>
          </w:p>
        </w:tc>
        <w:tc>
          <w:tcPr>
            <w:tcW w:w="1559" w:type="dxa"/>
          </w:tcPr>
          <w:p w14:paraId="63A8930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8(100%)</w:t>
            </w:r>
          </w:p>
        </w:tc>
        <w:tc>
          <w:tcPr>
            <w:tcW w:w="1559" w:type="dxa"/>
            <w:vMerge w:val="restart"/>
          </w:tcPr>
          <w:p w14:paraId="551D9C8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0.6</w:t>
            </w:r>
            <w:r w:rsidRPr="00E658D2">
              <w:rPr>
                <w:rFonts w:ascii="Times New Roman" w:hAnsi="Times New Roman" w:cs="B Nazanin"/>
                <w:color w:val="000000" w:themeColor="text1"/>
                <w:kern w:val="0"/>
                <w:sz w:val="20"/>
                <w:szCs w:val="20"/>
                <w:vertAlign w:val="superscript"/>
                <w:lang w:bidi="fa-IR"/>
                <w14:ligatures w14:val="none"/>
              </w:rPr>
              <w:t>*****</w:t>
            </w:r>
          </w:p>
        </w:tc>
      </w:tr>
      <w:tr w:rsidR="009904B2" w:rsidRPr="00E658D2" w14:paraId="3B6F4C79" w14:textId="77777777" w:rsidTr="00F55CE4">
        <w:tc>
          <w:tcPr>
            <w:cnfStyle w:val="001000000000" w:firstRow="0" w:lastRow="0" w:firstColumn="1" w:lastColumn="0" w:oddVBand="0" w:evenVBand="0" w:oddHBand="0" w:evenHBand="0" w:firstRowFirstColumn="0" w:firstRowLastColumn="0" w:lastRowFirstColumn="0" w:lastRowLastColumn="0"/>
            <w:tcW w:w="1558" w:type="dxa"/>
            <w:vMerge/>
          </w:tcPr>
          <w:p w14:paraId="548A755C"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5EC524B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Drug abuse</w:t>
            </w:r>
          </w:p>
        </w:tc>
        <w:tc>
          <w:tcPr>
            <w:tcW w:w="1558" w:type="dxa"/>
          </w:tcPr>
          <w:p w14:paraId="4C1E2F3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2(50%)</w:t>
            </w:r>
          </w:p>
        </w:tc>
        <w:tc>
          <w:tcPr>
            <w:tcW w:w="1558" w:type="dxa"/>
          </w:tcPr>
          <w:p w14:paraId="3D06F7D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2(50%)</w:t>
            </w:r>
          </w:p>
        </w:tc>
        <w:tc>
          <w:tcPr>
            <w:tcW w:w="1559" w:type="dxa"/>
          </w:tcPr>
          <w:p w14:paraId="4F5E2A2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4(100%)</w:t>
            </w:r>
          </w:p>
        </w:tc>
        <w:tc>
          <w:tcPr>
            <w:tcW w:w="1559" w:type="dxa"/>
            <w:vMerge/>
          </w:tcPr>
          <w:p w14:paraId="6A82EA9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3E4771C6"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vMerge/>
          </w:tcPr>
          <w:p w14:paraId="37D583B7"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152AE17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Both </w:t>
            </w:r>
          </w:p>
        </w:tc>
        <w:tc>
          <w:tcPr>
            <w:tcW w:w="1558" w:type="dxa"/>
          </w:tcPr>
          <w:p w14:paraId="29177D5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3(75%)</w:t>
            </w:r>
          </w:p>
        </w:tc>
        <w:tc>
          <w:tcPr>
            <w:tcW w:w="1558" w:type="dxa"/>
          </w:tcPr>
          <w:p w14:paraId="05309C3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1(25%)</w:t>
            </w:r>
          </w:p>
        </w:tc>
        <w:tc>
          <w:tcPr>
            <w:tcW w:w="1559" w:type="dxa"/>
          </w:tcPr>
          <w:p w14:paraId="34E6D95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4(100%)</w:t>
            </w:r>
          </w:p>
        </w:tc>
        <w:tc>
          <w:tcPr>
            <w:tcW w:w="1559" w:type="dxa"/>
            <w:vMerge/>
          </w:tcPr>
          <w:p w14:paraId="172D41F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4C502323" w14:textId="77777777" w:rsidTr="00F55CE4">
        <w:tc>
          <w:tcPr>
            <w:cnfStyle w:val="001000000000" w:firstRow="0" w:lastRow="0" w:firstColumn="1" w:lastColumn="0" w:oddVBand="0" w:evenVBand="0" w:oddHBand="0" w:evenHBand="0" w:firstRowFirstColumn="0" w:firstRowLastColumn="0" w:lastRowFirstColumn="0" w:lastRowLastColumn="0"/>
            <w:tcW w:w="1558" w:type="dxa"/>
            <w:vMerge/>
          </w:tcPr>
          <w:p w14:paraId="55E48DBF"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3C1EC9E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None </w:t>
            </w:r>
          </w:p>
        </w:tc>
        <w:tc>
          <w:tcPr>
            <w:tcW w:w="1558" w:type="dxa"/>
          </w:tcPr>
          <w:p w14:paraId="043483E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70(39.5%)</w:t>
            </w:r>
          </w:p>
        </w:tc>
        <w:tc>
          <w:tcPr>
            <w:tcW w:w="1558" w:type="dxa"/>
          </w:tcPr>
          <w:p w14:paraId="6DB403D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107(60.5%)</w:t>
            </w:r>
          </w:p>
        </w:tc>
        <w:tc>
          <w:tcPr>
            <w:tcW w:w="1559" w:type="dxa"/>
          </w:tcPr>
          <w:p w14:paraId="2E0506C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177(100%)</w:t>
            </w:r>
          </w:p>
        </w:tc>
        <w:tc>
          <w:tcPr>
            <w:tcW w:w="1559" w:type="dxa"/>
            <w:vMerge/>
          </w:tcPr>
          <w:p w14:paraId="11E2FEA8"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39A40E88"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vMerge w:val="restart"/>
          </w:tcPr>
          <w:p w14:paraId="3960C0B8"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Primary disease (related to MRONJ) - oncologic or none-oncologic</w:t>
            </w:r>
          </w:p>
        </w:tc>
        <w:tc>
          <w:tcPr>
            <w:tcW w:w="1558" w:type="dxa"/>
          </w:tcPr>
          <w:p w14:paraId="4FCE25D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Oncologic disease</w:t>
            </w:r>
          </w:p>
        </w:tc>
        <w:tc>
          <w:tcPr>
            <w:tcW w:w="1558" w:type="dxa"/>
          </w:tcPr>
          <w:p w14:paraId="328F730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62(47.69%)</w:t>
            </w:r>
          </w:p>
        </w:tc>
        <w:tc>
          <w:tcPr>
            <w:tcW w:w="1558" w:type="dxa"/>
          </w:tcPr>
          <w:p w14:paraId="443C313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68(52.3%)</w:t>
            </w:r>
          </w:p>
        </w:tc>
        <w:tc>
          <w:tcPr>
            <w:tcW w:w="1559" w:type="dxa"/>
          </w:tcPr>
          <w:p w14:paraId="5439509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130(100%)</w:t>
            </w:r>
          </w:p>
        </w:tc>
        <w:tc>
          <w:tcPr>
            <w:tcW w:w="1559" w:type="dxa"/>
            <w:vMerge w:val="restart"/>
          </w:tcPr>
          <w:p w14:paraId="35D4A3F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0.01</w:t>
            </w:r>
            <w:r w:rsidRPr="00E658D2">
              <w:rPr>
                <w:rFonts w:ascii="Times New Roman" w:hAnsi="Times New Roman" w:cs="B Nazanin"/>
                <w:color w:val="000000" w:themeColor="text1"/>
                <w:kern w:val="0"/>
                <w:sz w:val="20"/>
                <w:szCs w:val="20"/>
                <w:vertAlign w:val="superscript"/>
                <w:lang w:bidi="fa-IR"/>
                <w14:ligatures w14:val="none"/>
              </w:rPr>
              <w:t>**</w:t>
            </w:r>
          </w:p>
        </w:tc>
      </w:tr>
      <w:tr w:rsidR="009904B2" w:rsidRPr="00E658D2" w14:paraId="36EF52EE" w14:textId="77777777" w:rsidTr="00F55CE4">
        <w:tc>
          <w:tcPr>
            <w:cnfStyle w:val="001000000000" w:firstRow="0" w:lastRow="0" w:firstColumn="1" w:lastColumn="0" w:oddVBand="0" w:evenVBand="0" w:oddHBand="0" w:evenHBand="0" w:firstRowFirstColumn="0" w:firstRowLastColumn="0" w:lastRowFirstColumn="0" w:lastRowLastColumn="0"/>
            <w:tcW w:w="1558" w:type="dxa"/>
            <w:vMerge/>
          </w:tcPr>
          <w:p w14:paraId="65CE4747"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359160C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None-oncologic diseases</w:t>
            </w:r>
          </w:p>
        </w:tc>
        <w:tc>
          <w:tcPr>
            <w:tcW w:w="1558" w:type="dxa"/>
          </w:tcPr>
          <w:p w14:paraId="2539D6E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11(28.2%)</w:t>
            </w:r>
          </w:p>
        </w:tc>
        <w:tc>
          <w:tcPr>
            <w:tcW w:w="1558" w:type="dxa"/>
          </w:tcPr>
          <w:p w14:paraId="36F55ED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28(71.79%)</w:t>
            </w:r>
          </w:p>
        </w:tc>
        <w:tc>
          <w:tcPr>
            <w:tcW w:w="1559" w:type="dxa"/>
          </w:tcPr>
          <w:p w14:paraId="7E45180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39(100%)</w:t>
            </w:r>
          </w:p>
        </w:tc>
        <w:tc>
          <w:tcPr>
            <w:tcW w:w="1559" w:type="dxa"/>
            <w:vMerge/>
          </w:tcPr>
          <w:p w14:paraId="3BB8ADC6"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55A504B7"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vMerge/>
          </w:tcPr>
          <w:p w14:paraId="164D51AD"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2F430BD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Not specified </w:t>
            </w:r>
            <w:r w:rsidRPr="00E658D2">
              <w:rPr>
                <w:rFonts w:ascii="Times New Roman" w:hAnsi="Times New Roman" w:cs="Times New Roman"/>
                <w:color w:val="000000" w:themeColor="text1"/>
                <w:kern w:val="0"/>
                <w:sz w:val="20"/>
                <w:szCs w:val="20"/>
                <w:vertAlign w:val="superscript"/>
                <w:lang w:bidi="fa-IR"/>
                <w14:ligatures w14:val="none"/>
              </w:rPr>
              <w:t>c</w:t>
            </w:r>
          </w:p>
        </w:tc>
        <w:tc>
          <w:tcPr>
            <w:tcW w:w="1558" w:type="dxa"/>
          </w:tcPr>
          <w:p w14:paraId="3A297D6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5(20.83%)</w:t>
            </w:r>
          </w:p>
        </w:tc>
        <w:tc>
          <w:tcPr>
            <w:tcW w:w="1558" w:type="dxa"/>
          </w:tcPr>
          <w:p w14:paraId="64BD043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19(79.16%)</w:t>
            </w:r>
          </w:p>
        </w:tc>
        <w:tc>
          <w:tcPr>
            <w:tcW w:w="1559" w:type="dxa"/>
          </w:tcPr>
          <w:p w14:paraId="4258122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24(100%)</w:t>
            </w:r>
          </w:p>
        </w:tc>
        <w:tc>
          <w:tcPr>
            <w:tcW w:w="1559" w:type="dxa"/>
            <w:vMerge/>
          </w:tcPr>
          <w:p w14:paraId="47BDC11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0D677678" w14:textId="77777777" w:rsidTr="00F55CE4">
        <w:tc>
          <w:tcPr>
            <w:cnfStyle w:val="001000000000" w:firstRow="0" w:lastRow="0" w:firstColumn="1" w:lastColumn="0" w:oddVBand="0" w:evenVBand="0" w:oddHBand="0" w:evenHBand="0" w:firstRowFirstColumn="0" w:firstRowLastColumn="0" w:lastRowFirstColumn="0" w:lastRowLastColumn="0"/>
            <w:tcW w:w="1558" w:type="dxa"/>
            <w:vMerge w:val="restart"/>
          </w:tcPr>
          <w:p w14:paraId="36B2C243"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Primary disease (related to MRONJ)- Details</w:t>
            </w:r>
          </w:p>
        </w:tc>
        <w:tc>
          <w:tcPr>
            <w:tcW w:w="1558" w:type="dxa"/>
          </w:tcPr>
          <w:p w14:paraId="02D35FC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Breast cancer</w:t>
            </w:r>
          </w:p>
        </w:tc>
        <w:tc>
          <w:tcPr>
            <w:tcW w:w="1558" w:type="dxa"/>
          </w:tcPr>
          <w:p w14:paraId="020D39A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37(56.11%)</w:t>
            </w:r>
          </w:p>
        </w:tc>
        <w:tc>
          <w:tcPr>
            <w:tcW w:w="1558" w:type="dxa"/>
          </w:tcPr>
          <w:p w14:paraId="506A24B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29(43.9%)</w:t>
            </w:r>
          </w:p>
        </w:tc>
        <w:tc>
          <w:tcPr>
            <w:tcW w:w="1559" w:type="dxa"/>
          </w:tcPr>
          <w:p w14:paraId="130EADC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66(100%)</w:t>
            </w:r>
          </w:p>
        </w:tc>
        <w:tc>
          <w:tcPr>
            <w:tcW w:w="1559" w:type="dxa"/>
            <w:vMerge w:val="restart"/>
          </w:tcPr>
          <w:p w14:paraId="352CA94B"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0.01</w:t>
            </w:r>
            <w:r w:rsidRPr="00E658D2">
              <w:rPr>
                <w:rFonts w:ascii="Times New Roman" w:hAnsi="Times New Roman" w:cs="B Nazanin"/>
                <w:color w:val="000000" w:themeColor="text1"/>
                <w:kern w:val="0"/>
                <w:sz w:val="20"/>
                <w:szCs w:val="20"/>
                <w:vertAlign w:val="superscript"/>
                <w:lang w:bidi="fa-IR"/>
                <w14:ligatures w14:val="none"/>
              </w:rPr>
              <w:t>*****</w:t>
            </w:r>
          </w:p>
        </w:tc>
      </w:tr>
      <w:tr w:rsidR="009904B2" w:rsidRPr="00E658D2" w14:paraId="796CCC41"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vMerge/>
          </w:tcPr>
          <w:p w14:paraId="5538935D"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767A325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Multiple myeloma </w:t>
            </w:r>
          </w:p>
        </w:tc>
        <w:tc>
          <w:tcPr>
            <w:tcW w:w="1558" w:type="dxa"/>
          </w:tcPr>
          <w:p w14:paraId="48EA58D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12(30.8%)</w:t>
            </w:r>
          </w:p>
        </w:tc>
        <w:tc>
          <w:tcPr>
            <w:tcW w:w="1558" w:type="dxa"/>
          </w:tcPr>
          <w:p w14:paraId="615E5E0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27(69.2%)</w:t>
            </w:r>
          </w:p>
        </w:tc>
        <w:tc>
          <w:tcPr>
            <w:tcW w:w="1559" w:type="dxa"/>
          </w:tcPr>
          <w:p w14:paraId="7C4B434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39(100%)</w:t>
            </w:r>
          </w:p>
        </w:tc>
        <w:tc>
          <w:tcPr>
            <w:tcW w:w="1559" w:type="dxa"/>
            <w:vMerge/>
          </w:tcPr>
          <w:p w14:paraId="6E6024B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1F709AE2" w14:textId="77777777" w:rsidTr="00F55CE4">
        <w:tc>
          <w:tcPr>
            <w:cnfStyle w:val="001000000000" w:firstRow="0" w:lastRow="0" w:firstColumn="1" w:lastColumn="0" w:oddVBand="0" w:evenVBand="0" w:oddHBand="0" w:evenHBand="0" w:firstRowFirstColumn="0" w:firstRowLastColumn="0" w:lastRowFirstColumn="0" w:lastRowLastColumn="0"/>
            <w:tcW w:w="1558" w:type="dxa"/>
            <w:vMerge/>
          </w:tcPr>
          <w:p w14:paraId="5DE4C2BC"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2C0FA08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Osteoporosis due to other disorders</w:t>
            </w:r>
          </w:p>
        </w:tc>
        <w:tc>
          <w:tcPr>
            <w:tcW w:w="1558" w:type="dxa"/>
          </w:tcPr>
          <w:p w14:paraId="6E8D588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7(33.3%)</w:t>
            </w:r>
          </w:p>
        </w:tc>
        <w:tc>
          <w:tcPr>
            <w:tcW w:w="1558" w:type="dxa"/>
          </w:tcPr>
          <w:p w14:paraId="3F89B01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14(66.7%)</w:t>
            </w:r>
          </w:p>
        </w:tc>
        <w:tc>
          <w:tcPr>
            <w:tcW w:w="1559" w:type="dxa"/>
          </w:tcPr>
          <w:p w14:paraId="20366BF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21(100%)</w:t>
            </w:r>
          </w:p>
        </w:tc>
        <w:tc>
          <w:tcPr>
            <w:tcW w:w="1559" w:type="dxa"/>
            <w:vMerge/>
          </w:tcPr>
          <w:p w14:paraId="62D84F8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3C387868"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vMerge/>
          </w:tcPr>
          <w:p w14:paraId="3DF28E98"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1D55236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Osteoporosis unrelated to other disorders</w:t>
            </w:r>
          </w:p>
        </w:tc>
        <w:tc>
          <w:tcPr>
            <w:tcW w:w="1558" w:type="dxa"/>
          </w:tcPr>
          <w:p w14:paraId="663CEE0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3(25%)</w:t>
            </w:r>
          </w:p>
        </w:tc>
        <w:tc>
          <w:tcPr>
            <w:tcW w:w="1558" w:type="dxa"/>
          </w:tcPr>
          <w:p w14:paraId="4A837B4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9(75%)</w:t>
            </w:r>
          </w:p>
        </w:tc>
        <w:tc>
          <w:tcPr>
            <w:tcW w:w="1559" w:type="dxa"/>
          </w:tcPr>
          <w:p w14:paraId="311DF1C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12(100%)</w:t>
            </w:r>
          </w:p>
        </w:tc>
        <w:tc>
          <w:tcPr>
            <w:tcW w:w="1559" w:type="dxa"/>
            <w:vMerge/>
          </w:tcPr>
          <w:p w14:paraId="64D0E04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7A45C694" w14:textId="77777777" w:rsidTr="00F55CE4">
        <w:tc>
          <w:tcPr>
            <w:cnfStyle w:val="001000000000" w:firstRow="0" w:lastRow="0" w:firstColumn="1" w:lastColumn="0" w:oddVBand="0" w:evenVBand="0" w:oddHBand="0" w:evenHBand="0" w:firstRowFirstColumn="0" w:firstRowLastColumn="0" w:lastRowFirstColumn="0" w:lastRowLastColumn="0"/>
            <w:tcW w:w="1558" w:type="dxa"/>
            <w:vMerge/>
          </w:tcPr>
          <w:p w14:paraId="5D6FF03E"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2A6058C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Prostate cancer </w:t>
            </w:r>
          </w:p>
        </w:tc>
        <w:tc>
          <w:tcPr>
            <w:tcW w:w="1558" w:type="dxa"/>
          </w:tcPr>
          <w:p w14:paraId="4D3ADDD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5(71.4%)</w:t>
            </w:r>
          </w:p>
        </w:tc>
        <w:tc>
          <w:tcPr>
            <w:tcW w:w="1558" w:type="dxa"/>
          </w:tcPr>
          <w:p w14:paraId="665CDA7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 (28.6%)</w:t>
            </w:r>
          </w:p>
        </w:tc>
        <w:tc>
          <w:tcPr>
            <w:tcW w:w="1559" w:type="dxa"/>
          </w:tcPr>
          <w:p w14:paraId="1335056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7(100%)</w:t>
            </w:r>
          </w:p>
        </w:tc>
        <w:tc>
          <w:tcPr>
            <w:tcW w:w="1559" w:type="dxa"/>
            <w:vMerge/>
          </w:tcPr>
          <w:p w14:paraId="741C3C6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08B57584"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vMerge/>
          </w:tcPr>
          <w:p w14:paraId="61E01E84"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6DFF867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Multiple Sclerosis</w:t>
            </w:r>
          </w:p>
        </w:tc>
        <w:tc>
          <w:tcPr>
            <w:tcW w:w="1558" w:type="dxa"/>
          </w:tcPr>
          <w:p w14:paraId="7ED58AB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1(33.3%)</w:t>
            </w:r>
          </w:p>
        </w:tc>
        <w:tc>
          <w:tcPr>
            <w:tcW w:w="1558" w:type="dxa"/>
          </w:tcPr>
          <w:p w14:paraId="6138983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2(66.7%)</w:t>
            </w:r>
          </w:p>
        </w:tc>
        <w:tc>
          <w:tcPr>
            <w:tcW w:w="1559" w:type="dxa"/>
          </w:tcPr>
          <w:p w14:paraId="5334D6F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3(100%)</w:t>
            </w:r>
          </w:p>
        </w:tc>
        <w:tc>
          <w:tcPr>
            <w:tcW w:w="1559" w:type="dxa"/>
            <w:vMerge/>
          </w:tcPr>
          <w:p w14:paraId="2D2893A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1C78E7DC" w14:textId="77777777" w:rsidTr="00F55CE4">
        <w:tc>
          <w:tcPr>
            <w:cnfStyle w:val="001000000000" w:firstRow="0" w:lastRow="0" w:firstColumn="1" w:lastColumn="0" w:oddVBand="0" w:evenVBand="0" w:oddHBand="0" w:evenHBand="0" w:firstRowFirstColumn="0" w:firstRowLastColumn="0" w:lastRowFirstColumn="0" w:lastRowLastColumn="0"/>
            <w:tcW w:w="1558" w:type="dxa"/>
            <w:vMerge/>
          </w:tcPr>
          <w:p w14:paraId="346A087E"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62D4A4C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Transplantation (bone marrow or organ)</w:t>
            </w:r>
          </w:p>
        </w:tc>
        <w:tc>
          <w:tcPr>
            <w:tcW w:w="1558" w:type="dxa"/>
          </w:tcPr>
          <w:p w14:paraId="12C38DA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0(0%)</w:t>
            </w:r>
          </w:p>
        </w:tc>
        <w:tc>
          <w:tcPr>
            <w:tcW w:w="1558" w:type="dxa"/>
          </w:tcPr>
          <w:p w14:paraId="731D8A6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3(100%)</w:t>
            </w:r>
          </w:p>
        </w:tc>
        <w:tc>
          <w:tcPr>
            <w:tcW w:w="1559" w:type="dxa"/>
          </w:tcPr>
          <w:p w14:paraId="4F5318E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3(100%)</w:t>
            </w:r>
          </w:p>
        </w:tc>
        <w:tc>
          <w:tcPr>
            <w:tcW w:w="1559" w:type="dxa"/>
            <w:vMerge/>
          </w:tcPr>
          <w:p w14:paraId="41EF82C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4048156D"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vMerge/>
          </w:tcPr>
          <w:p w14:paraId="6563950C"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3859DB0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Other cancers </w:t>
            </w:r>
            <w:r w:rsidRPr="00E658D2">
              <w:rPr>
                <w:rFonts w:ascii="Calibri" w:hAnsi="Calibri" w:cs="Calibri"/>
                <w:color w:val="000000" w:themeColor="text1"/>
                <w:sz w:val="20"/>
                <w:szCs w:val="20"/>
                <w:vertAlign w:val="superscript"/>
              </w:rPr>
              <w:t>d</w:t>
            </w:r>
          </w:p>
        </w:tc>
        <w:tc>
          <w:tcPr>
            <w:tcW w:w="1558" w:type="dxa"/>
          </w:tcPr>
          <w:p w14:paraId="6A357EE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8(44.4%)</w:t>
            </w:r>
          </w:p>
        </w:tc>
        <w:tc>
          <w:tcPr>
            <w:tcW w:w="1558" w:type="dxa"/>
          </w:tcPr>
          <w:p w14:paraId="215337F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10(55.6%)</w:t>
            </w:r>
          </w:p>
        </w:tc>
        <w:tc>
          <w:tcPr>
            <w:tcW w:w="1559" w:type="dxa"/>
          </w:tcPr>
          <w:p w14:paraId="1095FD5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18(100%)</w:t>
            </w:r>
          </w:p>
        </w:tc>
        <w:tc>
          <w:tcPr>
            <w:tcW w:w="1559" w:type="dxa"/>
            <w:vMerge/>
          </w:tcPr>
          <w:p w14:paraId="6524651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3BED6CA8" w14:textId="77777777" w:rsidTr="00F55CE4">
        <w:tc>
          <w:tcPr>
            <w:cnfStyle w:val="001000000000" w:firstRow="0" w:lastRow="0" w:firstColumn="1" w:lastColumn="0" w:oddVBand="0" w:evenVBand="0" w:oddHBand="0" w:evenHBand="0" w:firstRowFirstColumn="0" w:firstRowLastColumn="0" w:lastRowFirstColumn="0" w:lastRowLastColumn="0"/>
            <w:tcW w:w="1558" w:type="dxa"/>
            <w:vMerge/>
          </w:tcPr>
          <w:p w14:paraId="286AD529"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2580423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 xml:space="preserve">Not specified </w:t>
            </w:r>
          </w:p>
        </w:tc>
        <w:tc>
          <w:tcPr>
            <w:tcW w:w="1558" w:type="dxa"/>
          </w:tcPr>
          <w:p w14:paraId="4478F3E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5(20.83%)</w:t>
            </w:r>
          </w:p>
        </w:tc>
        <w:tc>
          <w:tcPr>
            <w:tcW w:w="1558" w:type="dxa"/>
          </w:tcPr>
          <w:p w14:paraId="6F328A8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19(79.16%)</w:t>
            </w:r>
          </w:p>
        </w:tc>
        <w:tc>
          <w:tcPr>
            <w:tcW w:w="1559" w:type="dxa"/>
          </w:tcPr>
          <w:p w14:paraId="00FA8A6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r w:rsidRPr="00E658D2">
              <w:rPr>
                <w:rFonts w:ascii="Times New Roman" w:hAnsi="Times New Roman" w:cs="B Nazanin"/>
                <w:color w:val="000000" w:themeColor="text1"/>
                <w:kern w:val="0"/>
                <w:sz w:val="20"/>
                <w:szCs w:val="20"/>
                <w:lang w:bidi="fa-IR"/>
                <w14:ligatures w14:val="none"/>
              </w:rPr>
              <w:t>24(100%)</w:t>
            </w:r>
          </w:p>
        </w:tc>
        <w:tc>
          <w:tcPr>
            <w:tcW w:w="1559" w:type="dxa"/>
            <w:vMerge/>
          </w:tcPr>
          <w:p w14:paraId="269BA3F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r w:rsidR="009904B2" w:rsidRPr="00E658D2" w14:paraId="44BC83DF"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tcPr>
          <w:p w14:paraId="1E6E4409" w14:textId="77777777" w:rsidR="009904B2" w:rsidRPr="00E658D2" w:rsidRDefault="009904B2" w:rsidP="00F55CE4">
            <w:pPr>
              <w:jc w:val="both"/>
              <w:rPr>
                <w:rFonts w:ascii="Times New Roman" w:hAnsi="Times New Roman" w:cs="B Nazanin"/>
                <w:color w:val="000000" w:themeColor="text1"/>
                <w:kern w:val="0"/>
                <w:sz w:val="20"/>
                <w:szCs w:val="20"/>
                <w:lang w:bidi="fa-IR"/>
                <w14:ligatures w14:val="none"/>
              </w:rPr>
            </w:pPr>
          </w:p>
        </w:tc>
        <w:tc>
          <w:tcPr>
            <w:tcW w:w="1558" w:type="dxa"/>
          </w:tcPr>
          <w:p w14:paraId="0734C4B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c>
          <w:tcPr>
            <w:tcW w:w="1558" w:type="dxa"/>
          </w:tcPr>
          <w:p w14:paraId="0E6B8A3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c>
          <w:tcPr>
            <w:tcW w:w="1558" w:type="dxa"/>
          </w:tcPr>
          <w:p w14:paraId="4EA1D20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c>
          <w:tcPr>
            <w:tcW w:w="1559" w:type="dxa"/>
          </w:tcPr>
          <w:p w14:paraId="3103D21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c>
          <w:tcPr>
            <w:tcW w:w="1559" w:type="dxa"/>
          </w:tcPr>
          <w:p w14:paraId="7A9F1A2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B Nazanin"/>
                <w:color w:val="000000" w:themeColor="text1"/>
                <w:kern w:val="0"/>
                <w:sz w:val="20"/>
                <w:szCs w:val="20"/>
                <w:lang w:bidi="fa-IR"/>
                <w14:ligatures w14:val="none"/>
              </w:rPr>
            </w:pPr>
          </w:p>
        </w:tc>
      </w:tr>
    </w:tbl>
    <w:p w14:paraId="0F1BD32A" w14:textId="77777777" w:rsidR="009904B2" w:rsidRPr="00E658D2" w:rsidRDefault="009904B2" w:rsidP="009904B2">
      <w:pPr>
        <w:spacing w:after="0"/>
        <w:jc w:val="both"/>
        <w:rPr>
          <w:rFonts w:asciiTheme="majorBidi" w:hAnsiTheme="majorBidi" w:cstheme="majorBidi"/>
          <w:i/>
          <w:iCs/>
          <w:color w:val="000000" w:themeColor="text1"/>
          <w:sz w:val="16"/>
          <w:szCs w:val="16"/>
        </w:rPr>
      </w:pPr>
      <w:r w:rsidRPr="00E658D2">
        <w:rPr>
          <w:rFonts w:asciiTheme="majorBidi" w:hAnsiTheme="majorBidi" w:cstheme="majorBidi"/>
          <w:i/>
          <w:iCs/>
          <w:color w:val="000000" w:themeColor="text1"/>
          <w:sz w:val="16"/>
          <w:szCs w:val="16"/>
          <w:vertAlign w:val="superscript"/>
        </w:rPr>
        <w:t xml:space="preserve">* </w:t>
      </w:r>
      <w:r w:rsidRPr="00E658D2">
        <w:rPr>
          <w:rFonts w:asciiTheme="majorBidi" w:hAnsiTheme="majorBidi" w:cstheme="majorBidi"/>
          <w:i/>
          <w:iCs/>
          <w:color w:val="000000" w:themeColor="text1"/>
          <w:sz w:val="16"/>
          <w:szCs w:val="16"/>
        </w:rPr>
        <w:t>Qualitative variables are presented as frequency (percentage). Quantitative variables with normal distribution are reported as mean ± standard deviation, and variables with non-normal distribution as median (first quartile-third quartile)</w:t>
      </w:r>
    </w:p>
    <w:p w14:paraId="39809ADF" w14:textId="77777777" w:rsidR="009904B2" w:rsidRPr="00E658D2" w:rsidRDefault="009904B2" w:rsidP="009904B2">
      <w:pPr>
        <w:spacing w:after="0"/>
        <w:jc w:val="both"/>
        <w:rPr>
          <w:rFonts w:asciiTheme="majorBidi" w:hAnsiTheme="majorBidi" w:cstheme="majorBidi"/>
          <w:i/>
          <w:iCs/>
          <w:color w:val="000000" w:themeColor="text1"/>
          <w:sz w:val="16"/>
          <w:szCs w:val="16"/>
        </w:rPr>
      </w:pPr>
      <w:r w:rsidRPr="00E658D2">
        <w:rPr>
          <w:rFonts w:asciiTheme="majorBidi" w:hAnsiTheme="majorBidi" w:cstheme="majorBidi"/>
          <w:i/>
          <w:iCs/>
          <w:color w:val="000000" w:themeColor="text1"/>
          <w:sz w:val="16"/>
          <w:szCs w:val="16"/>
          <w:vertAlign w:val="superscript"/>
        </w:rPr>
        <w:t>a</w:t>
      </w:r>
      <w:r w:rsidRPr="00E658D2">
        <w:t xml:space="preserve"> </w:t>
      </w:r>
      <w:r w:rsidRPr="00E658D2">
        <w:rPr>
          <w:rFonts w:asciiTheme="majorBidi" w:hAnsiTheme="majorBidi" w:cstheme="majorBidi"/>
          <w:i/>
          <w:iCs/>
          <w:color w:val="000000" w:themeColor="text1"/>
          <w:sz w:val="16"/>
          <w:szCs w:val="16"/>
        </w:rPr>
        <w:t>Community Periodontal Index</w:t>
      </w:r>
    </w:p>
    <w:p w14:paraId="15C221B9" w14:textId="77777777" w:rsidR="009904B2" w:rsidRPr="00E658D2" w:rsidRDefault="009904B2" w:rsidP="009904B2">
      <w:pPr>
        <w:spacing w:after="0"/>
        <w:jc w:val="both"/>
        <w:rPr>
          <w:rFonts w:asciiTheme="majorBidi" w:hAnsiTheme="majorBidi" w:cstheme="majorBidi"/>
          <w:i/>
          <w:iCs/>
          <w:color w:val="000000" w:themeColor="text1"/>
          <w:sz w:val="16"/>
          <w:szCs w:val="16"/>
        </w:rPr>
      </w:pPr>
      <w:r w:rsidRPr="00E658D2">
        <w:rPr>
          <w:rFonts w:asciiTheme="majorBidi" w:hAnsiTheme="majorBidi" w:cstheme="majorBidi"/>
          <w:i/>
          <w:iCs/>
          <w:color w:val="000000" w:themeColor="text1"/>
          <w:sz w:val="16"/>
          <w:szCs w:val="16"/>
          <w:vertAlign w:val="superscript"/>
        </w:rPr>
        <w:t>b</w:t>
      </w:r>
      <w:r w:rsidRPr="00E658D2">
        <w:t xml:space="preserve"> </w:t>
      </w:r>
      <w:r w:rsidRPr="00E658D2">
        <w:rPr>
          <w:rFonts w:asciiTheme="majorBidi" w:hAnsiTheme="majorBidi" w:cstheme="majorBidi"/>
          <w:i/>
          <w:iCs/>
          <w:color w:val="000000" w:themeColor="text1"/>
          <w:sz w:val="16"/>
          <w:szCs w:val="16"/>
        </w:rPr>
        <w:t>Plaque Index</w:t>
      </w:r>
    </w:p>
    <w:p w14:paraId="53947F56" w14:textId="77777777" w:rsidR="009904B2" w:rsidRPr="00E658D2" w:rsidRDefault="009904B2" w:rsidP="009904B2">
      <w:pPr>
        <w:spacing w:after="0"/>
        <w:jc w:val="both"/>
        <w:rPr>
          <w:rFonts w:asciiTheme="majorBidi" w:hAnsiTheme="majorBidi" w:cstheme="majorBidi"/>
          <w:i/>
          <w:iCs/>
          <w:color w:val="000000" w:themeColor="text1"/>
          <w:sz w:val="16"/>
          <w:szCs w:val="16"/>
        </w:rPr>
      </w:pPr>
      <w:r w:rsidRPr="00E658D2">
        <w:rPr>
          <w:rFonts w:asciiTheme="majorBidi" w:hAnsiTheme="majorBidi" w:cstheme="majorBidi"/>
          <w:i/>
          <w:iCs/>
          <w:color w:val="000000" w:themeColor="text1"/>
          <w:sz w:val="16"/>
          <w:szCs w:val="16"/>
          <w:vertAlign w:val="superscript"/>
        </w:rPr>
        <w:t>c</w:t>
      </w:r>
      <w:r w:rsidRPr="00E658D2">
        <w:rPr>
          <w:rFonts w:asciiTheme="majorBidi" w:hAnsiTheme="majorBidi" w:cstheme="majorBidi"/>
          <w:i/>
          <w:iCs/>
          <w:color w:val="000000" w:themeColor="text1"/>
          <w:sz w:val="16"/>
          <w:szCs w:val="16"/>
        </w:rPr>
        <w:t xml:space="preserve"> the "Not Specified" group received MRONJ-related medications, but the primary reason for medication administration was not recorded.</w:t>
      </w:r>
    </w:p>
    <w:p w14:paraId="02E5EAE0" w14:textId="77777777" w:rsidR="009904B2" w:rsidRPr="00E658D2" w:rsidRDefault="009904B2" w:rsidP="009904B2">
      <w:pPr>
        <w:spacing w:after="0"/>
        <w:jc w:val="both"/>
        <w:rPr>
          <w:rFonts w:asciiTheme="majorBidi" w:hAnsiTheme="majorBidi" w:cstheme="majorBidi"/>
          <w:i/>
          <w:iCs/>
          <w:color w:val="000000" w:themeColor="text1"/>
          <w:sz w:val="16"/>
          <w:szCs w:val="16"/>
        </w:rPr>
      </w:pPr>
      <w:r w:rsidRPr="00E658D2">
        <w:rPr>
          <w:rFonts w:asciiTheme="majorBidi" w:hAnsiTheme="majorBidi" w:cstheme="majorBidi"/>
          <w:i/>
          <w:iCs/>
          <w:color w:val="000000" w:themeColor="text1"/>
          <w:sz w:val="16"/>
          <w:szCs w:val="16"/>
          <w:vertAlign w:val="superscript"/>
        </w:rPr>
        <w:t>d</w:t>
      </w:r>
      <w:r w:rsidRPr="00E658D2">
        <w:rPr>
          <w:rFonts w:asciiTheme="majorBidi" w:hAnsiTheme="majorBidi" w:cstheme="majorBidi"/>
          <w:i/>
          <w:iCs/>
          <w:color w:val="000000" w:themeColor="text1"/>
          <w:sz w:val="16"/>
          <w:szCs w:val="16"/>
        </w:rPr>
        <w:t xml:space="preserve"> Other cancers: leukemia, lymphoma, eosinophilic granuloma and ovarian, uterus, kidney and lung cancer</w:t>
      </w:r>
    </w:p>
    <w:p w14:paraId="497044AD" w14:textId="77777777" w:rsidR="009904B2" w:rsidRPr="00E658D2" w:rsidRDefault="009904B2" w:rsidP="009904B2">
      <w:pPr>
        <w:spacing w:after="0"/>
        <w:jc w:val="both"/>
        <w:rPr>
          <w:rFonts w:asciiTheme="majorBidi" w:hAnsiTheme="majorBidi" w:cstheme="majorBidi"/>
          <w:i/>
          <w:iCs/>
          <w:color w:val="000000" w:themeColor="text1"/>
          <w:sz w:val="16"/>
          <w:szCs w:val="16"/>
        </w:rPr>
      </w:pPr>
      <w:r w:rsidRPr="00E658D2">
        <w:rPr>
          <w:rFonts w:asciiTheme="majorBidi" w:hAnsiTheme="majorBidi" w:cstheme="majorBidi"/>
          <w:i/>
          <w:iCs/>
          <w:color w:val="000000" w:themeColor="text1"/>
          <w:sz w:val="16"/>
          <w:szCs w:val="16"/>
          <w:rtl/>
        </w:rPr>
        <w:t xml:space="preserve">** </w:t>
      </w:r>
      <w:r w:rsidRPr="00E658D2">
        <w:rPr>
          <w:rFonts w:asciiTheme="majorBidi" w:hAnsiTheme="majorBidi" w:cstheme="majorBidi"/>
          <w:i/>
          <w:iCs/>
          <w:color w:val="000000" w:themeColor="text1"/>
          <w:sz w:val="16"/>
          <w:szCs w:val="16"/>
        </w:rPr>
        <w:t>Chi- square Test</w:t>
      </w:r>
    </w:p>
    <w:p w14:paraId="73078E9E" w14:textId="77777777" w:rsidR="009904B2" w:rsidRPr="00E658D2" w:rsidRDefault="009904B2" w:rsidP="009904B2">
      <w:pPr>
        <w:spacing w:after="0"/>
        <w:jc w:val="both"/>
        <w:rPr>
          <w:rFonts w:asciiTheme="majorBidi" w:hAnsiTheme="majorBidi" w:cstheme="majorBidi"/>
          <w:i/>
          <w:iCs/>
          <w:color w:val="000000" w:themeColor="text1"/>
          <w:sz w:val="16"/>
          <w:szCs w:val="16"/>
          <w:rtl/>
        </w:rPr>
      </w:pPr>
      <w:r w:rsidRPr="00E658D2">
        <w:rPr>
          <w:rFonts w:asciiTheme="majorBidi" w:hAnsiTheme="majorBidi" w:cstheme="majorBidi"/>
          <w:i/>
          <w:iCs/>
          <w:color w:val="000000" w:themeColor="text1"/>
          <w:sz w:val="16"/>
          <w:szCs w:val="16"/>
          <w:rtl/>
        </w:rPr>
        <w:t>***</w:t>
      </w:r>
      <w:r w:rsidRPr="00E658D2">
        <w:rPr>
          <w:rFonts w:asciiTheme="majorBidi" w:hAnsiTheme="majorBidi" w:cstheme="majorBidi"/>
          <w:i/>
          <w:iCs/>
          <w:color w:val="000000" w:themeColor="text1"/>
          <w:sz w:val="16"/>
          <w:szCs w:val="16"/>
        </w:rPr>
        <w:t xml:space="preserve">    T Test</w:t>
      </w:r>
    </w:p>
    <w:p w14:paraId="03F73837" w14:textId="77777777" w:rsidR="009904B2" w:rsidRPr="00E658D2" w:rsidRDefault="009904B2" w:rsidP="009904B2">
      <w:pPr>
        <w:spacing w:after="0"/>
        <w:jc w:val="both"/>
        <w:rPr>
          <w:rFonts w:asciiTheme="majorBidi" w:hAnsiTheme="majorBidi" w:cstheme="majorBidi"/>
          <w:i/>
          <w:iCs/>
          <w:color w:val="000000" w:themeColor="text1"/>
          <w:sz w:val="16"/>
          <w:szCs w:val="16"/>
          <w:rtl/>
        </w:rPr>
      </w:pPr>
      <w:r w:rsidRPr="00E658D2">
        <w:rPr>
          <w:rFonts w:asciiTheme="majorBidi" w:hAnsiTheme="majorBidi" w:cstheme="majorBidi"/>
          <w:i/>
          <w:iCs/>
          <w:color w:val="000000" w:themeColor="text1"/>
          <w:sz w:val="16"/>
          <w:szCs w:val="16"/>
          <w:rtl/>
        </w:rPr>
        <w:t>****</w:t>
      </w:r>
      <w:r w:rsidRPr="00E658D2">
        <w:rPr>
          <w:rFonts w:asciiTheme="majorBidi" w:hAnsiTheme="majorBidi" w:cstheme="majorBidi"/>
          <w:i/>
          <w:iCs/>
          <w:color w:val="000000" w:themeColor="text1"/>
          <w:sz w:val="16"/>
          <w:szCs w:val="16"/>
        </w:rPr>
        <w:t xml:space="preserve"> Mann-Whitney Test</w:t>
      </w:r>
    </w:p>
    <w:p w14:paraId="3E34505A" w14:textId="77777777" w:rsidR="009904B2" w:rsidRPr="00E658D2" w:rsidRDefault="009904B2" w:rsidP="009904B2">
      <w:pPr>
        <w:spacing w:after="0"/>
        <w:jc w:val="both"/>
        <w:rPr>
          <w:rFonts w:asciiTheme="majorBidi" w:hAnsiTheme="majorBidi" w:cstheme="majorBidi"/>
          <w:i/>
          <w:iCs/>
          <w:color w:val="000000" w:themeColor="text1"/>
          <w:sz w:val="16"/>
          <w:szCs w:val="16"/>
        </w:rPr>
      </w:pPr>
      <w:r w:rsidRPr="00E658D2">
        <w:rPr>
          <w:rFonts w:asciiTheme="majorBidi" w:hAnsiTheme="majorBidi" w:cstheme="majorBidi"/>
          <w:i/>
          <w:iCs/>
          <w:color w:val="000000" w:themeColor="text1"/>
          <w:sz w:val="16"/>
          <w:szCs w:val="16"/>
          <w:rtl/>
        </w:rPr>
        <w:t>*****</w:t>
      </w:r>
      <w:r w:rsidRPr="00E658D2">
        <w:rPr>
          <w:rFonts w:asciiTheme="majorBidi" w:hAnsiTheme="majorBidi" w:cstheme="majorBidi"/>
          <w:i/>
          <w:iCs/>
          <w:color w:val="000000" w:themeColor="text1"/>
          <w:sz w:val="16"/>
          <w:szCs w:val="16"/>
        </w:rPr>
        <w:t xml:space="preserve"> Fisher's Exact Test </w:t>
      </w:r>
    </w:p>
    <w:p w14:paraId="77FB5346" w14:textId="77777777" w:rsidR="009904B2" w:rsidRPr="00E658D2" w:rsidRDefault="009904B2" w:rsidP="009904B2">
      <w:pPr>
        <w:rPr>
          <w:rFonts w:ascii="STIXTwoText" w:hAnsi="STIXTwoText-Italic" w:cs="STIXTwoText"/>
          <w:color w:val="000000" w:themeColor="text1"/>
          <w:kern w:val="0"/>
          <w:sz w:val="14"/>
          <w:szCs w:val="14"/>
        </w:rPr>
      </w:pPr>
      <w:r w:rsidRPr="00E658D2">
        <w:rPr>
          <w:rFonts w:ascii="STIXTwoText" w:hAnsi="STIXTwoText-Italic" w:cs="STIXTwoText"/>
          <w:color w:val="000000" w:themeColor="text1"/>
          <w:kern w:val="0"/>
          <w:sz w:val="14"/>
          <w:szCs w:val="14"/>
        </w:rPr>
        <w:br w:type="page"/>
      </w:r>
    </w:p>
    <w:p w14:paraId="7FB6A8AD" w14:textId="77777777" w:rsidR="009904B2" w:rsidRPr="00E658D2" w:rsidRDefault="009904B2" w:rsidP="009904B2">
      <w:pPr>
        <w:jc w:val="both"/>
        <w:rPr>
          <w:rFonts w:asciiTheme="majorBidi" w:hAnsiTheme="majorBidi" w:cstheme="majorBidi"/>
          <w:color w:val="000000" w:themeColor="text1"/>
          <w:sz w:val="24"/>
          <w:szCs w:val="24"/>
          <w:lang w:bidi="fa-IR"/>
        </w:rPr>
      </w:pPr>
      <w:r w:rsidRPr="00E658D2">
        <w:rPr>
          <w:rFonts w:asciiTheme="majorBidi" w:hAnsiTheme="majorBidi" w:cstheme="majorBidi"/>
          <w:color w:val="000000" w:themeColor="text1"/>
          <w:sz w:val="24"/>
          <w:szCs w:val="24"/>
        </w:rPr>
        <w:lastRenderedPageBreak/>
        <w:t xml:space="preserve">Tabe 3: </w:t>
      </w:r>
      <w:r w:rsidRPr="00E658D2">
        <w:rPr>
          <w:rFonts w:asciiTheme="majorBidi" w:hAnsiTheme="majorBidi" w:cstheme="majorBidi"/>
          <w:color w:val="000000" w:themeColor="text1"/>
          <w:sz w:val="24"/>
          <w:szCs w:val="24"/>
          <w:lang w:bidi="fa-IR"/>
        </w:rPr>
        <w:t xml:space="preserve"> Frequency of proceeding events in different stages of MRONJ </w:t>
      </w:r>
    </w:p>
    <w:tbl>
      <w:tblPr>
        <w:tblStyle w:val="PlainTable2"/>
        <w:bidiVisual/>
        <w:tblW w:w="10416" w:type="dxa"/>
        <w:jc w:val="right"/>
        <w:tblLayout w:type="fixed"/>
        <w:tblLook w:val="04A0" w:firstRow="1" w:lastRow="0" w:firstColumn="1" w:lastColumn="0" w:noHBand="0" w:noVBand="1"/>
      </w:tblPr>
      <w:tblGrid>
        <w:gridCol w:w="780"/>
        <w:gridCol w:w="1393"/>
        <w:gridCol w:w="1675"/>
        <w:gridCol w:w="1260"/>
        <w:gridCol w:w="1440"/>
        <w:gridCol w:w="1435"/>
        <w:gridCol w:w="2433"/>
      </w:tblGrid>
      <w:tr w:rsidR="009904B2" w:rsidRPr="00E658D2" w14:paraId="11F49B94" w14:textId="77777777" w:rsidTr="00F55CE4">
        <w:trPr>
          <w:cnfStyle w:val="100000000000" w:firstRow="1" w:lastRow="0" w:firstColumn="0" w:lastColumn="0" w:oddVBand="0" w:evenVBand="0" w:oddHBand="0" w:evenHBand="0" w:firstRowFirstColumn="0" w:firstRowLastColumn="0" w:lastRowFirstColumn="0" w:lastRowLastColumn="0"/>
          <w:trHeight w:val="279"/>
          <w:jc w:val="right"/>
        </w:trPr>
        <w:tc>
          <w:tcPr>
            <w:cnfStyle w:val="001000000000" w:firstRow="0" w:lastRow="0" w:firstColumn="1" w:lastColumn="0" w:oddVBand="0" w:evenVBand="0" w:oddHBand="0" w:evenHBand="0" w:firstRowFirstColumn="0" w:firstRowLastColumn="0" w:lastRowFirstColumn="0" w:lastRowLastColumn="0"/>
            <w:tcW w:w="780" w:type="dxa"/>
          </w:tcPr>
          <w:p w14:paraId="1D71E59E" w14:textId="77777777" w:rsidR="009904B2" w:rsidRPr="00E658D2" w:rsidRDefault="009904B2" w:rsidP="00F55CE4">
            <w:pPr>
              <w:jc w:val="both"/>
              <w:rPr>
                <w:rFonts w:asciiTheme="majorBidi" w:hAnsiTheme="majorBidi" w:cstheme="majorBidi"/>
                <w:color w:val="000000" w:themeColor="text1"/>
                <w:sz w:val="24"/>
                <w:szCs w:val="24"/>
              </w:rPr>
            </w:pPr>
          </w:p>
        </w:tc>
        <w:tc>
          <w:tcPr>
            <w:tcW w:w="1393" w:type="dxa"/>
          </w:tcPr>
          <w:p w14:paraId="3582A01D"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p>
        </w:tc>
        <w:tc>
          <w:tcPr>
            <w:tcW w:w="5810" w:type="dxa"/>
            <w:gridSpan w:val="4"/>
          </w:tcPr>
          <w:p w14:paraId="6F453779"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MRONJ stages</w:t>
            </w:r>
          </w:p>
        </w:tc>
        <w:tc>
          <w:tcPr>
            <w:tcW w:w="2433" w:type="dxa"/>
            <w:noWrap/>
          </w:tcPr>
          <w:p w14:paraId="4D6E0CF9"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p>
        </w:tc>
      </w:tr>
      <w:tr w:rsidR="009904B2" w:rsidRPr="00E658D2" w14:paraId="44A5633B" w14:textId="77777777" w:rsidTr="00F55CE4">
        <w:trPr>
          <w:cnfStyle w:val="000000100000" w:firstRow="0" w:lastRow="0" w:firstColumn="0" w:lastColumn="0" w:oddVBand="0" w:evenVBand="0" w:oddHBand="1" w:evenHBand="0" w:firstRowFirstColumn="0" w:firstRowLastColumn="0" w:lastRowFirstColumn="0" w:lastRowLastColumn="0"/>
          <w:trHeight w:val="279"/>
          <w:jc w:val="right"/>
        </w:trPr>
        <w:tc>
          <w:tcPr>
            <w:cnfStyle w:val="001000000000" w:firstRow="0" w:lastRow="0" w:firstColumn="1" w:lastColumn="0" w:oddVBand="0" w:evenVBand="0" w:oddHBand="0" w:evenHBand="0" w:firstRowFirstColumn="0" w:firstRowLastColumn="0" w:lastRowFirstColumn="0" w:lastRowLastColumn="0"/>
            <w:tcW w:w="780" w:type="dxa"/>
          </w:tcPr>
          <w:p w14:paraId="70013E8D" w14:textId="77777777" w:rsidR="009904B2" w:rsidRPr="00E658D2" w:rsidRDefault="009904B2" w:rsidP="00F55CE4">
            <w:pPr>
              <w:jc w:val="both"/>
              <w:rPr>
                <w:rFonts w:asciiTheme="majorBidi" w:hAnsiTheme="majorBidi" w:cstheme="majorBidi"/>
                <w:b w:val="0"/>
                <w:bCs w:val="0"/>
                <w:color w:val="000000" w:themeColor="text1"/>
                <w:sz w:val="24"/>
                <w:szCs w:val="24"/>
              </w:rPr>
            </w:pPr>
            <w:r w:rsidRPr="00E658D2">
              <w:rPr>
                <w:rFonts w:asciiTheme="majorBidi" w:hAnsiTheme="majorBidi" w:cstheme="majorBidi"/>
                <w:color w:val="000000" w:themeColor="text1"/>
                <w:sz w:val="24"/>
                <w:szCs w:val="24"/>
              </w:rPr>
              <w:t>P-value</w:t>
            </w:r>
          </w:p>
        </w:tc>
        <w:tc>
          <w:tcPr>
            <w:tcW w:w="1393" w:type="dxa"/>
          </w:tcPr>
          <w:p w14:paraId="7AC9937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total</w:t>
            </w:r>
          </w:p>
        </w:tc>
        <w:tc>
          <w:tcPr>
            <w:tcW w:w="1675" w:type="dxa"/>
          </w:tcPr>
          <w:p w14:paraId="222C34B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 xml:space="preserve">Stage 3 </w:t>
            </w:r>
          </w:p>
        </w:tc>
        <w:tc>
          <w:tcPr>
            <w:tcW w:w="1260" w:type="dxa"/>
          </w:tcPr>
          <w:p w14:paraId="14F0537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 xml:space="preserve">Stage 2 </w:t>
            </w:r>
          </w:p>
        </w:tc>
        <w:tc>
          <w:tcPr>
            <w:tcW w:w="1440" w:type="dxa"/>
            <w:noWrap/>
          </w:tcPr>
          <w:p w14:paraId="62BF9C8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 xml:space="preserve">Stage 1 </w:t>
            </w:r>
          </w:p>
        </w:tc>
        <w:tc>
          <w:tcPr>
            <w:tcW w:w="1435" w:type="dxa"/>
            <w:noWrap/>
          </w:tcPr>
          <w:p w14:paraId="6BE5CBA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Stage 0</w:t>
            </w:r>
          </w:p>
        </w:tc>
        <w:tc>
          <w:tcPr>
            <w:tcW w:w="2433" w:type="dxa"/>
            <w:noWrap/>
          </w:tcPr>
          <w:p w14:paraId="69C1A35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p>
        </w:tc>
      </w:tr>
      <w:tr w:rsidR="009904B2" w:rsidRPr="00E658D2" w14:paraId="278476FE" w14:textId="77777777" w:rsidTr="00F55CE4">
        <w:trPr>
          <w:trHeight w:val="464"/>
          <w:jc w:val="right"/>
        </w:trPr>
        <w:tc>
          <w:tcPr>
            <w:cnfStyle w:val="001000000000" w:firstRow="0" w:lastRow="0" w:firstColumn="1" w:lastColumn="0" w:oddVBand="0" w:evenVBand="0" w:oddHBand="0" w:evenHBand="0" w:firstRowFirstColumn="0" w:firstRowLastColumn="0" w:lastRowFirstColumn="0" w:lastRowLastColumn="0"/>
            <w:tcW w:w="780" w:type="dxa"/>
            <w:vMerge w:val="restart"/>
          </w:tcPr>
          <w:p w14:paraId="17DCA19B" w14:textId="77777777" w:rsidR="009904B2" w:rsidRPr="00E658D2" w:rsidRDefault="009904B2" w:rsidP="00F55CE4">
            <w:pPr>
              <w:jc w:val="both"/>
              <w:rPr>
                <w:rFonts w:asciiTheme="majorBidi" w:hAnsiTheme="majorBidi" w:cstheme="majorBidi"/>
                <w:b w:val="0"/>
                <w:bCs w:val="0"/>
                <w:color w:val="000000" w:themeColor="text1"/>
                <w:sz w:val="24"/>
                <w:szCs w:val="24"/>
              </w:rPr>
            </w:pPr>
            <w:r w:rsidRPr="00E658D2">
              <w:rPr>
                <w:rFonts w:asciiTheme="majorBidi" w:hAnsiTheme="majorBidi" w:cstheme="majorBidi"/>
                <w:b w:val="0"/>
                <w:bCs w:val="0"/>
                <w:color w:val="000000" w:themeColor="text1"/>
                <w:sz w:val="24"/>
                <w:szCs w:val="24"/>
              </w:rPr>
              <w:t>0.15</w:t>
            </w:r>
          </w:p>
        </w:tc>
        <w:tc>
          <w:tcPr>
            <w:tcW w:w="1393" w:type="dxa"/>
          </w:tcPr>
          <w:p w14:paraId="0630829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32(100%)</w:t>
            </w:r>
          </w:p>
        </w:tc>
        <w:tc>
          <w:tcPr>
            <w:tcW w:w="1675" w:type="dxa"/>
          </w:tcPr>
          <w:p w14:paraId="0E0F899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12(37.5%)</w:t>
            </w:r>
          </w:p>
        </w:tc>
        <w:tc>
          <w:tcPr>
            <w:tcW w:w="1260" w:type="dxa"/>
          </w:tcPr>
          <w:p w14:paraId="051D52E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14(43.8%)</w:t>
            </w:r>
          </w:p>
        </w:tc>
        <w:tc>
          <w:tcPr>
            <w:tcW w:w="1440" w:type="dxa"/>
            <w:noWrap/>
          </w:tcPr>
          <w:p w14:paraId="5102FA0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4(12.5%)</w:t>
            </w:r>
          </w:p>
        </w:tc>
        <w:tc>
          <w:tcPr>
            <w:tcW w:w="1435" w:type="dxa"/>
            <w:noWrap/>
          </w:tcPr>
          <w:p w14:paraId="7A3DE32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2 (6.3%)</w:t>
            </w:r>
          </w:p>
        </w:tc>
        <w:tc>
          <w:tcPr>
            <w:tcW w:w="2433" w:type="dxa"/>
            <w:noWrap/>
          </w:tcPr>
          <w:p w14:paraId="333F8956"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4"/>
                <w:szCs w:val="24"/>
              </w:rPr>
            </w:pPr>
            <w:r w:rsidRPr="00E658D2">
              <w:rPr>
                <w:rFonts w:asciiTheme="majorBidi" w:hAnsiTheme="majorBidi" w:cstheme="majorBidi"/>
                <w:b/>
                <w:bCs/>
                <w:color w:val="000000" w:themeColor="text1"/>
                <w:sz w:val="24"/>
                <w:szCs w:val="24"/>
              </w:rPr>
              <w:t>Extraction</w:t>
            </w:r>
          </w:p>
        </w:tc>
      </w:tr>
      <w:tr w:rsidR="009904B2" w:rsidRPr="00E658D2" w14:paraId="4806C1C1" w14:textId="77777777" w:rsidTr="00F55CE4">
        <w:trPr>
          <w:cnfStyle w:val="000000100000" w:firstRow="0" w:lastRow="0" w:firstColumn="0" w:lastColumn="0" w:oddVBand="0" w:evenVBand="0" w:oddHBand="1" w:evenHBand="0" w:firstRowFirstColumn="0" w:firstRowLastColumn="0" w:lastRowFirstColumn="0" w:lastRowLastColumn="0"/>
          <w:trHeight w:val="464"/>
          <w:jc w:val="right"/>
        </w:trPr>
        <w:tc>
          <w:tcPr>
            <w:cnfStyle w:val="001000000000" w:firstRow="0" w:lastRow="0" w:firstColumn="1" w:lastColumn="0" w:oddVBand="0" w:evenVBand="0" w:oddHBand="0" w:evenHBand="0" w:firstRowFirstColumn="0" w:firstRowLastColumn="0" w:lastRowFirstColumn="0" w:lastRowLastColumn="0"/>
            <w:tcW w:w="780" w:type="dxa"/>
            <w:vMerge/>
          </w:tcPr>
          <w:p w14:paraId="1FD5C471" w14:textId="77777777" w:rsidR="009904B2" w:rsidRPr="00E658D2" w:rsidRDefault="009904B2" w:rsidP="00F55CE4">
            <w:pPr>
              <w:jc w:val="both"/>
              <w:rPr>
                <w:rFonts w:asciiTheme="majorBidi" w:hAnsiTheme="majorBidi" w:cstheme="majorBidi"/>
                <w:b w:val="0"/>
                <w:bCs w:val="0"/>
                <w:color w:val="000000" w:themeColor="text1"/>
                <w:sz w:val="24"/>
                <w:szCs w:val="24"/>
              </w:rPr>
            </w:pPr>
          </w:p>
        </w:tc>
        <w:tc>
          <w:tcPr>
            <w:tcW w:w="1393" w:type="dxa"/>
          </w:tcPr>
          <w:p w14:paraId="66DDF88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10(100%)</w:t>
            </w:r>
          </w:p>
        </w:tc>
        <w:tc>
          <w:tcPr>
            <w:tcW w:w="1675" w:type="dxa"/>
          </w:tcPr>
          <w:p w14:paraId="6C94D00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2(20 %)</w:t>
            </w:r>
          </w:p>
        </w:tc>
        <w:tc>
          <w:tcPr>
            <w:tcW w:w="1260" w:type="dxa"/>
          </w:tcPr>
          <w:p w14:paraId="23FC723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4(40 %)</w:t>
            </w:r>
          </w:p>
        </w:tc>
        <w:tc>
          <w:tcPr>
            <w:tcW w:w="1440" w:type="dxa"/>
            <w:noWrap/>
          </w:tcPr>
          <w:p w14:paraId="26B7205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3(30 %)</w:t>
            </w:r>
          </w:p>
        </w:tc>
        <w:tc>
          <w:tcPr>
            <w:tcW w:w="1435" w:type="dxa"/>
            <w:noWrap/>
          </w:tcPr>
          <w:p w14:paraId="5A61954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1(10%)</w:t>
            </w:r>
          </w:p>
        </w:tc>
        <w:tc>
          <w:tcPr>
            <w:tcW w:w="2433" w:type="dxa"/>
            <w:noWrap/>
          </w:tcPr>
          <w:p w14:paraId="6CA9C56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24"/>
                <w:szCs w:val="24"/>
              </w:rPr>
            </w:pPr>
            <w:r w:rsidRPr="00E658D2">
              <w:rPr>
                <w:rFonts w:asciiTheme="majorBidi" w:hAnsiTheme="majorBidi" w:cstheme="majorBidi"/>
                <w:b/>
                <w:bCs/>
                <w:color w:val="000000" w:themeColor="text1"/>
                <w:sz w:val="24"/>
                <w:szCs w:val="24"/>
              </w:rPr>
              <w:t xml:space="preserve">Ill-fit denture </w:t>
            </w:r>
          </w:p>
        </w:tc>
      </w:tr>
      <w:tr w:rsidR="009904B2" w:rsidRPr="00E658D2" w14:paraId="42CA300B" w14:textId="77777777" w:rsidTr="00F55CE4">
        <w:trPr>
          <w:trHeight w:val="464"/>
          <w:jc w:val="right"/>
        </w:trPr>
        <w:tc>
          <w:tcPr>
            <w:cnfStyle w:val="001000000000" w:firstRow="0" w:lastRow="0" w:firstColumn="1" w:lastColumn="0" w:oddVBand="0" w:evenVBand="0" w:oddHBand="0" w:evenHBand="0" w:firstRowFirstColumn="0" w:firstRowLastColumn="0" w:lastRowFirstColumn="0" w:lastRowLastColumn="0"/>
            <w:tcW w:w="780" w:type="dxa"/>
            <w:vMerge/>
          </w:tcPr>
          <w:p w14:paraId="4643F1F0" w14:textId="77777777" w:rsidR="009904B2" w:rsidRPr="00E658D2" w:rsidRDefault="009904B2" w:rsidP="00F55CE4">
            <w:pPr>
              <w:jc w:val="both"/>
              <w:rPr>
                <w:rFonts w:asciiTheme="majorBidi" w:hAnsiTheme="majorBidi" w:cstheme="majorBidi"/>
                <w:b w:val="0"/>
                <w:bCs w:val="0"/>
                <w:color w:val="000000" w:themeColor="text1"/>
                <w:sz w:val="24"/>
                <w:szCs w:val="24"/>
                <w:rtl/>
              </w:rPr>
            </w:pPr>
          </w:p>
        </w:tc>
        <w:tc>
          <w:tcPr>
            <w:tcW w:w="1393" w:type="dxa"/>
          </w:tcPr>
          <w:p w14:paraId="37A5627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rPr>
            </w:pPr>
            <w:r w:rsidRPr="00E658D2">
              <w:rPr>
                <w:rFonts w:asciiTheme="majorBidi" w:hAnsiTheme="majorBidi" w:cstheme="majorBidi"/>
                <w:color w:val="000000" w:themeColor="text1"/>
                <w:sz w:val="24"/>
                <w:szCs w:val="24"/>
              </w:rPr>
              <w:t>1(100 %)</w:t>
            </w:r>
          </w:p>
        </w:tc>
        <w:tc>
          <w:tcPr>
            <w:tcW w:w="1675" w:type="dxa"/>
          </w:tcPr>
          <w:p w14:paraId="5EBE9C9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1(100 %)</w:t>
            </w:r>
          </w:p>
        </w:tc>
        <w:tc>
          <w:tcPr>
            <w:tcW w:w="1260" w:type="dxa"/>
          </w:tcPr>
          <w:p w14:paraId="5189F2EB"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0(0 %)</w:t>
            </w:r>
          </w:p>
        </w:tc>
        <w:tc>
          <w:tcPr>
            <w:tcW w:w="1440" w:type="dxa"/>
            <w:noWrap/>
          </w:tcPr>
          <w:p w14:paraId="343905B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0(0 %)</w:t>
            </w:r>
          </w:p>
        </w:tc>
        <w:tc>
          <w:tcPr>
            <w:tcW w:w="1435" w:type="dxa"/>
            <w:noWrap/>
          </w:tcPr>
          <w:p w14:paraId="0A9C863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0(0 %)</w:t>
            </w:r>
          </w:p>
        </w:tc>
        <w:tc>
          <w:tcPr>
            <w:tcW w:w="2433" w:type="dxa"/>
            <w:noWrap/>
          </w:tcPr>
          <w:p w14:paraId="31D490F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4"/>
                <w:szCs w:val="24"/>
              </w:rPr>
            </w:pPr>
            <w:r w:rsidRPr="00E658D2">
              <w:rPr>
                <w:rFonts w:asciiTheme="majorBidi" w:hAnsiTheme="majorBidi" w:cstheme="majorBidi"/>
                <w:b/>
                <w:bCs/>
                <w:color w:val="000000" w:themeColor="text1"/>
                <w:sz w:val="24"/>
                <w:szCs w:val="24"/>
              </w:rPr>
              <w:t>Other surgeries</w:t>
            </w:r>
          </w:p>
        </w:tc>
      </w:tr>
      <w:tr w:rsidR="009904B2" w:rsidRPr="00E658D2" w14:paraId="2F603C93" w14:textId="77777777" w:rsidTr="00F55CE4">
        <w:trPr>
          <w:cnfStyle w:val="000000100000" w:firstRow="0" w:lastRow="0" w:firstColumn="0" w:lastColumn="0" w:oddVBand="0" w:evenVBand="0" w:oddHBand="1" w:evenHBand="0" w:firstRowFirstColumn="0" w:firstRowLastColumn="0" w:lastRowFirstColumn="0" w:lastRowLastColumn="0"/>
          <w:trHeight w:val="464"/>
          <w:jc w:val="right"/>
        </w:trPr>
        <w:tc>
          <w:tcPr>
            <w:cnfStyle w:val="001000000000" w:firstRow="0" w:lastRow="0" w:firstColumn="1" w:lastColumn="0" w:oddVBand="0" w:evenVBand="0" w:oddHBand="0" w:evenHBand="0" w:firstRowFirstColumn="0" w:firstRowLastColumn="0" w:lastRowFirstColumn="0" w:lastRowLastColumn="0"/>
            <w:tcW w:w="780" w:type="dxa"/>
            <w:vMerge/>
          </w:tcPr>
          <w:p w14:paraId="61A1E771" w14:textId="77777777" w:rsidR="009904B2" w:rsidRPr="00E658D2" w:rsidRDefault="009904B2" w:rsidP="00F55CE4">
            <w:pPr>
              <w:jc w:val="both"/>
              <w:rPr>
                <w:rFonts w:asciiTheme="majorBidi" w:hAnsiTheme="majorBidi" w:cstheme="majorBidi"/>
                <w:b w:val="0"/>
                <w:bCs w:val="0"/>
                <w:color w:val="000000" w:themeColor="text1"/>
                <w:sz w:val="24"/>
                <w:szCs w:val="24"/>
              </w:rPr>
            </w:pPr>
          </w:p>
        </w:tc>
        <w:tc>
          <w:tcPr>
            <w:tcW w:w="1393" w:type="dxa"/>
          </w:tcPr>
          <w:p w14:paraId="1B38C4E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16(100%)</w:t>
            </w:r>
          </w:p>
        </w:tc>
        <w:tc>
          <w:tcPr>
            <w:tcW w:w="1675" w:type="dxa"/>
          </w:tcPr>
          <w:p w14:paraId="6BE6862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0(0%)</w:t>
            </w:r>
          </w:p>
        </w:tc>
        <w:tc>
          <w:tcPr>
            <w:tcW w:w="1260" w:type="dxa"/>
          </w:tcPr>
          <w:p w14:paraId="05B5041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6(37.5%)</w:t>
            </w:r>
          </w:p>
        </w:tc>
        <w:tc>
          <w:tcPr>
            <w:tcW w:w="1440" w:type="dxa"/>
            <w:noWrap/>
          </w:tcPr>
          <w:p w14:paraId="0C69FD1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3 (18.75%)</w:t>
            </w:r>
          </w:p>
        </w:tc>
        <w:tc>
          <w:tcPr>
            <w:tcW w:w="1435" w:type="dxa"/>
            <w:noWrap/>
          </w:tcPr>
          <w:p w14:paraId="591EE09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7(43.75%)</w:t>
            </w:r>
          </w:p>
        </w:tc>
        <w:tc>
          <w:tcPr>
            <w:tcW w:w="2433" w:type="dxa"/>
            <w:noWrap/>
          </w:tcPr>
          <w:p w14:paraId="109B42D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24"/>
                <w:szCs w:val="24"/>
              </w:rPr>
            </w:pPr>
            <w:r w:rsidRPr="00E658D2">
              <w:rPr>
                <w:rFonts w:asciiTheme="majorBidi" w:hAnsiTheme="majorBidi" w:cstheme="majorBidi"/>
                <w:b/>
                <w:bCs/>
                <w:color w:val="000000" w:themeColor="text1"/>
                <w:sz w:val="24"/>
                <w:szCs w:val="24"/>
              </w:rPr>
              <w:t>Spontaneous (no intervention)</w:t>
            </w:r>
          </w:p>
        </w:tc>
      </w:tr>
      <w:tr w:rsidR="009904B2" w:rsidRPr="00E658D2" w14:paraId="7C2B0A68" w14:textId="77777777" w:rsidTr="00F55CE4">
        <w:trPr>
          <w:trHeight w:val="464"/>
          <w:jc w:val="right"/>
        </w:trPr>
        <w:tc>
          <w:tcPr>
            <w:cnfStyle w:val="001000000000" w:firstRow="0" w:lastRow="0" w:firstColumn="1" w:lastColumn="0" w:oddVBand="0" w:evenVBand="0" w:oddHBand="0" w:evenHBand="0" w:firstRowFirstColumn="0" w:firstRowLastColumn="0" w:lastRowFirstColumn="0" w:lastRowLastColumn="0"/>
            <w:tcW w:w="780" w:type="dxa"/>
            <w:vMerge/>
          </w:tcPr>
          <w:p w14:paraId="1A00A0A8" w14:textId="77777777" w:rsidR="009904B2" w:rsidRPr="00E658D2" w:rsidRDefault="009904B2" w:rsidP="00F55CE4">
            <w:pPr>
              <w:jc w:val="both"/>
              <w:rPr>
                <w:rFonts w:asciiTheme="majorBidi" w:hAnsiTheme="majorBidi" w:cstheme="majorBidi"/>
                <w:b w:val="0"/>
                <w:bCs w:val="0"/>
                <w:color w:val="000000" w:themeColor="text1"/>
                <w:sz w:val="24"/>
                <w:szCs w:val="24"/>
              </w:rPr>
            </w:pPr>
          </w:p>
        </w:tc>
        <w:tc>
          <w:tcPr>
            <w:tcW w:w="1393" w:type="dxa"/>
          </w:tcPr>
          <w:p w14:paraId="25200AE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7(100%)</w:t>
            </w:r>
          </w:p>
        </w:tc>
        <w:tc>
          <w:tcPr>
            <w:tcW w:w="1675" w:type="dxa"/>
          </w:tcPr>
          <w:p w14:paraId="594FDAE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rPr>
            </w:pPr>
            <w:r w:rsidRPr="00E658D2">
              <w:rPr>
                <w:rFonts w:asciiTheme="majorBidi" w:hAnsiTheme="majorBidi" w:cstheme="majorBidi"/>
                <w:color w:val="000000" w:themeColor="text1"/>
                <w:sz w:val="24"/>
                <w:szCs w:val="24"/>
              </w:rPr>
              <w:t>0(0%)</w:t>
            </w:r>
          </w:p>
        </w:tc>
        <w:tc>
          <w:tcPr>
            <w:tcW w:w="1260" w:type="dxa"/>
          </w:tcPr>
          <w:p w14:paraId="678E6BB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rPr>
            </w:pPr>
            <w:r w:rsidRPr="00E658D2">
              <w:rPr>
                <w:rFonts w:asciiTheme="majorBidi" w:hAnsiTheme="majorBidi" w:cstheme="majorBidi"/>
                <w:color w:val="000000" w:themeColor="text1"/>
                <w:sz w:val="24"/>
                <w:szCs w:val="24"/>
              </w:rPr>
              <w:t>3(42.9%)</w:t>
            </w:r>
          </w:p>
        </w:tc>
        <w:tc>
          <w:tcPr>
            <w:tcW w:w="1440" w:type="dxa"/>
            <w:noWrap/>
          </w:tcPr>
          <w:p w14:paraId="5DC85A5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rPr>
            </w:pPr>
            <w:r w:rsidRPr="00E658D2">
              <w:rPr>
                <w:rFonts w:asciiTheme="majorBidi" w:hAnsiTheme="majorBidi" w:cstheme="majorBidi"/>
                <w:color w:val="000000" w:themeColor="text1"/>
                <w:sz w:val="24"/>
                <w:szCs w:val="24"/>
              </w:rPr>
              <w:t>3(42.9%)</w:t>
            </w:r>
          </w:p>
        </w:tc>
        <w:tc>
          <w:tcPr>
            <w:tcW w:w="1435" w:type="dxa"/>
            <w:noWrap/>
          </w:tcPr>
          <w:p w14:paraId="6A3DF71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rPr>
            </w:pPr>
            <w:r w:rsidRPr="00E658D2">
              <w:rPr>
                <w:rFonts w:asciiTheme="majorBidi" w:hAnsiTheme="majorBidi" w:cstheme="majorBidi"/>
                <w:color w:val="000000" w:themeColor="text1"/>
                <w:sz w:val="24"/>
                <w:szCs w:val="24"/>
              </w:rPr>
              <w:t>1(14.3%)</w:t>
            </w:r>
          </w:p>
        </w:tc>
        <w:tc>
          <w:tcPr>
            <w:tcW w:w="2433" w:type="dxa"/>
            <w:noWrap/>
          </w:tcPr>
          <w:p w14:paraId="663E395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4"/>
                <w:szCs w:val="24"/>
                <w:rtl/>
              </w:rPr>
            </w:pPr>
            <w:r w:rsidRPr="00E658D2">
              <w:rPr>
                <w:rFonts w:asciiTheme="majorBidi" w:hAnsiTheme="majorBidi" w:cstheme="majorBidi"/>
                <w:b/>
                <w:bCs/>
                <w:color w:val="000000" w:themeColor="text1"/>
                <w:sz w:val="24"/>
                <w:szCs w:val="24"/>
              </w:rPr>
              <w:t xml:space="preserve">Periodontal problems </w:t>
            </w:r>
          </w:p>
        </w:tc>
      </w:tr>
      <w:tr w:rsidR="009904B2" w:rsidRPr="00E658D2" w14:paraId="0B5E9583" w14:textId="77777777" w:rsidTr="00F55CE4">
        <w:trPr>
          <w:cnfStyle w:val="000000100000" w:firstRow="0" w:lastRow="0" w:firstColumn="0" w:lastColumn="0" w:oddVBand="0" w:evenVBand="0" w:oddHBand="1" w:evenHBand="0" w:firstRowFirstColumn="0" w:firstRowLastColumn="0" w:lastRowFirstColumn="0" w:lastRowLastColumn="0"/>
          <w:trHeight w:val="464"/>
          <w:jc w:val="right"/>
        </w:trPr>
        <w:tc>
          <w:tcPr>
            <w:cnfStyle w:val="001000000000" w:firstRow="0" w:lastRow="0" w:firstColumn="1" w:lastColumn="0" w:oddVBand="0" w:evenVBand="0" w:oddHBand="0" w:evenHBand="0" w:firstRowFirstColumn="0" w:firstRowLastColumn="0" w:lastRowFirstColumn="0" w:lastRowLastColumn="0"/>
            <w:tcW w:w="780" w:type="dxa"/>
          </w:tcPr>
          <w:p w14:paraId="1A3B3A62" w14:textId="77777777" w:rsidR="009904B2" w:rsidRPr="00E658D2" w:rsidRDefault="009904B2" w:rsidP="00F55CE4">
            <w:pPr>
              <w:jc w:val="both"/>
              <w:rPr>
                <w:rFonts w:asciiTheme="majorBidi" w:hAnsiTheme="majorBidi" w:cstheme="majorBidi"/>
                <w:b w:val="0"/>
                <w:bCs w:val="0"/>
                <w:color w:val="000000" w:themeColor="text1"/>
                <w:sz w:val="24"/>
                <w:szCs w:val="24"/>
              </w:rPr>
            </w:pPr>
          </w:p>
        </w:tc>
        <w:tc>
          <w:tcPr>
            <w:tcW w:w="1393" w:type="dxa"/>
          </w:tcPr>
          <w:p w14:paraId="6D3B8C2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12(100%)</w:t>
            </w:r>
          </w:p>
        </w:tc>
        <w:tc>
          <w:tcPr>
            <w:tcW w:w="1675" w:type="dxa"/>
          </w:tcPr>
          <w:p w14:paraId="207CAA1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7(58.3%)</w:t>
            </w:r>
          </w:p>
        </w:tc>
        <w:tc>
          <w:tcPr>
            <w:tcW w:w="1260" w:type="dxa"/>
          </w:tcPr>
          <w:p w14:paraId="6996A40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rPr>
            </w:pPr>
            <w:r w:rsidRPr="00E658D2">
              <w:rPr>
                <w:rFonts w:asciiTheme="majorBidi" w:hAnsiTheme="majorBidi" w:cstheme="majorBidi"/>
                <w:color w:val="000000" w:themeColor="text1"/>
                <w:sz w:val="24"/>
                <w:szCs w:val="24"/>
              </w:rPr>
              <w:t>3(25.0%)</w:t>
            </w:r>
          </w:p>
        </w:tc>
        <w:tc>
          <w:tcPr>
            <w:tcW w:w="1440" w:type="dxa"/>
            <w:noWrap/>
          </w:tcPr>
          <w:p w14:paraId="5320632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rPr>
            </w:pPr>
            <w:r w:rsidRPr="00E658D2">
              <w:rPr>
                <w:rFonts w:asciiTheme="majorBidi" w:hAnsiTheme="majorBidi" w:cstheme="majorBidi"/>
                <w:color w:val="000000" w:themeColor="text1"/>
                <w:sz w:val="24"/>
                <w:szCs w:val="24"/>
              </w:rPr>
              <w:t>1(8.3%)</w:t>
            </w:r>
          </w:p>
        </w:tc>
        <w:tc>
          <w:tcPr>
            <w:tcW w:w="1435" w:type="dxa"/>
            <w:noWrap/>
          </w:tcPr>
          <w:p w14:paraId="1C89E17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rPr>
            </w:pPr>
            <w:r w:rsidRPr="00E658D2">
              <w:rPr>
                <w:rFonts w:asciiTheme="majorBidi" w:hAnsiTheme="majorBidi" w:cstheme="majorBidi"/>
                <w:color w:val="000000" w:themeColor="text1"/>
                <w:sz w:val="24"/>
                <w:szCs w:val="24"/>
              </w:rPr>
              <w:t>1(8.3%)</w:t>
            </w:r>
          </w:p>
        </w:tc>
        <w:tc>
          <w:tcPr>
            <w:tcW w:w="2433" w:type="dxa"/>
            <w:noWrap/>
          </w:tcPr>
          <w:p w14:paraId="709B281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24"/>
                <w:szCs w:val="24"/>
              </w:rPr>
            </w:pPr>
            <w:r w:rsidRPr="00E658D2">
              <w:rPr>
                <w:rFonts w:asciiTheme="majorBidi" w:hAnsiTheme="majorBidi" w:cstheme="majorBidi"/>
                <w:b/>
                <w:bCs/>
                <w:color w:val="000000" w:themeColor="text1"/>
                <w:sz w:val="24"/>
                <w:szCs w:val="24"/>
              </w:rPr>
              <w:t>Multiple events</w:t>
            </w:r>
          </w:p>
        </w:tc>
      </w:tr>
    </w:tbl>
    <w:p w14:paraId="469A8640" w14:textId="77777777" w:rsidR="009904B2" w:rsidRPr="00E658D2" w:rsidRDefault="009904B2" w:rsidP="009904B2">
      <w:pPr>
        <w:jc w:val="both"/>
        <w:rPr>
          <w:rFonts w:asciiTheme="majorBidi" w:hAnsiTheme="majorBidi" w:cstheme="majorBidi"/>
          <w:color w:val="000000" w:themeColor="text1"/>
          <w:sz w:val="24"/>
          <w:szCs w:val="24"/>
        </w:rPr>
      </w:pPr>
    </w:p>
    <w:p w14:paraId="311D1FEA" w14:textId="77777777" w:rsidR="009904B2" w:rsidRPr="00E658D2" w:rsidRDefault="009904B2" w:rsidP="009904B2">
      <w:pPr>
        <w:rPr>
          <w:rFonts w:ascii="STIXTwoText" w:hAnsi="STIXTwoText-Italic" w:cs="STIXTwoText"/>
          <w:color w:val="000000" w:themeColor="text1"/>
          <w:kern w:val="0"/>
          <w:sz w:val="14"/>
          <w:szCs w:val="14"/>
        </w:rPr>
      </w:pPr>
      <w:r w:rsidRPr="00E658D2">
        <w:rPr>
          <w:rFonts w:ascii="STIXTwoText" w:hAnsi="STIXTwoText-Italic" w:cs="STIXTwoText"/>
          <w:color w:val="000000" w:themeColor="text1"/>
          <w:kern w:val="0"/>
          <w:sz w:val="14"/>
          <w:szCs w:val="14"/>
        </w:rPr>
        <w:br w:type="page"/>
      </w:r>
    </w:p>
    <w:p w14:paraId="455E259B" w14:textId="77777777" w:rsidR="009904B2" w:rsidRPr="00E658D2" w:rsidRDefault="009904B2" w:rsidP="009904B2">
      <w:pPr>
        <w:jc w:val="both"/>
        <w:rPr>
          <w:rFonts w:asciiTheme="majorBidi" w:hAnsiTheme="majorBidi" w:cstheme="majorBidi"/>
          <w:color w:val="000000" w:themeColor="text1"/>
          <w:kern w:val="0"/>
          <w:sz w:val="24"/>
          <w:szCs w:val="24"/>
        </w:rPr>
      </w:pPr>
      <w:r w:rsidRPr="00E658D2">
        <w:rPr>
          <w:rFonts w:asciiTheme="majorBidi" w:hAnsiTheme="majorBidi" w:cstheme="majorBidi"/>
          <w:color w:val="000000" w:themeColor="text1"/>
          <w:kern w:val="0"/>
          <w:sz w:val="24"/>
          <w:szCs w:val="24"/>
        </w:rPr>
        <w:lastRenderedPageBreak/>
        <w:t xml:space="preserve">Table 4: MRONJ-related Medications(MRMs)’ information in study groups: </w:t>
      </w:r>
    </w:p>
    <w:p w14:paraId="47D57DBB" w14:textId="77777777" w:rsidR="009904B2" w:rsidRPr="00E658D2" w:rsidRDefault="009904B2" w:rsidP="009904B2">
      <w:pPr>
        <w:jc w:val="both"/>
        <w:rPr>
          <w:rFonts w:asciiTheme="majorBidi" w:hAnsiTheme="majorBidi" w:cstheme="majorBidi"/>
          <w:color w:val="000000" w:themeColor="text1"/>
          <w:sz w:val="24"/>
          <w:szCs w:val="24"/>
        </w:rPr>
      </w:pPr>
    </w:p>
    <w:tbl>
      <w:tblPr>
        <w:tblStyle w:val="PlainTable2"/>
        <w:tblpPr w:leftFromText="180" w:rightFromText="180" w:vertAnchor="text" w:horzAnchor="margin" w:tblpXSpec="center" w:tblpY="401"/>
        <w:tblW w:w="11070" w:type="dxa"/>
        <w:tblLook w:val="04A0" w:firstRow="1" w:lastRow="0" w:firstColumn="1" w:lastColumn="0" w:noHBand="0" w:noVBand="1"/>
      </w:tblPr>
      <w:tblGrid>
        <w:gridCol w:w="2158"/>
        <w:gridCol w:w="2967"/>
        <w:gridCol w:w="1530"/>
        <w:gridCol w:w="1889"/>
        <w:gridCol w:w="1440"/>
        <w:gridCol w:w="1086"/>
      </w:tblGrid>
      <w:tr w:rsidR="009904B2" w:rsidRPr="00E658D2" w14:paraId="447AF423" w14:textId="77777777" w:rsidTr="00F55C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tcPr>
          <w:p w14:paraId="64454147" w14:textId="77777777" w:rsidR="009904B2" w:rsidRPr="00E658D2" w:rsidRDefault="009904B2" w:rsidP="00F55CE4">
            <w:pPr>
              <w:jc w:val="both"/>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 xml:space="preserve">Medication information </w:t>
            </w:r>
          </w:p>
        </w:tc>
        <w:tc>
          <w:tcPr>
            <w:tcW w:w="2967" w:type="dxa"/>
          </w:tcPr>
          <w:p w14:paraId="4FE63289"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c>
          <w:tcPr>
            <w:tcW w:w="1530" w:type="dxa"/>
          </w:tcPr>
          <w:p w14:paraId="4D2D8145"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MRONJ group</w:t>
            </w:r>
          </w:p>
        </w:tc>
        <w:tc>
          <w:tcPr>
            <w:tcW w:w="1889" w:type="dxa"/>
          </w:tcPr>
          <w:p w14:paraId="65C50330"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At-risk group</w:t>
            </w:r>
          </w:p>
        </w:tc>
        <w:tc>
          <w:tcPr>
            <w:tcW w:w="1440" w:type="dxa"/>
          </w:tcPr>
          <w:p w14:paraId="52184172"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total</w:t>
            </w:r>
          </w:p>
        </w:tc>
        <w:tc>
          <w:tcPr>
            <w:tcW w:w="1086" w:type="dxa"/>
          </w:tcPr>
          <w:p w14:paraId="079399AB"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P value</w:t>
            </w:r>
            <w:r w:rsidRPr="00E658D2">
              <w:rPr>
                <w:rFonts w:asciiTheme="majorBidi" w:hAnsiTheme="majorBidi" w:cstheme="majorBidi"/>
                <w:color w:val="000000" w:themeColor="text1"/>
                <w:kern w:val="0"/>
                <w:sz w:val="24"/>
                <w:szCs w:val="24"/>
                <w:vertAlign w:val="superscript"/>
                <w:lang w:bidi="fa-IR"/>
                <w14:ligatures w14:val="none"/>
              </w:rPr>
              <w:t>*</w:t>
            </w:r>
          </w:p>
        </w:tc>
      </w:tr>
      <w:tr w:rsidR="009904B2" w:rsidRPr="00E658D2" w14:paraId="5ABA7F1D"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val="restart"/>
          </w:tcPr>
          <w:p w14:paraId="3BF4B357" w14:textId="77777777" w:rsidR="009904B2" w:rsidRPr="00E658D2" w:rsidRDefault="009904B2" w:rsidP="00F55CE4">
            <w:pPr>
              <w:jc w:val="both"/>
              <w:rPr>
                <w:rFonts w:asciiTheme="majorBidi" w:hAnsiTheme="majorBidi" w:cstheme="majorBidi"/>
                <w:color w:val="000000" w:themeColor="text1"/>
                <w:kern w:val="0"/>
                <w:sz w:val="24"/>
                <w:szCs w:val="24"/>
                <w:rtl/>
                <w:lang w:bidi="fa-IR"/>
                <w14:ligatures w14:val="none"/>
              </w:rPr>
            </w:pPr>
            <w:r w:rsidRPr="00E658D2">
              <w:rPr>
                <w:rFonts w:asciiTheme="majorBidi" w:hAnsiTheme="majorBidi" w:cstheme="majorBidi"/>
                <w:color w:val="000000" w:themeColor="text1"/>
                <w:kern w:val="0"/>
                <w:sz w:val="24"/>
                <w:szCs w:val="24"/>
                <w:lang w:bidi="fa-IR"/>
                <w14:ligatures w14:val="none"/>
              </w:rPr>
              <w:t>Pharmacotherapy regimen</w:t>
            </w:r>
          </w:p>
        </w:tc>
        <w:tc>
          <w:tcPr>
            <w:tcW w:w="2967" w:type="dxa"/>
          </w:tcPr>
          <w:p w14:paraId="3590D52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Mono therapy</w:t>
            </w:r>
          </w:p>
        </w:tc>
        <w:tc>
          <w:tcPr>
            <w:tcW w:w="1530" w:type="dxa"/>
          </w:tcPr>
          <w:p w14:paraId="104E8DD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67(43.20%)</w:t>
            </w:r>
          </w:p>
        </w:tc>
        <w:tc>
          <w:tcPr>
            <w:tcW w:w="1889" w:type="dxa"/>
          </w:tcPr>
          <w:p w14:paraId="30A3516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88(56.80%)</w:t>
            </w:r>
          </w:p>
        </w:tc>
        <w:tc>
          <w:tcPr>
            <w:tcW w:w="1440" w:type="dxa"/>
          </w:tcPr>
          <w:p w14:paraId="0477E63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155(100%)</w:t>
            </w:r>
          </w:p>
        </w:tc>
        <w:tc>
          <w:tcPr>
            <w:tcW w:w="1086" w:type="dxa"/>
            <w:vMerge w:val="restart"/>
          </w:tcPr>
          <w:p w14:paraId="06C8A6F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0.73</w:t>
            </w:r>
            <w:r w:rsidRPr="00E658D2">
              <w:rPr>
                <w:rFonts w:asciiTheme="majorBidi" w:hAnsiTheme="majorBidi" w:cstheme="majorBidi"/>
                <w:color w:val="000000" w:themeColor="text1"/>
                <w:kern w:val="0"/>
                <w:sz w:val="24"/>
                <w:szCs w:val="24"/>
                <w:vertAlign w:val="superscript"/>
                <w:lang w:bidi="fa-IR"/>
                <w14:ligatures w14:val="none"/>
              </w:rPr>
              <w:t>**</w:t>
            </w:r>
          </w:p>
        </w:tc>
      </w:tr>
      <w:tr w:rsidR="009904B2" w:rsidRPr="00E658D2" w14:paraId="56EDF7A4"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3FAB6183" w14:textId="77777777" w:rsidR="009904B2" w:rsidRPr="00E658D2" w:rsidRDefault="009904B2" w:rsidP="00F55CE4">
            <w:pPr>
              <w:jc w:val="both"/>
              <w:rPr>
                <w:rFonts w:asciiTheme="majorBidi" w:hAnsiTheme="majorBidi" w:cstheme="majorBidi"/>
                <w:color w:val="000000" w:themeColor="text1"/>
                <w:kern w:val="0"/>
                <w:sz w:val="24"/>
                <w:szCs w:val="24"/>
                <w:lang w:bidi="fa-IR"/>
                <w14:ligatures w14:val="none"/>
              </w:rPr>
            </w:pPr>
          </w:p>
        </w:tc>
        <w:tc>
          <w:tcPr>
            <w:tcW w:w="2967" w:type="dxa"/>
          </w:tcPr>
          <w:p w14:paraId="2CC8C09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Poly therapy</w:t>
            </w:r>
          </w:p>
        </w:tc>
        <w:tc>
          <w:tcPr>
            <w:tcW w:w="1530" w:type="dxa"/>
          </w:tcPr>
          <w:p w14:paraId="2C91778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9(47.40%)</w:t>
            </w:r>
          </w:p>
        </w:tc>
        <w:tc>
          <w:tcPr>
            <w:tcW w:w="1889" w:type="dxa"/>
          </w:tcPr>
          <w:p w14:paraId="63A3A75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10(52.60%)</w:t>
            </w:r>
          </w:p>
        </w:tc>
        <w:tc>
          <w:tcPr>
            <w:tcW w:w="1440" w:type="dxa"/>
          </w:tcPr>
          <w:p w14:paraId="1856EBD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19(100%)</w:t>
            </w:r>
          </w:p>
        </w:tc>
        <w:tc>
          <w:tcPr>
            <w:tcW w:w="1086" w:type="dxa"/>
            <w:vMerge/>
          </w:tcPr>
          <w:p w14:paraId="59A2D5B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633980F2"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val="restart"/>
          </w:tcPr>
          <w:p w14:paraId="02423BD4" w14:textId="77777777" w:rsidR="009904B2" w:rsidRPr="00E658D2" w:rsidRDefault="009904B2" w:rsidP="00F55CE4">
            <w:pPr>
              <w:jc w:val="both"/>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MRMs regimen</w:t>
            </w:r>
          </w:p>
        </w:tc>
        <w:tc>
          <w:tcPr>
            <w:tcW w:w="2967" w:type="dxa"/>
          </w:tcPr>
          <w:p w14:paraId="41FDE10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Zoledronic Acid</w:t>
            </w:r>
          </w:p>
        </w:tc>
        <w:tc>
          <w:tcPr>
            <w:tcW w:w="1530" w:type="dxa"/>
          </w:tcPr>
          <w:p w14:paraId="43AF699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49 (48.50%)</w:t>
            </w:r>
          </w:p>
        </w:tc>
        <w:tc>
          <w:tcPr>
            <w:tcW w:w="1889" w:type="dxa"/>
          </w:tcPr>
          <w:p w14:paraId="3B71D93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52 (51.50%)</w:t>
            </w:r>
          </w:p>
        </w:tc>
        <w:tc>
          <w:tcPr>
            <w:tcW w:w="1440" w:type="dxa"/>
          </w:tcPr>
          <w:p w14:paraId="19A6B7E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101 (100%)</w:t>
            </w:r>
          </w:p>
        </w:tc>
        <w:tc>
          <w:tcPr>
            <w:tcW w:w="1086" w:type="dxa"/>
            <w:vMerge w:val="restart"/>
          </w:tcPr>
          <w:p w14:paraId="2BEAA14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vertAlign w:val="superscript"/>
              </w:rPr>
              <w:t xml:space="preserve"> </w:t>
            </w:r>
            <w:r w:rsidRPr="00E658D2">
              <w:rPr>
                <w:rFonts w:asciiTheme="majorBidi" w:hAnsiTheme="majorBidi" w:cstheme="majorBidi"/>
                <w:color w:val="000000" w:themeColor="text1"/>
                <w:sz w:val="24"/>
                <w:szCs w:val="24"/>
              </w:rPr>
              <w:t>0.01</w:t>
            </w:r>
            <w:r w:rsidRPr="00E658D2">
              <w:rPr>
                <w:rFonts w:asciiTheme="majorBidi" w:hAnsiTheme="majorBidi" w:cstheme="majorBidi"/>
                <w:color w:val="000000" w:themeColor="text1"/>
                <w:sz w:val="24"/>
                <w:szCs w:val="24"/>
                <w:vertAlign w:val="superscript"/>
              </w:rPr>
              <w:t xml:space="preserve"> </w:t>
            </w:r>
            <w:r w:rsidRPr="00E658D2">
              <w:rPr>
                <w:rFonts w:asciiTheme="majorBidi" w:hAnsiTheme="majorBidi" w:cstheme="majorBidi"/>
                <w:color w:val="000000" w:themeColor="text1"/>
                <w:sz w:val="24"/>
                <w:szCs w:val="24"/>
                <w:vertAlign w:val="superscript"/>
                <w:rtl/>
              </w:rPr>
              <w:t>***</w:t>
            </w:r>
          </w:p>
        </w:tc>
      </w:tr>
      <w:tr w:rsidR="009904B2" w:rsidRPr="00E658D2" w14:paraId="7998BF93"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3014BC8D" w14:textId="77777777" w:rsidR="009904B2" w:rsidRPr="00E658D2" w:rsidRDefault="009904B2" w:rsidP="00F55CE4">
            <w:pPr>
              <w:jc w:val="both"/>
              <w:rPr>
                <w:rFonts w:asciiTheme="majorBidi" w:hAnsiTheme="majorBidi" w:cstheme="majorBidi"/>
                <w:color w:val="000000" w:themeColor="text1"/>
                <w:kern w:val="0"/>
                <w:sz w:val="24"/>
                <w:szCs w:val="24"/>
                <w:lang w:bidi="fa-IR"/>
                <w14:ligatures w14:val="none"/>
              </w:rPr>
            </w:pPr>
          </w:p>
        </w:tc>
        <w:tc>
          <w:tcPr>
            <w:tcW w:w="2967" w:type="dxa"/>
          </w:tcPr>
          <w:p w14:paraId="269231A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shd w:val="clear" w:color="auto" w:fill="FFFFFF"/>
              </w:rPr>
              <w:t>Denosumab </w:t>
            </w:r>
          </w:p>
        </w:tc>
        <w:tc>
          <w:tcPr>
            <w:tcW w:w="1530" w:type="dxa"/>
          </w:tcPr>
          <w:p w14:paraId="5186E77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12 (44.40%)</w:t>
            </w:r>
          </w:p>
        </w:tc>
        <w:tc>
          <w:tcPr>
            <w:tcW w:w="1889" w:type="dxa"/>
          </w:tcPr>
          <w:p w14:paraId="3F6ADBB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15 (55.60%)</w:t>
            </w:r>
          </w:p>
        </w:tc>
        <w:tc>
          <w:tcPr>
            <w:tcW w:w="1440" w:type="dxa"/>
          </w:tcPr>
          <w:p w14:paraId="017B84E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27 (100%)</w:t>
            </w:r>
          </w:p>
        </w:tc>
        <w:tc>
          <w:tcPr>
            <w:tcW w:w="1086" w:type="dxa"/>
            <w:vMerge/>
          </w:tcPr>
          <w:p w14:paraId="7AA7273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6582D5A9"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tcPr>
          <w:p w14:paraId="73FA582B" w14:textId="77777777" w:rsidR="009904B2" w:rsidRPr="00E658D2" w:rsidRDefault="009904B2" w:rsidP="00F55CE4">
            <w:pPr>
              <w:jc w:val="both"/>
              <w:rPr>
                <w:rFonts w:asciiTheme="majorBidi" w:hAnsiTheme="majorBidi" w:cstheme="majorBidi"/>
                <w:color w:val="000000" w:themeColor="text1"/>
                <w:kern w:val="0"/>
                <w:sz w:val="24"/>
                <w:szCs w:val="24"/>
                <w:lang w:bidi="fa-IR"/>
                <w14:ligatures w14:val="none"/>
              </w:rPr>
            </w:pPr>
          </w:p>
        </w:tc>
        <w:tc>
          <w:tcPr>
            <w:tcW w:w="2967" w:type="dxa"/>
          </w:tcPr>
          <w:p w14:paraId="66156DD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Alendronate</w:t>
            </w:r>
          </w:p>
        </w:tc>
        <w:tc>
          <w:tcPr>
            <w:tcW w:w="1530" w:type="dxa"/>
          </w:tcPr>
          <w:p w14:paraId="5F24CE6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5(22.70%)</w:t>
            </w:r>
          </w:p>
        </w:tc>
        <w:tc>
          <w:tcPr>
            <w:tcW w:w="1889" w:type="dxa"/>
          </w:tcPr>
          <w:p w14:paraId="220FA08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17(77.30%)</w:t>
            </w:r>
          </w:p>
        </w:tc>
        <w:tc>
          <w:tcPr>
            <w:tcW w:w="1440" w:type="dxa"/>
          </w:tcPr>
          <w:p w14:paraId="4C8D799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22 (100%)</w:t>
            </w:r>
          </w:p>
        </w:tc>
        <w:tc>
          <w:tcPr>
            <w:tcW w:w="1086" w:type="dxa"/>
            <w:vMerge/>
          </w:tcPr>
          <w:p w14:paraId="6A7D571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7FF7EC63"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674B9919" w14:textId="77777777" w:rsidR="009904B2" w:rsidRPr="00E658D2" w:rsidRDefault="009904B2" w:rsidP="00F55CE4">
            <w:pPr>
              <w:jc w:val="both"/>
              <w:rPr>
                <w:rFonts w:asciiTheme="majorBidi" w:hAnsiTheme="majorBidi" w:cstheme="majorBidi"/>
                <w:color w:val="000000" w:themeColor="text1"/>
                <w:kern w:val="0"/>
                <w:sz w:val="24"/>
                <w:szCs w:val="24"/>
                <w:lang w:bidi="fa-IR"/>
                <w14:ligatures w14:val="none"/>
              </w:rPr>
            </w:pPr>
          </w:p>
        </w:tc>
        <w:tc>
          <w:tcPr>
            <w:tcW w:w="2967" w:type="dxa"/>
          </w:tcPr>
          <w:p w14:paraId="5A3D32B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shd w:val="clear" w:color="auto" w:fill="FFFFFF"/>
              </w:rPr>
              <w:t>Bevacizumab </w:t>
            </w:r>
          </w:p>
        </w:tc>
        <w:tc>
          <w:tcPr>
            <w:tcW w:w="1530" w:type="dxa"/>
          </w:tcPr>
          <w:p w14:paraId="78CF802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0 (0%)</w:t>
            </w:r>
          </w:p>
        </w:tc>
        <w:tc>
          <w:tcPr>
            <w:tcW w:w="1889" w:type="dxa"/>
          </w:tcPr>
          <w:p w14:paraId="4B73502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 (100%)</w:t>
            </w:r>
          </w:p>
        </w:tc>
        <w:tc>
          <w:tcPr>
            <w:tcW w:w="1440" w:type="dxa"/>
          </w:tcPr>
          <w:p w14:paraId="21D78E4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 (100%)</w:t>
            </w:r>
          </w:p>
        </w:tc>
        <w:tc>
          <w:tcPr>
            <w:tcW w:w="1086" w:type="dxa"/>
            <w:vMerge/>
          </w:tcPr>
          <w:p w14:paraId="657977DB"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68121D6F"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tcPr>
          <w:p w14:paraId="65349E61" w14:textId="77777777" w:rsidR="009904B2" w:rsidRPr="00E658D2" w:rsidRDefault="009904B2" w:rsidP="00F55CE4">
            <w:pPr>
              <w:jc w:val="both"/>
              <w:rPr>
                <w:rFonts w:asciiTheme="majorBidi" w:hAnsiTheme="majorBidi" w:cstheme="majorBidi"/>
                <w:color w:val="000000" w:themeColor="text1"/>
                <w:kern w:val="0"/>
                <w:sz w:val="24"/>
                <w:szCs w:val="24"/>
                <w:lang w:bidi="fa-IR"/>
                <w14:ligatures w14:val="none"/>
              </w:rPr>
            </w:pPr>
          </w:p>
        </w:tc>
        <w:tc>
          <w:tcPr>
            <w:tcW w:w="2967" w:type="dxa"/>
          </w:tcPr>
          <w:p w14:paraId="2EACD85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ocrelizumab</w:t>
            </w:r>
          </w:p>
        </w:tc>
        <w:tc>
          <w:tcPr>
            <w:tcW w:w="1530" w:type="dxa"/>
          </w:tcPr>
          <w:p w14:paraId="37F53B8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1 (33.3%)</w:t>
            </w:r>
          </w:p>
        </w:tc>
        <w:tc>
          <w:tcPr>
            <w:tcW w:w="1889" w:type="dxa"/>
          </w:tcPr>
          <w:p w14:paraId="55FA934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2 (66.6%)</w:t>
            </w:r>
          </w:p>
        </w:tc>
        <w:tc>
          <w:tcPr>
            <w:tcW w:w="1440" w:type="dxa"/>
          </w:tcPr>
          <w:p w14:paraId="08F0B25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3 (100%)</w:t>
            </w:r>
          </w:p>
        </w:tc>
        <w:tc>
          <w:tcPr>
            <w:tcW w:w="1086" w:type="dxa"/>
            <w:vMerge/>
          </w:tcPr>
          <w:p w14:paraId="14F7234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74D734C6"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1A000AB6" w14:textId="77777777" w:rsidR="009904B2" w:rsidRPr="00E658D2" w:rsidRDefault="009904B2" w:rsidP="00F55CE4">
            <w:pPr>
              <w:jc w:val="both"/>
              <w:rPr>
                <w:rFonts w:asciiTheme="majorBidi" w:hAnsiTheme="majorBidi" w:cstheme="majorBidi"/>
                <w:color w:val="000000" w:themeColor="text1"/>
                <w:kern w:val="0"/>
                <w:sz w:val="24"/>
                <w:szCs w:val="24"/>
                <w:lang w:bidi="fa-IR"/>
                <w14:ligatures w14:val="none"/>
              </w:rPr>
            </w:pPr>
          </w:p>
        </w:tc>
        <w:tc>
          <w:tcPr>
            <w:tcW w:w="2967" w:type="dxa"/>
          </w:tcPr>
          <w:p w14:paraId="0EA7A45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others</w:t>
            </w:r>
          </w:p>
        </w:tc>
        <w:tc>
          <w:tcPr>
            <w:tcW w:w="1530" w:type="dxa"/>
          </w:tcPr>
          <w:p w14:paraId="505938C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0 (0%)</w:t>
            </w:r>
          </w:p>
        </w:tc>
        <w:tc>
          <w:tcPr>
            <w:tcW w:w="1889" w:type="dxa"/>
          </w:tcPr>
          <w:p w14:paraId="09E3546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2 (100%)</w:t>
            </w:r>
          </w:p>
        </w:tc>
        <w:tc>
          <w:tcPr>
            <w:tcW w:w="1440" w:type="dxa"/>
          </w:tcPr>
          <w:p w14:paraId="712AAD4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2 (100%)</w:t>
            </w:r>
          </w:p>
        </w:tc>
        <w:tc>
          <w:tcPr>
            <w:tcW w:w="1086" w:type="dxa"/>
            <w:vMerge/>
          </w:tcPr>
          <w:p w14:paraId="0D46EBF8"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1F585090"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tcPr>
          <w:p w14:paraId="7F108C28" w14:textId="77777777" w:rsidR="009904B2" w:rsidRPr="00E658D2" w:rsidRDefault="009904B2" w:rsidP="00F55CE4">
            <w:pPr>
              <w:jc w:val="both"/>
              <w:rPr>
                <w:rFonts w:asciiTheme="majorBidi" w:hAnsiTheme="majorBidi" w:cstheme="majorBidi"/>
                <w:color w:val="000000" w:themeColor="text1"/>
                <w:kern w:val="0"/>
                <w:sz w:val="24"/>
                <w:szCs w:val="24"/>
                <w:lang w:bidi="fa-IR"/>
                <w14:ligatures w14:val="none"/>
              </w:rPr>
            </w:pPr>
          </w:p>
        </w:tc>
        <w:tc>
          <w:tcPr>
            <w:tcW w:w="2967" w:type="dxa"/>
          </w:tcPr>
          <w:p w14:paraId="38DDE10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unknown</w:t>
            </w:r>
          </w:p>
        </w:tc>
        <w:tc>
          <w:tcPr>
            <w:tcW w:w="1530" w:type="dxa"/>
          </w:tcPr>
          <w:p w14:paraId="330EA52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2 (10.50%)</w:t>
            </w:r>
          </w:p>
        </w:tc>
        <w:tc>
          <w:tcPr>
            <w:tcW w:w="1889" w:type="dxa"/>
          </w:tcPr>
          <w:p w14:paraId="53E3B52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17 (89.50%)</w:t>
            </w:r>
          </w:p>
        </w:tc>
        <w:tc>
          <w:tcPr>
            <w:tcW w:w="1440" w:type="dxa"/>
          </w:tcPr>
          <w:p w14:paraId="61AA1C3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19 (100%)</w:t>
            </w:r>
          </w:p>
        </w:tc>
        <w:tc>
          <w:tcPr>
            <w:tcW w:w="1086" w:type="dxa"/>
            <w:vMerge/>
          </w:tcPr>
          <w:p w14:paraId="5608816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55B2A005"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1A17747D" w14:textId="77777777" w:rsidR="009904B2" w:rsidRPr="00E658D2" w:rsidRDefault="009904B2" w:rsidP="00F55CE4">
            <w:pPr>
              <w:jc w:val="both"/>
              <w:rPr>
                <w:rFonts w:asciiTheme="majorBidi" w:hAnsiTheme="majorBidi" w:cstheme="majorBidi"/>
                <w:color w:val="000000" w:themeColor="text1"/>
                <w:kern w:val="0"/>
                <w:sz w:val="24"/>
                <w:szCs w:val="24"/>
                <w:lang w:bidi="fa-IR"/>
                <w14:ligatures w14:val="none"/>
              </w:rPr>
            </w:pPr>
          </w:p>
        </w:tc>
        <w:tc>
          <w:tcPr>
            <w:tcW w:w="2967" w:type="dxa"/>
          </w:tcPr>
          <w:p w14:paraId="10DCA08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 xml:space="preserve">More than one drug </w:t>
            </w:r>
          </w:p>
        </w:tc>
        <w:tc>
          <w:tcPr>
            <w:tcW w:w="1530" w:type="dxa"/>
          </w:tcPr>
          <w:p w14:paraId="7B07089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9 (50%)</w:t>
            </w:r>
          </w:p>
        </w:tc>
        <w:tc>
          <w:tcPr>
            <w:tcW w:w="1889" w:type="dxa"/>
          </w:tcPr>
          <w:p w14:paraId="57E1C03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9 (50%)</w:t>
            </w:r>
          </w:p>
        </w:tc>
        <w:tc>
          <w:tcPr>
            <w:tcW w:w="1440" w:type="dxa"/>
          </w:tcPr>
          <w:p w14:paraId="0A97770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18 (100%)</w:t>
            </w:r>
          </w:p>
        </w:tc>
        <w:tc>
          <w:tcPr>
            <w:tcW w:w="1086" w:type="dxa"/>
            <w:vMerge/>
          </w:tcPr>
          <w:p w14:paraId="6FBD8C0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144599D1"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val="restart"/>
          </w:tcPr>
          <w:p w14:paraId="40B1BCCD" w14:textId="77777777" w:rsidR="009904B2" w:rsidRPr="00E658D2" w:rsidRDefault="009904B2" w:rsidP="00F55CE4">
            <w:pPr>
              <w:jc w:val="both"/>
              <w:rPr>
                <w:rFonts w:asciiTheme="majorBidi" w:hAnsiTheme="majorBidi" w:cstheme="majorBidi"/>
                <w:color w:val="000000" w:themeColor="text1"/>
                <w:sz w:val="24"/>
                <w:szCs w:val="24"/>
                <w:rtl/>
              </w:rPr>
            </w:pPr>
            <w:r w:rsidRPr="00E658D2">
              <w:rPr>
                <w:rFonts w:asciiTheme="majorBidi" w:hAnsiTheme="majorBidi" w:cstheme="majorBidi"/>
                <w:color w:val="000000" w:themeColor="text1"/>
                <w:sz w:val="24"/>
                <w:szCs w:val="24"/>
              </w:rPr>
              <w:t xml:space="preserve">Poly therapy regimen </w:t>
            </w:r>
          </w:p>
        </w:tc>
        <w:tc>
          <w:tcPr>
            <w:tcW w:w="2967" w:type="dxa"/>
          </w:tcPr>
          <w:p w14:paraId="7DA4EE4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 xml:space="preserve">Zoledronic Acid plus </w:t>
            </w:r>
          </w:p>
          <w:p w14:paraId="3B55B93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shd w:val="clear" w:color="auto" w:fill="FFFFFF"/>
              </w:rPr>
              <w:t>Denosumab </w:t>
            </w:r>
          </w:p>
        </w:tc>
        <w:tc>
          <w:tcPr>
            <w:tcW w:w="1530" w:type="dxa"/>
          </w:tcPr>
          <w:p w14:paraId="62AE447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p>
          <w:p w14:paraId="5285AE3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6 (75%)</w:t>
            </w:r>
          </w:p>
        </w:tc>
        <w:tc>
          <w:tcPr>
            <w:tcW w:w="1889" w:type="dxa"/>
          </w:tcPr>
          <w:p w14:paraId="6D79997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p>
          <w:p w14:paraId="6D02805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 xml:space="preserve">2 (25%) </w:t>
            </w:r>
          </w:p>
        </w:tc>
        <w:tc>
          <w:tcPr>
            <w:tcW w:w="1440" w:type="dxa"/>
          </w:tcPr>
          <w:p w14:paraId="1402765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p>
          <w:p w14:paraId="3D823D9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8 (100%)</w:t>
            </w:r>
          </w:p>
        </w:tc>
        <w:tc>
          <w:tcPr>
            <w:tcW w:w="1086" w:type="dxa"/>
            <w:vMerge w:val="restart"/>
          </w:tcPr>
          <w:p w14:paraId="4880E7B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 xml:space="preserve">0.36 </w:t>
            </w:r>
            <w:r w:rsidRPr="00E658D2">
              <w:rPr>
                <w:rFonts w:asciiTheme="majorBidi" w:hAnsiTheme="majorBidi" w:cstheme="majorBidi"/>
                <w:color w:val="000000" w:themeColor="text1"/>
                <w:kern w:val="0"/>
                <w:sz w:val="24"/>
                <w:szCs w:val="24"/>
                <w:vertAlign w:val="superscript"/>
                <w:lang w:bidi="fa-IR"/>
                <w14:ligatures w14:val="none"/>
              </w:rPr>
              <w:t>***</w:t>
            </w:r>
          </w:p>
        </w:tc>
      </w:tr>
      <w:tr w:rsidR="009904B2" w:rsidRPr="00E658D2" w14:paraId="766E963F"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4D2AADF5" w14:textId="77777777" w:rsidR="009904B2" w:rsidRPr="00E658D2" w:rsidRDefault="009904B2" w:rsidP="00F55CE4">
            <w:pPr>
              <w:jc w:val="both"/>
              <w:rPr>
                <w:rFonts w:asciiTheme="majorBidi" w:hAnsiTheme="majorBidi" w:cstheme="majorBidi"/>
                <w:color w:val="000000" w:themeColor="text1"/>
                <w:sz w:val="24"/>
                <w:szCs w:val="24"/>
                <w:rtl/>
              </w:rPr>
            </w:pPr>
          </w:p>
        </w:tc>
        <w:tc>
          <w:tcPr>
            <w:tcW w:w="2967" w:type="dxa"/>
          </w:tcPr>
          <w:p w14:paraId="7960715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 xml:space="preserve">Zoledronic Acid plus </w:t>
            </w:r>
          </w:p>
          <w:p w14:paraId="03E8C836"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kern w:val="0"/>
                <w:sz w:val="24"/>
                <w:szCs w:val="24"/>
                <w:lang w:bidi="fa-IR"/>
                <w14:ligatures w14:val="none"/>
              </w:rPr>
              <w:t>Alendronate</w:t>
            </w:r>
          </w:p>
        </w:tc>
        <w:tc>
          <w:tcPr>
            <w:tcW w:w="1530" w:type="dxa"/>
          </w:tcPr>
          <w:p w14:paraId="14557CB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 (25%)</w:t>
            </w:r>
          </w:p>
        </w:tc>
        <w:tc>
          <w:tcPr>
            <w:tcW w:w="1889" w:type="dxa"/>
          </w:tcPr>
          <w:p w14:paraId="2E9D20D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p>
          <w:p w14:paraId="5D0194B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3 (75%)</w:t>
            </w:r>
          </w:p>
        </w:tc>
        <w:tc>
          <w:tcPr>
            <w:tcW w:w="1440" w:type="dxa"/>
          </w:tcPr>
          <w:p w14:paraId="20B35506"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4 (100%)</w:t>
            </w:r>
          </w:p>
        </w:tc>
        <w:tc>
          <w:tcPr>
            <w:tcW w:w="1086" w:type="dxa"/>
            <w:vMerge/>
          </w:tcPr>
          <w:p w14:paraId="1AD19C8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0E25B8EF"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tcPr>
          <w:p w14:paraId="0B86D95D" w14:textId="77777777" w:rsidR="009904B2" w:rsidRPr="00E658D2" w:rsidRDefault="009904B2" w:rsidP="00F55CE4">
            <w:pPr>
              <w:jc w:val="both"/>
              <w:rPr>
                <w:rFonts w:asciiTheme="majorBidi" w:hAnsiTheme="majorBidi" w:cstheme="majorBidi"/>
                <w:color w:val="000000" w:themeColor="text1"/>
                <w:sz w:val="24"/>
                <w:szCs w:val="24"/>
                <w:rtl/>
              </w:rPr>
            </w:pPr>
          </w:p>
        </w:tc>
        <w:tc>
          <w:tcPr>
            <w:tcW w:w="2967" w:type="dxa"/>
          </w:tcPr>
          <w:p w14:paraId="4F4D7C9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shd w:val="clear" w:color="auto" w:fill="FFFFFF"/>
              </w:rPr>
              <w:t>Denosumab </w:t>
            </w:r>
          </w:p>
          <w:p w14:paraId="6AB22C8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plus</w:t>
            </w:r>
          </w:p>
          <w:p w14:paraId="50626E2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kern w:val="0"/>
                <w:sz w:val="24"/>
                <w:szCs w:val="24"/>
                <w:lang w:bidi="fa-IR"/>
                <w14:ligatures w14:val="none"/>
              </w:rPr>
              <w:t>Alendronate</w:t>
            </w:r>
          </w:p>
        </w:tc>
        <w:tc>
          <w:tcPr>
            <w:tcW w:w="1530" w:type="dxa"/>
          </w:tcPr>
          <w:p w14:paraId="6B2818A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 (25%)</w:t>
            </w:r>
          </w:p>
        </w:tc>
        <w:tc>
          <w:tcPr>
            <w:tcW w:w="1889" w:type="dxa"/>
          </w:tcPr>
          <w:p w14:paraId="7C473DC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p>
          <w:p w14:paraId="541AA7A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3 (75%)</w:t>
            </w:r>
          </w:p>
        </w:tc>
        <w:tc>
          <w:tcPr>
            <w:tcW w:w="1440" w:type="dxa"/>
          </w:tcPr>
          <w:p w14:paraId="1D9F9FB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4 (100%)</w:t>
            </w:r>
          </w:p>
        </w:tc>
        <w:tc>
          <w:tcPr>
            <w:tcW w:w="1086" w:type="dxa"/>
            <w:vMerge/>
          </w:tcPr>
          <w:p w14:paraId="0FBE2F3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34E6C600"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58345089" w14:textId="77777777" w:rsidR="009904B2" w:rsidRPr="00E658D2" w:rsidRDefault="009904B2" w:rsidP="00F55CE4">
            <w:pPr>
              <w:jc w:val="both"/>
              <w:rPr>
                <w:rFonts w:asciiTheme="majorBidi" w:hAnsiTheme="majorBidi" w:cstheme="majorBidi"/>
                <w:color w:val="000000" w:themeColor="text1"/>
                <w:sz w:val="24"/>
                <w:szCs w:val="24"/>
                <w:rtl/>
              </w:rPr>
            </w:pPr>
          </w:p>
        </w:tc>
        <w:tc>
          <w:tcPr>
            <w:tcW w:w="2967" w:type="dxa"/>
          </w:tcPr>
          <w:p w14:paraId="6A027BF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Other polytherapy regimens</w:t>
            </w:r>
          </w:p>
        </w:tc>
        <w:tc>
          <w:tcPr>
            <w:tcW w:w="1530" w:type="dxa"/>
          </w:tcPr>
          <w:p w14:paraId="7C59ED7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 (50%)</w:t>
            </w:r>
          </w:p>
        </w:tc>
        <w:tc>
          <w:tcPr>
            <w:tcW w:w="1889" w:type="dxa"/>
          </w:tcPr>
          <w:p w14:paraId="20F90146"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p>
          <w:p w14:paraId="0BB28FB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1 (50%)</w:t>
            </w:r>
          </w:p>
        </w:tc>
        <w:tc>
          <w:tcPr>
            <w:tcW w:w="1440" w:type="dxa"/>
          </w:tcPr>
          <w:p w14:paraId="5C3FCBD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2 (100%)</w:t>
            </w:r>
          </w:p>
        </w:tc>
        <w:tc>
          <w:tcPr>
            <w:tcW w:w="1086" w:type="dxa"/>
            <w:vMerge/>
          </w:tcPr>
          <w:p w14:paraId="167C2D6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6F6F5F57"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val="restart"/>
          </w:tcPr>
          <w:p w14:paraId="1446B1F7" w14:textId="77777777" w:rsidR="009904B2" w:rsidRPr="00E658D2" w:rsidRDefault="009904B2" w:rsidP="00F55CE4">
            <w:pPr>
              <w:jc w:val="both"/>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Route of administration</w:t>
            </w:r>
          </w:p>
        </w:tc>
        <w:tc>
          <w:tcPr>
            <w:tcW w:w="2967" w:type="dxa"/>
          </w:tcPr>
          <w:p w14:paraId="7725FA8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 xml:space="preserve">Parenteral </w:t>
            </w:r>
          </w:p>
        </w:tc>
        <w:tc>
          <w:tcPr>
            <w:tcW w:w="1530" w:type="dxa"/>
          </w:tcPr>
          <w:p w14:paraId="0709679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66 (45.20%)</w:t>
            </w:r>
          </w:p>
        </w:tc>
        <w:tc>
          <w:tcPr>
            <w:tcW w:w="1889" w:type="dxa"/>
          </w:tcPr>
          <w:p w14:paraId="0ED89FA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80 (54.80%)</w:t>
            </w:r>
          </w:p>
        </w:tc>
        <w:tc>
          <w:tcPr>
            <w:tcW w:w="1440" w:type="dxa"/>
          </w:tcPr>
          <w:p w14:paraId="27722E5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146 (100%)</w:t>
            </w:r>
          </w:p>
        </w:tc>
        <w:tc>
          <w:tcPr>
            <w:tcW w:w="1086" w:type="dxa"/>
            <w:vMerge w:val="restart"/>
          </w:tcPr>
          <w:p w14:paraId="6268F44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0.15</w:t>
            </w:r>
            <w:r w:rsidRPr="00E658D2">
              <w:rPr>
                <w:rFonts w:asciiTheme="majorBidi" w:hAnsiTheme="majorBidi" w:cstheme="majorBidi"/>
                <w:color w:val="000000" w:themeColor="text1"/>
                <w:kern w:val="0"/>
                <w:sz w:val="24"/>
                <w:szCs w:val="24"/>
                <w:vertAlign w:val="superscript"/>
                <w:lang w:bidi="fa-IR"/>
                <w14:ligatures w14:val="none"/>
              </w:rPr>
              <w:t>***</w:t>
            </w:r>
          </w:p>
        </w:tc>
      </w:tr>
      <w:tr w:rsidR="009904B2" w:rsidRPr="00E658D2" w14:paraId="5A23AAFE"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1EA984DE" w14:textId="77777777" w:rsidR="009904B2" w:rsidRPr="00E658D2" w:rsidRDefault="009904B2" w:rsidP="00F55CE4">
            <w:pPr>
              <w:jc w:val="both"/>
              <w:rPr>
                <w:rFonts w:asciiTheme="majorBidi" w:hAnsiTheme="majorBidi" w:cstheme="majorBidi"/>
                <w:color w:val="000000" w:themeColor="text1"/>
                <w:sz w:val="24"/>
                <w:szCs w:val="24"/>
              </w:rPr>
            </w:pPr>
          </w:p>
        </w:tc>
        <w:tc>
          <w:tcPr>
            <w:tcW w:w="2967" w:type="dxa"/>
          </w:tcPr>
          <w:p w14:paraId="685B00A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 xml:space="preserve">Oral </w:t>
            </w:r>
          </w:p>
        </w:tc>
        <w:tc>
          <w:tcPr>
            <w:tcW w:w="1530" w:type="dxa"/>
          </w:tcPr>
          <w:p w14:paraId="0634F5D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8 (27.6%)</w:t>
            </w:r>
          </w:p>
        </w:tc>
        <w:tc>
          <w:tcPr>
            <w:tcW w:w="1889" w:type="dxa"/>
          </w:tcPr>
          <w:p w14:paraId="38C8E80B"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21 (72.4%)</w:t>
            </w:r>
          </w:p>
        </w:tc>
        <w:tc>
          <w:tcPr>
            <w:tcW w:w="1440" w:type="dxa"/>
          </w:tcPr>
          <w:p w14:paraId="0E7AAFC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29 (100%)</w:t>
            </w:r>
          </w:p>
        </w:tc>
        <w:tc>
          <w:tcPr>
            <w:tcW w:w="1086" w:type="dxa"/>
            <w:vMerge/>
          </w:tcPr>
          <w:p w14:paraId="13B677E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501BE3C4"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tcPr>
          <w:p w14:paraId="2563C1B2" w14:textId="77777777" w:rsidR="009904B2" w:rsidRPr="00E658D2" w:rsidRDefault="009904B2" w:rsidP="00F55CE4">
            <w:pPr>
              <w:jc w:val="both"/>
              <w:rPr>
                <w:rFonts w:asciiTheme="majorBidi" w:hAnsiTheme="majorBidi" w:cstheme="majorBidi"/>
                <w:color w:val="000000" w:themeColor="text1"/>
                <w:sz w:val="24"/>
                <w:szCs w:val="24"/>
                <w:rtl/>
              </w:rPr>
            </w:pPr>
          </w:p>
        </w:tc>
        <w:tc>
          <w:tcPr>
            <w:tcW w:w="2967" w:type="dxa"/>
          </w:tcPr>
          <w:p w14:paraId="7F0A80F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 xml:space="preserve">Parenteral and oral </w:t>
            </w:r>
          </w:p>
        </w:tc>
        <w:tc>
          <w:tcPr>
            <w:tcW w:w="1530" w:type="dxa"/>
          </w:tcPr>
          <w:p w14:paraId="5102392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4 (57.10%)</w:t>
            </w:r>
          </w:p>
        </w:tc>
        <w:tc>
          <w:tcPr>
            <w:tcW w:w="1889" w:type="dxa"/>
          </w:tcPr>
          <w:p w14:paraId="5D577AA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3 (42.9%)</w:t>
            </w:r>
          </w:p>
        </w:tc>
        <w:tc>
          <w:tcPr>
            <w:tcW w:w="1440" w:type="dxa"/>
          </w:tcPr>
          <w:p w14:paraId="0008A78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7 (100%)</w:t>
            </w:r>
          </w:p>
        </w:tc>
        <w:tc>
          <w:tcPr>
            <w:tcW w:w="1086" w:type="dxa"/>
            <w:vMerge/>
          </w:tcPr>
          <w:p w14:paraId="670F46C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72A819C1"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val="restart"/>
          </w:tcPr>
          <w:p w14:paraId="58FDADA5" w14:textId="77777777" w:rsidR="009904B2" w:rsidRPr="00E658D2" w:rsidRDefault="009904B2" w:rsidP="00F55CE4">
            <w:pPr>
              <w:jc w:val="both"/>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Dosing interval</w:t>
            </w:r>
          </w:p>
        </w:tc>
        <w:tc>
          <w:tcPr>
            <w:tcW w:w="2967" w:type="dxa"/>
          </w:tcPr>
          <w:p w14:paraId="16FB6BC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rPr>
              <w:t>Weekly</w:t>
            </w:r>
          </w:p>
        </w:tc>
        <w:tc>
          <w:tcPr>
            <w:tcW w:w="1530" w:type="dxa"/>
          </w:tcPr>
          <w:p w14:paraId="4663A80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10 (31.25%)</w:t>
            </w:r>
          </w:p>
        </w:tc>
        <w:tc>
          <w:tcPr>
            <w:tcW w:w="1889" w:type="dxa"/>
          </w:tcPr>
          <w:p w14:paraId="78313D5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21 ( 68.75%)</w:t>
            </w:r>
          </w:p>
        </w:tc>
        <w:tc>
          <w:tcPr>
            <w:tcW w:w="1440" w:type="dxa"/>
          </w:tcPr>
          <w:p w14:paraId="140A88E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31 (100%)</w:t>
            </w:r>
          </w:p>
        </w:tc>
        <w:tc>
          <w:tcPr>
            <w:tcW w:w="1086" w:type="dxa"/>
            <w:vMerge w:val="restart"/>
          </w:tcPr>
          <w:p w14:paraId="7331A64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0.003</w:t>
            </w:r>
            <w:r w:rsidRPr="00E658D2">
              <w:rPr>
                <w:rFonts w:asciiTheme="majorBidi" w:hAnsiTheme="majorBidi" w:cstheme="majorBidi"/>
                <w:color w:val="000000" w:themeColor="text1"/>
                <w:kern w:val="0"/>
                <w:sz w:val="24"/>
                <w:szCs w:val="24"/>
                <w:vertAlign w:val="superscript"/>
                <w:lang w:bidi="fa-IR"/>
                <w14:ligatures w14:val="none"/>
              </w:rPr>
              <w:t>***</w:t>
            </w:r>
          </w:p>
          <w:p w14:paraId="52C4043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p>
          <w:p w14:paraId="44E3CFC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39FF9437"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tcPr>
          <w:p w14:paraId="35F0EDFC" w14:textId="77777777" w:rsidR="009904B2" w:rsidRPr="00E658D2" w:rsidRDefault="009904B2" w:rsidP="00F55CE4">
            <w:pPr>
              <w:jc w:val="both"/>
              <w:rPr>
                <w:rFonts w:asciiTheme="majorBidi" w:hAnsiTheme="majorBidi" w:cstheme="majorBidi"/>
                <w:color w:val="000000" w:themeColor="text1"/>
                <w:sz w:val="24"/>
                <w:szCs w:val="24"/>
              </w:rPr>
            </w:pPr>
          </w:p>
        </w:tc>
        <w:tc>
          <w:tcPr>
            <w:tcW w:w="2967" w:type="dxa"/>
          </w:tcPr>
          <w:p w14:paraId="76E6B38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rPr>
              <w:t>Monthly</w:t>
            </w:r>
          </w:p>
        </w:tc>
        <w:tc>
          <w:tcPr>
            <w:tcW w:w="1530" w:type="dxa"/>
          </w:tcPr>
          <w:p w14:paraId="0B828A8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51 (51.5%)</w:t>
            </w:r>
          </w:p>
        </w:tc>
        <w:tc>
          <w:tcPr>
            <w:tcW w:w="1889" w:type="dxa"/>
          </w:tcPr>
          <w:p w14:paraId="2A0A1FC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48 (48.5%)</w:t>
            </w:r>
          </w:p>
        </w:tc>
        <w:tc>
          <w:tcPr>
            <w:tcW w:w="1440" w:type="dxa"/>
          </w:tcPr>
          <w:p w14:paraId="61713BD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99 (100%)</w:t>
            </w:r>
          </w:p>
        </w:tc>
        <w:tc>
          <w:tcPr>
            <w:tcW w:w="1086" w:type="dxa"/>
            <w:vMerge/>
          </w:tcPr>
          <w:p w14:paraId="5011128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6917EA9E"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1CE5C20C" w14:textId="77777777" w:rsidR="009904B2" w:rsidRPr="00E658D2" w:rsidRDefault="009904B2" w:rsidP="00F55CE4">
            <w:pPr>
              <w:jc w:val="both"/>
              <w:rPr>
                <w:rFonts w:asciiTheme="majorBidi" w:hAnsiTheme="majorBidi" w:cstheme="majorBidi"/>
                <w:color w:val="000000" w:themeColor="text1"/>
                <w:sz w:val="24"/>
                <w:szCs w:val="24"/>
              </w:rPr>
            </w:pPr>
          </w:p>
        </w:tc>
        <w:tc>
          <w:tcPr>
            <w:tcW w:w="2967" w:type="dxa"/>
          </w:tcPr>
          <w:p w14:paraId="3552057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rPr>
              <w:t>Every Three Months</w:t>
            </w:r>
          </w:p>
        </w:tc>
        <w:tc>
          <w:tcPr>
            <w:tcW w:w="1530" w:type="dxa"/>
          </w:tcPr>
          <w:p w14:paraId="26A7E45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2 (25%)</w:t>
            </w:r>
          </w:p>
        </w:tc>
        <w:tc>
          <w:tcPr>
            <w:tcW w:w="1889" w:type="dxa"/>
          </w:tcPr>
          <w:p w14:paraId="11F0D0F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6 (75%)</w:t>
            </w:r>
          </w:p>
        </w:tc>
        <w:tc>
          <w:tcPr>
            <w:tcW w:w="1440" w:type="dxa"/>
          </w:tcPr>
          <w:p w14:paraId="5E8CDC3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kern w:val="0"/>
                <w:sz w:val="24"/>
                <w:szCs w:val="24"/>
                <w:lang w:bidi="fa-IR"/>
                <w14:ligatures w14:val="none"/>
              </w:rPr>
              <w:t>8 (100%)</w:t>
            </w:r>
          </w:p>
        </w:tc>
        <w:tc>
          <w:tcPr>
            <w:tcW w:w="1086" w:type="dxa"/>
            <w:vMerge/>
          </w:tcPr>
          <w:p w14:paraId="5CE8C69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7957FAAA"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tcPr>
          <w:p w14:paraId="5590A615" w14:textId="77777777" w:rsidR="009904B2" w:rsidRPr="00E658D2" w:rsidRDefault="009904B2" w:rsidP="00F55CE4">
            <w:pPr>
              <w:jc w:val="both"/>
              <w:rPr>
                <w:rFonts w:asciiTheme="majorBidi" w:hAnsiTheme="majorBidi" w:cstheme="majorBidi"/>
                <w:color w:val="000000" w:themeColor="text1"/>
                <w:sz w:val="24"/>
                <w:szCs w:val="24"/>
              </w:rPr>
            </w:pPr>
          </w:p>
        </w:tc>
        <w:tc>
          <w:tcPr>
            <w:tcW w:w="2967" w:type="dxa"/>
          </w:tcPr>
          <w:p w14:paraId="2940690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rPr>
              <w:t>Every Six Months</w:t>
            </w:r>
          </w:p>
        </w:tc>
        <w:tc>
          <w:tcPr>
            <w:tcW w:w="1530" w:type="dxa"/>
          </w:tcPr>
          <w:p w14:paraId="270A96A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2 (28.60%)</w:t>
            </w:r>
          </w:p>
        </w:tc>
        <w:tc>
          <w:tcPr>
            <w:tcW w:w="1889" w:type="dxa"/>
          </w:tcPr>
          <w:p w14:paraId="5C432FD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5 (71.4%)</w:t>
            </w:r>
          </w:p>
        </w:tc>
        <w:tc>
          <w:tcPr>
            <w:tcW w:w="1440" w:type="dxa"/>
          </w:tcPr>
          <w:p w14:paraId="188FC99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 xml:space="preserve">7 (100%) </w:t>
            </w:r>
          </w:p>
        </w:tc>
        <w:tc>
          <w:tcPr>
            <w:tcW w:w="1086" w:type="dxa"/>
            <w:vMerge/>
          </w:tcPr>
          <w:p w14:paraId="5F346D7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5D91224C"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3F3851CE" w14:textId="77777777" w:rsidR="009904B2" w:rsidRPr="00E658D2" w:rsidRDefault="009904B2" w:rsidP="00F55CE4">
            <w:pPr>
              <w:jc w:val="both"/>
              <w:rPr>
                <w:rFonts w:asciiTheme="majorBidi" w:hAnsiTheme="majorBidi" w:cstheme="majorBidi"/>
                <w:color w:val="000000" w:themeColor="text1"/>
                <w:sz w:val="24"/>
                <w:szCs w:val="24"/>
              </w:rPr>
            </w:pPr>
          </w:p>
        </w:tc>
        <w:tc>
          <w:tcPr>
            <w:tcW w:w="2967" w:type="dxa"/>
          </w:tcPr>
          <w:p w14:paraId="6EA72406"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rPr>
              <w:t>Yearly</w:t>
            </w:r>
          </w:p>
        </w:tc>
        <w:tc>
          <w:tcPr>
            <w:tcW w:w="1530" w:type="dxa"/>
          </w:tcPr>
          <w:p w14:paraId="1D1DF25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0 (0%)</w:t>
            </w:r>
          </w:p>
        </w:tc>
        <w:tc>
          <w:tcPr>
            <w:tcW w:w="1889" w:type="dxa"/>
          </w:tcPr>
          <w:p w14:paraId="20E7C11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1 (100%)</w:t>
            </w:r>
          </w:p>
        </w:tc>
        <w:tc>
          <w:tcPr>
            <w:tcW w:w="1440" w:type="dxa"/>
          </w:tcPr>
          <w:p w14:paraId="75E83B8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1 (100%)</w:t>
            </w:r>
          </w:p>
        </w:tc>
        <w:tc>
          <w:tcPr>
            <w:tcW w:w="1086" w:type="dxa"/>
            <w:vMerge/>
          </w:tcPr>
          <w:p w14:paraId="694029D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2D57197E"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tcPr>
          <w:p w14:paraId="23DDA29D" w14:textId="77777777" w:rsidR="009904B2" w:rsidRPr="00E658D2" w:rsidRDefault="009904B2" w:rsidP="00F55CE4">
            <w:pPr>
              <w:jc w:val="both"/>
              <w:rPr>
                <w:rFonts w:asciiTheme="majorBidi" w:hAnsiTheme="majorBidi" w:cstheme="majorBidi"/>
                <w:color w:val="000000" w:themeColor="text1"/>
                <w:sz w:val="24"/>
                <w:szCs w:val="24"/>
              </w:rPr>
            </w:pPr>
          </w:p>
        </w:tc>
        <w:tc>
          <w:tcPr>
            <w:tcW w:w="2967" w:type="dxa"/>
          </w:tcPr>
          <w:p w14:paraId="08B4352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rPr>
              <w:t>Irregular</w:t>
            </w:r>
          </w:p>
        </w:tc>
        <w:tc>
          <w:tcPr>
            <w:tcW w:w="1530" w:type="dxa"/>
          </w:tcPr>
          <w:p w14:paraId="0468FEE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3 (42.90%)</w:t>
            </w:r>
          </w:p>
        </w:tc>
        <w:tc>
          <w:tcPr>
            <w:tcW w:w="1889" w:type="dxa"/>
          </w:tcPr>
          <w:p w14:paraId="4B06B70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4 (57.10%)</w:t>
            </w:r>
          </w:p>
        </w:tc>
        <w:tc>
          <w:tcPr>
            <w:tcW w:w="1440" w:type="dxa"/>
          </w:tcPr>
          <w:p w14:paraId="5BA9929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t>7 (100%)</w:t>
            </w:r>
          </w:p>
        </w:tc>
        <w:tc>
          <w:tcPr>
            <w:tcW w:w="1086" w:type="dxa"/>
            <w:vMerge/>
          </w:tcPr>
          <w:p w14:paraId="13688F8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70823CF8" w14:textId="77777777" w:rsidTr="00F55CE4">
        <w:tc>
          <w:tcPr>
            <w:cnfStyle w:val="001000000000" w:firstRow="0" w:lastRow="0" w:firstColumn="1" w:lastColumn="0" w:oddVBand="0" w:evenVBand="0" w:oddHBand="0" w:evenHBand="0" w:firstRowFirstColumn="0" w:firstRowLastColumn="0" w:lastRowFirstColumn="0" w:lastRowLastColumn="0"/>
            <w:tcW w:w="2158" w:type="dxa"/>
            <w:vMerge/>
          </w:tcPr>
          <w:p w14:paraId="0179BC63" w14:textId="77777777" w:rsidR="009904B2" w:rsidRPr="00E658D2" w:rsidRDefault="009904B2" w:rsidP="00F55CE4">
            <w:pPr>
              <w:jc w:val="both"/>
              <w:rPr>
                <w:rFonts w:asciiTheme="majorBidi" w:hAnsiTheme="majorBidi" w:cstheme="majorBidi"/>
                <w:color w:val="000000" w:themeColor="text1"/>
                <w:sz w:val="24"/>
                <w:szCs w:val="24"/>
              </w:rPr>
            </w:pPr>
          </w:p>
        </w:tc>
        <w:tc>
          <w:tcPr>
            <w:tcW w:w="2967" w:type="dxa"/>
          </w:tcPr>
          <w:p w14:paraId="363CCBA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rPr>
              <w:t>Unknown</w:t>
            </w:r>
          </w:p>
        </w:tc>
        <w:tc>
          <w:tcPr>
            <w:tcW w:w="1530" w:type="dxa"/>
          </w:tcPr>
          <w:p w14:paraId="555C92A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sz w:val="24"/>
                <w:szCs w:val="24"/>
              </w:rPr>
              <w:t>4 (14.80%)</w:t>
            </w:r>
          </w:p>
        </w:tc>
        <w:tc>
          <w:tcPr>
            <w:tcW w:w="1889" w:type="dxa"/>
          </w:tcPr>
          <w:p w14:paraId="5B736B6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23 (85.20%)</w:t>
            </w:r>
          </w:p>
        </w:tc>
        <w:tc>
          <w:tcPr>
            <w:tcW w:w="1440" w:type="dxa"/>
          </w:tcPr>
          <w:p w14:paraId="75EB707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E658D2">
              <w:rPr>
                <w:rFonts w:asciiTheme="majorBidi" w:hAnsiTheme="majorBidi" w:cstheme="majorBidi"/>
                <w:color w:val="000000" w:themeColor="text1"/>
                <w:kern w:val="0"/>
                <w:sz w:val="24"/>
                <w:szCs w:val="24"/>
                <w14:ligatures w14:val="none"/>
              </w:rPr>
              <w:t>27 (100%)</w:t>
            </w:r>
          </w:p>
        </w:tc>
        <w:tc>
          <w:tcPr>
            <w:tcW w:w="1086" w:type="dxa"/>
            <w:vMerge/>
          </w:tcPr>
          <w:p w14:paraId="64461AE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r w:rsidR="009904B2" w:rsidRPr="00E658D2" w14:paraId="4A9C8FA5"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vMerge/>
          </w:tcPr>
          <w:p w14:paraId="4F69F360" w14:textId="77777777" w:rsidR="009904B2" w:rsidRPr="00E658D2" w:rsidRDefault="009904B2" w:rsidP="00F55CE4">
            <w:pPr>
              <w:jc w:val="both"/>
              <w:rPr>
                <w:rFonts w:asciiTheme="majorBidi" w:hAnsiTheme="majorBidi" w:cstheme="majorBidi"/>
                <w:color w:val="000000" w:themeColor="text1"/>
                <w:sz w:val="24"/>
                <w:szCs w:val="24"/>
              </w:rPr>
            </w:pPr>
          </w:p>
        </w:tc>
        <w:tc>
          <w:tcPr>
            <w:tcW w:w="2967" w:type="dxa"/>
          </w:tcPr>
          <w:p w14:paraId="2EAA785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rPr>
              <w:t xml:space="preserve">More than one interval </w:t>
            </w:r>
            <w:r w:rsidRPr="00E658D2">
              <w:rPr>
                <w:rFonts w:asciiTheme="majorBidi" w:hAnsiTheme="majorBidi" w:cstheme="majorBidi"/>
                <w:color w:val="000000" w:themeColor="text1"/>
                <w:vertAlign w:val="superscript"/>
              </w:rPr>
              <w:t>a</w:t>
            </w:r>
          </w:p>
        </w:tc>
        <w:tc>
          <w:tcPr>
            <w:tcW w:w="1530" w:type="dxa"/>
          </w:tcPr>
          <w:p w14:paraId="5CD6E8C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6 (54.50%)</w:t>
            </w:r>
          </w:p>
        </w:tc>
        <w:tc>
          <w:tcPr>
            <w:tcW w:w="1889" w:type="dxa"/>
          </w:tcPr>
          <w:p w14:paraId="3BAE332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r w:rsidRPr="00E658D2">
              <w:rPr>
                <w:rFonts w:asciiTheme="majorBidi" w:hAnsiTheme="majorBidi" w:cstheme="majorBidi"/>
                <w:color w:val="000000" w:themeColor="text1"/>
                <w:kern w:val="0"/>
                <w:sz w:val="24"/>
                <w:szCs w:val="24"/>
                <w:lang w:bidi="fa-IR"/>
                <w14:ligatures w14:val="none"/>
              </w:rPr>
              <w:t>5 (45.50%)</w:t>
            </w:r>
          </w:p>
        </w:tc>
        <w:tc>
          <w:tcPr>
            <w:tcW w:w="1440" w:type="dxa"/>
          </w:tcPr>
          <w:p w14:paraId="24EE275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14:ligatures w14:val="none"/>
              </w:rPr>
            </w:pPr>
            <w:r w:rsidRPr="00E658D2">
              <w:rPr>
                <w:rFonts w:asciiTheme="majorBidi" w:hAnsiTheme="majorBidi" w:cstheme="majorBidi"/>
                <w:color w:val="000000" w:themeColor="text1"/>
                <w:kern w:val="0"/>
                <w:sz w:val="24"/>
                <w:szCs w:val="24"/>
                <w14:ligatures w14:val="none"/>
              </w:rPr>
              <w:t>11 (100%)</w:t>
            </w:r>
          </w:p>
        </w:tc>
        <w:tc>
          <w:tcPr>
            <w:tcW w:w="1086" w:type="dxa"/>
            <w:vMerge/>
          </w:tcPr>
          <w:p w14:paraId="5F68980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kern w:val="0"/>
                <w:sz w:val="24"/>
                <w:szCs w:val="24"/>
                <w:lang w:bidi="fa-IR"/>
                <w14:ligatures w14:val="none"/>
              </w:rPr>
            </w:pPr>
          </w:p>
        </w:tc>
      </w:tr>
    </w:tbl>
    <w:p w14:paraId="733F7DA3" w14:textId="77777777" w:rsidR="009904B2" w:rsidRPr="00E658D2" w:rsidRDefault="009904B2" w:rsidP="009904B2">
      <w:pPr>
        <w:jc w:val="both"/>
        <w:rPr>
          <w:rFonts w:ascii="Times New Roman" w:hAnsi="Times New Roman" w:cs="B Nazanin"/>
          <w:color w:val="000000" w:themeColor="text1"/>
          <w:kern w:val="0"/>
          <w:sz w:val="24"/>
          <w:szCs w:val="28"/>
          <w:lang w:bidi="fa-IR"/>
          <w14:ligatures w14:val="none"/>
        </w:rPr>
      </w:pPr>
    </w:p>
    <w:p w14:paraId="65C3C81B" w14:textId="77777777" w:rsidR="009904B2" w:rsidRPr="00E658D2" w:rsidRDefault="009904B2" w:rsidP="009904B2">
      <w:pPr>
        <w:spacing w:after="0"/>
        <w:jc w:val="both"/>
        <w:rPr>
          <w:rFonts w:asciiTheme="majorBidi" w:hAnsiTheme="majorBidi" w:cstheme="majorBidi"/>
          <w:i/>
          <w:iCs/>
          <w:color w:val="000000" w:themeColor="text1"/>
          <w:sz w:val="16"/>
          <w:szCs w:val="16"/>
        </w:rPr>
      </w:pPr>
      <w:r w:rsidRPr="00E658D2">
        <w:rPr>
          <w:rFonts w:asciiTheme="majorBidi" w:hAnsiTheme="majorBidi" w:cstheme="majorBidi"/>
          <w:i/>
          <w:iCs/>
          <w:color w:val="000000" w:themeColor="text1"/>
          <w:sz w:val="16"/>
          <w:szCs w:val="16"/>
        </w:rPr>
        <w:t>* P-value &lt;0.05 was considered significant</w:t>
      </w:r>
    </w:p>
    <w:p w14:paraId="22E0913F" w14:textId="77777777" w:rsidR="009904B2" w:rsidRPr="00E658D2" w:rsidRDefault="009904B2" w:rsidP="009904B2">
      <w:pPr>
        <w:spacing w:after="0"/>
        <w:jc w:val="both"/>
        <w:rPr>
          <w:rFonts w:asciiTheme="majorBidi" w:hAnsiTheme="majorBidi" w:cstheme="majorBidi"/>
          <w:i/>
          <w:iCs/>
          <w:color w:val="000000" w:themeColor="text1"/>
          <w:sz w:val="16"/>
          <w:szCs w:val="16"/>
          <w:rtl/>
        </w:rPr>
      </w:pPr>
      <w:r w:rsidRPr="00E658D2">
        <w:rPr>
          <w:rFonts w:asciiTheme="majorBidi" w:hAnsiTheme="majorBidi" w:cstheme="majorBidi"/>
          <w:i/>
          <w:iCs/>
          <w:color w:val="000000" w:themeColor="text1"/>
          <w:sz w:val="16"/>
          <w:szCs w:val="16"/>
          <w:rtl/>
        </w:rPr>
        <w:t>*</w:t>
      </w:r>
      <w:r w:rsidRPr="00E658D2">
        <w:rPr>
          <w:rFonts w:asciiTheme="majorBidi" w:hAnsiTheme="majorBidi" w:cstheme="majorBidi"/>
          <w:i/>
          <w:iCs/>
          <w:color w:val="000000" w:themeColor="text1"/>
          <w:sz w:val="16"/>
          <w:szCs w:val="16"/>
        </w:rPr>
        <w:t>*</w:t>
      </w:r>
      <w:r w:rsidRPr="00E658D2">
        <w:rPr>
          <w:rFonts w:asciiTheme="majorBidi" w:hAnsiTheme="majorBidi" w:cstheme="majorBidi"/>
          <w:i/>
          <w:iCs/>
          <w:color w:val="000000" w:themeColor="text1"/>
          <w:sz w:val="16"/>
          <w:szCs w:val="16"/>
          <w:rtl/>
        </w:rPr>
        <w:t xml:space="preserve"> </w:t>
      </w:r>
      <w:r w:rsidRPr="00E658D2">
        <w:rPr>
          <w:rFonts w:asciiTheme="majorBidi" w:hAnsiTheme="majorBidi" w:cstheme="majorBidi"/>
          <w:i/>
          <w:iCs/>
          <w:color w:val="000000" w:themeColor="text1"/>
          <w:sz w:val="16"/>
          <w:szCs w:val="16"/>
        </w:rPr>
        <w:t xml:space="preserve"> Chi- square Test</w:t>
      </w:r>
    </w:p>
    <w:p w14:paraId="1C30E4C5" w14:textId="77777777" w:rsidR="009904B2" w:rsidRPr="00E658D2" w:rsidRDefault="009904B2" w:rsidP="009904B2">
      <w:pPr>
        <w:spacing w:after="0"/>
        <w:jc w:val="both"/>
        <w:rPr>
          <w:rFonts w:asciiTheme="majorBidi" w:hAnsiTheme="majorBidi" w:cstheme="majorBidi"/>
          <w:i/>
          <w:iCs/>
          <w:color w:val="000000" w:themeColor="text1"/>
          <w:sz w:val="16"/>
          <w:szCs w:val="16"/>
        </w:rPr>
      </w:pPr>
      <w:r w:rsidRPr="00E658D2">
        <w:rPr>
          <w:rFonts w:asciiTheme="majorBidi" w:hAnsiTheme="majorBidi" w:cstheme="majorBidi"/>
          <w:i/>
          <w:iCs/>
          <w:color w:val="000000" w:themeColor="text1"/>
          <w:sz w:val="16"/>
          <w:szCs w:val="16"/>
          <w:rtl/>
        </w:rPr>
        <w:t>***</w:t>
      </w:r>
      <w:r w:rsidRPr="00E658D2">
        <w:rPr>
          <w:rFonts w:asciiTheme="majorBidi" w:hAnsiTheme="majorBidi" w:cstheme="majorBidi"/>
          <w:i/>
          <w:iCs/>
          <w:color w:val="000000" w:themeColor="text1"/>
          <w:sz w:val="16"/>
          <w:szCs w:val="16"/>
        </w:rPr>
        <w:t xml:space="preserve">   Fisher's Exact Test</w:t>
      </w:r>
    </w:p>
    <w:p w14:paraId="1AC52CF7" w14:textId="77777777" w:rsidR="009904B2" w:rsidRPr="00E658D2" w:rsidRDefault="009904B2" w:rsidP="009904B2">
      <w:pPr>
        <w:spacing w:after="0"/>
        <w:jc w:val="both"/>
        <w:rPr>
          <w:rFonts w:asciiTheme="majorBidi" w:hAnsiTheme="majorBidi" w:cstheme="majorBidi"/>
          <w:i/>
          <w:iCs/>
          <w:color w:val="000000" w:themeColor="text1"/>
          <w:sz w:val="16"/>
          <w:szCs w:val="16"/>
        </w:rPr>
      </w:pPr>
      <w:r w:rsidRPr="00E658D2">
        <w:rPr>
          <w:rFonts w:asciiTheme="majorBidi" w:hAnsiTheme="majorBidi" w:cstheme="majorBidi"/>
          <w:i/>
          <w:iCs/>
          <w:color w:val="000000" w:themeColor="text1"/>
          <w:sz w:val="16"/>
          <w:szCs w:val="16"/>
          <w:vertAlign w:val="superscript"/>
        </w:rPr>
        <w:t xml:space="preserve">a </w:t>
      </w:r>
      <w:r w:rsidRPr="00E658D2">
        <w:rPr>
          <w:rFonts w:asciiTheme="majorBidi" w:hAnsiTheme="majorBidi" w:cstheme="majorBidi"/>
          <w:i/>
          <w:iCs/>
          <w:color w:val="000000" w:themeColor="text1"/>
          <w:sz w:val="16"/>
          <w:szCs w:val="16"/>
        </w:rPr>
        <w:t>details are omitted. examples of multiple intervals are some cancer patients initially received monthly parenteral administration, which later shifted to quarterly as the disease progressed. Similarly, some osteoporosis patients were treated with weekly alendronate for several years, followed by annual or biannual parenteral administration of MRMs.</w:t>
      </w:r>
    </w:p>
    <w:p w14:paraId="195AB994" w14:textId="77777777" w:rsidR="009904B2" w:rsidRPr="00E658D2" w:rsidRDefault="009904B2" w:rsidP="009904B2">
      <w:pPr>
        <w:rPr>
          <w:rFonts w:asciiTheme="majorBidi" w:hAnsiTheme="majorBidi" w:cstheme="majorBidi"/>
          <w:sz w:val="16"/>
          <w:szCs w:val="16"/>
        </w:rPr>
      </w:pPr>
      <w:r w:rsidRPr="00E658D2">
        <w:rPr>
          <w:rFonts w:asciiTheme="majorBidi" w:hAnsiTheme="majorBidi" w:cstheme="majorBidi"/>
          <w:sz w:val="16"/>
          <w:szCs w:val="16"/>
        </w:rPr>
        <w:br w:type="page"/>
      </w:r>
    </w:p>
    <w:p w14:paraId="488E1EEF" w14:textId="77777777" w:rsidR="009904B2" w:rsidRPr="00E658D2" w:rsidRDefault="009904B2" w:rsidP="009904B2">
      <w:pPr>
        <w:jc w:val="both"/>
        <w:rPr>
          <w:rFonts w:ascii="Times New Roman" w:hAnsi="Times New Roman" w:cs="B Nazanin"/>
          <w:color w:val="000000" w:themeColor="text1"/>
          <w:kern w:val="0"/>
          <w:sz w:val="24"/>
          <w:szCs w:val="28"/>
          <w:lang w:bidi="fa-IR"/>
          <w14:ligatures w14:val="none"/>
        </w:rPr>
      </w:pPr>
      <w:r w:rsidRPr="00E658D2">
        <w:rPr>
          <w:rFonts w:ascii="Times New Roman" w:hAnsi="Times New Roman" w:cs="B Nazanin"/>
          <w:color w:val="000000" w:themeColor="text1"/>
          <w:kern w:val="0"/>
          <w:sz w:val="24"/>
          <w:szCs w:val="28"/>
          <w:lang w:bidi="fa-IR"/>
          <w14:ligatures w14:val="none"/>
        </w:rPr>
        <w:lastRenderedPageBreak/>
        <w:t xml:space="preserve">Table 5: Dosage, equivalent dose and threshold dose in </w:t>
      </w:r>
      <w:r w:rsidRPr="00E658D2">
        <w:rPr>
          <w:rFonts w:asciiTheme="majorBidi" w:hAnsiTheme="majorBidi" w:cstheme="majorBidi"/>
          <w:color w:val="000000" w:themeColor="text1"/>
          <w:kern w:val="0"/>
          <w:sz w:val="24"/>
          <w:szCs w:val="24"/>
        </w:rPr>
        <w:t>MRONJ-related Medications (MRMs)</w:t>
      </w:r>
      <w:r w:rsidRPr="00E658D2">
        <w:rPr>
          <w:rFonts w:ascii="Times New Roman" w:hAnsi="Times New Roman" w:cs="B Nazanin"/>
          <w:color w:val="000000" w:themeColor="text1"/>
          <w:kern w:val="0"/>
          <w:sz w:val="24"/>
          <w:szCs w:val="28"/>
          <w:lang w:bidi="fa-IR"/>
          <w14:ligatures w14:val="none"/>
        </w:rPr>
        <w:t>:</w:t>
      </w:r>
    </w:p>
    <w:tbl>
      <w:tblPr>
        <w:tblStyle w:val="PlainTable2"/>
        <w:tblpPr w:leftFromText="180" w:rightFromText="180" w:vertAnchor="page" w:horzAnchor="margin" w:tblpY="2093"/>
        <w:tblW w:w="10415" w:type="dxa"/>
        <w:tblLook w:val="04A0" w:firstRow="1" w:lastRow="0" w:firstColumn="1" w:lastColumn="0" w:noHBand="0" w:noVBand="1"/>
      </w:tblPr>
      <w:tblGrid>
        <w:gridCol w:w="1338"/>
        <w:gridCol w:w="2442"/>
        <w:gridCol w:w="1771"/>
        <w:gridCol w:w="1924"/>
        <w:gridCol w:w="1848"/>
        <w:gridCol w:w="1092"/>
      </w:tblGrid>
      <w:tr w:rsidR="009904B2" w:rsidRPr="00E658D2" w14:paraId="6F658616" w14:textId="77777777" w:rsidTr="00F55CE4">
        <w:trPr>
          <w:cnfStyle w:val="100000000000" w:firstRow="1" w:lastRow="0" w:firstColumn="0" w:lastColumn="0" w:oddVBand="0" w:evenVBand="0" w:oddHBand="0" w:evenHBand="0" w:firstRowFirstColumn="0" w:firstRowLastColumn="0" w:lastRowFirstColumn="0" w:lastRowLastColumn="0"/>
          <w:trHeight w:val="695"/>
        </w:trPr>
        <w:tc>
          <w:tcPr>
            <w:cnfStyle w:val="001000000000" w:firstRow="0" w:lastRow="0" w:firstColumn="1" w:lastColumn="0" w:oddVBand="0" w:evenVBand="0" w:oddHBand="0" w:evenHBand="0" w:firstRowFirstColumn="0" w:firstRowLastColumn="0" w:lastRowFirstColumn="0" w:lastRowLastColumn="0"/>
            <w:tcW w:w="3780" w:type="dxa"/>
            <w:gridSpan w:val="2"/>
            <w:tcBorders>
              <w:top w:val="single" w:sz="4" w:space="0" w:color="7F7F7F" w:themeColor="text1" w:themeTint="80"/>
              <w:left w:val="nil"/>
              <w:right w:val="nil"/>
            </w:tcBorders>
            <w:hideMark/>
          </w:tcPr>
          <w:p w14:paraId="0F458B32" w14:textId="77777777" w:rsidR="009904B2" w:rsidRPr="00E658D2" w:rsidRDefault="009904B2" w:rsidP="00F55CE4">
            <w:pPr>
              <w:jc w:val="both"/>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Medication Information</w:t>
            </w:r>
          </w:p>
        </w:tc>
        <w:tc>
          <w:tcPr>
            <w:tcW w:w="1771" w:type="dxa"/>
            <w:tcBorders>
              <w:top w:val="single" w:sz="4" w:space="0" w:color="7F7F7F" w:themeColor="text1" w:themeTint="80"/>
              <w:left w:val="nil"/>
              <w:right w:val="nil"/>
            </w:tcBorders>
            <w:hideMark/>
          </w:tcPr>
          <w:p w14:paraId="79F9C4DE"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MRONJ Patients</w:t>
            </w:r>
          </w:p>
        </w:tc>
        <w:tc>
          <w:tcPr>
            <w:tcW w:w="1924" w:type="dxa"/>
            <w:tcBorders>
              <w:top w:val="single" w:sz="4" w:space="0" w:color="7F7F7F" w:themeColor="text1" w:themeTint="80"/>
              <w:left w:val="nil"/>
              <w:right w:val="nil"/>
            </w:tcBorders>
            <w:hideMark/>
          </w:tcPr>
          <w:p w14:paraId="7E027254"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At-risk Individuals</w:t>
            </w:r>
          </w:p>
        </w:tc>
        <w:tc>
          <w:tcPr>
            <w:tcW w:w="1848" w:type="dxa"/>
            <w:tcBorders>
              <w:top w:val="single" w:sz="4" w:space="0" w:color="7F7F7F" w:themeColor="text1" w:themeTint="80"/>
              <w:left w:val="nil"/>
              <w:right w:val="nil"/>
            </w:tcBorders>
            <w:hideMark/>
          </w:tcPr>
          <w:p w14:paraId="3EE9001E"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Total</w:t>
            </w:r>
          </w:p>
        </w:tc>
        <w:tc>
          <w:tcPr>
            <w:tcW w:w="1092" w:type="dxa"/>
            <w:tcBorders>
              <w:top w:val="single" w:sz="4" w:space="0" w:color="7F7F7F" w:themeColor="text1" w:themeTint="80"/>
              <w:left w:val="nil"/>
              <w:right w:val="nil"/>
            </w:tcBorders>
            <w:hideMark/>
          </w:tcPr>
          <w:p w14:paraId="0BB665A1"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P value</w:t>
            </w:r>
            <w:r w:rsidRPr="00E658D2">
              <w:rPr>
                <w:rFonts w:asciiTheme="majorBidi" w:eastAsia="Times New Roman" w:hAnsiTheme="majorBidi" w:cstheme="majorBidi"/>
                <w:color w:val="000000" w:themeColor="text1"/>
                <w:kern w:val="0"/>
                <w:sz w:val="21"/>
                <w:szCs w:val="21"/>
                <w:vertAlign w:val="superscript"/>
                <w14:ligatures w14:val="none"/>
              </w:rPr>
              <w:t>*</w:t>
            </w:r>
          </w:p>
        </w:tc>
      </w:tr>
      <w:tr w:rsidR="009904B2" w:rsidRPr="00E658D2" w14:paraId="0A23732A" w14:textId="77777777" w:rsidTr="00F55CE4">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1338" w:type="dxa"/>
            <w:vMerge w:val="restart"/>
            <w:tcBorders>
              <w:left w:val="nil"/>
              <w:right w:val="nil"/>
            </w:tcBorders>
            <w:hideMark/>
          </w:tcPr>
          <w:p w14:paraId="24D5E777" w14:textId="77777777" w:rsidR="009904B2" w:rsidRPr="00E658D2" w:rsidRDefault="009904B2" w:rsidP="00F55CE4">
            <w:pPr>
              <w:jc w:val="both"/>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bdr w:val="single" w:sz="2" w:space="0" w:color="E3E3E3" w:frame="1"/>
                <w14:ligatures w14:val="none"/>
              </w:rPr>
              <w:t>Dosage of MRMs</w:t>
            </w:r>
            <w:r w:rsidRPr="00E658D2">
              <w:rPr>
                <w:rFonts w:asciiTheme="majorBidi" w:eastAsia="Times New Roman" w:hAnsiTheme="majorBidi" w:cstheme="majorBidi"/>
                <w:color w:val="000000" w:themeColor="text1"/>
                <w:kern w:val="0"/>
                <w:sz w:val="21"/>
                <w:szCs w:val="21"/>
                <w:bdr w:val="single" w:sz="2" w:space="0" w:color="E3E3E3" w:frame="1"/>
                <w:vertAlign w:val="superscript"/>
                <w14:ligatures w14:val="none"/>
              </w:rPr>
              <w:t>a</w:t>
            </w:r>
            <w:r w:rsidRPr="00E658D2">
              <w:rPr>
                <w:rFonts w:asciiTheme="majorBidi" w:eastAsia="Times New Roman" w:hAnsiTheme="majorBidi" w:cstheme="majorBidi"/>
                <w:color w:val="000000" w:themeColor="text1"/>
                <w:kern w:val="0"/>
                <w:sz w:val="21"/>
                <w:szCs w:val="21"/>
                <w:bdr w:val="single" w:sz="2" w:space="0" w:color="E3E3E3" w:frame="1"/>
                <w14:ligatures w14:val="none"/>
              </w:rPr>
              <w:t xml:space="preserve"> (mg)</w:t>
            </w:r>
          </w:p>
        </w:tc>
        <w:tc>
          <w:tcPr>
            <w:tcW w:w="2442" w:type="dxa"/>
            <w:tcBorders>
              <w:left w:val="nil"/>
              <w:right w:val="nil"/>
            </w:tcBorders>
            <w:hideMark/>
          </w:tcPr>
          <w:p w14:paraId="3D1D823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 xml:space="preserve">Zoledronic Acid </w:t>
            </w:r>
          </w:p>
        </w:tc>
        <w:tc>
          <w:tcPr>
            <w:tcW w:w="1771" w:type="dxa"/>
            <w:tcBorders>
              <w:left w:val="nil"/>
              <w:right w:val="nil"/>
            </w:tcBorders>
            <w:hideMark/>
          </w:tcPr>
          <w:p w14:paraId="301A5F5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(40-144) 80</w:t>
            </w:r>
          </w:p>
        </w:tc>
        <w:tc>
          <w:tcPr>
            <w:tcW w:w="1924" w:type="dxa"/>
            <w:tcBorders>
              <w:left w:val="nil"/>
              <w:right w:val="nil"/>
            </w:tcBorders>
            <w:hideMark/>
          </w:tcPr>
          <w:p w14:paraId="7EC845C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(8-56) 28</w:t>
            </w:r>
          </w:p>
        </w:tc>
        <w:tc>
          <w:tcPr>
            <w:tcW w:w="1848" w:type="dxa"/>
            <w:tcBorders>
              <w:left w:val="nil"/>
              <w:right w:val="nil"/>
            </w:tcBorders>
            <w:hideMark/>
          </w:tcPr>
          <w:p w14:paraId="6429AD7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(20-96) 48</w:t>
            </w:r>
          </w:p>
        </w:tc>
        <w:tc>
          <w:tcPr>
            <w:tcW w:w="1092" w:type="dxa"/>
            <w:tcBorders>
              <w:left w:val="nil"/>
              <w:right w:val="nil"/>
            </w:tcBorders>
            <w:hideMark/>
          </w:tcPr>
          <w:p w14:paraId="2DF0CE3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 xml:space="preserve">&lt;0.001 </w:t>
            </w:r>
            <w:r w:rsidRPr="00E658D2">
              <w:rPr>
                <w:rFonts w:asciiTheme="majorBidi" w:eastAsia="Times New Roman" w:hAnsiTheme="majorBidi" w:cstheme="majorBidi"/>
                <w:color w:val="000000" w:themeColor="text1"/>
                <w:kern w:val="0"/>
                <w:sz w:val="21"/>
                <w:szCs w:val="21"/>
                <w:vertAlign w:val="superscript"/>
                <w14:ligatures w14:val="none"/>
              </w:rPr>
              <w:t>****</w:t>
            </w:r>
          </w:p>
        </w:tc>
      </w:tr>
      <w:tr w:rsidR="009904B2" w:rsidRPr="00E658D2" w14:paraId="5509BA83" w14:textId="77777777" w:rsidTr="00F55CE4">
        <w:trPr>
          <w:trHeight w:val="275"/>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7F7F7F" w:themeColor="text1" w:themeTint="80"/>
              <w:left w:val="nil"/>
              <w:bottom w:val="single" w:sz="4" w:space="0" w:color="7F7F7F" w:themeColor="text1" w:themeTint="80"/>
              <w:right w:val="nil"/>
            </w:tcBorders>
            <w:vAlign w:val="center"/>
            <w:hideMark/>
          </w:tcPr>
          <w:p w14:paraId="0D05D6AC" w14:textId="77777777" w:rsidR="009904B2" w:rsidRPr="00E658D2" w:rsidRDefault="009904B2" w:rsidP="00F55CE4">
            <w:pPr>
              <w:rPr>
                <w:rFonts w:asciiTheme="majorBidi" w:eastAsia="Times New Roman" w:hAnsiTheme="majorBidi" w:cstheme="majorBidi"/>
                <w:color w:val="000000" w:themeColor="text1"/>
                <w:kern w:val="0"/>
                <w:sz w:val="21"/>
                <w:szCs w:val="21"/>
                <w14:ligatures w14:val="none"/>
              </w:rPr>
            </w:pPr>
          </w:p>
        </w:tc>
        <w:tc>
          <w:tcPr>
            <w:tcW w:w="2442" w:type="dxa"/>
            <w:tcBorders>
              <w:top w:val="nil"/>
              <w:left w:val="nil"/>
              <w:bottom w:val="nil"/>
              <w:right w:val="nil"/>
            </w:tcBorders>
            <w:hideMark/>
          </w:tcPr>
          <w:p w14:paraId="340931B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 xml:space="preserve">Denosumab </w:t>
            </w:r>
          </w:p>
        </w:tc>
        <w:tc>
          <w:tcPr>
            <w:tcW w:w="1771" w:type="dxa"/>
            <w:tcBorders>
              <w:top w:val="nil"/>
              <w:left w:val="nil"/>
              <w:bottom w:val="nil"/>
              <w:right w:val="nil"/>
            </w:tcBorders>
            <w:hideMark/>
          </w:tcPr>
          <w:p w14:paraId="5FC614C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(300-1200) 480</w:t>
            </w:r>
          </w:p>
        </w:tc>
        <w:tc>
          <w:tcPr>
            <w:tcW w:w="1924" w:type="dxa"/>
            <w:tcBorders>
              <w:top w:val="nil"/>
              <w:left w:val="nil"/>
              <w:bottom w:val="nil"/>
              <w:right w:val="nil"/>
            </w:tcBorders>
            <w:hideMark/>
          </w:tcPr>
          <w:p w14:paraId="4D17C61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(360-1020) 720</w:t>
            </w:r>
          </w:p>
        </w:tc>
        <w:tc>
          <w:tcPr>
            <w:tcW w:w="1848" w:type="dxa"/>
            <w:tcBorders>
              <w:top w:val="nil"/>
              <w:left w:val="nil"/>
              <w:bottom w:val="nil"/>
              <w:right w:val="nil"/>
            </w:tcBorders>
            <w:hideMark/>
          </w:tcPr>
          <w:p w14:paraId="2417829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(300-1200) 600</w:t>
            </w:r>
          </w:p>
        </w:tc>
        <w:tc>
          <w:tcPr>
            <w:tcW w:w="1092" w:type="dxa"/>
            <w:tcBorders>
              <w:top w:val="nil"/>
              <w:left w:val="nil"/>
              <w:bottom w:val="nil"/>
              <w:right w:val="nil"/>
            </w:tcBorders>
            <w:hideMark/>
          </w:tcPr>
          <w:p w14:paraId="34F924E8"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 xml:space="preserve">0.51 </w:t>
            </w:r>
            <w:r w:rsidRPr="00E658D2">
              <w:rPr>
                <w:rFonts w:asciiTheme="majorBidi" w:eastAsia="Times New Roman" w:hAnsiTheme="majorBidi" w:cstheme="majorBidi"/>
                <w:color w:val="000000" w:themeColor="text1"/>
                <w:kern w:val="0"/>
                <w:sz w:val="21"/>
                <w:szCs w:val="21"/>
                <w:vertAlign w:val="superscript"/>
                <w14:ligatures w14:val="none"/>
              </w:rPr>
              <w:t>****</w:t>
            </w:r>
          </w:p>
        </w:tc>
      </w:tr>
      <w:tr w:rsidR="009904B2" w:rsidRPr="00E658D2" w14:paraId="7420D623" w14:textId="77777777" w:rsidTr="00F55CE4">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0" w:type="auto"/>
            <w:vMerge/>
            <w:tcBorders>
              <w:left w:val="nil"/>
              <w:right w:val="nil"/>
            </w:tcBorders>
            <w:vAlign w:val="center"/>
            <w:hideMark/>
          </w:tcPr>
          <w:p w14:paraId="71451272" w14:textId="77777777" w:rsidR="009904B2" w:rsidRPr="00E658D2" w:rsidRDefault="009904B2" w:rsidP="00F55CE4">
            <w:pPr>
              <w:rPr>
                <w:rFonts w:asciiTheme="majorBidi" w:eastAsia="Times New Roman" w:hAnsiTheme="majorBidi" w:cstheme="majorBidi"/>
                <w:color w:val="000000" w:themeColor="text1"/>
                <w:kern w:val="0"/>
                <w:sz w:val="21"/>
                <w:szCs w:val="21"/>
                <w14:ligatures w14:val="none"/>
              </w:rPr>
            </w:pPr>
          </w:p>
        </w:tc>
        <w:tc>
          <w:tcPr>
            <w:tcW w:w="2442" w:type="dxa"/>
            <w:tcBorders>
              <w:left w:val="nil"/>
              <w:right w:val="nil"/>
            </w:tcBorders>
            <w:hideMark/>
          </w:tcPr>
          <w:p w14:paraId="01E19DF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 xml:space="preserve">Alendronate </w:t>
            </w:r>
          </w:p>
        </w:tc>
        <w:tc>
          <w:tcPr>
            <w:tcW w:w="1771" w:type="dxa"/>
            <w:tcBorders>
              <w:left w:val="nil"/>
              <w:right w:val="nil"/>
            </w:tcBorders>
            <w:hideMark/>
          </w:tcPr>
          <w:p w14:paraId="477604F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(1960-7280) 3640</w:t>
            </w:r>
          </w:p>
        </w:tc>
        <w:tc>
          <w:tcPr>
            <w:tcW w:w="1924" w:type="dxa"/>
            <w:tcBorders>
              <w:left w:val="nil"/>
              <w:right w:val="nil"/>
            </w:tcBorders>
            <w:hideMark/>
          </w:tcPr>
          <w:p w14:paraId="15AA4C3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(1680-14700) 5040</w:t>
            </w:r>
          </w:p>
        </w:tc>
        <w:tc>
          <w:tcPr>
            <w:tcW w:w="1848" w:type="dxa"/>
            <w:tcBorders>
              <w:left w:val="nil"/>
              <w:right w:val="nil"/>
            </w:tcBorders>
            <w:hideMark/>
          </w:tcPr>
          <w:p w14:paraId="413A661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(1960-10920) 4480</w:t>
            </w:r>
          </w:p>
        </w:tc>
        <w:tc>
          <w:tcPr>
            <w:tcW w:w="1092" w:type="dxa"/>
            <w:tcBorders>
              <w:left w:val="nil"/>
              <w:right w:val="nil"/>
            </w:tcBorders>
            <w:hideMark/>
          </w:tcPr>
          <w:p w14:paraId="786C771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 xml:space="preserve">0.54 </w:t>
            </w:r>
            <w:r w:rsidRPr="00E658D2">
              <w:rPr>
                <w:rFonts w:asciiTheme="majorBidi" w:eastAsia="Times New Roman" w:hAnsiTheme="majorBidi" w:cstheme="majorBidi"/>
                <w:color w:val="000000" w:themeColor="text1"/>
                <w:kern w:val="0"/>
                <w:sz w:val="21"/>
                <w:szCs w:val="21"/>
                <w:vertAlign w:val="superscript"/>
                <w14:ligatures w14:val="none"/>
              </w:rPr>
              <w:t>****</w:t>
            </w:r>
          </w:p>
        </w:tc>
      </w:tr>
      <w:tr w:rsidR="009904B2" w:rsidRPr="00E658D2" w14:paraId="44030684" w14:textId="77777777" w:rsidTr="00F55CE4">
        <w:trPr>
          <w:trHeight w:val="331"/>
        </w:trPr>
        <w:tc>
          <w:tcPr>
            <w:cnfStyle w:val="001000000000" w:firstRow="0" w:lastRow="0" w:firstColumn="1" w:lastColumn="0" w:oddVBand="0" w:evenVBand="0" w:oddHBand="0" w:evenHBand="0" w:firstRowFirstColumn="0" w:firstRowLastColumn="0" w:lastRowFirstColumn="0" w:lastRowLastColumn="0"/>
            <w:tcW w:w="3780" w:type="dxa"/>
            <w:gridSpan w:val="2"/>
            <w:tcBorders>
              <w:top w:val="nil"/>
              <w:left w:val="nil"/>
              <w:bottom w:val="nil"/>
              <w:right w:val="nil"/>
            </w:tcBorders>
            <w:hideMark/>
          </w:tcPr>
          <w:p w14:paraId="2AC3EC6F" w14:textId="77777777" w:rsidR="009904B2" w:rsidRPr="00E658D2" w:rsidRDefault="009904B2" w:rsidP="00F55CE4">
            <w:pPr>
              <w:jc w:val="both"/>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bdr w:val="single" w:sz="2" w:space="0" w:color="E3E3E3" w:frame="1"/>
                <w14:ligatures w14:val="none"/>
              </w:rPr>
              <w:t>Equivalent Dose</w:t>
            </w:r>
          </w:p>
        </w:tc>
        <w:tc>
          <w:tcPr>
            <w:tcW w:w="1771" w:type="dxa"/>
            <w:tcBorders>
              <w:top w:val="nil"/>
              <w:left w:val="nil"/>
              <w:bottom w:val="nil"/>
              <w:right w:val="nil"/>
            </w:tcBorders>
            <w:hideMark/>
          </w:tcPr>
          <w:p w14:paraId="3952319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(1.20-7.20) 2.79</w:t>
            </w:r>
          </w:p>
        </w:tc>
        <w:tc>
          <w:tcPr>
            <w:tcW w:w="1924" w:type="dxa"/>
            <w:tcBorders>
              <w:top w:val="nil"/>
              <w:left w:val="nil"/>
              <w:bottom w:val="nil"/>
              <w:right w:val="nil"/>
            </w:tcBorders>
            <w:hideMark/>
          </w:tcPr>
          <w:p w14:paraId="2144805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(0.30-2.80) 1.37</w:t>
            </w:r>
          </w:p>
        </w:tc>
        <w:tc>
          <w:tcPr>
            <w:tcW w:w="1848" w:type="dxa"/>
            <w:tcBorders>
              <w:top w:val="nil"/>
              <w:left w:val="nil"/>
              <w:bottom w:val="nil"/>
              <w:right w:val="nil"/>
            </w:tcBorders>
            <w:hideMark/>
          </w:tcPr>
          <w:p w14:paraId="5BFB4178"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(0.75-4.80) 1.90</w:t>
            </w:r>
          </w:p>
        </w:tc>
        <w:tc>
          <w:tcPr>
            <w:tcW w:w="1092" w:type="dxa"/>
            <w:tcBorders>
              <w:top w:val="nil"/>
              <w:left w:val="nil"/>
              <w:bottom w:val="nil"/>
              <w:right w:val="nil"/>
            </w:tcBorders>
            <w:hideMark/>
          </w:tcPr>
          <w:p w14:paraId="510B929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 xml:space="preserve">&lt;0.001 </w:t>
            </w:r>
            <w:r w:rsidRPr="00E658D2">
              <w:rPr>
                <w:rFonts w:asciiTheme="majorBidi" w:eastAsia="Times New Roman" w:hAnsiTheme="majorBidi" w:cstheme="majorBidi"/>
                <w:color w:val="000000" w:themeColor="text1"/>
                <w:kern w:val="0"/>
                <w:sz w:val="21"/>
                <w:szCs w:val="21"/>
                <w:vertAlign w:val="superscript"/>
                <w14:ligatures w14:val="none"/>
              </w:rPr>
              <w:t>****</w:t>
            </w:r>
          </w:p>
        </w:tc>
      </w:tr>
      <w:tr w:rsidR="009904B2" w:rsidRPr="00E658D2" w14:paraId="0A55E565" w14:textId="77777777" w:rsidTr="00F55CE4">
        <w:trPr>
          <w:cnfStyle w:val="000000100000" w:firstRow="0" w:lastRow="0" w:firstColumn="0" w:lastColumn="0" w:oddVBand="0" w:evenVBand="0" w:oddHBand="1"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1338" w:type="dxa"/>
            <w:vMerge w:val="restart"/>
            <w:tcBorders>
              <w:left w:val="nil"/>
              <w:bottom w:val="nil"/>
              <w:right w:val="nil"/>
            </w:tcBorders>
            <w:hideMark/>
          </w:tcPr>
          <w:p w14:paraId="431DCC1F" w14:textId="77777777" w:rsidR="009904B2" w:rsidRPr="00E658D2" w:rsidRDefault="009904B2" w:rsidP="00F55CE4">
            <w:pPr>
              <w:jc w:val="both"/>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bdr w:val="single" w:sz="2" w:space="0" w:color="E3E3E3" w:frame="1"/>
                <w14:ligatures w14:val="none"/>
              </w:rPr>
              <w:t>Threshold Dose</w:t>
            </w:r>
          </w:p>
        </w:tc>
        <w:tc>
          <w:tcPr>
            <w:tcW w:w="2442" w:type="dxa"/>
            <w:tcBorders>
              <w:left w:val="nil"/>
              <w:right w:val="nil"/>
            </w:tcBorders>
            <w:hideMark/>
          </w:tcPr>
          <w:p w14:paraId="692C96C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Exceeding Threshold Dose</w:t>
            </w:r>
          </w:p>
        </w:tc>
        <w:tc>
          <w:tcPr>
            <w:tcW w:w="1771" w:type="dxa"/>
            <w:tcBorders>
              <w:left w:val="nil"/>
              <w:right w:val="nil"/>
            </w:tcBorders>
            <w:hideMark/>
          </w:tcPr>
          <w:p w14:paraId="6EA04D9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56 (54.40%)</w:t>
            </w:r>
          </w:p>
        </w:tc>
        <w:tc>
          <w:tcPr>
            <w:tcW w:w="1924" w:type="dxa"/>
            <w:tcBorders>
              <w:left w:val="nil"/>
              <w:right w:val="nil"/>
            </w:tcBorders>
            <w:hideMark/>
          </w:tcPr>
          <w:p w14:paraId="16CE88A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47 (45.60%)</w:t>
            </w:r>
          </w:p>
        </w:tc>
        <w:tc>
          <w:tcPr>
            <w:tcW w:w="1848" w:type="dxa"/>
            <w:tcBorders>
              <w:left w:val="nil"/>
              <w:right w:val="nil"/>
            </w:tcBorders>
            <w:hideMark/>
          </w:tcPr>
          <w:p w14:paraId="0C5C676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103 (100%)</w:t>
            </w:r>
          </w:p>
        </w:tc>
        <w:tc>
          <w:tcPr>
            <w:tcW w:w="1092" w:type="dxa"/>
            <w:tcBorders>
              <w:left w:val="nil"/>
              <w:right w:val="nil"/>
            </w:tcBorders>
            <w:hideMark/>
          </w:tcPr>
          <w:p w14:paraId="4FF8796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 xml:space="preserve">&lt;0.001 </w:t>
            </w:r>
            <w:r w:rsidRPr="00E658D2">
              <w:rPr>
                <w:rFonts w:asciiTheme="majorBidi" w:eastAsia="Times New Roman" w:hAnsiTheme="majorBidi" w:cstheme="majorBidi"/>
                <w:color w:val="000000" w:themeColor="text1"/>
                <w:kern w:val="0"/>
                <w:sz w:val="21"/>
                <w:szCs w:val="21"/>
                <w:vertAlign w:val="superscript"/>
                <w14:ligatures w14:val="none"/>
              </w:rPr>
              <w:t>**</w:t>
            </w:r>
          </w:p>
        </w:tc>
      </w:tr>
      <w:tr w:rsidR="009904B2" w:rsidRPr="00E658D2" w14:paraId="4B332880" w14:textId="77777777" w:rsidTr="00F55CE4">
        <w:trPr>
          <w:trHeight w:val="342"/>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7F7F7F" w:themeColor="text1" w:themeTint="80"/>
              <w:left w:val="nil"/>
              <w:bottom w:val="nil"/>
              <w:right w:val="nil"/>
            </w:tcBorders>
            <w:vAlign w:val="center"/>
            <w:hideMark/>
          </w:tcPr>
          <w:p w14:paraId="1C4E1508" w14:textId="77777777" w:rsidR="009904B2" w:rsidRPr="00E658D2" w:rsidRDefault="009904B2" w:rsidP="00F55CE4">
            <w:pPr>
              <w:rPr>
                <w:rFonts w:asciiTheme="majorBidi" w:eastAsia="Times New Roman" w:hAnsiTheme="majorBidi" w:cstheme="majorBidi"/>
                <w:color w:val="000000" w:themeColor="text1"/>
                <w:kern w:val="0"/>
                <w:sz w:val="21"/>
                <w:szCs w:val="21"/>
                <w14:ligatures w14:val="none"/>
              </w:rPr>
            </w:pPr>
          </w:p>
        </w:tc>
        <w:tc>
          <w:tcPr>
            <w:tcW w:w="2442" w:type="dxa"/>
            <w:tcBorders>
              <w:top w:val="nil"/>
              <w:left w:val="nil"/>
              <w:bottom w:val="nil"/>
              <w:right w:val="nil"/>
            </w:tcBorders>
            <w:hideMark/>
          </w:tcPr>
          <w:p w14:paraId="7A89965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Below Threshold Dose</w:t>
            </w:r>
          </w:p>
        </w:tc>
        <w:tc>
          <w:tcPr>
            <w:tcW w:w="1771" w:type="dxa"/>
            <w:tcBorders>
              <w:top w:val="nil"/>
              <w:left w:val="nil"/>
              <w:bottom w:val="nil"/>
              <w:right w:val="nil"/>
            </w:tcBorders>
            <w:hideMark/>
          </w:tcPr>
          <w:p w14:paraId="0B5A726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22 (24.40%)</w:t>
            </w:r>
          </w:p>
        </w:tc>
        <w:tc>
          <w:tcPr>
            <w:tcW w:w="1924" w:type="dxa"/>
            <w:tcBorders>
              <w:top w:val="nil"/>
              <w:left w:val="nil"/>
              <w:bottom w:val="nil"/>
              <w:right w:val="nil"/>
            </w:tcBorders>
            <w:hideMark/>
          </w:tcPr>
          <w:p w14:paraId="27E3ED1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68 (75.60%)</w:t>
            </w:r>
          </w:p>
        </w:tc>
        <w:tc>
          <w:tcPr>
            <w:tcW w:w="1848" w:type="dxa"/>
            <w:tcBorders>
              <w:top w:val="nil"/>
              <w:left w:val="nil"/>
              <w:bottom w:val="nil"/>
              <w:right w:val="nil"/>
            </w:tcBorders>
            <w:hideMark/>
          </w:tcPr>
          <w:p w14:paraId="6E0BD8C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90 (100%)</w:t>
            </w:r>
          </w:p>
        </w:tc>
        <w:tc>
          <w:tcPr>
            <w:tcW w:w="1092" w:type="dxa"/>
            <w:tcBorders>
              <w:top w:val="nil"/>
              <w:left w:val="nil"/>
              <w:bottom w:val="nil"/>
              <w:right w:val="nil"/>
            </w:tcBorders>
            <w:hideMark/>
          </w:tcPr>
          <w:p w14:paraId="57895949" w14:textId="77777777" w:rsidR="009904B2" w:rsidRPr="00E658D2" w:rsidRDefault="009904B2" w:rsidP="00F55CE4">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p>
        </w:tc>
      </w:tr>
      <w:tr w:rsidR="009904B2" w:rsidRPr="00E658D2" w14:paraId="4FFE4B05" w14:textId="77777777" w:rsidTr="00F55C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780" w:type="dxa"/>
            <w:gridSpan w:val="2"/>
            <w:tcBorders>
              <w:left w:val="nil"/>
              <w:right w:val="nil"/>
            </w:tcBorders>
            <w:hideMark/>
          </w:tcPr>
          <w:p w14:paraId="04A58E52" w14:textId="77777777" w:rsidR="009904B2" w:rsidRPr="00E658D2" w:rsidRDefault="009904B2" w:rsidP="00F55CE4">
            <w:pPr>
              <w:jc w:val="both"/>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bdr w:val="single" w:sz="2" w:space="0" w:color="E3E3E3" w:frame="1"/>
                <w14:ligatures w14:val="none"/>
              </w:rPr>
              <w:t>Duration of Use (Months)</w:t>
            </w:r>
          </w:p>
        </w:tc>
        <w:tc>
          <w:tcPr>
            <w:tcW w:w="1771" w:type="dxa"/>
            <w:tcBorders>
              <w:left w:val="nil"/>
              <w:right w:val="nil"/>
            </w:tcBorders>
            <w:hideMark/>
          </w:tcPr>
          <w:p w14:paraId="5E518EC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(10-48) 24</w:t>
            </w:r>
          </w:p>
        </w:tc>
        <w:tc>
          <w:tcPr>
            <w:tcW w:w="1924" w:type="dxa"/>
            <w:tcBorders>
              <w:left w:val="nil"/>
              <w:right w:val="nil"/>
            </w:tcBorders>
            <w:hideMark/>
          </w:tcPr>
          <w:p w14:paraId="79DEF12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(6-23) 10.50</w:t>
            </w:r>
          </w:p>
        </w:tc>
        <w:tc>
          <w:tcPr>
            <w:tcW w:w="1848" w:type="dxa"/>
            <w:tcBorders>
              <w:left w:val="nil"/>
              <w:right w:val="nil"/>
            </w:tcBorders>
            <w:hideMark/>
          </w:tcPr>
          <w:p w14:paraId="78D58FD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(6-36) 14</w:t>
            </w:r>
          </w:p>
        </w:tc>
        <w:tc>
          <w:tcPr>
            <w:tcW w:w="1092" w:type="dxa"/>
            <w:tcBorders>
              <w:left w:val="nil"/>
              <w:right w:val="nil"/>
            </w:tcBorders>
            <w:hideMark/>
          </w:tcPr>
          <w:p w14:paraId="33FB6FD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1"/>
                <w:szCs w:val="21"/>
                <w14:ligatures w14:val="none"/>
              </w:rPr>
            </w:pPr>
            <w:r w:rsidRPr="00E658D2">
              <w:rPr>
                <w:rFonts w:asciiTheme="majorBidi" w:eastAsia="Times New Roman" w:hAnsiTheme="majorBidi" w:cstheme="majorBidi"/>
                <w:color w:val="000000" w:themeColor="text1"/>
                <w:kern w:val="0"/>
                <w:sz w:val="21"/>
                <w:szCs w:val="21"/>
                <w14:ligatures w14:val="none"/>
              </w:rPr>
              <w:t xml:space="preserve">0.002 </w:t>
            </w:r>
            <w:r w:rsidRPr="00E658D2">
              <w:rPr>
                <w:rFonts w:asciiTheme="majorBidi" w:eastAsia="Times New Roman" w:hAnsiTheme="majorBidi" w:cstheme="majorBidi"/>
                <w:color w:val="000000" w:themeColor="text1"/>
                <w:kern w:val="0"/>
                <w:sz w:val="21"/>
                <w:szCs w:val="21"/>
                <w:vertAlign w:val="superscript"/>
                <w14:ligatures w14:val="none"/>
              </w:rPr>
              <w:t>****</w:t>
            </w:r>
          </w:p>
        </w:tc>
      </w:tr>
    </w:tbl>
    <w:p w14:paraId="6990D655" w14:textId="77777777" w:rsidR="009904B2" w:rsidRPr="00E658D2" w:rsidRDefault="009904B2" w:rsidP="009904B2">
      <w:pPr>
        <w:jc w:val="both"/>
        <w:rPr>
          <w:rFonts w:asciiTheme="majorBidi" w:eastAsia="Times New Roman" w:hAnsiTheme="majorBidi" w:cstheme="majorBidi"/>
          <w:i/>
          <w:iCs/>
          <w:color w:val="000000" w:themeColor="text1"/>
          <w:kern w:val="0"/>
          <w:sz w:val="16"/>
          <w:szCs w:val="16"/>
          <w:bdr w:val="single" w:sz="2" w:space="0" w:color="E3E3E3" w:frame="1"/>
          <w:vertAlign w:val="superscript"/>
          <w14:ligatures w14:val="none"/>
        </w:rPr>
      </w:pPr>
    </w:p>
    <w:p w14:paraId="747B5AB6" w14:textId="77777777" w:rsidR="009904B2" w:rsidRPr="00E658D2" w:rsidRDefault="009904B2" w:rsidP="009904B2">
      <w:pPr>
        <w:jc w:val="both"/>
        <w:rPr>
          <w:rFonts w:asciiTheme="majorBidi" w:eastAsia="Times New Roman" w:hAnsiTheme="majorBidi" w:cstheme="majorBidi"/>
          <w:i/>
          <w:iCs/>
          <w:color w:val="000000" w:themeColor="text1"/>
          <w:kern w:val="0"/>
          <w:sz w:val="16"/>
          <w:szCs w:val="16"/>
          <w14:ligatures w14:val="none"/>
        </w:rPr>
      </w:pPr>
      <w:r w:rsidRPr="00E658D2">
        <w:rPr>
          <w:rFonts w:asciiTheme="majorBidi" w:eastAsia="Times New Roman" w:hAnsiTheme="majorBidi" w:cstheme="majorBidi"/>
          <w:i/>
          <w:iCs/>
          <w:color w:val="000000" w:themeColor="text1"/>
          <w:kern w:val="0"/>
          <w:sz w:val="16"/>
          <w:szCs w:val="16"/>
          <w:bdr w:val="single" w:sz="2" w:space="0" w:color="E3E3E3" w:frame="1"/>
          <w:vertAlign w:val="superscript"/>
          <w14:ligatures w14:val="none"/>
        </w:rPr>
        <w:t>a</w:t>
      </w:r>
      <w:r w:rsidRPr="00E658D2">
        <w:rPr>
          <w:rFonts w:ascii="Times New Roman" w:hAnsi="Times New Roman" w:cs="B Nazanin"/>
          <w:i/>
          <w:iCs/>
          <w:color w:val="000000" w:themeColor="text1"/>
          <w:kern w:val="0"/>
          <w:sz w:val="16"/>
          <w:szCs w:val="16"/>
          <w:lang w:bidi="fa-IR"/>
          <w14:ligatures w14:val="none"/>
        </w:rPr>
        <w:t xml:space="preserve">Since the number of patients on </w:t>
      </w:r>
      <w:r w:rsidRPr="00E658D2">
        <w:rPr>
          <w:rFonts w:asciiTheme="majorBidi" w:eastAsia="Times New Roman" w:hAnsiTheme="majorBidi" w:cstheme="majorBidi"/>
          <w:i/>
          <w:iCs/>
          <w:color w:val="000000" w:themeColor="text1"/>
          <w:kern w:val="0"/>
          <w:sz w:val="16"/>
          <w:szCs w:val="16"/>
          <w14:ligatures w14:val="none"/>
        </w:rPr>
        <w:t xml:space="preserve">Ocrelizumab and Bevacizumab is small they are not mentioned in the table </w:t>
      </w:r>
    </w:p>
    <w:p w14:paraId="3B53DE2C" w14:textId="77777777" w:rsidR="009904B2" w:rsidRPr="00E658D2" w:rsidRDefault="009904B2" w:rsidP="009904B2">
      <w:pPr>
        <w:jc w:val="both"/>
        <w:rPr>
          <w:rFonts w:asciiTheme="majorBidi" w:eastAsia="Times New Roman" w:hAnsiTheme="majorBidi" w:cstheme="majorBidi"/>
          <w:i/>
          <w:iCs/>
          <w:color w:val="000000" w:themeColor="text1"/>
          <w:kern w:val="0"/>
          <w:sz w:val="16"/>
          <w:szCs w:val="16"/>
          <w14:ligatures w14:val="none"/>
        </w:rPr>
      </w:pPr>
      <w:r w:rsidRPr="00E658D2">
        <w:rPr>
          <w:rFonts w:asciiTheme="majorBidi" w:eastAsia="Times New Roman" w:hAnsiTheme="majorBidi" w:cstheme="majorBidi"/>
          <w:i/>
          <w:iCs/>
          <w:color w:val="000000" w:themeColor="text1"/>
          <w:kern w:val="0"/>
          <w:sz w:val="16"/>
          <w:szCs w:val="16"/>
          <w14:ligatures w14:val="none"/>
        </w:rPr>
        <w:t xml:space="preserve">Dosages are provided for MRMs, with ranges and average values. Zoledronic Acid, Denosumab, and Alendronate Doses specify the range (minimum-maximum) and the average dosage. Equivalent Dose shows calculated or estimated average doses across different drug dosages. Threshold Dose is categorized into exceeding or not exceeding the threshold, with the percentage of patients. Duration of Use specifies the range (minimum to maximum) and average duration in months for drug administration.* P-value &lt;0.05 was considered significant.**** Mann-Whitney Test.** Chi- square Test.β Due to the limited sample size, a comparison was not conducted. </w:t>
      </w:r>
    </w:p>
    <w:p w14:paraId="1B7F00BF" w14:textId="77777777" w:rsidR="009904B2" w:rsidRPr="00E658D2" w:rsidRDefault="009904B2" w:rsidP="009904B2">
      <w:pPr>
        <w:rPr>
          <w:rFonts w:asciiTheme="majorBidi" w:eastAsia="Times New Roman" w:hAnsiTheme="majorBidi" w:cstheme="majorBidi"/>
          <w:color w:val="000000" w:themeColor="text1"/>
          <w:kern w:val="0"/>
          <w:sz w:val="18"/>
          <w:szCs w:val="18"/>
          <w14:ligatures w14:val="none"/>
        </w:rPr>
      </w:pPr>
      <w:r w:rsidRPr="00E658D2">
        <w:rPr>
          <w:rFonts w:asciiTheme="majorBidi" w:eastAsia="Times New Roman" w:hAnsiTheme="majorBidi" w:cstheme="majorBidi"/>
          <w:color w:val="000000" w:themeColor="text1"/>
          <w:kern w:val="0"/>
          <w:sz w:val="18"/>
          <w:szCs w:val="18"/>
          <w14:ligatures w14:val="none"/>
        </w:rPr>
        <w:br w:type="page"/>
      </w:r>
    </w:p>
    <w:p w14:paraId="724C7327" w14:textId="77777777" w:rsidR="009904B2" w:rsidRPr="00E658D2" w:rsidRDefault="009904B2" w:rsidP="009904B2">
      <w:pPr>
        <w:spacing w:after="0"/>
        <w:jc w:val="both"/>
        <w:rPr>
          <w:rFonts w:asciiTheme="majorBidi" w:hAnsiTheme="majorBidi" w:cstheme="majorBidi"/>
          <w:color w:val="000000" w:themeColor="text1"/>
          <w:sz w:val="24"/>
          <w:szCs w:val="24"/>
        </w:rPr>
      </w:pPr>
      <w:r w:rsidRPr="00E658D2">
        <w:rPr>
          <w:rFonts w:ascii="Times New Roman" w:hAnsi="Times New Roman" w:cs="B Nazanin"/>
          <w:color w:val="000000" w:themeColor="text1"/>
          <w:kern w:val="0"/>
          <w:sz w:val="24"/>
          <w:szCs w:val="28"/>
          <w:lang w:bidi="fa-IR"/>
          <w14:ligatures w14:val="none"/>
        </w:rPr>
        <w:lastRenderedPageBreak/>
        <w:t xml:space="preserve">Table 6: </w:t>
      </w:r>
      <w:r w:rsidRPr="00E658D2">
        <w:rPr>
          <w:rFonts w:asciiTheme="majorBidi" w:hAnsiTheme="majorBidi" w:cstheme="majorBidi"/>
          <w:color w:val="000000" w:themeColor="text1"/>
          <w:kern w:val="0"/>
          <w:sz w:val="24"/>
          <w:szCs w:val="24"/>
        </w:rPr>
        <w:t xml:space="preserve">MRONJ-related Medications(MRMs)’ </w:t>
      </w:r>
      <w:r w:rsidRPr="00E658D2">
        <w:rPr>
          <w:rFonts w:asciiTheme="majorBidi" w:hAnsiTheme="majorBidi" w:cstheme="majorBidi"/>
          <w:color w:val="000000" w:themeColor="text1"/>
          <w:sz w:val="24"/>
          <w:szCs w:val="24"/>
        </w:rPr>
        <w:t xml:space="preserve">information in MRONJ-group in different stages. </w:t>
      </w:r>
    </w:p>
    <w:tbl>
      <w:tblPr>
        <w:tblStyle w:val="PlainTable2"/>
        <w:tblW w:w="10350" w:type="dxa"/>
        <w:tblInd w:w="-990" w:type="dxa"/>
        <w:tblLook w:val="04A0" w:firstRow="1" w:lastRow="0" w:firstColumn="1" w:lastColumn="0" w:noHBand="0" w:noVBand="1"/>
      </w:tblPr>
      <w:tblGrid>
        <w:gridCol w:w="1761"/>
        <w:gridCol w:w="1303"/>
        <w:gridCol w:w="1181"/>
        <w:gridCol w:w="1181"/>
        <w:gridCol w:w="1181"/>
        <w:gridCol w:w="1282"/>
        <w:gridCol w:w="1382"/>
        <w:gridCol w:w="1079"/>
      </w:tblGrid>
      <w:tr w:rsidR="009904B2" w:rsidRPr="00E658D2" w14:paraId="0FB1FF15" w14:textId="77777777" w:rsidTr="00F55C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22" w:type="dxa"/>
            <w:gridSpan w:val="2"/>
            <w:tcBorders>
              <w:top w:val="single" w:sz="4" w:space="0" w:color="7F7F7F" w:themeColor="text1" w:themeTint="80"/>
              <w:left w:val="nil"/>
              <w:right w:val="nil"/>
            </w:tcBorders>
            <w:hideMark/>
          </w:tcPr>
          <w:p w14:paraId="79EAA237"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Variable</w:t>
            </w:r>
          </w:p>
        </w:tc>
        <w:tc>
          <w:tcPr>
            <w:tcW w:w="1208" w:type="dxa"/>
            <w:tcBorders>
              <w:top w:val="single" w:sz="4" w:space="0" w:color="7F7F7F" w:themeColor="text1" w:themeTint="80"/>
              <w:left w:val="nil"/>
              <w:right w:val="nil"/>
            </w:tcBorders>
            <w:hideMark/>
          </w:tcPr>
          <w:p w14:paraId="395E0C58"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Stage 0</w:t>
            </w:r>
          </w:p>
        </w:tc>
        <w:tc>
          <w:tcPr>
            <w:tcW w:w="1208" w:type="dxa"/>
            <w:tcBorders>
              <w:top w:val="single" w:sz="4" w:space="0" w:color="7F7F7F" w:themeColor="text1" w:themeTint="80"/>
              <w:left w:val="nil"/>
              <w:right w:val="nil"/>
            </w:tcBorders>
            <w:hideMark/>
          </w:tcPr>
          <w:p w14:paraId="680C6941"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Stage 1</w:t>
            </w:r>
          </w:p>
        </w:tc>
        <w:tc>
          <w:tcPr>
            <w:tcW w:w="1208" w:type="dxa"/>
            <w:tcBorders>
              <w:top w:val="single" w:sz="4" w:space="0" w:color="7F7F7F" w:themeColor="text1" w:themeTint="80"/>
              <w:left w:val="nil"/>
              <w:right w:val="nil"/>
            </w:tcBorders>
            <w:hideMark/>
          </w:tcPr>
          <w:p w14:paraId="3F2EC1EC"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Stage 2</w:t>
            </w:r>
          </w:p>
        </w:tc>
        <w:tc>
          <w:tcPr>
            <w:tcW w:w="1311" w:type="dxa"/>
            <w:tcBorders>
              <w:top w:val="single" w:sz="4" w:space="0" w:color="7F7F7F" w:themeColor="text1" w:themeTint="80"/>
              <w:left w:val="nil"/>
              <w:right w:val="nil"/>
            </w:tcBorders>
            <w:hideMark/>
          </w:tcPr>
          <w:p w14:paraId="7FD2565E"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Stage 3</w:t>
            </w:r>
          </w:p>
        </w:tc>
        <w:tc>
          <w:tcPr>
            <w:tcW w:w="1414" w:type="dxa"/>
            <w:tcBorders>
              <w:top w:val="single" w:sz="4" w:space="0" w:color="7F7F7F" w:themeColor="text1" w:themeTint="80"/>
              <w:left w:val="nil"/>
              <w:right w:val="nil"/>
            </w:tcBorders>
            <w:hideMark/>
          </w:tcPr>
          <w:p w14:paraId="434859F8"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Total</w:t>
            </w:r>
          </w:p>
        </w:tc>
        <w:tc>
          <w:tcPr>
            <w:tcW w:w="1079" w:type="dxa"/>
            <w:tcBorders>
              <w:top w:val="single" w:sz="4" w:space="0" w:color="7F7F7F" w:themeColor="text1" w:themeTint="80"/>
              <w:left w:val="nil"/>
              <w:right w:val="nil"/>
            </w:tcBorders>
            <w:hideMark/>
          </w:tcPr>
          <w:p w14:paraId="49B068D1"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P Value</w:t>
            </w:r>
            <w:r w:rsidRPr="00E658D2">
              <w:rPr>
                <w:rFonts w:asciiTheme="majorBidi" w:eastAsia="Times New Roman" w:hAnsiTheme="majorBidi" w:cstheme="majorBidi"/>
                <w:color w:val="000000" w:themeColor="text1"/>
                <w:kern w:val="0"/>
                <w:sz w:val="20"/>
                <w:szCs w:val="20"/>
                <w:vertAlign w:val="superscript"/>
                <w14:ligatures w14:val="none"/>
              </w:rPr>
              <w:t>*</w:t>
            </w:r>
          </w:p>
        </w:tc>
      </w:tr>
      <w:tr w:rsidR="009904B2" w:rsidRPr="00E658D2" w14:paraId="17D0572B"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4" w:type="dxa"/>
            <w:vMerge w:val="restart"/>
            <w:tcBorders>
              <w:left w:val="nil"/>
              <w:bottom w:val="nil"/>
              <w:right w:val="nil"/>
            </w:tcBorders>
            <w:hideMark/>
          </w:tcPr>
          <w:p w14:paraId="3A938459"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Pharmacotherapy  regimen</w:t>
            </w:r>
          </w:p>
        </w:tc>
        <w:tc>
          <w:tcPr>
            <w:tcW w:w="1348" w:type="dxa"/>
            <w:tcBorders>
              <w:left w:val="nil"/>
              <w:right w:val="nil"/>
            </w:tcBorders>
            <w:hideMark/>
          </w:tcPr>
          <w:p w14:paraId="48491B4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Monotherapy</w:t>
            </w:r>
          </w:p>
        </w:tc>
        <w:tc>
          <w:tcPr>
            <w:tcW w:w="1208" w:type="dxa"/>
            <w:tcBorders>
              <w:left w:val="nil"/>
              <w:right w:val="nil"/>
            </w:tcBorders>
            <w:hideMark/>
          </w:tcPr>
          <w:p w14:paraId="37A76D0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8 (11.9%)</w:t>
            </w:r>
          </w:p>
        </w:tc>
        <w:tc>
          <w:tcPr>
            <w:tcW w:w="1208" w:type="dxa"/>
            <w:tcBorders>
              <w:left w:val="nil"/>
              <w:right w:val="nil"/>
            </w:tcBorders>
            <w:hideMark/>
          </w:tcPr>
          <w:p w14:paraId="2D0F366F"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13 (19.4%)</w:t>
            </w:r>
          </w:p>
        </w:tc>
        <w:tc>
          <w:tcPr>
            <w:tcW w:w="1208" w:type="dxa"/>
            <w:tcBorders>
              <w:left w:val="nil"/>
              <w:right w:val="nil"/>
            </w:tcBorders>
            <w:hideMark/>
          </w:tcPr>
          <w:p w14:paraId="3BA8085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25 (37.3%)</w:t>
            </w:r>
          </w:p>
        </w:tc>
        <w:tc>
          <w:tcPr>
            <w:tcW w:w="1311" w:type="dxa"/>
            <w:tcBorders>
              <w:left w:val="nil"/>
              <w:right w:val="nil"/>
            </w:tcBorders>
            <w:hideMark/>
          </w:tcPr>
          <w:p w14:paraId="38546DB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21 (31.3%)</w:t>
            </w:r>
          </w:p>
        </w:tc>
        <w:tc>
          <w:tcPr>
            <w:tcW w:w="1414" w:type="dxa"/>
            <w:tcBorders>
              <w:left w:val="nil"/>
              <w:right w:val="nil"/>
            </w:tcBorders>
            <w:hideMark/>
          </w:tcPr>
          <w:p w14:paraId="1A01A7E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67 (100%)</w:t>
            </w:r>
          </w:p>
        </w:tc>
        <w:tc>
          <w:tcPr>
            <w:tcW w:w="1079" w:type="dxa"/>
            <w:tcBorders>
              <w:left w:val="nil"/>
              <w:right w:val="nil"/>
            </w:tcBorders>
            <w:hideMark/>
          </w:tcPr>
          <w:p w14:paraId="4C91FE2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0.06**</w:t>
            </w:r>
          </w:p>
        </w:tc>
      </w:tr>
      <w:tr w:rsidR="009904B2" w:rsidRPr="00E658D2" w14:paraId="49EA186D" w14:textId="77777777" w:rsidTr="00F55CE4">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7F7F7F" w:themeColor="text1" w:themeTint="80"/>
              <w:left w:val="nil"/>
              <w:bottom w:val="nil"/>
              <w:right w:val="nil"/>
            </w:tcBorders>
            <w:vAlign w:val="center"/>
            <w:hideMark/>
          </w:tcPr>
          <w:p w14:paraId="2EACD228" w14:textId="77777777" w:rsidR="009904B2" w:rsidRPr="00E658D2" w:rsidRDefault="009904B2" w:rsidP="00F55CE4">
            <w:pPr>
              <w:rPr>
                <w:rFonts w:asciiTheme="majorBidi" w:eastAsia="Times New Roman" w:hAnsiTheme="majorBidi" w:cstheme="majorBidi"/>
                <w:color w:val="000000" w:themeColor="text1"/>
                <w:kern w:val="0"/>
                <w:sz w:val="20"/>
                <w:szCs w:val="20"/>
                <w14:ligatures w14:val="none"/>
              </w:rPr>
            </w:pPr>
          </w:p>
        </w:tc>
        <w:tc>
          <w:tcPr>
            <w:tcW w:w="1348" w:type="dxa"/>
            <w:tcBorders>
              <w:top w:val="nil"/>
              <w:left w:val="nil"/>
              <w:bottom w:val="nil"/>
              <w:right w:val="nil"/>
            </w:tcBorders>
            <w:hideMark/>
          </w:tcPr>
          <w:p w14:paraId="37071196"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Polytherapy</w:t>
            </w:r>
          </w:p>
        </w:tc>
        <w:tc>
          <w:tcPr>
            <w:tcW w:w="1208" w:type="dxa"/>
            <w:tcBorders>
              <w:top w:val="nil"/>
              <w:left w:val="nil"/>
              <w:bottom w:val="nil"/>
              <w:right w:val="nil"/>
            </w:tcBorders>
            <w:hideMark/>
          </w:tcPr>
          <w:p w14:paraId="253A8528"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3 (33.3%)</w:t>
            </w:r>
          </w:p>
        </w:tc>
        <w:tc>
          <w:tcPr>
            <w:tcW w:w="1208" w:type="dxa"/>
            <w:tcBorders>
              <w:top w:val="nil"/>
              <w:left w:val="nil"/>
              <w:bottom w:val="nil"/>
              <w:right w:val="nil"/>
            </w:tcBorders>
            <w:hideMark/>
          </w:tcPr>
          <w:p w14:paraId="511304F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(11.1%)</w:t>
            </w:r>
          </w:p>
        </w:tc>
        <w:tc>
          <w:tcPr>
            <w:tcW w:w="1208" w:type="dxa"/>
            <w:tcBorders>
              <w:top w:val="nil"/>
              <w:left w:val="nil"/>
              <w:bottom w:val="nil"/>
              <w:right w:val="nil"/>
            </w:tcBorders>
            <w:hideMark/>
          </w:tcPr>
          <w:p w14:paraId="61B1F20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 (44.4%)</w:t>
            </w:r>
          </w:p>
        </w:tc>
        <w:tc>
          <w:tcPr>
            <w:tcW w:w="1311" w:type="dxa"/>
            <w:tcBorders>
              <w:top w:val="nil"/>
              <w:left w:val="nil"/>
              <w:bottom w:val="nil"/>
              <w:right w:val="nil"/>
            </w:tcBorders>
            <w:hideMark/>
          </w:tcPr>
          <w:p w14:paraId="029F249B"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(11.1%)</w:t>
            </w:r>
          </w:p>
        </w:tc>
        <w:tc>
          <w:tcPr>
            <w:tcW w:w="1414" w:type="dxa"/>
            <w:tcBorders>
              <w:top w:val="nil"/>
              <w:left w:val="nil"/>
              <w:bottom w:val="nil"/>
              <w:right w:val="nil"/>
            </w:tcBorders>
            <w:hideMark/>
          </w:tcPr>
          <w:p w14:paraId="2E4BFFE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9 (100%)</w:t>
            </w:r>
          </w:p>
        </w:tc>
        <w:tc>
          <w:tcPr>
            <w:tcW w:w="1079" w:type="dxa"/>
            <w:tcBorders>
              <w:top w:val="nil"/>
              <w:left w:val="nil"/>
              <w:bottom w:val="nil"/>
              <w:right w:val="nil"/>
            </w:tcBorders>
            <w:hideMark/>
          </w:tcPr>
          <w:p w14:paraId="34A570EE" w14:textId="77777777" w:rsidR="009904B2" w:rsidRPr="00E658D2" w:rsidRDefault="009904B2" w:rsidP="00F55CE4">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r>
      <w:tr w:rsidR="009904B2" w:rsidRPr="00E658D2" w14:paraId="5DCA15D3"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4" w:type="dxa"/>
            <w:tcBorders>
              <w:left w:val="nil"/>
              <w:right w:val="nil"/>
            </w:tcBorders>
            <w:hideMark/>
          </w:tcPr>
          <w:p w14:paraId="34B7EFC1"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bdr w:val="single" w:sz="2" w:space="0" w:color="E3E3E3" w:frame="1"/>
                <w14:ligatures w14:val="none"/>
              </w:rPr>
              <w:t>MRMs regimen</w:t>
            </w:r>
          </w:p>
        </w:tc>
        <w:tc>
          <w:tcPr>
            <w:tcW w:w="1348" w:type="dxa"/>
            <w:tcBorders>
              <w:left w:val="nil"/>
              <w:right w:val="nil"/>
            </w:tcBorders>
            <w:hideMark/>
          </w:tcPr>
          <w:p w14:paraId="0F75970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Zoledronic Acid</w:t>
            </w:r>
          </w:p>
        </w:tc>
        <w:tc>
          <w:tcPr>
            <w:tcW w:w="1208" w:type="dxa"/>
            <w:tcBorders>
              <w:left w:val="nil"/>
              <w:right w:val="nil"/>
            </w:tcBorders>
            <w:hideMark/>
          </w:tcPr>
          <w:p w14:paraId="2D2EDDA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3 (6.1%)</w:t>
            </w:r>
          </w:p>
        </w:tc>
        <w:tc>
          <w:tcPr>
            <w:tcW w:w="1208" w:type="dxa"/>
            <w:tcBorders>
              <w:left w:val="nil"/>
              <w:right w:val="nil"/>
            </w:tcBorders>
            <w:hideMark/>
          </w:tcPr>
          <w:p w14:paraId="79FB074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7 (14.3%)</w:t>
            </w:r>
          </w:p>
        </w:tc>
        <w:tc>
          <w:tcPr>
            <w:tcW w:w="1208" w:type="dxa"/>
            <w:tcBorders>
              <w:left w:val="nil"/>
              <w:right w:val="nil"/>
            </w:tcBorders>
            <w:hideMark/>
          </w:tcPr>
          <w:p w14:paraId="2E53B31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20 (40.8%)</w:t>
            </w:r>
          </w:p>
        </w:tc>
        <w:tc>
          <w:tcPr>
            <w:tcW w:w="1311" w:type="dxa"/>
            <w:tcBorders>
              <w:left w:val="nil"/>
              <w:right w:val="nil"/>
            </w:tcBorders>
            <w:hideMark/>
          </w:tcPr>
          <w:p w14:paraId="5C0A7A7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19 (38.8%)</w:t>
            </w:r>
          </w:p>
        </w:tc>
        <w:tc>
          <w:tcPr>
            <w:tcW w:w="1414" w:type="dxa"/>
            <w:tcBorders>
              <w:left w:val="nil"/>
              <w:right w:val="nil"/>
            </w:tcBorders>
            <w:hideMark/>
          </w:tcPr>
          <w:p w14:paraId="1908B31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49 (100%)</w:t>
            </w:r>
          </w:p>
        </w:tc>
        <w:tc>
          <w:tcPr>
            <w:tcW w:w="1079" w:type="dxa"/>
            <w:tcBorders>
              <w:left w:val="nil"/>
              <w:right w:val="nil"/>
            </w:tcBorders>
            <w:hideMark/>
          </w:tcPr>
          <w:p w14:paraId="7DCA87D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0.005***</w:t>
            </w:r>
          </w:p>
        </w:tc>
      </w:tr>
      <w:tr w:rsidR="009904B2" w:rsidRPr="00E658D2" w14:paraId="025345AE" w14:textId="77777777" w:rsidTr="00F55CE4">
        <w:tc>
          <w:tcPr>
            <w:cnfStyle w:val="001000000000" w:firstRow="0" w:lastRow="0" w:firstColumn="1" w:lastColumn="0" w:oddVBand="0" w:evenVBand="0" w:oddHBand="0" w:evenHBand="0" w:firstRowFirstColumn="0" w:firstRowLastColumn="0" w:lastRowFirstColumn="0" w:lastRowLastColumn="0"/>
            <w:tcW w:w="1574" w:type="dxa"/>
            <w:tcBorders>
              <w:top w:val="nil"/>
              <w:left w:val="nil"/>
              <w:bottom w:val="nil"/>
              <w:right w:val="nil"/>
            </w:tcBorders>
          </w:tcPr>
          <w:p w14:paraId="2CB42DE0"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p>
        </w:tc>
        <w:tc>
          <w:tcPr>
            <w:tcW w:w="1348" w:type="dxa"/>
            <w:tcBorders>
              <w:top w:val="nil"/>
              <w:left w:val="nil"/>
              <w:bottom w:val="nil"/>
              <w:right w:val="nil"/>
            </w:tcBorders>
            <w:hideMark/>
          </w:tcPr>
          <w:p w14:paraId="1750A54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Denosumab</w:t>
            </w:r>
          </w:p>
        </w:tc>
        <w:tc>
          <w:tcPr>
            <w:tcW w:w="1208" w:type="dxa"/>
            <w:tcBorders>
              <w:top w:val="nil"/>
              <w:left w:val="nil"/>
              <w:bottom w:val="nil"/>
              <w:right w:val="nil"/>
            </w:tcBorders>
            <w:hideMark/>
          </w:tcPr>
          <w:p w14:paraId="0BE1191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3 (25%)</w:t>
            </w:r>
          </w:p>
        </w:tc>
        <w:tc>
          <w:tcPr>
            <w:tcW w:w="1208" w:type="dxa"/>
            <w:tcBorders>
              <w:top w:val="nil"/>
              <w:left w:val="nil"/>
              <w:bottom w:val="nil"/>
              <w:right w:val="nil"/>
            </w:tcBorders>
            <w:hideMark/>
          </w:tcPr>
          <w:p w14:paraId="558B6236"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5 (41.7%)</w:t>
            </w:r>
          </w:p>
        </w:tc>
        <w:tc>
          <w:tcPr>
            <w:tcW w:w="1208" w:type="dxa"/>
            <w:tcBorders>
              <w:top w:val="nil"/>
              <w:left w:val="nil"/>
              <w:bottom w:val="nil"/>
              <w:right w:val="nil"/>
            </w:tcBorders>
            <w:hideMark/>
          </w:tcPr>
          <w:p w14:paraId="5F43A4E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 (16.7%)</w:t>
            </w:r>
          </w:p>
        </w:tc>
        <w:tc>
          <w:tcPr>
            <w:tcW w:w="1311" w:type="dxa"/>
            <w:tcBorders>
              <w:top w:val="nil"/>
              <w:left w:val="nil"/>
              <w:bottom w:val="nil"/>
              <w:right w:val="nil"/>
            </w:tcBorders>
            <w:hideMark/>
          </w:tcPr>
          <w:p w14:paraId="411B2D3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 (16.7%)</w:t>
            </w:r>
          </w:p>
        </w:tc>
        <w:tc>
          <w:tcPr>
            <w:tcW w:w="1414" w:type="dxa"/>
            <w:tcBorders>
              <w:top w:val="nil"/>
              <w:left w:val="nil"/>
              <w:bottom w:val="nil"/>
              <w:right w:val="nil"/>
            </w:tcBorders>
            <w:hideMark/>
          </w:tcPr>
          <w:p w14:paraId="4AA20F9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12 (100%)</w:t>
            </w:r>
          </w:p>
        </w:tc>
        <w:tc>
          <w:tcPr>
            <w:tcW w:w="1079" w:type="dxa"/>
            <w:tcBorders>
              <w:top w:val="nil"/>
              <w:left w:val="nil"/>
              <w:bottom w:val="nil"/>
              <w:right w:val="nil"/>
            </w:tcBorders>
            <w:hideMark/>
          </w:tcPr>
          <w:p w14:paraId="463BE1D3" w14:textId="77777777" w:rsidR="009904B2" w:rsidRPr="00E658D2" w:rsidRDefault="009904B2" w:rsidP="00F55CE4">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r>
      <w:tr w:rsidR="009904B2" w:rsidRPr="00E658D2" w14:paraId="7FA57F96"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4" w:type="dxa"/>
            <w:tcBorders>
              <w:left w:val="nil"/>
              <w:right w:val="nil"/>
            </w:tcBorders>
          </w:tcPr>
          <w:p w14:paraId="4FA4D883"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p>
        </w:tc>
        <w:tc>
          <w:tcPr>
            <w:tcW w:w="1348" w:type="dxa"/>
            <w:tcBorders>
              <w:left w:val="nil"/>
              <w:right w:val="nil"/>
            </w:tcBorders>
            <w:hideMark/>
          </w:tcPr>
          <w:p w14:paraId="0212EB3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Alendronate</w:t>
            </w:r>
          </w:p>
        </w:tc>
        <w:tc>
          <w:tcPr>
            <w:tcW w:w="1208" w:type="dxa"/>
            <w:tcBorders>
              <w:left w:val="nil"/>
              <w:right w:val="nil"/>
            </w:tcBorders>
            <w:hideMark/>
          </w:tcPr>
          <w:p w14:paraId="2AD579DD"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 (40%)</w:t>
            </w:r>
          </w:p>
        </w:tc>
        <w:tc>
          <w:tcPr>
            <w:tcW w:w="1208" w:type="dxa"/>
            <w:tcBorders>
              <w:left w:val="nil"/>
              <w:right w:val="nil"/>
            </w:tcBorders>
            <w:hideMark/>
          </w:tcPr>
          <w:p w14:paraId="5AB0DC9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208" w:type="dxa"/>
            <w:tcBorders>
              <w:left w:val="nil"/>
              <w:right w:val="nil"/>
            </w:tcBorders>
            <w:hideMark/>
          </w:tcPr>
          <w:p w14:paraId="4E0A89E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3 (60%)</w:t>
            </w:r>
          </w:p>
        </w:tc>
        <w:tc>
          <w:tcPr>
            <w:tcW w:w="1311" w:type="dxa"/>
            <w:tcBorders>
              <w:left w:val="nil"/>
              <w:right w:val="nil"/>
            </w:tcBorders>
            <w:hideMark/>
          </w:tcPr>
          <w:p w14:paraId="0558697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414" w:type="dxa"/>
            <w:tcBorders>
              <w:left w:val="nil"/>
              <w:right w:val="nil"/>
            </w:tcBorders>
            <w:hideMark/>
          </w:tcPr>
          <w:p w14:paraId="2BD29CD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5 (100%)</w:t>
            </w:r>
          </w:p>
        </w:tc>
        <w:tc>
          <w:tcPr>
            <w:tcW w:w="1079" w:type="dxa"/>
            <w:tcBorders>
              <w:left w:val="nil"/>
              <w:right w:val="nil"/>
            </w:tcBorders>
            <w:hideMark/>
          </w:tcPr>
          <w:p w14:paraId="49D80786" w14:textId="77777777" w:rsidR="009904B2" w:rsidRPr="00E658D2" w:rsidRDefault="009904B2" w:rsidP="00F55CE4">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r>
      <w:tr w:rsidR="009904B2" w:rsidRPr="00E658D2" w14:paraId="5F24021F" w14:textId="77777777" w:rsidTr="00F55CE4">
        <w:tc>
          <w:tcPr>
            <w:cnfStyle w:val="001000000000" w:firstRow="0" w:lastRow="0" w:firstColumn="1" w:lastColumn="0" w:oddVBand="0" w:evenVBand="0" w:oddHBand="0" w:evenHBand="0" w:firstRowFirstColumn="0" w:firstRowLastColumn="0" w:lastRowFirstColumn="0" w:lastRowLastColumn="0"/>
            <w:tcW w:w="1574" w:type="dxa"/>
            <w:tcBorders>
              <w:top w:val="nil"/>
              <w:left w:val="nil"/>
              <w:bottom w:val="nil"/>
              <w:right w:val="nil"/>
            </w:tcBorders>
          </w:tcPr>
          <w:p w14:paraId="0B1C8A84"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p>
        </w:tc>
        <w:tc>
          <w:tcPr>
            <w:tcW w:w="1348" w:type="dxa"/>
            <w:tcBorders>
              <w:top w:val="nil"/>
              <w:left w:val="nil"/>
              <w:bottom w:val="nil"/>
              <w:right w:val="nil"/>
            </w:tcBorders>
            <w:hideMark/>
          </w:tcPr>
          <w:p w14:paraId="60FAA88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 xml:space="preserve">Other </w:t>
            </w:r>
          </w:p>
        </w:tc>
        <w:tc>
          <w:tcPr>
            <w:tcW w:w="1208" w:type="dxa"/>
            <w:tcBorders>
              <w:top w:val="nil"/>
              <w:left w:val="nil"/>
              <w:bottom w:val="nil"/>
              <w:right w:val="nil"/>
            </w:tcBorders>
            <w:hideMark/>
          </w:tcPr>
          <w:p w14:paraId="0B1FC37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w:t>
            </w:r>
          </w:p>
        </w:tc>
        <w:tc>
          <w:tcPr>
            <w:tcW w:w="1208" w:type="dxa"/>
            <w:tcBorders>
              <w:top w:val="nil"/>
              <w:left w:val="nil"/>
              <w:bottom w:val="nil"/>
              <w:right w:val="nil"/>
            </w:tcBorders>
            <w:hideMark/>
          </w:tcPr>
          <w:p w14:paraId="5C9B960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w:t>
            </w:r>
          </w:p>
        </w:tc>
        <w:tc>
          <w:tcPr>
            <w:tcW w:w="1208" w:type="dxa"/>
            <w:tcBorders>
              <w:top w:val="nil"/>
              <w:left w:val="nil"/>
              <w:bottom w:val="nil"/>
              <w:right w:val="nil"/>
            </w:tcBorders>
            <w:hideMark/>
          </w:tcPr>
          <w:p w14:paraId="57D89CC2"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5</w:t>
            </w:r>
          </w:p>
        </w:tc>
        <w:tc>
          <w:tcPr>
            <w:tcW w:w="1311" w:type="dxa"/>
            <w:tcBorders>
              <w:top w:val="nil"/>
              <w:left w:val="nil"/>
              <w:bottom w:val="nil"/>
              <w:right w:val="nil"/>
            </w:tcBorders>
            <w:hideMark/>
          </w:tcPr>
          <w:p w14:paraId="2C029A1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w:t>
            </w:r>
          </w:p>
        </w:tc>
        <w:tc>
          <w:tcPr>
            <w:tcW w:w="1414" w:type="dxa"/>
            <w:tcBorders>
              <w:top w:val="nil"/>
              <w:left w:val="nil"/>
              <w:bottom w:val="nil"/>
              <w:right w:val="nil"/>
            </w:tcBorders>
            <w:hideMark/>
          </w:tcPr>
          <w:p w14:paraId="7ADF29F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12 (100%)</w:t>
            </w:r>
          </w:p>
        </w:tc>
        <w:tc>
          <w:tcPr>
            <w:tcW w:w="1079" w:type="dxa"/>
            <w:tcBorders>
              <w:top w:val="nil"/>
              <w:left w:val="nil"/>
              <w:bottom w:val="nil"/>
              <w:right w:val="nil"/>
            </w:tcBorders>
          </w:tcPr>
          <w:p w14:paraId="5E5ADED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r>
      <w:tr w:rsidR="009904B2" w:rsidRPr="00E658D2" w14:paraId="42AD947F"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4" w:type="dxa"/>
            <w:tcBorders>
              <w:left w:val="nil"/>
              <w:right w:val="nil"/>
            </w:tcBorders>
            <w:hideMark/>
          </w:tcPr>
          <w:p w14:paraId="0372508F"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bdr w:val="single" w:sz="2" w:space="0" w:color="E3E3E3" w:frame="1"/>
                <w14:ligatures w14:val="none"/>
              </w:rPr>
              <w:t>Polytherapy regimen</w:t>
            </w:r>
          </w:p>
        </w:tc>
        <w:tc>
          <w:tcPr>
            <w:tcW w:w="1348" w:type="dxa"/>
            <w:tcBorders>
              <w:left w:val="nil"/>
              <w:right w:val="nil"/>
            </w:tcBorders>
            <w:hideMark/>
          </w:tcPr>
          <w:p w14:paraId="538923A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Zoledronic Acid and Denosumab</w:t>
            </w:r>
          </w:p>
        </w:tc>
        <w:tc>
          <w:tcPr>
            <w:tcW w:w="1208" w:type="dxa"/>
            <w:tcBorders>
              <w:left w:val="nil"/>
              <w:right w:val="nil"/>
            </w:tcBorders>
            <w:hideMark/>
          </w:tcPr>
          <w:p w14:paraId="4F290C1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(16.7%)</w:t>
            </w:r>
          </w:p>
        </w:tc>
        <w:tc>
          <w:tcPr>
            <w:tcW w:w="1208" w:type="dxa"/>
            <w:tcBorders>
              <w:left w:val="nil"/>
              <w:right w:val="nil"/>
            </w:tcBorders>
            <w:hideMark/>
          </w:tcPr>
          <w:p w14:paraId="74C0B89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(16.7%)</w:t>
            </w:r>
          </w:p>
        </w:tc>
        <w:tc>
          <w:tcPr>
            <w:tcW w:w="1208" w:type="dxa"/>
            <w:tcBorders>
              <w:left w:val="nil"/>
              <w:right w:val="nil"/>
            </w:tcBorders>
            <w:hideMark/>
          </w:tcPr>
          <w:p w14:paraId="2075B56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3 (50%)</w:t>
            </w:r>
          </w:p>
        </w:tc>
        <w:tc>
          <w:tcPr>
            <w:tcW w:w="1311" w:type="dxa"/>
            <w:tcBorders>
              <w:left w:val="nil"/>
              <w:right w:val="nil"/>
            </w:tcBorders>
            <w:hideMark/>
          </w:tcPr>
          <w:p w14:paraId="5EBDB7C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(16.7%)</w:t>
            </w:r>
          </w:p>
        </w:tc>
        <w:tc>
          <w:tcPr>
            <w:tcW w:w="1414" w:type="dxa"/>
            <w:tcBorders>
              <w:left w:val="nil"/>
              <w:right w:val="nil"/>
            </w:tcBorders>
            <w:hideMark/>
          </w:tcPr>
          <w:p w14:paraId="2F40AC2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6 (100%)</w:t>
            </w:r>
          </w:p>
        </w:tc>
        <w:tc>
          <w:tcPr>
            <w:tcW w:w="1079" w:type="dxa"/>
            <w:tcBorders>
              <w:left w:val="nil"/>
              <w:right w:val="nil"/>
            </w:tcBorders>
            <w:hideMark/>
          </w:tcPr>
          <w:p w14:paraId="5F184F7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0.038***</w:t>
            </w:r>
          </w:p>
        </w:tc>
      </w:tr>
      <w:tr w:rsidR="009904B2" w:rsidRPr="00E658D2" w14:paraId="16AC2712" w14:textId="77777777" w:rsidTr="00F55CE4">
        <w:tc>
          <w:tcPr>
            <w:cnfStyle w:val="001000000000" w:firstRow="0" w:lastRow="0" w:firstColumn="1" w:lastColumn="0" w:oddVBand="0" w:evenVBand="0" w:oddHBand="0" w:evenHBand="0" w:firstRowFirstColumn="0" w:firstRowLastColumn="0" w:lastRowFirstColumn="0" w:lastRowLastColumn="0"/>
            <w:tcW w:w="1574" w:type="dxa"/>
            <w:tcBorders>
              <w:top w:val="nil"/>
              <w:left w:val="nil"/>
              <w:bottom w:val="nil"/>
              <w:right w:val="nil"/>
            </w:tcBorders>
          </w:tcPr>
          <w:p w14:paraId="1826A72D"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p>
        </w:tc>
        <w:tc>
          <w:tcPr>
            <w:tcW w:w="1348" w:type="dxa"/>
            <w:tcBorders>
              <w:top w:val="nil"/>
              <w:left w:val="nil"/>
              <w:bottom w:val="nil"/>
              <w:right w:val="nil"/>
            </w:tcBorders>
            <w:hideMark/>
          </w:tcPr>
          <w:p w14:paraId="1DE8376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Zoledronic Acid and Alendronate</w:t>
            </w:r>
          </w:p>
        </w:tc>
        <w:tc>
          <w:tcPr>
            <w:tcW w:w="1208" w:type="dxa"/>
            <w:tcBorders>
              <w:top w:val="nil"/>
              <w:left w:val="nil"/>
              <w:bottom w:val="nil"/>
              <w:right w:val="nil"/>
            </w:tcBorders>
            <w:hideMark/>
          </w:tcPr>
          <w:p w14:paraId="70A30E6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208" w:type="dxa"/>
            <w:tcBorders>
              <w:top w:val="nil"/>
              <w:left w:val="nil"/>
              <w:bottom w:val="nil"/>
              <w:right w:val="nil"/>
            </w:tcBorders>
            <w:hideMark/>
          </w:tcPr>
          <w:p w14:paraId="3A6CCCB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208" w:type="dxa"/>
            <w:tcBorders>
              <w:top w:val="nil"/>
              <w:left w:val="nil"/>
              <w:bottom w:val="nil"/>
              <w:right w:val="nil"/>
            </w:tcBorders>
            <w:hideMark/>
          </w:tcPr>
          <w:p w14:paraId="7AF6DBB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(100%)</w:t>
            </w:r>
          </w:p>
        </w:tc>
        <w:tc>
          <w:tcPr>
            <w:tcW w:w="1311" w:type="dxa"/>
            <w:tcBorders>
              <w:top w:val="nil"/>
              <w:left w:val="nil"/>
              <w:bottom w:val="nil"/>
              <w:right w:val="nil"/>
            </w:tcBorders>
            <w:hideMark/>
          </w:tcPr>
          <w:p w14:paraId="6B5763F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414" w:type="dxa"/>
            <w:tcBorders>
              <w:top w:val="nil"/>
              <w:left w:val="nil"/>
              <w:bottom w:val="nil"/>
              <w:right w:val="nil"/>
            </w:tcBorders>
            <w:hideMark/>
          </w:tcPr>
          <w:p w14:paraId="12A2604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(100%)</w:t>
            </w:r>
          </w:p>
        </w:tc>
        <w:tc>
          <w:tcPr>
            <w:tcW w:w="1079" w:type="dxa"/>
            <w:tcBorders>
              <w:top w:val="nil"/>
              <w:left w:val="nil"/>
              <w:bottom w:val="nil"/>
              <w:right w:val="nil"/>
            </w:tcBorders>
            <w:hideMark/>
          </w:tcPr>
          <w:p w14:paraId="7A547F7F" w14:textId="77777777" w:rsidR="009904B2" w:rsidRPr="00E658D2" w:rsidRDefault="009904B2" w:rsidP="00F55CE4">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r>
      <w:tr w:rsidR="009904B2" w:rsidRPr="00E658D2" w14:paraId="6BB16AA7"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4" w:type="dxa"/>
            <w:tcBorders>
              <w:left w:val="nil"/>
              <w:right w:val="nil"/>
            </w:tcBorders>
          </w:tcPr>
          <w:p w14:paraId="6563A1CC"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p>
        </w:tc>
        <w:tc>
          <w:tcPr>
            <w:tcW w:w="1348" w:type="dxa"/>
            <w:tcBorders>
              <w:left w:val="nil"/>
              <w:right w:val="nil"/>
            </w:tcBorders>
            <w:hideMark/>
          </w:tcPr>
          <w:p w14:paraId="3A42FB2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Alendronate and Denosumab</w:t>
            </w:r>
          </w:p>
        </w:tc>
        <w:tc>
          <w:tcPr>
            <w:tcW w:w="1208" w:type="dxa"/>
            <w:tcBorders>
              <w:left w:val="nil"/>
              <w:right w:val="nil"/>
            </w:tcBorders>
            <w:hideMark/>
          </w:tcPr>
          <w:p w14:paraId="36AA048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(100%)</w:t>
            </w:r>
          </w:p>
        </w:tc>
        <w:tc>
          <w:tcPr>
            <w:tcW w:w="1208" w:type="dxa"/>
            <w:tcBorders>
              <w:left w:val="nil"/>
              <w:right w:val="nil"/>
            </w:tcBorders>
            <w:hideMark/>
          </w:tcPr>
          <w:p w14:paraId="337C5E19"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208" w:type="dxa"/>
            <w:tcBorders>
              <w:left w:val="nil"/>
              <w:right w:val="nil"/>
            </w:tcBorders>
            <w:hideMark/>
          </w:tcPr>
          <w:p w14:paraId="4532C19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311" w:type="dxa"/>
            <w:tcBorders>
              <w:left w:val="nil"/>
              <w:right w:val="nil"/>
            </w:tcBorders>
            <w:hideMark/>
          </w:tcPr>
          <w:p w14:paraId="473AB0C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414" w:type="dxa"/>
            <w:tcBorders>
              <w:left w:val="nil"/>
              <w:right w:val="nil"/>
            </w:tcBorders>
            <w:hideMark/>
          </w:tcPr>
          <w:p w14:paraId="319B943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(100%)</w:t>
            </w:r>
          </w:p>
        </w:tc>
        <w:tc>
          <w:tcPr>
            <w:tcW w:w="1079" w:type="dxa"/>
            <w:tcBorders>
              <w:left w:val="nil"/>
              <w:right w:val="nil"/>
            </w:tcBorders>
            <w:hideMark/>
          </w:tcPr>
          <w:p w14:paraId="38929D83" w14:textId="77777777" w:rsidR="009904B2" w:rsidRPr="00E658D2" w:rsidRDefault="009904B2" w:rsidP="00F55CE4">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r>
      <w:tr w:rsidR="009904B2" w:rsidRPr="00E658D2" w14:paraId="0A965268" w14:textId="77777777" w:rsidTr="00F55CE4">
        <w:tc>
          <w:tcPr>
            <w:cnfStyle w:val="001000000000" w:firstRow="0" w:lastRow="0" w:firstColumn="1" w:lastColumn="0" w:oddVBand="0" w:evenVBand="0" w:oddHBand="0" w:evenHBand="0" w:firstRowFirstColumn="0" w:firstRowLastColumn="0" w:lastRowFirstColumn="0" w:lastRowLastColumn="0"/>
            <w:tcW w:w="1574" w:type="dxa"/>
            <w:tcBorders>
              <w:top w:val="nil"/>
              <w:left w:val="nil"/>
              <w:bottom w:val="nil"/>
              <w:right w:val="nil"/>
            </w:tcBorders>
          </w:tcPr>
          <w:p w14:paraId="10556E20"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p>
        </w:tc>
        <w:tc>
          <w:tcPr>
            <w:tcW w:w="1348" w:type="dxa"/>
            <w:tcBorders>
              <w:top w:val="nil"/>
              <w:left w:val="nil"/>
              <w:bottom w:val="nil"/>
              <w:right w:val="nil"/>
            </w:tcBorders>
            <w:hideMark/>
          </w:tcPr>
          <w:p w14:paraId="386E730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Denosumab and Lenoma)</w:t>
            </w:r>
          </w:p>
        </w:tc>
        <w:tc>
          <w:tcPr>
            <w:tcW w:w="1208" w:type="dxa"/>
            <w:tcBorders>
              <w:top w:val="nil"/>
              <w:left w:val="nil"/>
              <w:bottom w:val="nil"/>
              <w:right w:val="nil"/>
            </w:tcBorders>
            <w:hideMark/>
          </w:tcPr>
          <w:p w14:paraId="003EBBB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(100%)</w:t>
            </w:r>
          </w:p>
        </w:tc>
        <w:tc>
          <w:tcPr>
            <w:tcW w:w="1208" w:type="dxa"/>
            <w:tcBorders>
              <w:top w:val="nil"/>
              <w:left w:val="nil"/>
              <w:bottom w:val="nil"/>
              <w:right w:val="nil"/>
            </w:tcBorders>
            <w:hideMark/>
          </w:tcPr>
          <w:p w14:paraId="01B51B5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208" w:type="dxa"/>
            <w:tcBorders>
              <w:top w:val="nil"/>
              <w:left w:val="nil"/>
              <w:bottom w:val="nil"/>
              <w:right w:val="nil"/>
            </w:tcBorders>
            <w:hideMark/>
          </w:tcPr>
          <w:p w14:paraId="1BE70F6F"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311" w:type="dxa"/>
            <w:tcBorders>
              <w:top w:val="nil"/>
              <w:left w:val="nil"/>
              <w:bottom w:val="nil"/>
              <w:right w:val="nil"/>
            </w:tcBorders>
            <w:hideMark/>
          </w:tcPr>
          <w:p w14:paraId="0A47DEF8"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414" w:type="dxa"/>
            <w:tcBorders>
              <w:top w:val="nil"/>
              <w:left w:val="nil"/>
              <w:bottom w:val="nil"/>
              <w:right w:val="nil"/>
            </w:tcBorders>
            <w:hideMark/>
          </w:tcPr>
          <w:p w14:paraId="024198E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(100%)</w:t>
            </w:r>
          </w:p>
        </w:tc>
        <w:tc>
          <w:tcPr>
            <w:tcW w:w="1079" w:type="dxa"/>
            <w:tcBorders>
              <w:top w:val="nil"/>
              <w:left w:val="nil"/>
              <w:bottom w:val="nil"/>
              <w:right w:val="nil"/>
            </w:tcBorders>
            <w:hideMark/>
          </w:tcPr>
          <w:p w14:paraId="299314EB" w14:textId="77777777" w:rsidR="009904B2" w:rsidRPr="00E658D2" w:rsidRDefault="009904B2" w:rsidP="00F55CE4">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r>
      <w:tr w:rsidR="009904B2" w:rsidRPr="00E658D2" w14:paraId="282F803A"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4" w:type="dxa"/>
            <w:vMerge w:val="restart"/>
            <w:tcBorders>
              <w:left w:val="nil"/>
              <w:bottom w:val="nil"/>
              <w:right w:val="nil"/>
            </w:tcBorders>
            <w:hideMark/>
          </w:tcPr>
          <w:p w14:paraId="43E41624"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bdr w:val="single" w:sz="2" w:space="0" w:color="E3E3E3" w:frame="1"/>
                <w14:ligatures w14:val="none"/>
              </w:rPr>
              <w:t>Administration Route</w:t>
            </w:r>
          </w:p>
        </w:tc>
        <w:tc>
          <w:tcPr>
            <w:tcW w:w="1348" w:type="dxa"/>
            <w:tcBorders>
              <w:left w:val="nil"/>
              <w:right w:val="nil"/>
            </w:tcBorders>
            <w:hideMark/>
          </w:tcPr>
          <w:p w14:paraId="203247A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 xml:space="preserve">Parenteral </w:t>
            </w:r>
          </w:p>
        </w:tc>
        <w:tc>
          <w:tcPr>
            <w:tcW w:w="1208" w:type="dxa"/>
            <w:tcBorders>
              <w:left w:val="nil"/>
              <w:right w:val="nil"/>
            </w:tcBorders>
            <w:hideMark/>
          </w:tcPr>
          <w:p w14:paraId="43F4528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7 (10.6%)</w:t>
            </w:r>
          </w:p>
        </w:tc>
        <w:tc>
          <w:tcPr>
            <w:tcW w:w="1208" w:type="dxa"/>
            <w:tcBorders>
              <w:left w:val="nil"/>
              <w:right w:val="nil"/>
            </w:tcBorders>
            <w:hideMark/>
          </w:tcPr>
          <w:p w14:paraId="0F0EABA2"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14 (21.2%)</w:t>
            </w:r>
          </w:p>
        </w:tc>
        <w:tc>
          <w:tcPr>
            <w:tcW w:w="1208" w:type="dxa"/>
            <w:tcBorders>
              <w:left w:val="nil"/>
              <w:right w:val="nil"/>
            </w:tcBorders>
            <w:hideMark/>
          </w:tcPr>
          <w:p w14:paraId="40DB2E3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25 (37.9%)</w:t>
            </w:r>
          </w:p>
        </w:tc>
        <w:tc>
          <w:tcPr>
            <w:tcW w:w="1311" w:type="dxa"/>
            <w:tcBorders>
              <w:left w:val="nil"/>
              <w:right w:val="nil"/>
            </w:tcBorders>
            <w:hideMark/>
          </w:tcPr>
          <w:p w14:paraId="3389791B"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20 (30.3%)</w:t>
            </w:r>
          </w:p>
        </w:tc>
        <w:tc>
          <w:tcPr>
            <w:tcW w:w="1414" w:type="dxa"/>
            <w:tcBorders>
              <w:left w:val="nil"/>
              <w:right w:val="nil"/>
            </w:tcBorders>
            <w:hideMark/>
          </w:tcPr>
          <w:p w14:paraId="3BF7DB5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66 (100%)</w:t>
            </w:r>
          </w:p>
        </w:tc>
        <w:tc>
          <w:tcPr>
            <w:tcW w:w="1079" w:type="dxa"/>
            <w:tcBorders>
              <w:left w:val="nil"/>
              <w:right w:val="nil"/>
            </w:tcBorders>
            <w:hideMark/>
          </w:tcPr>
          <w:p w14:paraId="2EA5C2D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0.03***</w:t>
            </w:r>
          </w:p>
        </w:tc>
      </w:tr>
      <w:tr w:rsidR="009904B2" w:rsidRPr="00E658D2" w14:paraId="01137B34" w14:textId="77777777" w:rsidTr="00F55CE4">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7F7F7F" w:themeColor="text1" w:themeTint="80"/>
              <w:left w:val="nil"/>
              <w:bottom w:val="nil"/>
              <w:right w:val="nil"/>
            </w:tcBorders>
            <w:vAlign w:val="center"/>
            <w:hideMark/>
          </w:tcPr>
          <w:p w14:paraId="415702AB" w14:textId="77777777" w:rsidR="009904B2" w:rsidRPr="00E658D2" w:rsidRDefault="009904B2" w:rsidP="00F55CE4">
            <w:pPr>
              <w:rPr>
                <w:rFonts w:asciiTheme="majorBidi" w:eastAsia="Times New Roman" w:hAnsiTheme="majorBidi" w:cstheme="majorBidi"/>
                <w:color w:val="000000" w:themeColor="text1"/>
                <w:kern w:val="0"/>
                <w:sz w:val="20"/>
                <w:szCs w:val="20"/>
                <w14:ligatures w14:val="none"/>
              </w:rPr>
            </w:pPr>
          </w:p>
        </w:tc>
        <w:tc>
          <w:tcPr>
            <w:tcW w:w="1348" w:type="dxa"/>
            <w:tcBorders>
              <w:top w:val="nil"/>
              <w:left w:val="nil"/>
              <w:bottom w:val="nil"/>
              <w:right w:val="nil"/>
            </w:tcBorders>
            <w:hideMark/>
          </w:tcPr>
          <w:p w14:paraId="420E2C8B"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Oral</w:t>
            </w:r>
          </w:p>
        </w:tc>
        <w:tc>
          <w:tcPr>
            <w:tcW w:w="1208" w:type="dxa"/>
            <w:tcBorders>
              <w:top w:val="nil"/>
              <w:left w:val="nil"/>
              <w:bottom w:val="nil"/>
              <w:right w:val="nil"/>
            </w:tcBorders>
            <w:hideMark/>
          </w:tcPr>
          <w:p w14:paraId="34CFA2D8"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 (50%)</w:t>
            </w:r>
          </w:p>
        </w:tc>
        <w:tc>
          <w:tcPr>
            <w:tcW w:w="1208" w:type="dxa"/>
            <w:tcBorders>
              <w:top w:val="nil"/>
              <w:left w:val="nil"/>
              <w:bottom w:val="nil"/>
              <w:right w:val="nil"/>
            </w:tcBorders>
            <w:hideMark/>
          </w:tcPr>
          <w:p w14:paraId="1CA703D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208" w:type="dxa"/>
            <w:tcBorders>
              <w:top w:val="nil"/>
              <w:left w:val="nil"/>
              <w:bottom w:val="nil"/>
              <w:right w:val="nil"/>
            </w:tcBorders>
            <w:hideMark/>
          </w:tcPr>
          <w:p w14:paraId="4E4B6B5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 (50%)</w:t>
            </w:r>
          </w:p>
        </w:tc>
        <w:tc>
          <w:tcPr>
            <w:tcW w:w="1311" w:type="dxa"/>
            <w:tcBorders>
              <w:top w:val="nil"/>
              <w:left w:val="nil"/>
              <w:bottom w:val="nil"/>
              <w:right w:val="nil"/>
            </w:tcBorders>
            <w:hideMark/>
          </w:tcPr>
          <w:p w14:paraId="3E616B0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414" w:type="dxa"/>
            <w:tcBorders>
              <w:top w:val="nil"/>
              <w:left w:val="nil"/>
              <w:bottom w:val="nil"/>
              <w:right w:val="nil"/>
            </w:tcBorders>
            <w:hideMark/>
          </w:tcPr>
          <w:p w14:paraId="3A52D803"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8 (100%)</w:t>
            </w:r>
          </w:p>
        </w:tc>
        <w:tc>
          <w:tcPr>
            <w:tcW w:w="1079" w:type="dxa"/>
            <w:tcBorders>
              <w:top w:val="nil"/>
              <w:left w:val="nil"/>
              <w:bottom w:val="nil"/>
              <w:right w:val="nil"/>
            </w:tcBorders>
            <w:hideMark/>
          </w:tcPr>
          <w:p w14:paraId="1735ABFB" w14:textId="77777777" w:rsidR="009904B2" w:rsidRPr="00E658D2" w:rsidRDefault="009904B2" w:rsidP="00F55CE4">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r>
      <w:tr w:rsidR="009904B2" w:rsidRPr="00E658D2" w14:paraId="5EDE7584"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4" w:type="dxa"/>
            <w:tcBorders>
              <w:left w:val="nil"/>
              <w:right w:val="nil"/>
            </w:tcBorders>
          </w:tcPr>
          <w:p w14:paraId="636A2426"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p>
        </w:tc>
        <w:tc>
          <w:tcPr>
            <w:tcW w:w="1348" w:type="dxa"/>
            <w:tcBorders>
              <w:left w:val="nil"/>
              <w:right w:val="nil"/>
            </w:tcBorders>
            <w:hideMark/>
          </w:tcPr>
          <w:p w14:paraId="79F9B0B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 xml:space="preserve">Both </w:t>
            </w:r>
          </w:p>
        </w:tc>
        <w:tc>
          <w:tcPr>
            <w:tcW w:w="1208" w:type="dxa"/>
            <w:tcBorders>
              <w:left w:val="nil"/>
              <w:right w:val="nil"/>
            </w:tcBorders>
            <w:hideMark/>
          </w:tcPr>
          <w:p w14:paraId="7AFDBC9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(25%)</w:t>
            </w:r>
          </w:p>
        </w:tc>
        <w:tc>
          <w:tcPr>
            <w:tcW w:w="1208" w:type="dxa"/>
            <w:tcBorders>
              <w:left w:val="nil"/>
              <w:right w:val="nil"/>
            </w:tcBorders>
            <w:hideMark/>
          </w:tcPr>
          <w:p w14:paraId="7338D1C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 (0%)</w:t>
            </w:r>
          </w:p>
        </w:tc>
        <w:tc>
          <w:tcPr>
            <w:tcW w:w="1208" w:type="dxa"/>
            <w:tcBorders>
              <w:left w:val="nil"/>
              <w:right w:val="nil"/>
            </w:tcBorders>
            <w:hideMark/>
          </w:tcPr>
          <w:p w14:paraId="65D4D94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 (25%)</w:t>
            </w:r>
          </w:p>
        </w:tc>
        <w:tc>
          <w:tcPr>
            <w:tcW w:w="1311" w:type="dxa"/>
            <w:tcBorders>
              <w:left w:val="nil"/>
              <w:right w:val="nil"/>
            </w:tcBorders>
            <w:hideMark/>
          </w:tcPr>
          <w:p w14:paraId="31A0106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 (50%)</w:t>
            </w:r>
          </w:p>
        </w:tc>
        <w:tc>
          <w:tcPr>
            <w:tcW w:w="1414" w:type="dxa"/>
            <w:tcBorders>
              <w:left w:val="nil"/>
              <w:right w:val="nil"/>
            </w:tcBorders>
            <w:hideMark/>
          </w:tcPr>
          <w:p w14:paraId="64A1D4D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 (100%)</w:t>
            </w:r>
          </w:p>
        </w:tc>
        <w:tc>
          <w:tcPr>
            <w:tcW w:w="1079" w:type="dxa"/>
            <w:tcBorders>
              <w:left w:val="nil"/>
              <w:right w:val="nil"/>
            </w:tcBorders>
            <w:hideMark/>
          </w:tcPr>
          <w:p w14:paraId="2F6F60B9" w14:textId="77777777" w:rsidR="009904B2" w:rsidRPr="00E658D2" w:rsidRDefault="009904B2" w:rsidP="00F55CE4">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r>
      <w:tr w:rsidR="009904B2" w:rsidRPr="00E658D2" w14:paraId="1E314D6E" w14:textId="77777777" w:rsidTr="00F55CE4">
        <w:tc>
          <w:tcPr>
            <w:cnfStyle w:val="001000000000" w:firstRow="0" w:lastRow="0" w:firstColumn="1" w:lastColumn="0" w:oddVBand="0" w:evenVBand="0" w:oddHBand="0" w:evenHBand="0" w:firstRowFirstColumn="0" w:firstRowLastColumn="0" w:lastRowFirstColumn="0" w:lastRowLastColumn="0"/>
            <w:tcW w:w="1574" w:type="dxa"/>
            <w:vMerge w:val="restart"/>
            <w:tcBorders>
              <w:top w:val="nil"/>
              <w:left w:val="nil"/>
              <w:bottom w:val="nil"/>
              <w:right w:val="nil"/>
            </w:tcBorders>
            <w:hideMark/>
          </w:tcPr>
          <w:p w14:paraId="174F40C4"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bdr w:val="single" w:sz="2" w:space="0" w:color="E3E3E3" w:frame="1"/>
                <w14:ligatures w14:val="none"/>
              </w:rPr>
              <w:t>MRMs Dosage (mg)</w:t>
            </w:r>
          </w:p>
        </w:tc>
        <w:tc>
          <w:tcPr>
            <w:tcW w:w="1348" w:type="dxa"/>
            <w:tcBorders>
              <w:top w:val="nil"/>
              <w:left w:val="nil"/>
              <w:bottom w:val="nil"/>
              <w:right w:val="nil"/>
            </w:tcBorders>
            <w:hideMark/>
          </w:tcPr>
          <w:p w14:paraId="567463B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 xml:space="preserve">Zoledronic Acid </w:t>
            </w:r>
          </w:p>
        </w:tc>
        <w:tc>
          <w:tcPr>
            <w:tcW w:w="1208" w:type="dxa"/>
            <w:tcBorders>
              <w:top w:val="nil"/>
              <w:left w:val="nil"/>
              <w:bottom w:val="nil"/>
              <w:right w:val="nil"/>
            </w:tcBorders>
            <w:hideMark/>
          </w:tcPr>
          <w:p w14:paraId="4A21318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(48-96) 80</w:t>
            </w:r>
          </w:p>
        </w:tc>
        <w:tc>
          <w:tcPr>
            <w:tcW w:w="1208" w:type="dxa"/>
            <w:tcBorders>
              <w:top w:val="nil"/>
              <w:left w:val="nil"/>
              <w:bottom w:val="nil"/>
              <w:right w:val="nil"/>
            </w:tcBorders>
            <w:hideMark/>
          </w:tcPr>
          <w:p w14:paraId="7675D2AB"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(24-102) 38</w:t>
            </w:r>
          </w:p>
        </w:tc>
        <w:tc>
          <w:tcPr>
            <w:tcW w:w="1208" w:type="dxa"/>
            <w:tcBorders>
              <w:top w:val="nil"/>
              <w:left w:val="nil"/>
              <w:bottom w:val="nil"/>
              <w:right w:val="nil"/>
            </w:tcBorders>
            <w:hideMark/>
          </w:tcPr>
          <w:p w14:paraId="211FE70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(24-112) 56</w:t>
            </w:r>
          </w:p>
        </w:tc>
        <w:tc>
          <w:tcPr>
            <w:tcW w:w="1311" w:type="dxa"/>
            <w:tcBorders>
              <w:top w:val="nil"/>
              <w:left w:val="nil"/>
              <w:bottom w:val="nil"/>
              <w:right w:val="nil"/>
            </w:tcBorders>
            <w:hideMark/>
          </w:tcPr>
          <w:p w14:paraId="5FEEC996"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(72-192) 144</w:t>
            </w:r>
          </w:p>
        </w:tc>
        <w:tc>
          <w:tcPr>
            <w:tcW w:w="1414" w:type="dxa"/>
            <w:tcBorders>
              <w:top w:val="nil"/>
              <w:left w:val="nil"/>
              <w:bottom w:val="nil"/>
              <w:right w:val="nil"/>
            </w:tcBorders>
            <w:hideMark/>
          </w:tcPr>
          <w:p w14:paraId="66B87BB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(40-144) 80</w:t>
            </w:r>
          </w:p>
        </w:tc>
        <w:tc>
          <w:tcPr>
            <w:tcW w:w="1079" w:type="dxa"/>
            <w:tcBorders>
              <w:top w:val="nil"/>
              <w:left w:val="nil"/>
              <w:bottom w:val="nil"/>
              <w:right w:val="nil"/>
            </w:tcBorders>
            <w:hideMark/>
          </w:tcPr>
          <w:p w14:paraId="4E6F483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0.026***</w:t>
            </w:r>
          </w:p>
        </w:tc>
      </w:tr>
      <w:tr w:rsidR="009904B2" w:rsidRPr="00E658D2" w14:paraId="7D894842"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bottom w:val="nil"/>
              <w:right w:val="nil"/>
            </w:tcBorders>
            <w:vAlign w:val="center"/>
            <w:hideMark/>
          </w:tcPr>
          <w:p w14:paraId="64742F54" w14:textId="77777777" w:rsidR="009904B2" w:rsidRPr="00E658D2" w:rsidRDefault="009904B2" w:rsidP="00F55CE4">
            <w:pPr>
              <w:rPr>
                <w:rFonts w:asciiTheme="majorBidi" w:eastAsia="Times New Roman" w:hAnsiTheme="majorBidi" w:cstheme="majorBidi"/>
                <w:color w:val="000000" w:themeColor="text1"/>
                <w:kern w:val="0"/>
                <w:sz w:val="20"/>
                <w:szCs w:val="20"/>
                <w14:ligatures w14:val="none"/>
              </w:rPr>
            </w:pPr>
          </w:p>
        </w:tc>
        <w:tc>
          <w:tcPr>
            <w:tcW w:w="1348" w:type="dxa"/>
            <w:tcBorders>
              <w:left w:val="nil"/>
              <w:right w:val="nil"/>
            </w:tcBorders>
            <w:hideMark/>
          </w:tcPr>
          <w:p w14:paraId="5848967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 xml:space="preserve">Denosumab </w:t>
            </w:r>
          </w:p>
        </w:tc>
        <w:tc>
          <w:tcPr>
            <w:tcW w:w="1208" w:type="dxa"/>
            <w:tcBorders>
              <w:left w:val="nil"/>
              <w:right w:val="nil"/>
            </w:tcBorders>
            <w:hideMark/>
          </w:tcPr>
          <w:p w14:paraId="73C10AC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142±82.210</w:t>
            </w:r>
          </w:p>
        </w:tc>
        <w:tc>
          <w:tcPr>
            <w:tcW w:w="1208" w:type="dxa"/>
            <w:tcBorders>
              <w:left w:val="nil"/>
              <w:right w:val="nil"/>
            </w:tcBorders>
            <w:hideMark/>
          </w:tcPr>
          <w:p w14:paraId="4FC6587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439±95.790</w:t>
            </w:r>
          </w:p>
        </w:tc>
        <w:tc>
          <w:tcPr>
            <w:tcW w:w="1208" w:type="dxa"/>
            <w:tcBorders>
              <w:left w:val="nil"/>
              <w:right w:val="nil"/>
            </w:tcBorders>
            <w:hideMark/>
          </w:tcPr>
          <w:p w14:paraId="073BC81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596±74.525</w:t>
            </w:r>
          </w:p>
        </w:tc>
        <w:tc>
          <w:tcPr>
            <w:tcW w:w="1311" w:type="dxa"/>
            <w:tcBorders>
              <w:left w:val="nil"/>
              <w:right w:val="nil"/>
            </w:tcBorders>
            <w:hideMark/>
          </w:tcPr>
          <w:p w14:paraId="1B77B01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783±07.2020</w:t>
            </w:r>
          </w:p>
        </w:tc>
        <w:tc>
          <w:tcPr>
            <w:tcW w:w="1414" w:type="dxa"/>
            <w:tcBorders>
              <w:left w:val="nil"/>
              <w:right w:val="nil"/>
            </w:tcBorders>
            <w:hideMark/>
          </w:tcPr>
          <w:p w14:paraId="59AB096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769±87.80823</w:t>
            </w:r>
          </w:p>
        </w:tc>
        <w:tc>
          <w:tcPr>
            <w:tcW w:w="1079" w:type="dxa"/>
            <w:tcBorders>
              <w:left w:val="nil"/>
              <w:right w:val="nil"/>
            </w:tcBorders>
            <w:hideMark/>
          </w:tcPr>
          <w:p w14:paraId="1194338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0.03****</w:t>
            </w:r>
          </w:p>
        </w:tc>
      </w:tr>
      <w:tr w:rsidR="009904B2" w:rsidRPr="00E658D2" w14:paraId="7870F67F" w14:textId="77777777" w:rsidTr="00F55CE4">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bottom w:val="nil"/>
              <w:right w:val="nil"/>
            </w:tcBorders>
            <w:vAlign w:val="center"/>
            <w:hideMark/>
          </w:tcPr>
          <w:p w14:paraId="16A60F1B" w14:textId="77777777" w:rsidR="009904B2" w:rsidRPr="00E658D2" w:rsidRDefault="009904B2" w:rsidP="00F55CE4">
            <w:pPr>
              <w:rPr>
                <w:rFonts w:asciiTheme="majorBidi" w:eastAsia="Times New Roman" w:hAnsiTheme="majorBidi" w:cstheme="majorBidi"/>
                <w:color w:val="000000" w:themeColor="text1"/>
                <w:kern w:val="0"/>
                <w:sz w:val="20"/>
                <w:szCs w:val="20"/>
                <w14:ligatures w14:val="none"/>
              </w:rPr>
            </w:pPr>
          </w:p>
        </w:tc>
        <w:tc>
          <w:tcPr>
            <w:tcW w:w="1348" w:type="dxa"/>
            <w:tcBorders>
              <w:top w:val="nil"/>
              <w:left w:val="nil"/>
              <w:bottom w:val="nil"/>
              <w:right w:val="nil"/>
            </w:tcBorders>
            <w:hideMark/>
          </w:tcPr>
          <w:p w14:paraId="7B9E2D7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 xml:space="preserve">Alendronate </w:t>
            </w:r>
          </w:p>
        </w:tc>
        <w:tc>
          <w:tcPr>
            <w:tcW w:w="1208" w:type="dxa"/>
            <w:tcBorders>
              <w:top w:val="nil"/>
              <w:left w:val="nil"/>
              <w:bottom w:val="nil"/>
              <w:right w:val="nil"/>
            </w:tcBorders>
            <w:hideMark/>
          </w:tcPr>
          <w:p w14:paraId="7E43F47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(1960-18200) 2240</w:t>
            </w:r>
          </w:p>
        </w:tc>
        <w:tc>
          <w:tcPr>
            <w:tcW w:w="1208" w:type="dxa"/>
            <w:tcBorders>
              <w:top w:val="nil"/>
              <w:left w:val="nil"/>
              <w:bottom w:val="nil"/>
              <w:right w:val="nil"/>
            </w:tcBorders>
            <w:hideMark/>
          </w:tcPr>
          <w:p w14:paraId="1006745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(0-0) 0</w:t>
            </w:r>
          </w:p>
        </w:tc>
        <w:tc>
          <w:tcPr>
            <w:tcW w:w="1208" w:type="dxa"/>
            <w:tcBorders>
              <w:top w:val="nil"/>
              <w:left w:val="nil"/>
              <w:bottom w:val="nil"/>
              <w:right w:val="nil"/>
            </w:tcBorders>
            <w:hideMark/>
          </w:tcPr>
          <w:p w14:paraId="62A9F1D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(2240-6440) 4620</w:t>
            </w:r>
          </w:p>
        </w:tc>
        <w:tc>
          <w:tcPr>
            <w:tcW w:w="1311" w:type="dxa"/>
            <w:tcBorders>
              <w:top w:val="nil"/>
              <w:left w:val="nil"/>
              <w:bottom w:val="nil"/>
              <w:right w:val="nil"/>
            </w:tcBorders>
            <w:hideMark/>
          </w:tcPr>
          <w:p w14:paraId="2CB0975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(0-0) 0</w:t>
            </w:r>
          </w:p>
        </w:tc>
        <w:tc>
          <w:tcPr>
            <w:tcW w:w="1414" w:type="dxa"/>
            <w:tcBorders>
              <w:top w:val="nil"/>
              <w:left w:val="nil"/>
              <w:bottom w:val="nil"/>
              <w:right w:val="nil"/>
            </w:tcBorders>
            <w:hideMark/>
          </w:tcPr>
          <w:p w14:paraId="0DAA6EE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(1960-7280) 3640</w:t>
            </w:r>
          </w:p>
        </w:tc>
        <w:tc>
          <w:tcPr>
            <w:tcW w:w="1079" w:type="dxa"/>
            <w:tcBorders>
              <w:top w:val="nil"/>
              <w:left w:val="nil"/>
              <w:bottom w:val="nil"/>
              <w:right w:val="nil"/>
            </w:tcBorders>
            <w:hideMark/>
          </w:tcPr>
          <w:p w14:paraId="5E6C366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w:t>
            </w:r>
          </w:p>
        </w:tc>
      </w:tr>
      <w:tr w:rsidR="009904B2" w:rsidRPr="00E658D2" w14:paraId="2E3F0A1B"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4" w:type="dxa"/>
            <w:tcBorders>
              <w:left w:val="nil"/>
              <w:right w:val="nil"/>
            </w:tcBorders>
            <w:hideMark/>
          </w:tcPr>
          <w:p w14:paraId="20AD4C7E"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bdr w:val="single" w:sz="2" w:space="0" w:color="E3E3E3" w:frame="1"/>
                <w14:ligatures w14:val="none"/>
              </w:rPr>
              <w:t>Equivalent Dose</w:t>
            </w:r>
          </w:p>
        </w:tc>
        <w:tc>
          <w:tcPr>
            <w:tcW w:w="1348" w:type="dxa"/>
            <w:tcBorders>
              <w:left w:val="nil"/>
              <w:right w:val="nil"/>
            </w:tcBorders>
            <w:hideMark/>
          </w:tcPr>
          <w:p w14:paraId="335C360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(0.12-5.57) 0.75</w:t>
            </w:r>
          </w:p>
        </w:tc>
        <w:tc>
          <w:tcPr>
            <w:tcW w:w="1208" w:type="dxa"/>
            <w:tcBorders>
              <w:left w:val="nil"/>
              <w:right w:val="nil"/>
            </w:tcBorders>
            <w:hideMark/>
          </w:tcPr>
          <w:p w14:paraId="73922DA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(1.2-4.8) 1.5</w:t>
            </w:r>
          </w:p>
        </w:tc>
        <w:tc>
          <w:tcPr>
            <w:tcW w:w="1208" w:type="dxa"/>
            <w:tcBorders>
              <w:left w:val="nil"/>
              <w:right w:val="nil"/>
            </w:tcBorders>
            <w:hideMark/>
          </w:tcPr>
          <w:p w14:paraId="49EDF12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(0.8-5.6) 2.4</w:t>
            </w:r>
          </w:p>
        </w:tc>
        <w:tc>
          <w:tcPr>
            <w:tcW w:w="1208" w:type="dxa"/>
            <w:tcBorders>
              <w:left w:val="nil"/>
              <w:right w:val="nil"/>
            </w:tcBorders>
            <w:hideMark/>
          </w:tcPr>
          <w:p w14:paraId="48483EE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(4.8-6.9) 2.7</w:t>
            </w:r>
          </w:p>
        </w:tc>
        <w:tc>
          <w:tcPr>
            <w:tcW w:w="1311" w:type="dxa"/>
            <w:tcBorders>
              <w:left w:val="nil"/>
              <w:right w:val="nil"/>
            </w:tcBorders>
            <w:hideMark/>
          </w:tcPr>
          <w:p w14:paraId="16A1FB7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(1.2-2.7) 2.79</w:t>
            </w:r>
          </w:p>
        </w:tc>
        <w:tc>
          <w:tcPr>
            <w:tcW w:w="1414" w:type="dxa"/>
            <w:tcBorders>
              <w:left w:val="nil"/>
              <w:right w:val="nil"/>
            </w:tcBorders>
            <w:hideMark/>
          </w:tcPr>
          <w:p w14:paraId="5F37B128" w14:textId="77777777" w:rsidR="009904B2" w:rsidRPr="00E658D2" w:rsidRDefault="009904B2" w:rsidP="00F55CE4">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c>
          <w:tcPr>
            <w:tcW w:w="1079" w:type="dxa"/>
            <w:tcBorders>
              <w:left w:val="nil"/>
              <w:right w:val="nil"/>
            </w:tcBorders>
            <w:hideMark/>
          </w:tcPr>
          <w:p w14:paraId="76943195"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&lt;0.001***</w:t>
            </w:r>
          </w:p>
        </w:tc>
      </w:tr>
      <w:tr w:rsidR="009904B2" w:rsidRPr="00E658D2" w14:paraId="53980C56" w14:textId="77777777" w:rsidTr="00F55CE4">
        <w:tc>
          <w:tcPr>
            <w:cnfStyle w:val="001000000000" w:firstRow="0" w:lastRow="0" w:firstColumn="1" w:lastColumn="0" w:oddVBand="0" w:evenVBand="0" w:oddHBand="0" w:evenHBand="0" w:firstRowFirstColumn="0" w:firstRowLastColumn="0" w:lastRowFirstColumn="0" w:lastRowLastColumn="0"/>
            <w:tcW w:w="1574" w:type="dxa"/>
            <w:tcBorders>
              <w:top w:val="nil"/>
              <w:left w:val="nil"/>
              <w:bottom w:val="nil"/>
              <w:right w:val="nil"/>
            </w:tcBorders>
            <w:hideMark/>
          </w:tcPr>
          <w:p w14:paraId="437373B8"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bdr w:val="single" w:sz="2" w:space="0" w:color="E3E3E3" w:frame="1"/>
                <w14:ligatures w14:val="none"/>
              </w:rPr>
              <w:t>Threshold Dose</w:t>
            </w:r>
          </w:p>
        </w:tc>
        <w:tc>
          <w:tcPr>
            <w:tcW w:w="1348" w:type="dxa"/>
            <w:tcBorders>
              <w:top w:val="nil"/>
              <w:left w:val="nil"/>
              <w:bottom w:val="nil"/>
              <w:right w:val="nil"/>
            </w:tcBorders>
            <w:hideMark/>
          </w:tcPr>
          <w:p w14:paraId="3F2B1F6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Exceeding Threshold Dose</w:t>
            </w:r>
          </w:p>
        </w:tc>
        <w:tc>
          <w:tcPr>
            <w:tcW w:w="1208" w:type="dxa"/>
            <w:tcBorders>
              <w:top w:val="nil"/>
              <w:left w:val="nil"/>
              <w:bottom w:val="nil"/>
              <w:right w:val="nil"/>
            </w:tcBorders>
            <w:hideMark/>
          </w:tcPr>
          <w:p w14:paraId="745F954A"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4 (7.1%)</w:t>
            </w:r>
          </w:p>
        </w:tc>
        <w:tc>
          <w:tcPr>
            <w:tcW w:w="1208" w:type="dxa"/>
            <w:tcBorders>
              <w:top w:val="nil"/>
              <w:left w:val="nil"/>
              <w:bottom w:val="nil"/>
              <w:right w:val="nil"/>
            </w:tcBorders>
            <w:hideMark/>
          </w:tcPr>
          <w:p w14:paraId="11EF3BE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12 (21.4%)</w:t>
            </w:r>
          </w:p>
        </w:tc>
        <w:tc>
          <w:tcPr>
            <w:tcW w:w="1208" w:type="dxa"/>
            <w:tcBorders>
              <w:top w:val="nil"/>
              <w:left w:val="nil"/>
              <w:bottom w:val="nil"/>
              <w:right w:val="nil"/>
            </w:tcBorders>
            <w:hideMark/>
          </w:tcPr>
          <w:p w14:paraId="21DA0F38"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20 (35.7%)</w:t>
            </w:r>
          </w:p>
        </w:tc>
        <w:tc>
          <w:tcPr>
            <w:tcW w:w="1311" w:type="dxa"/>
            <w:tcBorders>
              <w:top w:val="nil"/>
              <w:left w:val="nil"/>
              <w:bottom w:val="nil"/>
              <w:right w:val="nil"/>
            </w:tcBorders>
            <w:hideMark/>
          </w:tcPr>
          <w:p w14:paraId="4586AC5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20 (35.7%)</w:t>
            </w:r>
          </w:p>
        </w:tc>
        <w:tc>
          <w:tcPr>
            <w:tcW w:w="1414" w:type="dxa"/>
            <w:tcBorders>
              <w:top w:val="nil"/>
              <w:left w:val="nil"/>
              <w:bottom w:val="nil"/>
              <w:right w:val="nil"/>
            </w:tcBorders>
            <w:hideMark/>
          </w:tcPr>
          <w:p w14:paraId="5A8D522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56 (100%)</w:t>
            </w:r>
          </w:p>
        </w:tc>
        <w:tc>
          <w:tcPr>
            <w:tcW w:w="1079" w:type="dxa"/>
            <w:tcBorders>
              <w:top w:val="nil"/>
              <w:left w:val="nil"/>
              <w:bottom w:val="nil"/>
              <w:right w:val="nil"/>
            </w:tcBorders>
            <w:hideMark/>
          </w:tcPr>
          <w:p w14:paraId="7A957AE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&lt;0.001**</w:t>
            </w:r>
          </w:p>
        </w:tc>
      </w:tr>
      <w:tr w:rsidR="009904B2" w:rsidRPr="00E658D2" w14:paraId="40C09025"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4" w:type="dxa"/>
            <w:tcBorders>
              <w:left w:val="nil"/>
              <w:right w:val="nil"/>
            </w:tcBorders>
          </w:tcPr>
          <w:p w14:paraId="0B1E302A" w14:textId="77777777" w:rsidR="009904B2" w:rsidRPr="00E658D2" w:rsidRDefault="009904B2" w:rsidP="00F55CE4">
            <w:pPr>
              <w:jc w:val="both"/>
              <w:rPr>
                <w:rFonts w:asciiTheme="majorBidi" w:eastAsia="Times New Roman" w:hAnsiTheme="majorBidi" w:cstheme="majorBidi"/>
                <w:color w:val="000000" w:themeColor="text1"/>
                <w:kern w:val="0"/>
                <w:sz w:val="20"/>
                <w:szCs w:val="20"/>
                <w14:ligatures w14:val="none"/>
              </w:rPr>
            </w:pPr>
          </w:p>
        </w:tc>
        <w:tc>
          <w:tcPr>
            <w:tcW w:w="1348" w:type="dxa"/>
            <w:tcBorders>
              <w:left w:val="nil"/>
              <w:right w:val="nil"/>
            </w:tcBorders>
            <w:hideMark/>
          </w:tcPr>
          <w:p w14:paraId="202A647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Below Threshold Dose</w:t>
            </w:r>
          </w:p>
        </w:tc>
        <w:tc>
          <w:tcPr>
            <w:tcW w:w="1208" w:type="dxa"/>
            <w:tcBorders>
              <w:left w:val="nil"/>
              <w:right w:val="nil"/>
            </w:tcBorders>
            <w:hideMark/>
          </w:tcPr>
          <w:p w14:paraId="155D25B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8 (36.4%)</w:t>
            </w:r>
          </w:p>
        </w:tc>
        <w:tc>
          <w:tcPr>
            <w:tcW w:w="1208" w:type="dxa"/>
            <w:tcBorders>
              <w:left w:val="nil"/>
              <w:right w:val="nil"/>
            </w:tcBorders>
            <w:hideMark/>
          </w:tcPr>
          <w:p w14:paraId="317B9F7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 (9.1%)</w:t>
            </w:r>
          </w:p>
        </w:tc>
        <w:tc>
          <w:tcPr>
            <w:tcW w:w="1208" w:type="dxa"/>
            <w:tcBorders>
              <w:left w:val="nil"/>
              <w:right w:val="nil"/>
            </w:tcBorders>
            <w:hideMark/>
          </w:tcPr>
          <w:p w14:paraId="6EA1597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10 (45.5%)</w:t>
            </w:r>
          </w:p>
        </w:tc>
        <w:tc>
          <w:tcPr>
            <w:tcW w:w="1311" w:type="dxa"/>
            <w:tcBorders>
              <w:left w:val="nil"/>
              <w:right w:val="nil"/>
            </w:tcBorders>
            <w:hideMark/>
          </w:tcPr>
          <w:p w14:paraId="3EF318A1"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 (9.1%)</w:t>
            </w:r>
          </w:p>
        </w:tc>
        <w:tc>
          <w:tcPr>
            <w:tcW w:w="1414" w:type="dxa"/>
            <w:tcBorders>
              <w:left w:val="nil"/>
              <w:right w:val="nil"/>
            </w:tcBorders>
            <w:hideMark/>
          </w:tcPr>
          <w:p w14:paraId="0F04BB06"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22 (100%)</w:t>
            </w:r>
          </w:p>
        </w:tc>
        <w:tc>
          <w:tcPr>
            <w:tcW w:w="1079" w:type="dxa"/>
            <w:tcBorders>
              <w:left w:val="nil"/>
              <w:right w:val="nil"/>
            </w:tcBorders>
            <w:hideMark/>
          </w:tcPr>
          <w:p w14:paraId="43878330" w14:textId="77777777" w:rsidR="009904B2" w:rsidRPr="00E658D2" w:rsidRDefault="009904B2" w:rsidP="00F55CE4">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p>
        </w:tc>
      </w:tr>
      <w:tr w:rsidR="009904B2" w:rsidRPr="00E658D2" w14:paraId="440D6E4B" w14:textId="77777777" w:rsidTr="00F55CE4">
        <w:tc>
          <w:tcPr>
            <w:cnfStyle w:val="001000000000" w:firstRow="0" w:lastRow="0" w:firstColumn="1" w:lastColumn="0" w:oddVBand="0" w:evenVBand="0" w:oddHBand="0" w:evenHBand="0" w:firstRowFirstColumn="0" w:firstRowLastColumn="0" w:lastRowFirstColumn="0" w:lastRowLastColumn="0"/>
            <w:tcW w:w="1574" w:type="dxa"/>
            <w:tcBorders>
              <w:top w:val="nil"/>
              <w:left w:val="nil"/>
              <w:bottom w:val="single" w:sz="4" w:space="0" w:color="7F7F7F" w:themeColor="text1" w:themeTint="80"/>
              <w:right w:val="nil"/>
            </w:tcBorders>
            <w:hideMark/>
          </w:tcPr>
          <w:p w14:paraId="3666AEC3" w14:textId="77777777" w:rsidR="009904B2" w:rsidRPr="00E658D2" w:rsidRDefault="009904B2" w:rsidP="00F55CE4">
            <w:pPr>
              <w:jc w:val="both"/>
              <w:rPr>
                <w:rFonts w:asciiTheme="majorBidi" w:eastAsia="Times New Roman" w:hAnsiTheme="majorBidi" w:cstheme="majorBidi"/>
                <w:b w:val="0"/>
                <w:bCs w:val="0"/>
                <w:color w:val="000000" w:themeColor="text1"/>
                <w:kern w:val="0"/>
                <w:sz w:val="20"/>
                <w:szCs w:val="20"/>
                <w:bdr w:val="single" w:sz="2" w:space="0" w:color="E3E3E3" w:frame="1"/>
                <w14:ligatures w14:val="none"/>
              </w:rPr>
            </w:pPr>
            <w:r w:rsidRPr="00E658D2">
              <w:rPr>
                <w:rFonts w:asciiTheme="majorBidi" w:eastAsia="Times New Roman" w:hAnsiTheme="majorBidi" w:cstheme="majorBidi"/>
                <w:color w:val="000000" w:themeColor="text1"/>
                <w:kern w:val="0"/>
                <w:sz w:val="20"/>
                <w:szCs w:val="20"/>
                <w:bdr w:val="single" w:sz="2" w:space="0" w:color="E3E3E3" w:frame="1"/>
                <w14:ligatures w14:val="none"/>
              </w:rPr>
              <w:t>Duration of Use (Months)</w:t>
            </w:r>
          </w:p>
        </w:tc>
        <w:tc>
          <w:tcPr>
            <w:tcW w:w="1348" w:type="dxa"/>
            <w:tcBorders>
              <w:top w:val="nil"/>
              <w:left w:val="nil"/>
              <w:bottom w:val="single" w:sz="4" w:space="0" w:color="7F7F7F" w:themeColor="text1" w:themeTint="80"/>
              <w:right w:val="nil"/>
            </w:tcBorders>
            <w:hideMark/>
          </w:tcPr>
          <w:p w14:paraId="1C4B4815" w14:textId="77777777" w:rsidR="009904B2" w:rsidRPr="00E658D2" w:rsidRDefault="009904B2" w:rsidP="00F55CE4">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color w:val="000000" w:themeColor="text1"/>
                <w:kern w:val="0"/>
                <w:sz w:val="20"/>
                <w:szCs w:val="20"/>
                <w:bdr w:val="single" w:sz="2" w:space="0" w:color="E3E3E3" w:frame="1"/>
                <w14:ligatures w14:val="none"/>
              </w:rPr>
            </w:pPr>
          </w:p>
        </w:tc>
        <w:tc>
          <w:tcPr>
            <w:tcW w:w="1208" w:type="dxa"/>
            <w:tcBorders>
              <w:top w:val="nil"/>
              <w:left w:val="nil"/>
              <w:bottom w:val="single" w:sz="4" w:space="0" w:color="7F7F7F" w:themeColor="text1" w:themeTint="80"/>
              <w:right w:val="nil"/>
            </w:tcBorders>
            <w:hideMark/>
          </w:tcPr>
          <w:p w14:paraId="0F190DEC"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(7-48) 30</w:t>
            </w:r>
          </w:p>
        </w:tc>
        <w:tc>
          <w:tcPr>
            <w:tcW w:w="1208" w:type="dxa"/>
            <w:tcBorders>
              <w:top w:val="nil"/>
              <w:left w:val="nil"/>
              <w:bottom w:val="single" w:sz="4" w:space="0" w:color="7F7F7F" w:themeColor="text1" w:themeTint="80"/>
              <w:right w:val="nil"/>
            </w:tcBorders>
            <w:hideMark/>
          </w:tcPr>
          <w:p w14:paraId="4F37C45D"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(6-24) 10</w:t>
            </w:r>
          </w:p>
        </w:tc>
        <w:tc>
          <w:tcPr>
            <w:tcW w:w="1208" w:type="dxa"/>
            <w:tcBorders>
              <w:top w:val="nil"/>
              <w:left w:val="nil"/>
              <w:bottom w:val="single" w:sz="4" w:space="0" w:color="7F7F7F" w:themeColor="text1" w:themeTint="80"/>
              <w:right w:val="nil"/>
            </w:tcBorders>
            <w:hideMark/>
          </w:tcPr>
          <w:p w14:paraId="2975156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(8-39) 14.5</w:t>
            </w:r>
          </w:p>
        </w:tc>
        <w:tc>
          <w:tcPr>
            <w:tcW w:w="1311" w:type="dxa"/>
            <w:tcBorders>
              <w:top w:val="nil"/>
              <w:left w:val="nil"/>
              <w:bottom w:val="single" w:sz="4" w:space="0" w:color="7F7F7F" w:themeColor="text1" w:themeTint="80"/>
              <w:right w:val="nil"/>
            </w:tcBorders>
            <w:hideMark/>
          </w:tcPr>
          <w:p w14:paraId="0BC1EBC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(28-48) 36</w:t>
            </w:r>
          </w:p>
        </w:tc>
        <w:tc>
          <w:tcPr>
            <w:tcW w:w="1414" w:type="dxa"/>
            <w:tcBorders>
              <w:top w:val="nil"/>
              <w:left w:val="nil"/>
              <w:bottom w:val="single" w:sz="4" w:space="0" w:color="7F7F7F" w:themeColor="text1" w:themeTint="80"/>
              <w:right w:val="nil"/>
            </w:tcBorders>
            <w:hideMark/>
          </w:tcPr>
          <w:p w14:paraId="297FEED7"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(10-48) 24</w:t>
            </w:r>
          </w:p>
        </w:tc>
        <w:tc>
          <w:tcPr>
            <w:tcW w:w="1079" w:type="dxa"/>
            <w:tcBorders>
              <w:top w:val="nil"/>
              <w:left w:val="nil"/>
              <w:bottom w:val="single" w:sz="4" w:space="0" w:color="7F7F7F" w:themeColor="text1" w:themeTint="80"/>
              <w:right w:val="nil"/>
            </w:tcBorders>
            <w:hideMark/>
          </w:tcPr>
          <w:p w14:paraId="2BFA8001"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kern w:val="0"/>
                <w:sz w:val="20"/>
                <w:szCs w:val="20"/>
                <w14:ligatures w14:val="none"/>
              </w:rPr>
            </w:pPr>
            <w:r w:rsidRPr="00E658D2">
              <w:rPr>
                <w:rFonts w:asciiTheme="majorBidi" w:eastAsia="Times New Roman" w:hAnsiTheme="majorBidi" w:cstheme="majorBidi"/>
                <w:color w:val="000000" w:themeColor="text1"/>
                <w:kern w:val="0"/>
                <w:sz w:val="20"/>
                <w:szCs w:val="20"/>
                <w14:ligatures w14:val="none"/>
              </w:rPr>
              <w:t>0.006***</w:t>
            </w:r>
          </w:p>
        </w:tc>
      </w:tr>
    </w:tbl>
    <w:p w14:paraId="524D1B78" w14:textId="77777777" w:rsidR="009904B2" w:rsidRPr="00E658D2" w:rsidRDefault="009904B2" w:rsidP="009904B2">
      <w:pPr>
        <w:spacing w:after="0"/>
        <w:jc w:val="both"/>
        <w:rPr>
          <w:rFonts w:cs="B Nazanin"/>
          <w:i/>
          <w:iCs/>
          <w:color w:val="000000" w:themeColor="text1"/>
          <w:sz w:val="16"/>
          <w:szCs w:val="16"/>
        </w:rPr>
      </w:pPr>
      <w:r w:rsidRPr="00E658D2">
        <w:rPr>
          <w:rFonts w:asciiTheme="majorBidi" w:hAnsiTheme="majorBidi" w:cstheme="majorBidi"/>
          <w:i/>
          <w:iCs/>
          <w:color w:val="000000" w:themeColor="text1"/>
          <w:sz w:val="16"/>
          <w:szCs w:val="16"/>
        </w:rPr>
        <w:t xml:space="preserve">Quantitative variables with normal distribution are presented as mean ± standard deviation and with non-normal distribution as median (first quartile-third quartile). *Significance level considered at P&lt;0.05. </w:t>
      </w:r>
      <w:r w:rsidRPr="00E658D2">
        <w:rPr>
          <w:rFonts w:asciiTheme="majorBidi" w:hAnsiTheme="majorBidi" w:cstheme="majorBidi"/>
          <w:i/>
          <w:iCs/>
          <w:color w:val="000000" w:themeColor="text1"/>
          <w:sz w:val="16"/>
          <w:szCs w:val="16"/>
          <w:vertAlign w:val="superscript"/>
        </w:rPr>
        <w:t>**</w:t>
      </w:r>
      <w:r w:rsidRPr="00E658D2">
        <w:rPr>
          <w:rFonts w:asciiTheme="majorBidi" w:hAnsiTheme="majorBidi" w:cstheme="majorBidi"/>
          <w:i/>
          <w:iCs/>
          <w:color w:val="000000" w:themeColor="text1"/>
          <w:sz w:val="16"/>
          <w:szCs w:val="16"/>
        </w:rPr>
        <w:t xml:space="preserve"> Mann-Whitney Test, </w:t>
      </w:r>
      <w:r w:rsidRPr="00E658D2">
        <w:rPr>
          <w:rFonts w:asciiTheme="majorBidi" w:hAnsiTheme="majorBidi" w:cstheme="majorBidi"/>
          <w:i/>
          <w:iCs/>
          <w:color w:val="000000" w:themeColor="text1"/>
          <w:sz w:val="16"/>
          <w:szCs w:val="16"/>
          <w:vertAlign w:val="superscript"/>
        </w:rPr>
        <w:t xml:space="preserve">*** </w:t>
      </w:r>
      <w:r w:rsidRPr="00E658D2">
        <w:rPr>
          <w:rFonts w:asciiTheme="majorBidi" w:hAnsiTheme="majorBidi" w:cstheme="majorBidi"/>
          <w:i/>
          <w:iCs/>
          <w:color w:val="000000" w:themeColor="text1"/>
          <w:sz w:val="16"/>
          <w:szCs w:val="16"/>
        </w:rPr>
        <w:t xml:space="preserve">Kruskal-Wallis Test, </w:t>
      </w:r>
      <w:r w:rsidRPr="00E658D2">
        <w:rPr>
          <w:rFonts w:asciiTheme="majorBidi" w:hAnsiTheme="majorBidi" w:cstheme="majorBidi"/>
          <w:i/>
          <w:iCs/>
          <w:color w:val="000000" w:themeColor="text1"/>
          <w:sz w:val="16"/>
          <w:szCs w:val="16"/>
          <w:vertAlign w:val="superscript"/>
        </w:rPr>
        <w:t xml:space="preserve">**** </w:t>
      </w:r>
      <w:r w:rsidRPr="00E658D2">
        <w:rPr>
          <w:rFonts w:asciiTheme="majorBidi" w:hAnsiTheme="majorBidi" w:cstheme="majorBidi"/>
          <w:i/>
          <w:iCs/>
          <w:color w:val="000000" w:themeColor="text1"/>
          <w:sz w:val="16"/>
          <w:szCs w:val="16"/>
        </w:rPr>
        <w:t xml:space="preserve">Welch test. </w:t>
      </w:r>
    </w:p>
    <w:p w14:paraId="7323BDD5" w14:textId="77777777" w:rsidR="009904B2" w:rsidRPr="00E658D2" w:rsidRDefault="009904B2" w:rsidP="009904B2">
      <w:pPr>
        <w:spacing w:after="0"/>
        <w:jc w:val="both"/>
        <w:rPr>
          <w:rFonts w:asciiTheme="majorBidi" w:hAnsiTheme="majorBidi" w:cstheme="majorBidi"/>
          <w:color w:val="000000" w:themeColor="text1"/>
          <w:sz w:val="20"/>
          <w:szCs w:val="20"/>
          <w:lang w:bidi="fa-IR"/>
        </w:rPr>
      </w:pPr>
    </w:p>
    <w:p w14:paraId="3D367C28" w14:textId="77777777" w:rsidR="009904B2" w:rsidRPr="00E658D2" w:rsidRDefault="009904B2" w:rsidP="009904B2">
      <w:pPr>
        <w:jc w:val="both"/>
        <w:rPr>
          <w:rFonts w:asciiTheme="majorBidi" w:eastAsia="Times New Roman" w:hAnsiTheme="majorBidi" w:cstheme="majorBidi"/>
          <w:color w:val="000000" w:themeColor="text1"/>
          <w:kern w:val="0"/>
          <w:sz w:val="18"/>
          <w:szCs w:val="18"/>
          <w14:ligatures w14:val="none"/>
        </w:rPr>
      </w:pPr>
    </w:p>
    <w:p w14:paraId="6E45D409" w14:textId="77777777" w:rsidR="009904B2" w:rsidRPr="00E658D2" w:rsidRDefault="009904B2" w:rsidP="009904B2">
      <w:pPr>
        <w:rPr>
          <w:rFonts w:asciiTheme="majorBidi" w:eastAsia="Times New Roman" w:hAnsiTheme="majorBidi" w:cstheme="majorBidi"/>
          <w:color w:val="000000" w:themeColor="text1"/>
          <w:kern w:val="0"/>
          <w:sz w:val="18"/>
          <w:szCs w:val="18"/>
          <w14:ligatures w14:val="none"/>
        </w:rPr>
      </w:pPr>
    </w:p>
    <w:p w14:paraId="07E43E61" w14:textId="77777777" w:rsidR="009904B2" w:rsidRPr="00E658D2" w:rsidRDefault="009904B2" w:rsidP="009904B2">
      <w:pPr>
        <w:rPr>
          <w:rFonts w:ascii="Times New Roman" w:hAnsi="Times New Roman" w:cs="B Nazanin"/>
          <w:color w:val="000000" w:themeColor="text1"/>
          <w:kern w:val="0"/>
          <w:sz w:val="24"/>
          <w:szCs w:val="28"/>
          <w:lang w:bidi="fa-IR"/>
          <w14:ligatures w14:val="none"/>
        </w:rPr>
      </w:pPr>
      <w:r w:rsidRPr="00E658D2">
        <w:rPr>
          <w:rFonts w:ascii="Times New Roman" w:hAnsi="Times New Roman" w:cs="B Nazanin"/>
          <w:color w:val="000000" w:themeColor="text1"/>
          <w:kern w:val="0"/>
          <w:sz w:val="24"/>
          <w:szCs w:val="28"/>
          <w:lang w:bidi="fa-IR"/>
          <w14:ligatures w14:val="none"/>
        </w:rPr>
        <w:br w:type="page"/>
      </w:r>
    </w:p>
    <w:p w14:paraId="5A39D24C" w14:textId="77777777" w:rsidR="009904B2" w:rsidRPr="00E658D2" w:rsidRDefault="009904B2" w:rsidP="009904B2">
      <w:pPr>
        <w:jc w:val="both"/>
        <w:rPr>
          <w:rFonts w:asciiTheme="majorBidi" w:hAnsiTheme="majorBidi" w:cstheme="majorBidi"/>
          <w:color w:val="000000" w:themeColor="text1"/>
          <w:sz w:val="24"/>
          <w:szCs w:val="24"/>
        </w:rPr>
      </w:pPr>
      <w:r w:rsidRPr="00E658D2">
        <w:rPr>
          <w:rFonts w:asciiTheme="majorBidi" w:hAnsiTheme="majorBidi" w:cstheme="majorBidi"/>
          <w:color w:val="000000" w:themeColor="text1"/>
          <w:sz w:val="24"/>
          <w:szCs w:val="24"/>
        </w:rPr>
        <w:lastRenderedPageBreak/>
        <w:t>Table 7: site of involvement in MRONJ Patients Based on Disease Stages</w:t>
      </w:r>
    </w:p>
    <w:tbl>
      <w:tblPr>
        <w:tblStyle w:val="PlainTable2"/>
        <w:tblW w:w="8556" w:type="dxa"/>
        <w:tblLook w:val="04A0" w:firstRow="1" w:lastRow="0" w:firstColumn="1" w:lastColumn="0" w:noHBand="0" w:noVBand="1"/>
      </w:tblPr>
      <w:tblGrid>
        <w:gridCol w:w="1580"/>
        <w:gridCol w:w="1570"/>
        <w:gridCol w:w="846"/>
        <w:gridCol w:w="899"/>
        <w:gridCol w:w="899"/>
        <w:gridCol w:w="899"/>
        <w:gridCol w:w="846"/>
        <w:gridCol w:w="1017"/>
      </w:tblGrid>
      <w:tr w:rsidR="009904B2" w:rsidRPr="00E658D2" w14:paraId="4BB9D2F1" w14:textId="77777777" w:rsidTr="00F55C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0" w:type="dxa"/>
            <w:tcBorders>
              <w:top w:val="single" w:sz="4" w:space="0" w:color="7F7F7F" w:themeColor="text1" w:themeTint="80"/>
              <w:left w:val="nil"/>
              <w:right w:val="nil"/>
            </w:tcBorders>
          </w:tcPr>
          <w:p w14:paraId="77459D40" w14:textId="77777777" w:rsidR="009904B2" w:rsidRPr="00E658D2" w:rsidRDefault="009904B2" w:rsidP="00F55CE4">
            <w:pPr>
              <w:jc w:val="both"/>
              <w:rPr>
                <w:rFonts w:ascii="Times New Roman" w:eastAsia="Times New Roman" w:hAnsi="Times New Roman" w:cs="Times New Roman"/>
                <w:color w:val="000000" w:themeColor="text1"/>
                <w:kern w:val="0"/>
                <w:sz w:val="21"/>
                <w:szCs w:val="21"/>
                <w14:ligatures w14:val="none"/>
              </w:rPr>
            </w:pPr>
          </w:p>
        </w:tc>
        <w:tc>
          <w:tcPr>
            <w:tcW w:w="1570" w:type="dxa"/>
            <w:tcBorders>
              <w:top w:val="single" w:sz="4" w:space="0" w:color="7F7F7F" w:themeColor="text1" w:themeTint="80"/>
              <w:left w:val="nil"/>
              <w:right w:val="nil"/>
            </w:tcBorders>
            <w:hideMark/>
          </w:tcPr>
          <w:p w14:paraId="44AE92D1" w14:textId="77777777" w:rsidR="009904B2" w:rsidRPr="00E658D2" w:rsidRDefault="009904B2" w:rsidP="00F55CE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p>
        </w:tc>
        <w:tc>
          <w:tcPr>
            <w:tcW w:w="846" w:type="dxa"/>
            <w:tcBorders>
              <w:top w:val="single" w:sz="4" w:space="0" w:color="7F7F7F" w:themeColor="text1" w:themeTint="80"/>
              <w:left w:val="nil"/>
              <w:right w:val="nil"/>
            </w:tcBorders>
            <w:hideMark/>
          </w:tcPr>
          <w:p w14:paraId="78432B6C"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Stage 0</w:t>
            </w:r>
          </w:p>
        </w:tc>
        <w:tc>
          <w:tcPr>
            <w:tcW w:w="899" w:type="dxa"/>
            <w:tcBorders>
              <w:top w:val="single" w:sz="4" w:space="0" w:color="7F7F7F" w:themeColor="text1" w:themeTint="80"/>
              <w:left w:val="nil"/>
              <w:right w:val="nil"/>
            </w:tcBorders>
            <w:hideMark/>
          </w:tcPr>
          <w:p w14:paraId="43E5C3B9"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Stage 1</w:t>
            </w:r>
          </w:p>
        </w:tc>
        <w:tc>
          <w:tcPr>
            <w:tcW w:w="899" w:type="dxa"/>
            <w:tcBorders>
              <w:top w:val="single" w:sz="4" w:space="0" w:color="7F7F7F" w:themeColor="text1" w:themeTint="80"/>
              <w:left w:val="nil"/>
              <w:right w:val="nil"/>
            </w:tcBorders>
            <w:hideMark/>
          </w:tcPr>
          <w:p w14:paraId="609262DA"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Stage 2</w:t>
            </w:r>
          </w:p>
        </w:tc>
        <w:tc>
          <w:tcPr>
            <w:tcW w:w="899" w:type="dxa"/>
            <w:tcBorders>
              <w:top w:val="single" w:sz="4" w:space="0" w:color="7F7F7F" w:themeColor="text1" w:themeTint="80"/>
              <w:left w:val="nil"/>
              <w:right w:val="nil"/>
            </w:tcBorders>
            <w:hideMark/>
          </w:tcPr>
          <w:p w14:paraId="6AE72C72"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Stage 3</w:t>
            </w:r>
          </w:p>
        </w:tc>
        <w:tc>
          <w:tcPr>
            <w:tcW w:w="846" w:type="dxa"/>
            <w:tcBorders>
              <w:top w:val="single" w:sz="4" w:space="0" w:color="7F7F7F" w:themeColor="text1" w:themeTint="80"/>
              <w:left w:val="nil"/>
              <w:right w:val="nil"/>
            </w:tcBorders>
            <w:hideMark/>
          </w:tcPr>
          <w:p w14:paraId="41A0F6CB"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Total</w:t>
            </w:r>
          </w:p>
        </w:tc>
        <w:tc>
          <w:tcPr>
            <w:tcW w:w="1017" w:type="dxa"/>
            <w:tcBorders>
              <w:top w:val="single" w:sz="4" w:space="0" w:color="7F7F7F" w:themeColor="text1" w:themeTint="80"/>
              <w:left w:val="nil"/>
              <w:right w:val="nil"/>
            </w:tcBorders>
            <w:hideMark/>
          </w:tcPr>
          <w:p w14:paraId="57289A71" w14:textId="77777777" w:rsidR="009904B2" w:rsidRPr="00E658D2" w:rsidRDefault="009904B2" w:rsidP="00F55CE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P Value</w:t>
            </w:r>
          </w:p>
        </w:tc>
      </w:tr>
      <w:tr w:rsidR="009904B2" w:rsidRPr="00E658D2" w14:paraId="5C2D5A9C"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0" w:type="dxa"/>
            <w:tcBorders>
              <w:left w:val="nil"/>
              <w:right w:val="nil"/>
            </w:tcBorders>
            <w:hideMark/>
          </w:tcPr>
          <w:p w14:paraId="32DE44FD" w14:textId="77777777" w:rsidR="009904B2" w:rsidRPr="00E658D2" w:rsidRDefault="009904B2" w:rsidP="00F55CE4">
            <w:pPr>
              <w:jc w:val="both"/>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 xml:space="preserve">Site of involvement </w:t>
            </w:r>
          </w:p>
        </w:tc>
        <w:tc>
          <w:tcPr>
            <w:tcW w:w="1570" w:type="dxa"/>
            <w:tcBorders>
              <w:left w:val="nil"/>
              <w:right w:val="nil"/>
            </w:tcBorders>
            <w:hideMark/>
          </w:tcPr>
          <w:p w14:paraId="140964C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Maxilla</w:t>
            </w:r>
          </w:p>
        </w:tc>
        <w:tc>
          <w:tcPr>
            <w:tcW w:w="846" w:type="dxa"/>
            <w:tcBorders>
              <w:left w:val="nil"/>
              <w:right w:val="nil"/>
            </w:tcBorders>
            <w:hideMark/>
          </w:tcPr>
          <w:p w14:paraId="476C9324"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1 (9.1%)</w:t>
            </w:r>
          </w:p>
        </w:tc>
        <w:tc>
          <w:tcPr>
            <w:tcW w:w="899" w:type="dxa"/>
            <w:tcBorders>
              <w:left w:val="nil"/>
              <w:right w:val="nil"/>
            </w:tcBorders>
            <w:hideMark/>
          </w:tcPr>
          <w:p w14:paraId="2B55AC4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3 (27.3%)</w:t>
            </w:r>
          </w:p>
        </w:tc>
        <w:tc>
          <w:tcPr>
            <w:tcW w:w="899" w:type="dxa"/>
            <w:tcBorders>
              <w:left w:val="nil"/>
              <w:right w:val="nil"/>
            </w:tcBorders>
            <w:hideMark/>
          </w:tcPr>
          <w:p w14:paraId="10BF4F0E"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5 (45.5%)</w:t>
            </w:r>
          </w:p>
        </w:tc>
        <w:tc>
          <w:tcPr>
            <w:tcW w:w="899" w:type="dxa"/>
            <w:tcBorders>
              <w:left w:val="nil"/>
              <w:right w:val="nil"/>
            </w:tcBorders>
            <w:hideMark/>
          </w:tcPr>
          <w:p w14:paraId="16487A1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2 (18.2%)</w:t>
            </w:r>
          </w:p>
        </w:tc>
        <w:tc>
          <w:tcPr>
            <w:tcW w:w="846" w:type="dxa"/>
            <w:tcBorders>
              <w:left w:val="nil"/>
              <w:right w:val="nil"/>
            </w:tcBorders>
            <w:hideMark/>
          </w:tcPr>
          <w:p w14:paraId="7580B26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11 (100%)</w:t>
            </w:r>
          </w:p>
        </w:tc>
        <w:tc>
          <w:tcPr>
            <w:tcW w:w="1017" w:type="dxa"/>
            <w:vMerge w:val="restart"/>
            <w:tcBorders>
              <w:left w:val="nil"/>
              <w:right w:val="nil"/>
            </w:tcBorders>
            <w:hideMark/>
          </w:tcPr>
          <w:p w14:paraId="6549D2EA"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 xml:space="preserve">0.325 </w:t>
            </w:r>
          </w:p>
        </w:tc>
      </w:tr>
      <w:tr w:rsidR="009904B2" w:rsidRPr="00E658D2" w14:paraId="4E3E9489" w14:textId="77777777" w:rsidTr="00F55CE4">
        <w:tc>
          <w:tcPr>
            <w:cnfStyle w:val="001000000000" w:firstRow="0" w:lastRow="0" w:firstColumn="1" w:lastColumn="0" w:oddVBand="0" w:evenVBand="0" w:oddHBand="0" w:evenHBand="0" w:firstRowFirstColumn="0" w:firstRowLastColumn="0" w:lastRowFirstColumn="0" w:lastRowLastColumn="0"/>
            <w:tcW w:w="1580" w:type="dxa"/>
            <w:tcBorders>
              <w:top w:val="nil"/>
              <w:left w:val="nil"/>
              <w:bottom w:val="nil"/>
              <w:right w:val="nil"/>
            </w:tcBorders>
          </w:tcPr>
          <w:p w14:paraId="52F9F953" w14:textId="77777777" w:rsidR="009904B2" w:rsidRPr="00E658D2" w:rsidRDefault="009904B2" w:rsidP="00F55CE4">
            <w:pPr>
              <w:jc w:val="both"/>
              <w:rPr>
                <w:rFonts w:ascii="Times New Roman" w:eastAsia="Times New Roman" w:hAnsi="Times New Roman" w:cs="Times New Roman"/>
                <w:color w:val="000000" w:themeColor="text1"/>
                <w:kern w:val="0"/>
                <w:sz w:val="21"/>
                <w:szCs w:val="21"/>
                <w14:ligatures w14:val="none"/>
              </w:rPr>
            </w:pPr>
          </w:p>
        </w:tc>
        <w:tc>
          <w:tcPr>
            <w:tcW w:w="1570" w:type="dxa"/>
            <w:tcBorders>
              <w:top w:val="nil"/>
              <w:left w:val="nil"/>
              <w:bottom w:val="nil"/>
              <w:right w:val="nil"/>
            </w:tcBorders>
            <w:hideMark/>
          </w:tcPr>
          <w:p w14:paraId="5ADEB925"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Mandible</w:t>
            </w:r>
          </w:p>
        </w:tc>
        <w:tc>
          <w:tcPr>
            <w:tcW w:w="846" w:type="dxa"/>
            <w:tcBorders>
              <w:top w:val="nil"/>
              <w:left w:val="nil"/>
              <w:bottom w:val="nil"/>
              <w:right w:val="nil"/>
            </w:tcBorders>
            <w:hideMark/>
          </w:tcPr>
          <w:p w14:paraId="2D71B209"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3 (6.3%)</w:t>
            </w:r>
          </w:p>
        </w:tc>
        <w:tc>
          <w:tcPr>
            <w:tcW w:w="899" w:type="dxa"/>
            <w:tcBorders>
              <w:top w:val="nil"/>
              <w:left w:val="nil"/>
              <w:bottom w:val="nil"/>
              <w:right w:val="nil"/>
            </w:tcBorders>
            <w:hideMark/>
          </w:tcPr>
          <w:p w14:paraId="7DC7C4D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9 (18.8%)</w:t>
            </w:r>
          </w:p>
        </w:tc>
        <w:tc>
          <w:tcPr>
            <w:tcW w:w="899" w:type="dxa"/>
            <w:tcBorders>
              <w:top w:val="nil"/>
              <w:left w:val="nil"/>
              <w:bottom w:val="nil"/>
              <w:right w:val="nil"/>
            </w:tcBorders>
            <w:hideMark/>
          </w:tcPr>
          <w:p w14:paraId="73D6F6BE"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21 (43.8%)</w:t>
            </w:r>
          </w:p>
        </w:tc>
        <w:tc>
          <w:tcPr>
            <w:tcW w:w="899" w:type="dxa"/>
            <w:tcBorders>
              <w:top w:val="nil"/>
              <w:left w:val="nil"/>
              <w:bottom w:val="nil"/>
              <w:right w:val="nil"/>
            </w:tcBorders>
            <w:hideMark/>
          </w:tcPr>
          <w:p w14:paraId="18C4CF70"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15 (31.3%)</w:t>
            </w:r>
          </w:p>
        </w:tc>
        <w:tc>
          <w:tcPr>
            <w:tcW w:w="846" w:type="dxa"/>
            <w:tcBorders>
              <w:top w:val="nil"/>
              <w:left w:val="nil"/>
              <w:bottom w:val="nil"/>
              <w:right w:val="nil"/>
            </w:tcBorders>
            <w:hideMark/>
          </w:tcPr>
          <w:p w14:paraId="5156AB44" w14:textId="77777777" w:rsidR="009904B2" w:rsidRPr="00E658D2" w:rsidRDefault="009904B2" w:rsidP="00F55CE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48 (100%)</w:t>
            </w:r>
          </w:p>
        </w:tc>
        <w:tc>
          <w:tcPr>
            <w:tcW w:w="0" w:type="auto"/>
            <w:vMerge/>
            <w:tcBorders>
              <w:top w:val="single" w:sz="4" w:space="0" w:color="7F7F7F" w:themeColor="text1" w:themeTint="80"/>
              <w:left w:val="nil"/>
              <w:bottom w:val="single" w:sz="4" w:space="0" w:color="7F7F7F" w:themeColor="text1" w:themeTint="80"/>
              <w:right w:val="nil"/>
            </w:tcBorders>
            <w:vAlign w:val="center"/>
            <w:hideMark/>
          </w:tcPr>
          <w:p w14:paraId="04F536A9" w14:textId="77777777" w:rsidR="009904B2" w:rsidRPr="00E658D2" w:rsidRDefault="009904B2" w:rsidP="00F55CE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p>
        </w:tc>
      </w:tr>
      <w:tr w:rsidR="009904B2" w14:paraId="000EA3BD" w14:textId="77777777" w:rsidTr="00F55C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0" w:type="dxa"/>
            <w:tcBorders>
              <w:left w:val="nil"/>
              <w:right w:val="nil"/>
            </w:tcBorders>
          </w:tcPr>
          <w:p w14:paraId="51D52CE0" w14:textId="77777777" w:rsidR="009904B2" w:rsidRPr="00E658D2" w:rsidRDefault="009904B2" w:rsidP="00F55CE4">
            <w:pPr>
              <w:jc w:val="both"/>
              <w:rPr>
                <w:rFonts w:ascii="Times New Roman" w:eastAsia="Times New Roman" w:hAnsi="Times New Roman" w:cs="Times New Roman"/>
                <w:color w:val="000000" w:themeColor="text1"/>
                <w:kern w:val="0"/>
                <w:sz w:val="21"/>
                <w:szCs w:val="21"/>
                <w14:ligatures w14:val="none"/>
              </w:rPr>
            </w:pPr>
          </w:p>
        </w:tc>
        <w:tc>
          <w:tcPr>
            <w:tcW w:w="1570" w:type="dxa"/>
            <w:tcBorders>
              <w:left w:val="nil"/>
              <w:right w:val="nil"/>
            </w:tcBorders>
            <w:hideMark/>
          </w:tcPr>
          <w:p w14:paraId="7A2776CC"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Both</w:t>
            </w:r>
          </w:p>
        </w:tc>
        <w:tc>
          <w:tcPr>
            <w:tcW w:w="846" w:type="dxa"/>
            <w:tcBorders>
              <w:left w:val="nil"/>
              <w:right w:val="nil"/>
            </w:tcBorders>
            <w:hideMark/>
          </w:tcPr>
          <w:p w14:paraId="57055FC0"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0 (0%)</w:t>
            </w:r>
          </w:p>
        </w:tc>
        <w:tc>
          <w:tcPr>
            <w:tcW w:w="899" w:type="dxa"/>
            <w:tcBorders>
              <w:left w:val="nil"/>
              <w:right w:val="nil"/>
            </w:tcBorders>
            <w:hideMark/>
          </w:tcPr>
          <w:p w14:paraId="04373B78"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1 (11.1%)</w:t>
            </w:r>
          </w:p>
        </w:tc>
        <w:tc>
          <w:tcPr>
            <w:tcW w:w="899" w:type="dxa"/>
            <w:tcBorders>
              <w:left w:val="nil"/>
              <w:right w:val="nil"/>
            </w:tcBorders>
            <w:hideMark/>
          </w:tcPr>
          <w:p w14:paraId="55F12197"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3 (33.3%)</w:t>
            </w:r>
          </w:p>
        </w:tc>
        <w:tc>
          <w:tcPr>
            <w:tcW w:w="899" w:type="dxa"/>
            <w:tcBorders>
              <w:left w:val="nil"/>
              <w:right w:val="nil"/>
            </w:tcBorders>
            <w:hideMark/>
          </w:tcPr>
          <w:p w14:paraId="1EA28423" w14:textId="77777777" w:rsidR="009904B2" w:rsidRPr="00E658D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5 (55.6%)</w:t>
            </w:r>
          </w:p>
        </w:tc>
        <w:tc>
          <w:tcPr>
            <w:tcW w:w="846" w:type="dxa"/>
            <w:tcBorders>
              <w:left w:val="nil"/>
              <w:right w:val="nil"/>
            </w:tcBorders>
            <w:hideMark/>
          </w:tcPr>
          <w:p w14:paraId="5BB3E3DE" w14:textId="77777777" w:rsidR="009904B2" w:rsidRDefault="009904B2" w:rsidP="00F55CE4">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r w:rsidRPr="00E658D2">
              <w:rPr>
                <w:rFonts w:ascii="Times New Roman" w:eastAsia="Times New Roman" w:hAnsi="Times New Roman" w:cs="Times New Roman"/>
                <w:color w:val="000000" w:themeColor="text1"/>
                <w:kern w:val="0"/>
                <w:sz w:val="21"/>
                <w:szCs w:val="21"/>
                <w14:ligatures w14:val="none"/>
              </w:rPr>
              <w:t>9 (100%)</w:t>
            </w:r>
          </w:p>
        </w:tc>
        <w:tc>
          <w:tcPr>
            <w:tcW w:w="0" w:type="auto"/>
            <w:vMerge/>
            <w:tcBorders>
              <w:left w:val="nil"/>
              <w:right w:val="nil"/>
            </w:tcBorders>
            <w:vAlign w:val="center"/>
            <w:hideMark/>
          </w:tcPr>
          <w:p w14:paraId="1F399B7C" w14:textId="77777777" w:rsidR="009904B2" w:rsidRDefault="009904B2" w:rsidP="00F55CE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kern w:val="0"/>
                <w:sz w:val="21"/>
                <w:szCs w:val="21"/>
                <w14:ligatures w14:val="none"/>
              </w:rPr>
            </w:pPr>
          </w:p>
        </w:tc>
      </w:tr>
    </w:tbl>
    <w:p w14:paraId="4CAC4C45" w14:textId="77777777" w:rsidR="009904B2" w:rsidRDefault="009904B2" w:rsidP="009904B2"/>
    <w:p w14:paraId="08F6DF45" w14:textId="77777777" w:rsidR="009904B2" w:rsidRDefault="009904B2" w:rsidP="009904B2">
      <w:pPr>
        <w:rPr>
          <w:rFonts w:asciiTheme="majorBidi" w:hAnsiTheme="majorBidi" w:cstheme="majorBidi"/>
        </w:rPr>
      </w:pPr>
    </w:p>
    <w:p w14:paraId="617B7E5E" w14:textId="77777777" w:rsidR="0061741B" w:rsidRDefault="0061741B"/>
    <w:sectPr w:rsidR="006174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TIXTwoText-Italic">
    <w:altName w:val="Arial"/>
    <w:panose1 w:val="00000000000000000000"/>
    <w:charset w:val="A3"/>
    <w:family w:val="auto"/>
    <w:notTrueType/>
    <w:pitch w:val="default"/>
    <w:sig w:usb0="20000001" w:usb1="00000000" w:usb2="00000000" w:usb3="00000000" w:csb0="00000100" w:csb1="00000000"/>
  </w:font>
  <w:font w:name="B Nazanin">
    <w:charset w:val="B2"/>
    <w:family w:val="auto"/>
    <w:pitch w:val="variable"/>
    <w:sig w:usb0="00002001" w:usb1="80000000" w:usb2="00000008" w:usb3="00000000" w:csb0="00000040" w:csb1="00000000"/>
  </w:font>
  <w:font w:name="STIXTwoText">
    <w:altName w:val="Arial"/>
    <w:panose1 w:val="00000000000000000000"/>
    <w:charset w:val="B2"/>
    <w:family w:val="auto"/>
    <w:notTrueType/>
    <w:pitch w:val="default"/>
    <w:sig w:usb0="00002001" w:usb1="00000000" w:usb2="00000000" w:usb3="00000000" w:csb0="0000004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D7273"/>
    <w:multiLevelType w:val="hybridMultilevel"/>
    <w:tmpl w:val="FE6E4758"/>
    <w:lvl w:ilvl="0" w:tplc="C4A0C8B0">
      <w:start w:val="1"/>
      <w:numFmt w:val="bullet"/>
      <w:lvlText w:val="▪"/>
      <w:lvlJc w:val="left"/>
      <w:pPr>
        <w:ind w:left="360" w:hanging="36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11716EC"/>
    <w:multiLevelType w:val="hybridMultilevel"/>
    <w:tmpl w:val="42D4113C"/>
    <w:lvl w:ilvl="0" w:tplc="C4A0C8B0">
      <w:start w:val="1"/>
      <w:numFmt w:val="bullet"/>
      <w:lvlText w:val="▪"/>
      <w:lvlJc w:val="left"/>
      <w:pPr>
        <w:ind w:left="360" w:hanging="36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912886120">
    <w:abstractNumId w:val="0"/>
  </w:num>
  <w:num w:numId="2" w16cid:durableId="6030741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4B2"/>
    <w:rsid w:val="00551DDF"/>
    <w:rsid w:val="0061741B"/>
    <w:rsid w:val="009904B2"/>
    <w:rsid w:val="009A3AB1"/>
    <w:rsid w:val="00E71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B27F6"/>
  <w15:chartTrackingRefBased/>
  <w15:docId w15:val="{FC53550B-61D2-4B73-96E9-B76E34446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4B2"/>
    <w:pPr>
      <w:spacing w:line="259" w:lineRule="auto"/>
    </w:pPr>
    <w:rPr>
      <w:sz w:val="22"/>
      <w:szCs w:val="22"/>
    </w:rPr>
  </w:style>
  <w:style w:type="paragraph" w:styleId="Heading1">
    <w:name w:val="heading 1"/>
    <w:basedOn w:val="Normal"/>
    <w:next w:val="Normal"/>
    <w:link w:val="Heading1Char"/>
    <w:uiPriority w:val="9"/>
    <w:qFormat/>
    <w:rsid w:val="009904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04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04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04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04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04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04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04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04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04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04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04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04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04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04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04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04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04B2"/>
    <w:rPr>
      <w:rFonts w:eastAsiaTheme="majorEastAsia" w:cstheme="majorBidi"/>
      <w:color w:val="272727" w:themeColor="text1" w:themeTint="D8"/>
    </w:rPr>
  </w:style>
  <w:style w:type="paragraph" w:styleId="Title">
    <w:name w:val="Title"/>
    <w:basedOn w:val="Normal"/>
    <w:next w:val="Normal"/>
    <w:link w:val="TitleChar"/>
    <w:uiPriority w:val="10"/>
    <w:qFormat/>
    <w:rsid w:val="009904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04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04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04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04B2"/>
    <w:pPr>
      <w:spacing w:before="160"/>
      <w:jc w:val="center"/>
    </w:pPr>
    <w:rPr>
      <w:i/>
      <w:iCs/>
      <w:color w:val="404040" w:themeColor="text1" w:themeTint="BF"/>
    </w:rPr>
  </w:style>
  <w:style w:type="character" w:customStyle="1" w:styleId="QuoteChar">
    <w:name w:val="Quote Char"/>
    <w:basedOn w:val="DefaultParagraphFont"/>
    <w:link w:val="Quote"/>
    <w:uiPriority w:val="29"/>
    <w:rsid w:val="009904B2"/>
    <w:rPr>
      <w:i/>
      <w:iCs/>
      <w:color w:val="404040" w:themeColor="text1" w:themeTint="BF"/>
    </w:rPr>
  </w:style>
  <w:style w:type="paragraph" w:styleId="ListParagraph">
    <w:name w:val="List Paragraph"/>
    <w:basedOn w:val="Normal"/>
    <w:uiPriority w:val="34"/>
    <w:qFormat/>
    <w:rsid w:val="009904B2"/>
    <w:pPr>
      <w:ind w:left="720"/>
      <w:contextualSpacing/>
    </w:pPr>
  </w:style>
  <w:style w:type="character" w:styleId="IntenseEmphasis">
    <w:name w:val="Intense Emphasis"/>
    <w:basedOn w:val="DefaultParagraphFont"/>
    <w:uiPriority w:val="21"/>
    <w:qFormat/>
    <w:rsid w:val="009904B2"/>
    <w:rPr>
      <w:i/>
      <w:iCs/>
      <w:color w:val="0F4761" w:themeColor="accent1" w:themeShade="BF"/>
    </w:rPr>
  </w:style>
  <w:style w:type="paragraph" w:styleId="IntenseQuote">
    <w:name w:val="Intense Quote"/>
    <w:basedOn w:val="Normal"/>
    <w:next w:val="Normal"/>
    <w:link w:val="IntenseQuoteChar"/>
    <w:uiPriority w:val="30"/>
    <w:qFormat/>
    <w:rsid w:val="009904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04B2"/>
    <w:rPr>
      <w:i/>
      <w:iCs/>
      <w:color w:val="0F4761" w:themeColor="accent1" w:themeShade="BF"/>
    </w:rPr>
  </w:style>
  <w:style w:type="character" w:styleId="IntenseReference">
    <w:name w:val="Intense Reference"/>
    <w:basedOn w:val="DefaultParagraphFont"/>
    <w:uiPriority w:val="32"/>
    <w:qFormat/>
    <w:rsid w:val="009904B2"/>
    <w:rPr>
      <w:b/>
      <w:bCs/>
      <w:smallCaps/>
      <w:color w:val="0F4761" w:themeColor="accent1" w:themeShade="BF"/>
      <w:spacing w:val="5"/>
    </w:rPr>
  </w:style>
  <w:style w:type="table" w:styleId="PlainTable2">
    <w:name w:val="Plain Table 2"/>
    <w:basedOn w:val="TableNormal"/>
    <w:uiPriority w:val="42"/>
    <w:rsid w:val="009904B2"/>
    <w:pPr>
      <w:spacing w:after="0" w:line="240" w:lineRule="auto"/>
    </w:pPr>
    <w:rPr>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1343</Words>
  <Characters>7658</Characters>
  <Application>Microsoft Office Word</Application>
  <DocSecurity>0</DocSecurity>
  <Lines>63</Lines>
  <Paragraphs>17</Paragraphs>
  <ScaleCrop>false</ScaleCrop>
  <Company/>
  <LinksUpToDate>false</LinksUpToDate>
  <CharactersWithSpaces>8984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2025-02-06T17:28:00Z</dcterms:created>
  <dcterms:modified xsi:type="dcterms:W3CDTF">2025-02-06T17:29:00Z</dcterms:modified>
</cp:coreProperties>
</file>