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Y="1021"/>
        <w:tblW w:w="0" w:type="auto"/>
        <w:tblLook w:val="04A0" w:firstRow="1" w:lastRow="0" w:firstColumn="1" w:lastColumn="0" w:noHBand="0" w:noVBand="1"/>
      </w:tblPr>
      <w:tblGrid>
        <w:gridCol w:w="2772"/>
        <w:gridCol w:w="1490"/>
        <w:gridCol w:w="1322"/>
      </w:tblGrid>
      <w:tr w:rsidR="00C72994" w:rsidRPr="00157233" w14:paraId="287C63F7" w14:textId="77777777" w:rsidTr="00F224B1">
        <w:trPr>
          <w:trHeight w:val="367"/>
        </w:trPr>
        <w:tc>
          <w:tcPr>
            <w:tcW w:w="0" w:type="auto"/>
            <w:gridSpan w:val="3"/>
          </w:tcPr>
          <w:p w14:paraId="650FC16D" w14:textId="12899409" w:rsidR="00C72994" w:rsidRPr="00157233" w:rsidRDefault="00C72994" w:rsidP="00F224B1">
            <w:pPr>
              <w:contextualSpacing/>
              <w:jc w:val="both"/>
              <w:rPr>
                <w:rFonts w:ascii="Arial" w:hAnsi="Arial" w:cs="Arial"/>
                <w:b/>
                <w:bCs/>
                <w:i/>
                <w:iCs/>
                <w:sz w:val="20"/>
                <w:szCs w:val="20"/>
                <w:lang w:val="en-US"/>
              </w:rPr>
            </w:pPr>
            <w:bookmarkStart w:id="0" w:name="_Hlk171686187"/>
            <w:r w:rsidRPr="00157233">
              <w:rPr>
                <w:rFonts w:ascii="Arial" w:hAnsi="Arial" w:cs="Arial"/>
                <w:b/>
                <w:bCs/>
                <w:i/>
                <w:iCs/>
                <w:sz w:val="20"/>
                <w:szCs w:val="20"/>
                <w:lang w:val="en-US"/>
              </w:rPr>
              <w:t>Table 1</w:t>
            </w:r>
            <w:r w:rsidR="00A055CB">
              <w:rPr>
                <w:rFonts w:ascii="Arial" w:hAnsi="Arial" w:cs="Arial"/>
                <w:b/>
                <w:bCs/>
                <w:i/>
                <w:iCs/>
                <w:sz w:val="20"/>
                <w:szCs w:val="20"/>
                <w:lang w:val="en-US"/>
              </w:rPr>
              <w:t xml:space="preserve"> Supplementary Material</w:t>
            </w:r>
          </w:p>
        </w:tc>
      </w:tr>
      <w:tr w:rsidR="00C72994" w:rsidRPr="007B636F" w14:paraId="5DC9227A" w14:textId="77777777" w:rsidTr="00F224B1">
        <w:trPr>
          <w:trHeight w:val="367"/>
        </w:trPr>
        <w:tc>
          <w:tcPr>
            <w:tcW w:w="0" w:type="auto"/>
            <w:gridSpan w:val="3"/>
          </w:tcPr>
          <w:p w14:paraId="4713CDC0" w14:textId="77777777" w:rsidR="00C72994" w:rsidRPr="00157233" w:rsidRDefault="00C72994" w:rsidP="00F224B1">
            <w:pPr>
              <w:contextualSpacing/>
              <w:jc w:val="both"/>
              <w:rPr>
                <w:rFonts w:ascii="Arial" w:hAnsi="Arial" w:cs="Arial"/>
                <w:b/>
                <w:bCs/>
                <w:i/>
                <w:iCs/>
                <w:sz w:val="20"/>
                <w:szCs w:val="20"/>
                <w:lang w:val="en-US"/>
              </w:rPr>
            </w:pPr>
            <w:r w:rsidRPr="00157233">
              <w:rPr>
                <w:rFonts w:ascii="Arial" w:hAnsi="Arial" w:cs="Arial"/>
                <w:b/>
                <w:bCs/>
                <w:i/>
                <w:iCs/>
                <w:sz w:val="20"/>
                <w:szCs w:val="20"/>
                <w:lang w:val="en-US"/>
              </w:rPr>
              <w:t>Composition of the Solid Diets Used</w:t>
            </w:r>
            <w:r>
              <w:rPr>
                <w:rFonts w:ascii="Arial" w:hAnsi="Arial" w:cs="Arial"/>
                <w:b/>
                <w:bCs/>
                <w:i/>
                <w:iCs/>
                <w:sz w:val="20"/>
                <w:szCs w:val="20"/>
                <w:lang w:val="en-US"/>
              </w:rPr>
              <w:t xml:space="preserve"> (calculated in 100g)</w:t>
            </w:r>
          </w:p>
        </w:tc>
      </w:tr>
      <w:tr w:rsidR="00C72994" w:rsidRPr="00157233" w14:paraId="0BB52FB0" w14:textId="77777777" w:rsidTr="00F224B1">
        <w:trPr>
          <w:trHeight w:val="367"/>
        </w:trPr>
        <w:tc>
          <w:tcPr>
            <w:tcW w:w="0" w:type="auto"/>
            <w:hideMark/>
          </w:tcPr>
          <w:p w14:paraId="083C9976" w14:textId="77777777" w:rsidR="00C72994" w:rsidRPr="00157233" w:rsidRDefault="00C72994" w:rsidP="00F224B1">
            <w:pPr>
              <w:contextualSpacing/>
              <w:jc w:val="both"/>
              <w:rPr>
                <w:rFonts w:ascii="Arial" w:hAnsi="Arial" w:cs="Arial"/>
                <w:sz w:val="20"/>
                <w:szCs w:val="20"/>
                <w:lang w:val="en-US"/>
              </w:rPr>
            </w:pPr>
          </w:p>
        </w:tc>
        <w:tc>
          <w:tcPr>
            <w:tcW w:w="0" w:type="auto"/>
            <w:hideMark/>
          </w:tcPr>
          <w:p w14:paraId="17D7F001"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b/>
                <w:bCs/>
                <w:i/>
                <w:iCs/>
                <w:sz w:val="20"/>
                <w:szCs w:val="20"/>
              </w:rPr>
              <w:t xml:space="preserve">Dieta Control </w:t>
            </w:r>
          </w:p>
        </w:tc>
        <w:tc>
          <w:tcPr>
            <w:tcW w:w="0" w:type="auto"/>
            <w:hideMark/>
          </w:tcPr>
          <w:p w14:paraId="521F0950" w14:textId="77777777" w:rsidR="00C72994" w:rsidRPr="00157233" w:rsidRDefault="00C72994" w:rsidP="00F224B1">
            <w:pPr>
              <w:contextualSpacing/>
              <w:jc w:val="center"/>
              <w:rPr>
                <w:rFonts w:ascii="Arial" w:hAnsi="Arial" w:cs="Arial"/>
                <w:sz w:val="20"/>
                <w:szCs w:val="20"/>
                <w:lang w:val="en-US"/>
              </w:rPr>
            </w:pPr>
            <w:r w:rsidRPr="00157233">
              <w:rPr>
                <w:b/>
                <w:bCs/>
                <w:i/>
                <w:iCs/>
                <w:lang w:val="en-US"/>
              </w:rPr>
              <w:t>M</w:t>
            </w:r>
            <w:r w:rsidRPr="00157233">
              <w:rPr>
                <w:rFonts w:ascii="Arial" w:hAnsi="Arial" w:cs="Arial"/>
                <w:b/>
                <w:bCs/>
                <w:i/>
                <w:iCs/>
                <w:sz w:val="20"/>
                <w:szCs w:val="20"/>
              </w:rPr>
              <w:t>FD</w:t>
            </w:r>
          </w:p>
        </w:tc>
      </w:tr>
      <w:tr w:rsidR="00C72994" w:rsidRPr="00157233" w14:paraId="7BA820B3" w14:textId="77777777" w:rsidTr="00F224B1">
        <w:trPr>
          <w:trHeight w:val="314"/>
        </w:trPr>
        <w:tc>
          <w:tcPr>
            <w:tcW w:w="0" w:type="auto"/>
            <w:hideMark/>
          </w:tcPr>
          <w:p w14:paraId="40F31C73" w14:textId="77777777" w:rsidR="00C72994" w:rsidRPr="00157233" w:rsidRDefault="00C72994" w:rsidP="00F224B1">
            <w:pPr>
              <w:contextualSpacing/>
              <w:jc w:val="both"/>
              <w:rPr>
                <w:rFonts w:ascii="Arial" w:hAnsi="Arial" w:cs="Arial"/>
                <w:b/>
                <w:bCs/>
                <w:sz w:val="20"/>
                <w:szCs w:val="20"/>
                <w:lang w:val="en-US"/>
              </w:rPr>
            </w:pPr>
            <w:r w:rsidRPr="00157233">
              <w:rPr>
                <w:rFonts w:ascii="Arial" w:hAnsi="Arial" w:cs="Arial"/>
                <w:b/>
                <w:bCs/>
                <w:sz w:val="20"/>
                <w:szCs w:val="20"/>
              </w:rPr>
              <w:t>Moisture</w:t>
            </w:r>
            <w:r w:rsidRPr="00157233">
              <w:rPr>
                <w:rFonts w:ascii="Arial" w:hAnsi="Arial" w:cs="Arial"/>
                <w:b/>
                <w:bCs/>
                <w:sz w:val="20"/>
                <w:szCs w:val="20"/>
                <w:lang w:val="en-US"/>
              </w:rPr>
              <w:t xml:space="preserve"> (max)</w:t>
            </w:r>
          </w:p>
        </w:tc>
        <w:tc>
          <w:tcPr>
            <w:tcW w:w="0" w:type="auto"/>
            <w:hideMark/>
          </w:tcPr>
          <w:p w14:paraId="49973361"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12,0%</w:t>
            </w:r>
          </w:p>
        </w:tc>
        <w:tc>
          <w:tcPr>
            <w:tcW w:w="0" w:type="auto"/>
            <w:hideMark/>
          </w:tcPr>
          <w:p w14:paraId="489AF4A4"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10,0%</w:t>
            </w:r>
          </w:p>
        </w:tc>
      </w:tr>
      <w:tr w:rsidR="00C72994" w:rsidRPr="00157233" w14:paraId="4327E70E" w14:textId="77777777" w:rsidTr="00F224B1">
        <w:trPr>
          <w:trHeight w:val="314"/>
        </w:trPr>
        <w:tc>
          <w:tcPr>
            <w:tcW w:w="0" w:type="auto"/>
            <w:hideMark/>
          </w:tcPr>
          <w:p w14:paraId="7BFB6D28" w14:textId="77777777" w:rsidR="00C72994" w:rsidRPr="00157233" w:rsidRDefault="00C72994" w:rsidP="00F224B1">
            <w:pPr>
              <w:contextualSpacing/>
              <w:jc w:val="both"/>
              <w:rPr>
                <w:rFonts w:ascii="Arial" w:hAnsi="Arial" w:cs="Arial"/>
                <w:b/>
                <w:bCs/>
                <w:sz w:val="20"/>
                <w:szCs w:val="20"/>
                <w:lang w:val="en-US"/>
              </w:rPr>
            </w:pPr>
            <w:r w:rsidRPr="00157233">
              <w:rPr>
                <w:rFonts w:ascii="Arial" w:hAnsi="Arial" w:cs="Arial"/>
                <w:b/>
                <w:bCs/>
                <w:sz w:val="20"/>
                <w:szCs w:val="20"/>
                <w:lang w:val="en-US"/>
              </w:rPr>
              <w:t>Proteins (min)</w:t>
            </w:r>
          </w:p>
        </w:tc>
        <w:tc>
          <w:tcPr>
            <w:tcW w:w="0" w:type="auto"/>
            <w:hideMark/>
          </w:tcPr>
          <w:p w14:paraId="77979ABA"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23,0%</w:t>
            </w:r>
          </w:p>
        </w:tc>
        <w:tc>
          <w:tcPr>
            <w:tcW w:w="0" w:type="auto"/>
            <w:hideMark/>
          </w:tcPr>
          <w:p w14:paraId="0E17D3E0"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28,0%</w:t>
            </w:r>
          </w:p>
        </w:tc>
      </w:tr>
      <w:tr w:rsidR="00C72994" w:rsidRPr="00157233" w14:paraId="33DD99EE" w14:textId="77777777" w:rsidTr="00F224B1">
        <w:trPr>
          <w:trHeight w:val="314"/>
        </w:trPr>
        <w:tc>
          <w:tcPr>
            <w:tcW w:w="0" w:type="auto"/>
            <w:hideMark/>
          </w:tcPr>
          <w:p w14:paraId="6CD7E424" w14:textId="77777777" w:rsidR="00C72994" w:rsidRPr="00157233" w:rsidRDefault="00C72994" w:rsidP="00F224B1">
            <w:pPr>
              <w:contextualSpacing/>
              <w:jc w:val="both"/>
              <w:rPr>
                <w:rFonts w:ascii="Arial" w:hAnsi="Arial" w:cs="Arial"/>
                <w:b/>
                <w:bCs/>
                <w:sz w:val="20"/>
                <w:szCs w:val="20"/>
                <w:lang w:val="en-US"/>
              </w:rPr>
            </w:pPr>
            <w:r w:rsidRPr="00157233">
              <w:rPr>
                <w:rFonts w:ascii="Arial" w:hAnsi="Arial" w:cs="Arial"/>
                <w:b/>
                <w:bCs/>
                <w:sz w:val="20"/>
                <w:szCs w:val="20"/>
                <w:lang w:val="en-US"/>
              </w:rPr>
              <w:t>Carbohydrates*</w:t>
            </w:r>
          </w:p>
        </w:tc>
        <w:tc>
          <w:tcPr>
            <w:tcW w:w="0" w:type="auto"/>
            <w:hideMark/>
          </w:tcPr>
          <w:p w14:paraId="31583409"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50,0%</w:t>
            </w:r>
          </w:p>
        </w:tc>
        <w:tc>
          <w:tcPr>
            <w:tcW w:w="0" w:type="auto"/>
            <w:hideMark/>
          </w:tcPr>
          <w:p w14:paraId="1FD119F5"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39,5%</w:t>
            </w:r>
          </w:p>
        </w:tc>
      </w:tr>
      <w:tr w:rsidR="00C72994" w:rsidRPr="00157233" w14:paraId="6F1CD85E" w14:textId="77777777" w:rsidTr="00F224B1">
        <w:trPr>
          <w:trHeight w:val="314"/>
        </w:trPr>
        <w:tc>
          <w:tcPr>
            <w:tcW w:w="0" w:type="auto"/>
            <w:hideMark/>
          </w:tcPr>
          <w:p w14:paraId="576715B4" w14:textId="77777777" w:rsidR="00C72994" w:rsidRPr="00157233" w:rsidRDefault="00C72994" w:rsidP="00F224B1">
            <w:pPr>
              <w:contextualSpacing/>
              <w:jc w:val="both"/>
              <w:rPr>
                <w:rFonts w:ascii="Arial" w:hAnsi="Arial" w:cs="Arial"/>
                <w:i/>
                <w:iCs/>
                <w:sz w:val="20"/>
                <w:szCs w:val="20"/>
                <w:lang w:val="en-US"/>
              </w:rPr>
            </w:pPr>
            <w:r w:rsidRPr="00157233">
              <w:rPr>
                <w:rFonts w:ascii="Arial" w:hAnsi="Arial" w:cs="Arial"/>
                <w:sz w:val="20"/>
                <w:szCs w:val="20"/>
                <w:lang w:val="en-US"/>
              </w:rPr>
              <w:t xml:space="preserve">      </w:t>
            </w:r>
            <w:r w:rsidRPr="00157233">
              <w:rPr>
                <w:rFonts w:ascii="Arial" w:hAnsi="Arial" w:cs="Arial"/>
                <w:i/>
                <w:iCs/>
                <w:sz w:val="20"/>
                <w:szCs w:val="20"/>
                <w:lang w:val="en-US"/>
              </w:rPr>
              <w:t>Crude Fiber (max)</w:t>
            </w:r>
          </w:p>
        </w:tc>
        <w:tc>
          <w:tcPr>
            <w:tcW w:w="0" w:type="auto"/>
            <w:hideMark/>
          </w:tcPr>
          <w:p w14:paraId="28B876DB"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6,0%</w:t>
            </w:r>
          </w:p>
        </w:tc>
        <w:tc>
          <w:tcPr>
            <w:tcW w:w="0" w:type="auto"/>
            <w:hideMark/>
          </w:tcPr>
          <w:p w14:paraId="47B46894"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3,5%</w:t>
            </w:r>
          </w:p>
        </w:tc>
      </w:tr>
      <w:tr w:rsidR="00C72994" w:rsidRPr="00157233" w14:paraId="2D0A014E" w14:textId="77777777" w:rsidTr="00F224B1">
        <w:trPr>
          <w:trHeight w:val="314"/>
        </w:trPr>
        <w:tc>
          <w:tcPr>
            <w:tcW w:w="0" w:type="auto"/>
            <w:hideMark/>
          </w:tcPr>
          <w:p w14:paraId="40A58FD9" w14:textId="77777777" w:rsidR="00C72994" w:rsidRPr="00157233" w:rsidRDefault="00C72994" w:rsidP="00F224B1">
            <w:pPr>
              <w:contextualSpacing/>
              <w:jc w:val="both"/>
              <w:rPr>
                <w:rFonts w:ascii="Arial" w:hAnsi="Arial" w:cs="Arial"/>
                <w:b/>
                <w:bCs/>
                <w:sz w:val="20"/>
                <w:szCs w:val="20"/>
                <w:lang w:val="en-US"/>
              </w:rPr>
            </w:pPr>
            <w:r w:rsidRPr="00157233">
              <w:rPr>
                <w:rFonts w:ascii="Arial" w:hAnsi="Arial" w:cs="Arial"/>
                <w:b/>
                <w:bCs/>
                <w:sz w:val="20"/>
                <w:szCs w:val="20"/>
                <w:lang w:val="en-US"/>
              </w:rPr>
              <w:t>Fat (min)</w:t>
            </w:r>
          </w:p>
        </w:tc>
        <w:tc>
          <w:tcPr>
            <w:tcW w:w="0" w:type="auto"/>
            <w:hideMark/>
          </w:tcPr>
          <w:p w14:paraId="2A8C61DB"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5,0%</w:t>
            </w:r>
          </w:p>
        </w:tc>
        <w:tc>
          <w:tcPr>
            <w:tcW w:w="0" w:type="auto"/>
            <w:hideMark/>
          </w:tcPr>
          <w:p w14:paraId="6692E938"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15,0%</w:t>
            </w:r>
          </w:p>
        </w:tc>
      </w:tr>
      <w:tr w:rsidR="00C72994" w:rsidRPr="00157233" w14:paraId="2DC3C347" w14:textId="77777777" w:rsidTr="00F224B1">
        <w:trPr>
          <w:trHeight w:val="314"/>
        </w:trPr>
        <w:tc>
          <w:tcPr>
            <w:tcW w:w="0" w:type="auto"/>
            <w:hideMark/>
          </w:tcPr>
          <w:p w14:paraId="73E0DFC1" w14:textId="77777777" w:rsidR="00C72994" w:rsidRPr="00157233" w:rsidRDefault="00C72994" w:rsidP="00F224B1">
            <w:pPr>
              <w:contextualSpacing/>
              <w:jc w:val="both"/>
              <w:rPr>
                <w:rFonts w:ascii="Arial" w:hAnsi="Arial" w:cs="Arial"/>
                <w:b/>
                <w:bCs/>
                <w:sz w:val="20"/>
                <w:szCs w:val="20"/>
                <w:lang w:val="en-US"/>
              </w:rPr>
            </w:pPr>
            <w:r w:rsidRPr="00157233">
              <w:rPr>
                <w:rFonts w:ascii="Arial" w:hAnsi="Arial" w:cs="Arial"/>
                <w:b/>
                <w:bCs/>
                <w:sz w:val="20"/>
                <w:szCs w:val="20"/>
                <w:lang w:val="en-US"/>
              </w:rPr>
              <w:t>Total minerals</w:t>
            </w:r>
          </w:p>
        </w:tc>
        <w:tc>
          <w:tcPr>
            <w:tcW w:w="0" w:type="auto"/>
            <w:hideMark/>
          </w:tcPr>
          <w:p w14:paraId="14F4E7D3"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10,0%</w:t>
            </w:r>
          </w:p>
        </w:tc>
        <w:tc>
          <w:tcPr>
            <w:tcW w:w="0" w:type="auto"/>
            <w:hideMark/>
          </w:tcPr>
          <w:p w14:paraId="126E551C"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7,5%</w:t>
            </w:r>
          </w:p>
        </w:tc>
      </w:tr>
      <w:tr w:rsidR="00C72994" w:rsidRPr="00157233" w14:paraId="4F906A9E" w14:textId="77777777" w:rsidTr="00F224B1">
        <w:trPr>
          <w:trHeight w:val="314"/>
        </w:trPr>
        <w:tc>
          <w:tcPr>
            <w:tcW w:w="0" w:type="auto"/>
            <w:hideMark/>
          </w:tcPr>
          <w:p w14:paraId="4A2745CC" w14:textId="77777777" w:rsidR="00C72994" w:rsidRPr="00157233" w:rsidRDefault="00C72994" w:rsidP="00F224B1">
            <w:pPr>
              <w:contextualSpacing/>
              <w:jc w:val="both"/>
              <w:rPr>
                <w:rFonts w:ascii="Arial" w:hAnsi="Arial" w:cs="Arial"/>
                <w:i/>
                <w:iCs/>
                <w:sz w:val="20"/>
                <w:szCs w:val="20"/>
                <w:lang w:val="en-US"/>
              </w:rPr>
            </w:pPr>
            <w:r w:rsidRPr="00157233">
              <w:rPr>
                <w:rFonts w:ascii="Arial" w:hAnsi="Arial" w:cs="Arial"/>
                <w:i/>
                <w:iCs/>
                <w:sz w:val="20"/>
                <w:szCs w:val="20"/>
                <w:lang w:val="en-US"/>
              </w:rPr>
              <w:t xml:space="preserve">     Calcium (min. - max.)</w:t>
            </w:r>
          </w:p>
        </w:tc>
        <w:tc>
          <w:tcPr>
            <w:tcW w:w="0" w:type="auto"/>
            <w:hideMark/>
          </w:tcPr>
          <w:p w14:paraId="5FAD7621"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1% - 1,4%</w:t>
            </w:r>
          </w:p>
        </w:tc>
        <w:tc>
          <w:tcPr>
            <w:tcW w:w="0" w:type="auto"/>
            <w:hideMark/>
          </w:tcPr>
          <w:p w14:paraId="1C99B3B8"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1,5% - 1,7%</w:t>
            </w:r>
          </w:p>
        </w:tc>
      </w:tr>
      <w:tr w:rsidR="00C72994" w:rsidRPr="00157233" w14:paraId="47285DEC" w14:textId="77777777" w:rsidTr="00F224B1">
        <w:trPr>
          <w:trHeight w:val="314"/>
        </w:trPr>
        <w:tc>
          <w:tcPr>
            <w:tcW w:w="0" w:type="auto"/>
            <w:hideMark/>
          </w:tcPr>
          <w:p w14:paraId="725701E4" w14:textId="77777777" w:rsidR="00C72994" w:rsidRPr="00157233" w:rsidRDefault="00C72994" w:rsidP="00F224B1">
            <w:pPr>
              <w:contextualSpacing/>
              <w:jc w:val="both"/>
              <w:rPr>
                <w:rFonts w:ascii="Arial" w:hAnsi="Arial" w:cs="Arial"/>
                <w:i/>
                <w:iCs/>
                <w:sz w:val="20"/>
                <w:szCs w:val="20"/>
                <w:lang w:val="en-US"/>
              </w:rPr>
            </w:pPr>
            <w:r w:rsidRPr="00157233">
              <w:rPr>
                <w:rFonts w:ascii="Arial" w:hAnsi="Arial" w:cs="Arial"/>
                <w:i/>
                <w:iCs/>
                <w:sz w:val="20"/>
                <w:szCs w:val="20"/>
                <w:lang w:val="en-US"/>
              </w:rPr>
              <w:t xml:space="preserve">     P</w:t>
            </w:r>
            <w:r w:rsidRPr="00157233">
              <w:rPr>
                <w:rFonts w:ascii="Arial" w:hAnsi="Arial" w:cs="Arial"/>
                <w:i/>
                <w:iCs/>
                <w:sz w:val="20"/>
                <w:szCs w:val="20"/>
              </w:rPr>
              <w:t>hosphorus</w:t>
            </w:r>
            <w:r w:rsidRPr="00157233">
              <w:rPr>
                <w:rFonts w:ascii="Arial" w:hAnsi="Arial" w:cs="Arial"/>
                <w:i/>
                <w:iCs/>
                <w:sz w:val="20"/>
                <w:szCs w:val="20"/>
                <w:lang w:val="en-US"/>
              </w:rPr>
              <w:t xml:space="preserve"> (min. - max.)</w:t>
            </w:r>
          </w:p>
        </w:tc>
        <w:tc>
          <w:tcPr>
            <w:tcW w:w="0" w:type="auto"/>
            <w:hideMark/>
          </w:tcPr>
          <w:p w14:paraId="0EF08782"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0,5% - 0,8%</w:t>
            </w:r>
          </w:p>
        </w:tc>
        <w:tc>
          <w:tcPr>
            <w:tcW w:w="0" w:type="auto"/>
            <w:hideMark/>
          </w:tcPr>
          <w:p w14:paraId="3C8B4D7C" w14:textId="77777777" w:rsidR="00C72994" w:rsidRPr="00157233" w:rsidRDefault="00C72994" w:rsidP="00F224B1">
            <w:pPr>
              <w:contextualSpacing/>
              <w:jc w:val="center"/>
              <w:rPr>
                <w:rFonts w:ascii="Arial" w:hAnsi="Arial" w:cs="Arial"/>
                <w:sz w:val="20"/>
                <w:szCs w:val="20"/>
                <w:lang w:val="en-US"/>
              </w:rPr>
            </w:pPr>
            <w:r w:rsidRPr="00157233">
              <w:rPr>
                <w:rFonts w:ascii="Arial" w:hAnsi="Arial" w:cs="Arial"/>
                <w:sz w:val="20"/>
                <w:szCs w:val="20"/>
                <w:lang w:val="en-US"/>
              </w:rPr>
              <w:t>1,1% - 1,4%</w:t>
            </w:r>
          </w:p>
        </w:tc>
      </w:tr>
    </w:tbl>
    <w:bookmarkEnd w:id="0"/>
    <w:p w14:paraId="137A085C" w14:textId="795C431B" w:rsidR="00A055CB" w:rsidRDefault="00A055CB" w:rsidP="00A055CB">
      <w:pPr>
        <w:rPr>
          <w:b/>
          <w:bCs/>
        </w:rPr>
      </w:pPr>
      <w:r w:rsidRPr="00A055CB">
        <w:rPr>
          <w:b/>
          <w:bCs/>
        </w:rPr>
        <w:t>Online Supplemental Materials</w:t>
      </w:r>
    </w:p>
    <w:p w14:paraId="79B5073A" w14:textId="77777777" w:rsidR="00A055CB" w:rsidRPr="00A055CB" w:rsidRDefault="00A055CB" w:rsidP="00A055CB"/>
    <w:p w14:paraId="15B1FC07" w14:textId="77777777" w:rsidR="00A055CB" w:rsidRPr="00A055CB" w:rsidRDefault="00A055CB" w:rsidP="00A055CB"/>
    <w:p w14:paraId="6FF4EF5A" w14:textId="77777777" w:rsidR="00A055CB" w:rsidRPr="00A055CB" w:rsidRDefault="00A055CB" w:rsidP="00A055CB"/>
    <w:p w14:paraId="6EBC9F17" w14:textId="77777777" w:rsidR="00A055CB" w:rsidRPr="00A055CB" w:rsidRDefault="00A055CB" w:rsidP="00A055CB"/>
    <w:p w14:paraId="3341BAC4" w14:textId="77777777" w:rsidR="00A055CB" w:rsidRPr="00A055CB" w:rsidRDefault="00A055CB" w:rsidP="00A055CB"/>
    <w:p w14:paraId="4874DA6B" w14:textId="77777777" w:rsidR="00A055CB" w:rsidRPr="00A055CB" w:rsidRDefault="00A055CB" w:rsidP="00A055CB"/>
    <w:p w14:paraId="0D7E94CF" w14:textId="77777777" w:rsidR="00A055CB" w:rsidRPr="00A055CB" w:rsidRDefault="00A055CB" w:rsidP="00A055CB"/>
    <w:p w14:paraId="7012BE1A" w14:textId="77777777" w:rsidR="00A055CB" w:rsidRPr="00A055CB" w:rsidRDefault="00A055CB" w:rsidP="00A055CB"/>
    <w:p w14:paraId="0766E686" w14:textId="77777777" w:rsidR="00A055CB" w:rsidRPr="00A055CB" w:rsidRDefault="00A055CB" w:rsidP="00A055CB"/>
    <w:p w14:paraId="3546EE13" w14:textId="77777777" w:rsidR="00A055CB" w:rsidRPr="00A055CB" w:rsidRDefault="00A055CB" w:rsidP="00A055CB"/>
    <w:p w14:paraId="6B8793D0" w14:textId="1BC284AA" w:rsidR="00A055CB" w:rsidRDefault="00A055CB" w:rsidP="00A055CB">
      <w:pPr>
        <w:rPr>
          <w:b/>
          <w:bCs/>
        </w:rPr>
      </w:pPr>
    </w:p>
    <w:p w14:paraId="429192C4" w14:textId="65B85360" w:rsidR="00952BF6" w:rsidRDefault="00952BF6">
      <w:pPr>
        <w:rPr>
          <w:b/>
          <w:bCs/>
        </w:rPr>
      </w:pPr>
      <w:r>
        <w:rPr>
          <w:b/>
          <w:bCs/>
        </w:rPr>
        <w:br w:type="page"/>
      </w:r>
    </w:p>
    <w:p w14:paraId="61D43B26" w14:textId="331F7B88" w:rsidR="00023CF8" w:rsidRPr="00023CF8" w:rsidRDefault="00023CF8" w:rsidP="00023CF8">
      <w:r w:rsidRPr="00023CF8">
        <w:rPr>
          <w:noProof/>
        </w:rPr>
        <w:lastRenderedPageBreak/>
        <w:drawing>
          <wp:inline distT="0" distB="0" distL="0" distR="0" wp14:anchorId="23968E0D" wp14:editId="28E695AD">
            <wp:extent cx="5391807" cy="7188502"/>
            <wp:effectExtent l="0" t="0" r="0" b="0"/>
            <wp:docPr id="1698405833" name="Imagen 4"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05833" name="Imagen 4" descr="Imagen que contiene Gráfic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6244" cy="7194417"/>
                    </a:xfrm>
                    <a:prstGeom prst="rect">
                      <a:avLst/>
                    </a:prstGeom>
                    <a:noFill/>
                    <a:ln>
                      <a:noFill/>
                    </a:ln>
                  </pic:spPr>
                </pic:pic>
              </a:graphicData>
            </a:graphic>
          </wp:inline>
        </w:drawing>
      </w:r>
    </w:p>
    <w:p w14:paraId="6B637279" w14:textId="7ABEEF5B" w:rsidR="00952BF6" w:rsidRPr="00A055CB" w:rsidRDefault="00D17E8E" w:rsidP="00A055CB">
      <w:r>
        <w:rPr>
          <w:noProof/>
        </w:rPr>
        <mc:AlternateContent>
          <mc:Choice Requires="wps">
            <w:drawing>
              <wp:anchor distT="0" distB="0" distL="114300" distR="114300" simplePos="0" relativeHeight="251659264" behindDoc="0" locked="0" layoutInCell="1" allowOverlap="1" wp14:anchorId="09F16DB9" wp14:editId="0E0B08D5">
                <wp:simplePos x="0" y="0"/>
                <wp:positionH relativeFrom="column">
                  <wp:posOffset>0</wp:posOffset>
                </wp:positionH>
                <wp:positionV relativeFrom="paragraph">
                  <wp:posOffset>0</wp:posOffset>
                </wp:positionV>
                <wp:extent cx="5770843" cy="940322"/>
                <wp:effectExtent l="0" t="0" r="0" b="0"/>
                <wp:wrapNone/>
                <wp:docPr id="21" name="CuadroTexto 20">
                  <a:extLst xmlns:a="http://schemas.openxmlformats.org/drawingml/2006/main">
                    <a:ext uri="{FF2B5EF4-FFF2-40B4-BE49-F238E27FC236}">
                      <a16:creationId xmlns:a16="http://schemas.microsoft.com/office/drawing/2014/main" id="{A86E95A5-16E8-8A7B-39B6-55F5B6842C84}"/>
                    </a:ext>
                  </a:extLst>
                </wp:docPr>
                <wp:cNvGraphicFramePr/>
                <a:graphic xmlns:a="http://schemas.openxmlformats.org/drawingml/2006/main">
                  <a:graphicData uri="http://schemas.microsoft.com/office/word/2010/wordprocessingShape">
                    <wps:wsp>
                      <wps:cNvSpPr txBox="1"/>
                      <wps:spPr>
                        <a:xfrm>
                          <a:off x="0" y="0"/>
                          <a:ext cx="5770843" cy="940322"/>
                        </a:xfrm>
                        <a:prstGeom prst="rect">
                          <a:avLst/>
                        </a:prstGeom>
                        <a:noFill/>
                      </wps:spPr>
                      <wps:txbx>
                        <w:txbxContent>
                          <w:p w14:paraId="521C848B" w14:textId="6F80CC02" w:rsidR="00D17E8E" w:rsidRPr="00D17E8E" w:rsidRDefault="00D17E8E" w:rsidP="00D17E8E">
                            <w:pPr>
                              <w:jc w:val="both"/>
                              <w:rPr>
                                <w:rFonts w:hAnsi="Aptos"/>
                                <w:b/>
                                <w:bCs/>
                                <w:i/>
                                <w:iCs/>
                                <w:color w:val="000000" w:themeColor="text1"/>
                                <w:kern w:val="24"/>
                                <w:lang w:val="en-US"/>
                                <w14:ligatures w14:val="none"/>
                              </w:rPr>
                            </w:pPr>
                            <w:r w:rsidRPr="00D17E8E">
                              <w:rPr>
                                <w:rFonts w:hAnsi="Aptos"/>
                                <w:b/>
                                <w:bCs/>
                                <w:i/>
                                <w:iCs/>
                                <w:color w:val="000000" w:themeColor="text1"/>
                                <w:kern w:val="24"/>
                                <w:lang w:val="en-US"/>
                              </w:rPr>
                              <w:t xml:space="preserve">Supplementary Figure 1. Analysis of urinary parameters in a diabetic model during an 18- hour time window utilizing a metabolic </w:t>
                            </w:r>
                            <w:r w:rsidR="007B636F" w:rsidRPr="00D17E8E">
                              <w:rPr>
                                <w:rFonts w:hAnsi="Aptos"/>
                                <w:b/>
                                <w:bCs/>
                                <w:i/>
                                <w:iCs/>
                                <w:color w:val="000000" w:themeColor="text1"/>
                                <w:kern w:val="24"/>
                                <w:lang w:val="en-US"/>
                              </w:rPr>
                              <w:t>cage. (</w:t>
                            </w:r>
                            <w:r w:rsidRPr="00D17E8E">
                              <w:rPr>
                                <w:rFonts w:hAnsi="Aptos"/>
                                <w:b/>
                                <w:bCs/>
                                <w:i/>
                                <w:iCs/>
                                <w:color w:val="000000" w:themeColor="text1"/>
                                <w:kern w:val="24"/>
                                <w:lang w:val="en-US"/>
                              </w:rPr>
                              <w:t>A) urine output volume, (B) glomerular filtration rate (GFR), (C) urinary albumin, (D) urinary creatinine, (E) total urinary protein, (F) urinary urea, (G) plasma creatine rate and urinary creatinine ratio, (H) plasma urea, (I) plasma creatinine.</w:t>
                            </w:r>
                            <w:r>
                              <w:rPr>
                                <w:rFonts w:hAnsi="Aptos"/>
                                <w:b/>
                                <w:bCs/>
                                <w:i/>
                                <w:iCs/>
                                <w:color w:val="000000" w:themeColor="text1"/>
                                <w:kern w:val="24"/>
                                <w:lang w:val="en-US"/>
                              </w:rPr>
                              <w:t xml:space="preserve"> N (n= 5), D (n= 5), D+T (n=5)</w:t>
                            </w:r>
                            <w:r w:rsidRPr="00D17E8E">
                              <w:rPr>
                                <w:rFonts w:hAnsi="Aptos"/>
                                <w:b/>
                                <w:bCs/>
                                <w:i/>
                                <w:iCs/>
                                <w:color w:val="000000" w:themeColor="text1"/>
                                <w:kern w:val="24"/>
                                <w:lang w:val="en-US"/>
                              </w:rPr>
                              <w:t>. (*) p ≤ 0.05; (**) p&lt; 0.01; ns: non-significant.</w:t>
                            </w:r>
                          </w:p>
                        </w:txbxContent>
                      </wps:txbx>
                      <wps:bodyPr wrap="square">
                        <a:spAutoFit/>
                      </wps:bodyPr>
                    </wps:wsp>
                  </a:graphicData>
                </a:graphic>
              </wp:anchor>
            </w:drawing>
          </mc:Choice>
          <mc:Fallback>
            <w:pict>
              <v:shapetype w14:anchorId="09F16DB9" id="_x0000_t202" coordsize="21600,21600" o:spt="202" path="m,l,21600r21600,l21600,xe">
                <v:stroke joinstyle="miter"/>
                <v:path gradientshapeok="t" o:connecttype="rect"/>
              </v:shapetype>
              <v:shape id="CuadroTexto 20" o:spid="_x0000_s1026" type="#_x0000_t202" style="position:absolute;margin-left:0;margin-top:0;width:454.4pt;height:7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" filled="f" stroked="f">
                <v:textbox style="mso-fit-shape-to-text:t">
                  <w:txbxContent>
                    <w:p w14:paraId="521C848B" w14:textId="6F80CC02" w:rsidR="00D17E8E" w:rsidRPr="00D17E8E" w:rsidRDefault="00D17E8E" w:rsidP="00D17E8E">
                      <w:pPr>
                        <w:jc w:val="both"/>
                        <w:rPr>
                          <w:rFonts w:hAnsi="Aptos"/>
                          <w:b/>
                          <w:bCs/>
                          <w:i/>
                          <w:iCs/>
                          <w:color w:val="000000" w:themeColor="text1"/>
                          <w:kern w:val="24"/>
                          <w:lang w:val="en-US"/>
                          <w14:ligatures w14:val="none"/>
                        </w:rPr>
                      </w:pPr>
                      <w:r w:rsidRPr="00D17E8E">
                        <w:rPr>
                          <w:rFonts w:hAnsi="Aptos"/>
                          <w:b/>
                          <w:bCs/>
                          <w:i/>
                          <w:iCs/>
                          <w:color w:val="000000" w:themeColor="text1"/>
                          <w:kern w:val="24"/>
                          <w:lang w:val="en-US"/>
                        </w:rPr>
                        <w:t xml:space="preserve">Supplementary Figure 1. Analysis of urinary parameters in a diabetic model during an 18- hour time window utilizing a metabolic </w:t>
                      </w:r>
                      <w:r w:rsidR="007B636F" w:rsidRPr="00D17E8E">
                        <w:rPr>
                          <w:rFonts w:hAnsi="Aptos"/>
                          <w:b/>
                          <w:bCs/>
                          <w:i/>
                          <w:iCs/>
                          <w:color w:val="000000" w:themeColor="text1"/>
                          <w:kern w:val="24"/>
                          <w:lang w:val="en-US"/>
                        </w:rPr>
                        <w:t>cage. (</w:t>
                      </w:r>
                      <w:r w:rsidRPr="00D17E8E">
                        <w:rPr>
                          <w:rFonts w:hAnsi="Aptos"/>
                          <w:b/>
                          <w:bCs/>
                          <w:i/>
                          <w:iCs/>
                          <w:color w:val="000000" w:themeColor="text1"/>
                          <w:kern w:val="24"/>
                          <w:lang w:val="en-US"/>
                        </w:rPr>
                        <w:t>A) urine output volume, (B) glomerular filtration rate (GFR), (C) urinary albumin, (D) urinary creatinine, (E) total urinary protein, (F) urinary urea, (G) plasma creatine rate and urinary creatinine ratio, (H) plasma urea, (I) plasma creatinine.</w:t>
                      </w:r>
                      <w:r>
                        <w:rPr>
                          <w:rFonts w:hAnsi="Aptos"/>
                          <w:b/>
                          <w:bCs/>
                          <w:i/>
                          <w:iCs/>
                          <w:color w:val="000000" w:themeColor="text1"/>
                          <w:kern w:val="24"/>
                          <w:lang w:val="en-US"/>
                        </w:rPr>
                        <w:t xml:space="preserve"> N (n= 5), D (n= 5), D+T (n=5)</w:t>
                      </w:r>
                      <w:r w:rsidRPr="00D17E8E">
                        <w:rPr>
                          <w:rFonts w:hAnsi="Aptos"/>
                          <w:b/>
                          <w:bCs/>
                          <w:i/>
                          <w:iCs/>
                          <w:color w:val="000000" w:themeColor="text1"/>
                          <w:kern w:val="24"/>
                          <w:lang w:val="en-US"/>
                        </w:rPr>
                        <w:t>. (*) p ≤ 0.05; (**) p&lt; 0.01; ns: non-significant.</w:t>
                      </w:r>
                    </w:p>
                  </w:txbxContent>
                </v:textbox>
              </v:shape>
            </w:pict>
          </mc:Fallback>
        </mc:AlternateContent>
      </w:r>
    </w:p>
    <w:sectPr w:rsidR="00952BF6" w:rsidRPr="00A055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94"/>
    <w:rsid w:val="00023CF8"/>
    <w:rsid w:val="003734F4"/>
    <w:rsid w:val="0069213F"/>
    <w:rsid w:val="007B636F"/>
    <w:rsid w:val="008300DE"/>
    <w:rsid w:val="00844584"/>
    <w:rsid w:val="00952BF6"/>
    <w:rsid w:val="009B117E"/>
    <w:rsid w:val="00A055CB"/>
    <w:rsid w:val="00AE25AE"/>
    <w:rsid w:val="00BE32C6"/>
    <w:rsid w:val="00C72994"/>
    <w:rsid w:val="00CE44DB"/>
    <w:rsid w:val="00D054B5"/>
    <w:rsid w:val="00D17E8E"/>
    <w:rsid w:val="00E0533D"/>
    <w:rsid w:val="00F201DD"/>
    <w:rsid w:val="00F911E3"/>
    <w:rsid w:val="00FD27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C3EC"/>
  <w15:chartTrackingRefBased/>
  <w15:docId w15:val="{73DDE293-6BB5-468E-ABAC-7DA1B740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994"/>
  </w:style>
  <w:style w:type="paragraph" w:styleId="Ttulo1">
    <w:name w:val="heading 1"/>
    <w:basedOn w:val="Normal"/>
    <w:next w:val="Normal"/>
    <w:link w:val="Ttulo1Car"/>
    <w:uiPriority w:val="9"/>
    <w:qFormat/>
    <w:rsid w:val="00C72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2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29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29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29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29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29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29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29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29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29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29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29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29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29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29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29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2994"/>
    <w:rPr>
      <w:rFonts w:eastAsiaTheme="majorEastAsia" w:cstheme="majorBidi"/>
      <w:color w:val="272727" w:themeColor="text1" w:themeTint="D8"/>
    </w:rPr>
  </w:style>
  <w:style w:type="paragraph" w:styleId="Ttulo">
    <w:name w:val="Title"/>
    <w:basedOn w:val="Normal"/>
    <w:next w:val="Normal"/>
    <w:link w:val="TtuloCar"/>
    <w:uiPriority w:val="10"/>
    <w:qFormat/>
    <w:rsid w:val="00C7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29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29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29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2994"/>
    <w:pPr>
      <w:spacing w:before="160"/>
      <w:jc w:val="center"/>
    </w:pPr>
    <w:rPr>
      <w:i/>
      <w:iCs/>
      <w:color w:val="404040" w:themeColor="text1" w:themeTint="BF"/>
    </w:rPr>
  </w:style>
  <w:style w:type="character" w:customStyle="1" w:styleId="CitaCar">
    <w:name w:val="Cita Car"/>
    <w:basedOn w:val="Fuentedeprrafopredeter"/>
    <w:link w:val="Cita"/>
    <w:uiPriority w:val="29"/>
    <w:rsid w:val="00C72994"/>
    <w:rPr>
      <w:i/>
      <w:iCs/>
      <w:color w:val="404040" w:themeColor="text1" w:themeTint="BF"/>
    </w:rPr>
  </w:style>
  <w:style w:type="paragraph" w:styleId="Prrafodelista">
    <w:name w:val="List Paragraph"/>
    <w:basedOn w:val="Normal"/>
    <w:uiPriority w:val="34"/>
    <w:qFormat/>
    <w:rsid w:val="00C72994"/>
    <w:pPr>
      <w:ind w:left="720"/>
      <w:contextualSpacing/>
    </w:pPr>
  </w:style>
  <w:style w:type="character" w:styleId="nfasisintenso">
    <w:name w:val="Intense Emphasis"/>
    <w:basedOn w:val="Fuentedeprrafopredeter"/>
    <w:uiPriority w:val="21"/>
    <w:qFormat/>
    <w:rsid w:val="00C72994"/>
    <w:rPr>
      <w:i/>
      <w:iCs/>
      <w:color w:val="0F4761" w:themeColor="accent1" w:themeShade="BF"/>
    </w:rPr>
  </w:style>
  <w:style w:type="paragraph" w:styleId="Citadestacada">
    <w:name w:val="Intense Quote"/>
    <w:basedOn w:val="Normal"/>
    <w:next w:val="Normal"/>
    <w:link w:val="CitadestacadaCar"/>
    <w:uiPriority w:val="30"/>
    <w:qFormat/>
    <w:rsid w:val="00C7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2994"/>
    <w:rPr>
      <w:i/>
      <w:iCs/>
      <w:color w:val="0F4761" w:themeColor="accent1" w:themeShade="BF"/>
    </w:rPr>
  </w:style>
  <w:style w:type="character" w:styleId="Referenciaintensa">
    <w:name w:val="Intense Reference"/>
    <w:basedOn w:val="Fuentedeprrafopredeter"/>
    <w:uiPriority w:val="32"/>
    <w:qFormat/>
    <w:rsid w:val="00C72994"/>
    <w:rPr>
      <w:b/>
      <w:bCs/>
      <w:smallCaps/>
      <w:color w:val="0F4761" w:themeColor="accent1" w:themeShade="BF"/>
      <w:spacing w:val="5"/>
    </w:rPr>
  </w:style>
  <w:style w:type="table" w:styleId="Tablaconcuadrcula">
    <w:name w:val="Table Grid"/>
    <w:basedOn w:val="Tablanormal"/>
    <w:uiPriority w:val="39"/>
    <w:rsid w:val="00C7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72994"/>
    <w:rPr>
      <w:sz w:val="16"/>
      <w:szCs w:val="16"/>
    </w:rPr>
  </w:style>
  <w:style w:type="paragraph" w:styleId="Textocomentario">
    <w:name w:val="annotation text"/>
    <w:basedOn w:val="Normal"/>
    <w:link w:val="TextocomentarioCar"/>
    <w:uiPriority w:val="99"/>
    <w:unhideWhenUsed/>
    <w:rsid w:val="00C72994"/>
    <w:pPr>
      <w:spacing w:line="240" w:lineRule="auto"/>
    </w:pPr>
    <w:rPr>
      <w:sz w:val="20"/>
      <w:szCs w:val="20"/>
    </w:rPr>
  </w:style>
  <w:style w:type="character" w:customStyle="1" w:styleId="TextocomentarioCar">
    <w:name w:val="Texto comentario Car"/>
    <w:basedOn w:val="Fuentedeprrafopredeter"/>
    <w:link w:val="Textocomentario"/>
    <w:uiPriority w:val="99"/>
    <w:rsid w:val="00C729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2434">
      <w:bodyDiv w:val="1"/>
      <w:marLeft w:val="0"/>
      <w:marRight w:val="0"/>
      <w:marTop w:val="0"/>
      <w:marBottom w:val="0"/>
      <w:divBdr>
        <w:top w:val="none" w:sz="0" w:space="0" w:color="auto"/>
        <w:left w:val="none" w:sz="0" w:space="0" w:color="auto"/>
        <w:bottom w:val="none" w:sz="0" w:space="0" w:color="auto"/>
        <w:right w:val="none" w:sz="0" w:space="0" w:color="auto"/>
      </w:divBdr>
    </w:div>
    <w:div w:id="1793741946">
      <w:bodyDiv w:val="1"/>
      <w:marLeft w:val="0"/>
      <w:marRight w:val="0"/>
      <w:marTop w:val="0"/>
      <w:marBottom w:val="0"/>
      <w:divBdr>
        <w:top w:val="none" w:sz="0" w:space="0" w:color="auto"/>
        <w:left w:val="none" w:sz="0" w:space="0" w:color="auto"/>
        <w:bottom w:val="none" w:sz="0" w:space="0" w:color="auto"/>
        <w:right w:val="none" w:sz="0" w:space="0" w:color="auto"/>
      </w:divBdr>
    </w:div>
    <w:div w:id="1795980312">
      <w:bodyDiv w:val="1"/>
      <w:marLeft w:val="0"/>
      <w:marRight w:val="0"/>
      <w:marTop w:val="0"/>
      <w:marBottom w:val="0"/>
      <w:divBdr>
        <w:top w:val="none" w:sz="0" w:space="0" w:color="auto"/>
        <w:left w:val="none" w:sz="0" w:space="0" w:color="auto"/>
        <w:bottom w:val="none" w:sz="0" w:space="0" w:color="auto"/>
        <w:right w:val="none" w:sz="0" w:space="0" w:color="auto"/>
      </w:divBdr>
    </w:div>
    <w:div w:id="18858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Words>
  <Characters>365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 Mazzocco</dc:creator>
  <cp:keywords/>
  <dc:description/>
  <cp:lastModifiedBy>Yanina Mazzocco</cp:lastModifiedBy>
  <cp:revision>9</cp:revision>
  <dcterms:created xsi:type="dcterms:W3CDTF">2024-12-22T23:23:00Z</dcterms:created>
  <dcterms:modified xsi:type="dcterms:W3CDTF">2024-12-27T22:08:00Z</dcterms:modified>
</cp:coreProperties>
</file>