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7E92C" w14:textId="77777777" w:rsidR="00864E7E" w:rsidRPr="00A50F6D" w:rsidRDefault="00000000" w:rsidP="00A50F6D">
      <w:pPr>
        <w:jc w:val="center"/>
        <w:rPr>
          <w:sz w:val="32"/>
          <w:szCs w:val="32"/>
        </w:rPr>
      </w:pPr>
      <w:bookmarkStart w:id="0" w:name="_Hlk58780753"/>
      <w:bookmarkStart w:id="1" w:name="_Hlk58780768"/>
      <w:r w:rsidRPr="00A50F6D">
        <w:rPr>
          <w:sz w:val="32"/>
          <w:szCs w:val="32"/>
        </w:rPr>
        <w:t>Supplementary Information</w:t>
      </w:r>
    </w:p>
    <w:bookmarkEnd w:id="0"/>
    <w:p w14:paraId="34857AE0" w14:textId="6B73A0B7" w:rsidR="00864E7E" w:rsidRDefault="00992236" w:rsidP="001C7194">
      <w:pPr>
        <w:spacing w:line="240" w:lineRule="auto"/>
        <w:jc w:val="center"/>
        <w:rPr>
          <w:b/>
          <w:bCs/>
          <w:sz w:val="28"/>
          <w:szCs w:val="28"/>
        </w:rPr>
      </w:pPr>
      <w:r>
        <w:rPr>
          <w:rFonts w:hint="eastAsia"/>
          <w:b/>
          <w:bCs/>
          <w:sz w:val="28"/>
          <w:szCs w:val="28"/>
        </w:rPr>
        <w:t>Periodic</w:t>
      </w:r>
      <w:r w:rsidR="00EC2E9F" w:rsidRPr="00A50F6D">
        <w:rPr>
          <w:rFonts w:hint="eastAsia"/>
          <w:b/>
          <w:bCs/>
          <w:sz w:val="28"/>
          <w:szCs w:val="28"/>
        </w:rPr>
        <w:t xml:space="preserve"> One-Dimensional Subsurface Channels </w:t>
      </w:r>
      <w:r>
        <w:rPr>
          <w:rFonts w:hint="eastAsia"/>
          <w:b/>
          <w:bCs/>
          <w:sz w:val="28"/>
          <w:szCs w:val="28"/>
        </w:rPr>
        <w:t>Induced</w:t>
      </w:r>
      <w:r w:rsidR="00EC2E9F" w:rsidRPr="00A50F6D">
        <w:rPr>
          <w:rFonts w:hint="eastAsia"/>
          <w:b/>
          <w:bCs/>
          <w:sz w:val="28"/>
          <w:szCs w:val="28"/>
        </w:rPr>
        <w:t xml:space="preserve"> by Ordered Oxygen Vacancies</w:t>
      </w:r>
      <w:r w:rsidRPr="00992236">
        <w:rPr>
          <w:rFonts w:hint="eastAsia"/>
          <w:b/>
          <w:bCs/>
          <w:sz w:val="28"/>
          <w:szCs w:val="28"/>
        </w:rPr>
        <w:t xml:space="preserve"> </w:t>
      </w:r>
      <w:r w:rsidRPr="00A50F6D">
        <w:rPr>
          <w:rFonts w:hint="eastAsia"/>
          <w:b/>
          <w:bCs/>
          <w:sz w:val="28"/>
          <w:szCs w:val="28"/>
        </w:rPr>
        <w:t>on CeO</w:t>
      </w:r>
      <w:r w:rsidRPr="00A50F6D">
        <w:rPr>
          <w:rFonts w:hint="eastAsia"/>
          <w:b/>
          <w:bCs/>
          <w:sz w:val="28"/>
          <w:szCs w:val="28"/>
          <w:vertAlign w:val="subscript"/>
        </w:rPr>
        <w:t>2</w:t>
      </w:r>
      <w:r w:rsidRPr="00A50F6D">
        <w:rPr>
          <w:rFonts w:hint="eastAsia"/>
          <w:b/>
          <w:bCs/>
          <w:sz w:val="28"/>
          <w:szCs w:val="28"/>
        </w:rPr>
        <w:t xml:space="preserve"> (110)</w:t>
      </w:r>
    </w:p>
    <w:p w14:paraId="404D6AAA" w14:textId="77777777" w:rsidR="001C7194" w:rsidRPr="001C7194" w:rsidRDefault="001C7194" w:rsidP="001C7194">
      <w:pPr>
        <w:spacing w:line="240" w:lineRule="auto"/>
        <w:jc w:val="center"/>
        <w:rPr>
          <w:rFonts w:eastAsia="宋体"/>
          <w:b/>
          <w:bCs/>
          <w:sz w:val="21"/>
          <w:szCs w:val="21"/>
        </w:rPr>
      </w:pPr>
    </w:p>
    <w:p w14:paraId="124A1567" w14:textId="68D5DD52" w:rsidR="00EC2E9F" w:rsidRPr="00A50F6D" w:rsidRDefault="00EC2E9F" w:rsidP="00A50F6D">
      <w:pPr>
        <w:jc w:val="center"/>
        <w:rPr>
          <w:i/>
          <w:iCs/>
          <w:sz w:val="21"/>
          <w:szCs w:val="21"/>
          <w:vertAlign w:val="superscript"/>
        </w:rPr>
      </w:pPr>
      <w:proofErr w:type="spellStart"/>
      <w:r w:rsidRPr="00A50F6D">
        <w:rPr>
          <w:i/>
          <w:iCs/>
          <w:sz w:val="21"/>
          <w:szCs w:val="21"/>
        </w:rPr>
        <w:t>Guanxing</w:t>
      </w:r>
      <w:proofErr w:type="spellEnd"/>
      <w:r w:rsidRPr="00A50F6D">
        <w:rPr>
          <w:i/>
          <w:iCs/>
          <w:sz w:val="21"/>
          <w:szCs w:val="21"/>
        </w:rPr>
        <w:t xml:space="preserve"> Li</w:t>
      </w:r>
      <w:r w:rsidRPr="00A50F6D">
        <w:rPr>
          <w:i/>
          <w:iCs/>
          <w:sz w:val="21"/>
          <w:szCs w:val="21"/>
          <w:vertAlign w:val="superscript"/>
        </w:rPr>
        <w:t>1,2,3</w:t>
      </w:r>
      <w:r w:rsidRPr="00A50F6D">
        <w:rPr>
          <w:i/>
          <w:iCs/>
          <w:sz w:val="21"/>
          <w:szCs w:val="21"/>
        </w:rPr>
        <w:t xml:space="preserve">, </w:t>
      </w:r>
      <w:proofErr w:type="spellStart"/>
      <w:r w:rsidRPr="00A50F6D">
        <w:rPr>
          <w:i/>
          <w:iCs/>
          <w:sz w:val="21"/>
          <w:szCs w:val="21"/>
        </w:rPr>
        <w:t>Xiaojuan</w:t>
      </w:r>
      <w:proofErr w:type="spellEnd"/>
      <w:r w:rsidRPr="00A50F6D">
        <w:rPr>
          <w:i/>
          <w:iCs/>
          <w:sz w:val="21"/>
          <w:szCs w:val="21"/>
        </w:rPr>
        <w:t xml:space="preserve"> Hu</w:t>
      </w:r>
      <w:r w:rsidRPr="00A50F6D">
        <w:rPr>
          <w:i/>
          <w:iCs/>
          <w:sz w:val="21"/>
          <w:szCs w:val="21"/>
          <w:vertAlign w:val="superscript"/>
        </w:rPr>
        <w:t>1,3</w:t>
      </w:r>
      <w:r w:rsidRPr="00A50F6D">
        <w:rPr>
          <w:i/>
          <w:iCs/>
          <w:sz w:val="21"/>
          <w:szCs w:val="21"/>
        </w:rPr>
        <w:t>, Chen Zou</w:t>
      </w:r>
      <w:r w:rsidRPr="00A50F6D">
        <w:rPr>
          <w:i/>
          <w:iCs/>
          <w:sz w:val="21"/>
          <w:szCs w:val="21"/>
          <w:vertAlign w:val="superscript"/>
        </w:rPr>
        <w:t>1</w:t>
      </w:r>
      <w:r w:rsidRPr="00A50F6D">
        <w:rPr>
          <w:i/>
          <w:iCs/>
          <w:sz w:val="21"/>
          <w:szCs w:val="21"/>
        </w:rPr>
        <w:t xml:space="preserve">, </w:t>
      </w:r>
      <w:proofErr w:type="spellStart"/>
      <w:r w:rsidRPr="00A50F6D">
        <w:rPr>
          <w:i/>
          <w:iCs/>
          <w:sz w:val="21"/>
          <w:szCs w:val="21"/>
        </w:rPr>
        <w:t>Songda</w:t>
      </w:r>
      <w:proofErr w:type="spellEnd"/>
      <w:r w:rsidRPr="00A50F6D">
        <w:rPr>
          <w:i/>
          <w:iCs/>
          <w:sz w:val="21"/>
          <w:szCs w:val="21"/>
        </w:rPr>
        <w:t xml:space="preserve"> Li</w:t>
      </w:r>
      <w:r w:rsidRPr="00A50F6D">
        <w:rPr>
          <w:i/>
          <w:iCs/>
          <w:sz w:val="21"/>
          <w:szCs w:val="21"/>
          <w:vertAlign w:val="superscript"/>
        </w:rPr>
        <w:t>1</w:t>
      </w:r>
      <w:r w:rsidRPr="00A50F6D">
        <w:rPr>
          <w:i/>
          <w:iCs/>
          <w:sz w:val="21"/>
          <w:szCs w:val="21"/>
        </w:rPr>
        <w:t>, Zhong-Kang Han</w:t>
      </w:r>
      <w:r w:rsidRPr="00A50F6D">
        <w:rPr>
          <w:i/>
          <w:iCs/>
          <w:sz w:val="21"/>
          <w:szCs w:val="21"/>
          <w:vertAlign w:val="superscript"/>
        </w:rPr>
        <w:t>1*</w:t>
      </w:r>
      <w:r w:rsidRPr="00A50F6D">
        <w:rPr>
          <w:i/>
          <w:iCs/>
          <w:sz w:val="21"/>
          <w:szCs w:val="21"/>
        </w:rPr>
        <w:t xml:space="preserve">, </w:t>
      </w:r>
      <w:proofErr w:type="spellStart"/>
      <w:r w:rsidRPr="00A50F6D">
        <w:rPr>
          <w:i/>
          <w:iCs/>
          <w:sz w:val="21"/>
          <w:szCs w:val="21"/>
        </w:rPr>
        <w:t>Wentao</w:t>
      </w:r>
      <w:proofErr w:type="spellEnd"/>
      <w:r w:rsidRPr="00A50F6D">
        <w:rPr>
          <w:i/>
          <w:iCs/>
          <w:sz w:val="21"/>
          <w:szCs w:val="21"/>
        </w:rPr>
        <w:t xml:space="preserve"> Yuan</w:t>
      </w:r>
      <w:r w:rsidRPr="00A50F6D">
        <w:rPr>
          <w:i/>
          <w:iCs/>
          <w:sz w:val="21"/>
          <w:szCs w:val="21"/>
          <w:vertAlign w:val="superscript"/>
        </w:rPr>
        <w:t>1*</w:t>
      </w:r>
      <w:r w:rsidRPr="00A50F6D">
        <w:rPr>
          <w:i/>
          <w:iCs/>
          <w:sz w:val="21"/>
          <w:szCs w:val="21"/>
        </w:rPr>
        <w:t>, Ze Zhang</w:t>
      </w:r>
      <w:r w:rsidRPr="00A50F6D">
        <w:rPr>
          <w:i/>
          <w:iCs/>
          <w:sz w:val="21"/>
          <w:szCs w:val="21"/>
          <w:vertAlign w:val="superscript"/>
        </w:rPr>
        <w:t>1</w:t>
      </w:r>
      <w:r w:rsidRPr="00A50F6D">
        <w:rPr>
          <w:i/>
          <w:iCs/>
          <w:sz w:val="21"/>
          <w:szCs w:val="21"/>
        </w:rPr>
        <w:t>, Yong Wang</w:t>
      </w:r>
      <w:r w:rsidRPr="00A50F6D">
        <w:rPr>
          <w:i/>
          <w:iCs/>
          <w:sz w:val="21"/>
          <w:szCs w:val="21"/>
          <w:vertAlign w:val="superscript"/>
        </w:rPr>
        <w:t>1*</w:t>
      </w:r>
    </w:p>
    <w:p w14:paraId="4B70C428" w14:textId="77777777" w:rsidR="00A50F6D" w:rsidRPr="00A50F6D" w:rsidRDefault="00A50F6D" w:rsidP="00A50F6D">
      <w:pPr>
        <w:jc w:val="center"/>
        <w:rPr>
          <w:i/>
          <w:iCs/>
        </w:rPr>
      </w:pPr>
    </w:p>
    <w:p w14:paraId="3F23BFA0" w14:textId="77777777" w:rsidR="00EC2E9F" w:rsidRPr="00A50F6D" w:rsidRDefault="00EC2E9F" w:rsidP="00A50F6D">
      <w:pPr>
        <w:rPr>
          <w:sz w:val="21"/>
          <w:szCs w:val="21"/>
        </w:rPr>
      </w:pPr>
      <w:r w:rsidRPr="00A50F6D">
        <w:rPr>
          <w:sz w:val="21"/>
          <w:szCs w:val="21"/>
          <w:vertAlign w:val="superscript"/>
        </w:rPr>
        <w:t>1</w:t>
      </w:r>
      <w:r w:rsidRPr="00A50F6D">
        <w:rPr>
          <w:sz w:val="21"/>
          <w:szCs w:val="21"/>
        </w:rPr>
        <w:t>Center of Electron Microscopy and State Key Laboratory of Silicon Materials, School of Materials Science and Engineering, Zhejiang University, Hangzhou, 310027, China.</w:t>
      </w:r>
    </w:p>
    <w:p w14:paraId="597B213C" w14:textId="77777777" w:rsidR="00EC2E9F" w:rsidRPr="00A50F6D" w:rsidRDefault="00EC2E9F" w:rsidP="00A50F6D">
      <w:pPr>
        <w:rPr>
          <w:sz w:val="21"/>
          <w:szCs w:val="21"/>
        </w:rPr>
      </w:pPr>
      <w:bookmarkStart w:id="2" w:name="_Hlk161990778"/>
      <w:r w:rsidRPr="00A50F6D">
        <w:rPr>
          <w:sz w:val="21"/>
          <w:szCs w:val="21"/>
          <w:vertAlign w:val="superscript"/>
        </w:rPr>
        <w:t>2</w:t>
      </w:r>
      <w:r w:rsidRPr="00A50F6D">
        <w:rPr>
          <w:sz w:val="21"/>
          <w:szCs w:val="21"/>
        </w:rPr>
        <w:t>Current Address: School of Applied and Engineering Physics, Cornell University, Ithaca, NY 14853, USA</w:t>
      </w:r>
    </w:p>
    <w:bookmarkEnd w:id="2"/>
    <w:p w14:paraId="63B6D8E8" w14:textId="77777777" w:rsidR="00EC2E9F" w:rsidRPr="00A50F6D" w:rsidRDefault="00EC2E9F" w:rsidP="00A50F6D">
      <w:pPr>
        <w:rPr>
          <w:sz w:val="21"/>
          <w:szCs w:val="21"/>
        </w:rPr>
      </w:pPr>
      <w:r w:rsidRPr="00A50F6D">
        <w:rPr>
          <w:sz w:val="21"/>
          <w:szCs w:val="21"/>
          <w:vertAlign w:val="superscript"/>
        </w:rPr>
        <w:t>3</w:t>
      </w:r>
      <w:r w:rsidRPr="00A50F6D">
        <w:rPr>
          <w:sz w:val="21"/>
          <w:szCs w:val="21"/>
        </w:rPr>
        <w:t>These authors contributed equally.</w:t>
      </w:r>
    </w:p>
    <w:p w14:paraId="78AC1B83" w14:textId="77777777" w:rsidR="00EC2E9F" w:rsidRPr="00A50F6D" w:rsidRDefault="00EC2E9F" w:rsidP="00A50F6D">
      <w:pPr>
        <w:rPr>
          <w:iCs/>
          <w:color w:val="0000FF"/>
          <w:sz w:val="21"/>
          <w:szCs w:val="21"/>
          <w:u w:val="single"/>
        </w:rPr>
      </w:pPr>
      <w:r w:rsidRPr="00A50F6D">
        <w:rPr>
          <w:sz w:val="21"/>
          <w:szCs w:val="21"/>
        </w:rPr>
        <w:t xml:space="preserve">Correspondence </w:t>
      </w:r>
      <w:r w:rsidRPr="00A50F6D">
        <w:rPr>
          <w:iCs/>
          <w:color w:val="0000FF"/>
          <w:sz w:val="21"/>
          <w:szCs w:val="21"/>
          <w:u w:val="single"/>
        </w:rPr>
        <w:t xml:space="preserve">Email: </w:t>
      </w:r>
      <w:hyperlink r:id="rId7" w:history="1">
        <w:r w:rsidRPr="00A50F6D">
          <w:rPr>
            <w:iCs/>
            <w:color w:val="0000FF"/>
            <w:sz w:val="21"/>
            <w:szCs w:val="21"/>
            <w:u w:val="single"/>
          </w:rPr>
          <w:t>hanzk@zju.edu.cn</w:t>
        </w:r>
      </w:hyperlink>
      <w:r w:rsidRPr="00A50F6D">
        <w:rPr>
          <w:iCs/>
          <w:color w:val="0000FF"/>
          <w:sz w:val="21"/>
          <w:szCs w:val="21"/>
          <w:u w:val="single"/>
        </w:rPr>
        <w:t xml:space="preserve">; </w:t>
      </w:r>
      <w:r w:rsidRPr="00A50F6D">
        <w:rPr>
          <w:rFonts w:hint="eastAsia"/>
          <w:iCs/>
          <w:color w:val="0000FF"/>
          <w:sz w:val="21"/>
          <w:szCs w:val="21"/>
          <w:u w:val="single"/>
        </w:rPr>
        <w:t>wentao_yuan</w:t>
      </w:r>
      <w:r w:rsidRPr="00A50F6D">
        <w:rPr>
          <w:iCs/>
          <w:color w:val="0000FF"/>
          <w:sz w:val="21"/>
          <w:szCs w:val="21"/>
          <w:u w:val="single"/>
        </w:rPr>
        <w:t xml:space="preserve">@zju.edu.cn; </w:t>
      </w:r>
      <w:hyperlink r:id="rId8" w:history="1">
        <w:r w:rsidRPr="00A50F6D">
          <w:rPr>
            <w:iCs/>
            <w:color w:val="0000FF"/>
            <w:sz w:val="21"/>
            <w:szCs w:val="21"/>
            <w:u w:val="single"/>
          </w:rPr>
          <w:t>yongwang@zju.edu.cn</w:t>
        </w:r>
      </w:hyperlink>
      <w:r w:rsidRPr="00A50F6D">
        <w:rPr>
          <w:rFonts w:hint="eastAsia"/>
          <w:iCs/>
          <w:color w:val="0000FF"/>
          <w:sz w:val="21"/>
          <w:szCs w:val="21"/>
          <w:u w:val="single"/>
        </w:rPr>
        <w:t>;</w:t>
      </w:r>
    </w:p>
    <w:bookmarkEnd w:id="1"/>
    <w:p w14:paraId="62D94E7C" w14:textId="77777777" w:rsidR="00864E7E" w:rsidRDefault="00864E7E" w:rsidP="00A50F6D"/>
    <w:p w14:paraId="45A4C629" w14:textId="77777777" w:rsidR="00864E7E" w:rsidRDefault="00864E7E" w:rsidP="00A50F6D"/>
    <w:p w14:paraId="5D52E7F0" w14:textId="7E645F1E" w:rsidR="00864E7E" w:rsidRDefault="00000000" w:rsidP="00A50F6D">
      <w:r>
        <w:rPr>
          <w:rFonts w:hint="eastAsia"/>
        </w:rPr>
        <w:t>T</w:t>
      </w:r>
      <w:r>
        <w:t xml:space="preserve">his </w:t>
      </w:r>
      <w:r w:rsidR="00816DB0" w:rsidRPr="00816DB0">
        <w:t>Supplementary Information</w:t>
      </w:r>
      <w:r>
        <w:t xml:space="preserve"> file includes:</w:t>
      </w:r>
    </w:p>
    <w:p w14:paraId="5098C23F" w14:textId="77777777" w:rsidR="00864E7E" w:rsidRPr="00816DB0" w:rsidRDefault="00864E7E" w:rsidP="00A50F6D"/>
    <w:p w14:paraId="0F60BF7C" w14:textId="58851C07" w:rsidR="00864E7E" w:rsidRDefault="00D30417" w:rsidP="00A50F6D">
      <w:r>
        <w:rPr>
          <w:rFonts w:hint="eastAsia"/>
          <w:b/>
        </w:rPr>
        <w:t>M</w:t>
      </w:r>
      <w:r>
        <w:rPr>
          <w:b/>
        </w:rPr>
        <w:t>aterials and methods</w:t>
      </w:r>
    </w:p>
    <w:p w14:paraId="0D9EAE4C" w14:textId="278C8295" w:rsidR="00864E7E" w:rsidRPr="00D30417" w:rsidRDefault="00000000" w:rsidP="00A50F6D">
      <w:pPr>
        <w:rPr>
          <w:b/>
          <w:bCs/>
        </w:rPr>
      </w:pPr>
      <w:r w:rsidRPr="00D30417">
        <w:rPr>
          <w:b/>
          <w:bCs/>
        </w:rPr>
        <w:t>Fig. S1</w:t>
      </w:r>
      <w:r w:rsidR="006E636A" w:rsidRPr="00D30417">
        <w:rPr>
          <w:rFonts w:hint="eastAsia"/>
          <w:b/>
          <w:bCs/>
        </w:rPr>
        <w:t xml:space="preserve"> </w:t>
      </w:r>
      <w:r w:rsidR="006E636A" w:rsidRPr="00D30417">
        <w:rPr>
          <w:b/>
          <w:bCs/>
        </w:rPr>
        <w:t>–</w:t>
      </w:r>
      <w:r w:rsidR="006E636A" w:rsidRPr="00D30417">
        <w:rPr>
          <w:rFonts w:hint="eastAsia"/>
          <w:b/>
          <w:bCs/>
        </w:rPr>
        <w:t xml:space="preserve"> S</w:t>
      </w:r>
      <w:r w:rsidR="00052E82">
        <w:rPr>
          <w:rFonts w:hint="eastAsia"/>
          <w:b/>
          <w:bCs/>
        </w:rPr>
        <w:t>3</w:t>
      </w:r>
    </w:p>
    <w:p w14:paraId="1B916092" w14:textId="6F1D9925" w:rsidR="00864E7E" w:rsidRPr="00D30417" w:rsidRDefault="006E636A" w:rsidP="00A50F6D">
      <w:pPr>
        <w:rPr>
          <w:b/>
          <w:bCs/>
        </w:rPr>
      </w:pPr>
      <w:r w:rsidRPr="00D30417">
        <w:rPr>
          <w:rFonts w:hint="eastAsia"/>
          <w:b/>
          <w:bCs/>
        </w:rPr>
        <w:t>Table S1</w:t>
      </w:r>
    </w:p>
    <w:p w14:paraId="3332750A" w14:textId="77777777" w:rsidR="00864E7E" w:rsidRDefault="00864E7E" w:rsidP="00A50F6D"/>
    <w:p w14:paraId="31C0DCB9" w14:textId="77777777" w:rsidR="00864E7E" w:rsidRDefault="00000000" w:rsidP="00A50F6D">
      <w:r>
        <w:br w:type="page"/>
      </w:r>
    </w:p>
    <w:p w14:paraId="4EE061C0" w14:textId="77777777" w:rsidR="00864E7E" w:rsidRPr="0036615D" w:rsidRDefault="00000000" w:rsidP="00A50F6D">
      <w:pPr>
        <w:rPr>
          <w:b/>
          <w:bCs/>
          <w:sz w:val="28"/>
          <w:szCs w:val="28"/>
        </w:rPr>
      </w:pPr>
      <w:r w:rsidRPr="0036615D">
        <w:rPr>
          <w:b/>
          <w:bCs/>
          <w:sz w:val="28"/>
          <w:szCs w:val="28"/>
        </w:rPr>
        <w:lastRenderedPageBreak/>
        <w:t>Materials and methods</w:t>
      </w:r>
    </w:p>
    <w:p w14:paraId="1112D39A" w14:textId="77777777" w:rsidR="00864E7E" w:rsidRPr="0036615D" w:rsidRDefault="00000000" w:rsidP="00A50F6D">
      <w:pPr>
        <w:rPr>
          <w:b/>
          <w:bCs/>
        </w:rPr>
      </w:pPr>
      <w:bookmarkStart w:id="3" w:name="_Hlk60940617"/>
      <w:r w:rsidRPr="0036615D">
        <w:rPr>
          <w:b/>
          <w:bCs/>
        </w:rPr>
        <w:t>Sample preparation</w:t>
      </w:r>
    </w:p>
    <w:bookmarkEnd w:id="3"/>
    <w:p w14:paraId="1A4C6E0D" w14:textId="720EF571" w:rsidR="00864E7E" w:rsidRDefault="00000000" w:rsidP="00A50F6D">
      <w:r>
        <w:t>The CeO</w:t>
      </w:r>
      <w:r>
        <w:rPr>
          <w:vertAlign w:val="subscript"/>
        </w:rPr>
        <w:t>2</w:t>
      </w:r>
      <w:r>
        <w:t xml:space="preserve"> nanoparticles </w:t>
      </w:r>
      <w:r>
        <w:rPr>
          <w:rFonts w:hint="eastAsia"/>
        </w:rPr>
        <w:t>used</w:t>
      </w:r>
      <w:r>
        <w:t xml:space="preserve"> in our experiments were prepared through a hydrothermal method</w:t>
      </w:r>
      <w:r w:rsidR="00CE3E3B">
        <w:fldChar w:fldCharType="begin"/>
      </w:r>
      <w:r w:rsidR="00992236">
        <w:instrText xml:space="preserve"> ADDIN ZOTERO_ITEM CSL_CITATION {"citationID":"3JAnVeHk","properties":{"formattedCitation":"\\super 1\\nosupersub{}","plainCitation":"1","noteIndex":0},"citationItems":[{"id":2445,"uris":["http://zotero.org/users/6520750/items/LEJLGDIR"],"itemData":{"id":2445,"type":"article-journal","archive_location":"1192 </w:instrText>
      </w:r>
      <w:r w:rsidR="00992236">
        <w:rPr>
          <w:rFonts w:ascii="Segoe UI Emoji" w:hAnsi="Segoe UI Emoji" w:cs="Segoe UI Emoji"/>
        </w:rPr>
        <w:instrText>📊</w:instrText>
      </w:r>
      <w:r w:rsidR="00992236">
        <w:instrText xml:space="preserve">","call-number":"2.991","container-title":"The Journal of Physical Chemistry B","DOI":"10.1021/jp055584b","ISSN":"1520-6106, 1520-5207","issue":"51","journalAbbreviation":"J. Phys. Chem. B","language":"en","page":"24380-24385","source":"3","title":"Shape-Selective Synthesis and Oxygen Storage Behavior of Ceria Nanopolyhedra, Nanorods, and Nanocubes","volume":"109","author":[{"family":"Mai","given":"Hao-Xin"},{"family":"Sun","given":"Ling-Dong"},{"family":"Zhang","given":"Ya-Wen"},{"family":"Si","given":"Rui"},{"family":"Feng","given":"Wei"},{"family":"Zhang","given":"Hong-Peng"},{"family":"Liu","given":"Hai-Chao"},{"family":"Yan","given":"Chun-Hua"}],"issued":{"date-parts":[["2005",12]]}}}],"schema":"https://github.com/citation-style-language/schema/raw/master/csl-citation.json"} </w:instrText>
      </w:r>
      <w:r w:rsidR="00CE3E3B">
        <w:fldChar w:fldCharType="separate"/>
      </w:r>
      <w:r w:rsidR="00CE3E3B" w:rsidRPr="00CE3E3B">
        <w:rPr>
          <w:kern w:val="0"/>
          <w:vertAlign w:val="superscript"/>
        </w:rPr>
        <w:t>1</w:t>
      </w:r>
      <w:r w:rsidR="00CE3E3B">
        <w:fldChar w:fldCharType="end"/>
      </w:r>
      <w:r>
        <w:t>. Typically, 0.868</w:t>
      </w:r>
      <w:bookmarkStart w:id="4" w:name="OLE_LINK2"/>
      <w:r w:rsidR="00017DD8">
        <w:t> </w:t>
      </w:r>
      <w:bookmarkEnd w:id="4"/>
      <w:r>
        <w:t xml:space="preserve">g of </w:t>
      </w:r>
      <w:proofErr w:type="gramStart"/>
      <w:r>
        <w:t>Ce(</w:t>
      </w:r>
      <w:proofErr w:type="gramEnd"/>
      <w:r>
        <w:t>NO</w:t>
      </w:r>
      <w:r>
        <w:rPr>
          <w:vertAlign w:val="subscript"/>
        </w:rPr>
        <w:t>3</w:t>
      </w:r>
      <w:r>
        <w:t>)</w:t>
      </w:r>
      <w:r>
        <w:rPr>
          <w:vertAlign w:val="subscript"/>
        </w:rPr>
        <w:t>3</w:t>
      </w:r>
      <w:r>
        <w:t>·6H</w:t>
      </w:r>
      <w:r>
        <w:rPr>
          <w:vertAlign w:val="subscript"/>
        </w:rPr>
        <w:t>2</w:t>
      </w:r>
      <w:r>
        <w:t>O (analytical purity, Macklin) was dissolved in 5</w:t>
      </w:r>
      <w:bookmarkStart w:id="5" w:name="OLE_LINK3"/>
      <w:r w:rsidR="00017DD8">
        <w:t> </w:t>
      </w:r>
      <w:bookmarkEnd w:id="5"/>
      <w:r>
        <w:t>mL of deionized water, then 8.40</w:t>
      </w:r>
      <w:r w:rsidR="00017DD8">
        <w:t> </w:t>
      </w:r>
      <w:r>
        <w:t>g of NaOH was dissolved in 35</w:t>
      </w:r>
      <w:r w:rsidR="00017DD8">
        <w:t> </w:t>
      </w:r>
      <w:r>
        <w:t>mL of deionized water. Next, the two solutions were mixed and stirred for 30</w:t>
      </w:r>
      <w:r w:rsidR="00017DD8">
        <w:t> </w:t>
      </w:r>
      <w:r>
        <w:t>min, and then transferred to a Teflon bottle and sealed into a hydrothermal reactor (50</w:t>
      </w:r>
      <w:r w:rsidR="00017DD8">
        <w:t> </w:t>
      </w:r>
      <w:r>
        <w:t>mL). After heated</w:t>
      </w:r>
      <w:r>
        <w:rPr>
          <w:rFonts w:hint="eastAsia"/>
        </w:rPr>
        <w:t xml:space="preserve"> at 180</w:t>
      </w:r>
      <w:r w:rsidR="00017DD8">
        <w:t> </w:t>
      </w:r>
      <w:r>
        <w:t>℃</w:t>
      </w:r>
      <w:r>
        <w:rPr>
          <w:rFonts w:hint="eastAsia"/>
        </w:rPr>
        <w:t xml:space="preserve"> for 24</w:t>
      </w:r>
      <w:r w:rsidR="00017DD8">
        <w:t> </w:t>
      </w:r>
      <w:r>
        <w:rPr>
          <w:rFonts w:hint="eastAsia"/>
        </w:rPr>
        <w:t>h</w:t>
      </w:r>
      <w:r>
        <w:t>, t</w:t>
      </w:r>
      <w:r>
        <w:rPr>
          <w:rFonts w:hint="eastAsia"/>
        </w:rPr>
        <w:t xml:space="preserve">he precipitates were obtained </w:t>
      </w:r>
      <w:r>
        <w:t>by centrifugation, followed by washing with deionized water and ethanol for several times. Last, the as-synthesized</w:t>
      </w:r>
      <w:r>
        <w:rPr>
          <w:rFonts w:hint="eastAsia"/>
        </w:rPr>
        <w:t xml:space="preserve"> products were dried at 60</w:t>
      </w:r>
      <w:r w:rsidR="00017DD8">
        <w:t> </w:t>
      </w:r>
      <w:r>
        <w:t>℃</w:t>
      </w:r>
      <w:r>
        <w:rPr>
          <w:rFonts w:hint="eastAsia"/>
        </w:rPr>
        <w:t xml:space="preserve"> in air for 12</w:t>
      </w:r>
      <w:r w:rsidR="00017DD8">
        <w:t> </w:t>
      </w:r>
      <w:r>
        <w:rPr>
          <w:rFonts w:hint="eastAsia"/>
        </w:rPr>
        <w:t>h.</w:t>
      </w:r>
    </w:p>
    <w:p w14:paraId="0126978F" w14:textId="77777777" w:rsidR="00864E7E" w:rsidRDefault="00864E7E" w:rsidP="00A50F6D"/>
    <w:p w14:paraId="4090EA38" w14:textId="77777777" w:rsidR="00864E7E" w:rsidRPr="0036615D" w:rsidRDefault="00000000" w:rsidP="00A50F6D">
      <w:pPr>
        <w:rPr>
          <w:b/>
          <w:bCs/>
        </w:rPr>
      </w:pPr>
      <w:bookmarkStart w:id="6" w:name="_Hlk60940627"/>
      <w:r w:rsidRPr="0036615D">
        <w:rPr>
          <w:b/>
          <w:bCs/>
        </w:rPr>
        <w:t>Sample characterization</w:t>
      </w:r>
    </w:p>
    <w:bookmarkEnd w:id="6"/>
    <w:p w14:paraId="127632B3" w14:textId="589E4A9F" w:rsidR="00864E7E" w:rsidRDefault="00000000" w:rsidP="00A50F6D">
      <w:r>
        <w:t xml:space="preserve">The </w:t>
      </w:r>
      <w:r w:rsidR="00576FC8">
        <w:rPr>
          <w:rFonts w:hint="eastAsia"/>
        </w:rPr>
        <w:t>scanning transmission electron microscopy (</w:t>
      </w:r>
      <w:r>
        <w:t>STEM</w:t>
      </w:r>
      <w:r w:rsidR="00576FC8">
        <w:rPr>
          <w:rFonts w:hint="eastAsia"/>
        </w:rPr>
        <w:t>)</w:t>
      </w:r>
      <w:r>
        <w:t xml:space="preserve"> </w:t>
      </w:r>
      <w:r w:rsidR="00576FC8">
        <w:rPr>
          <w:rFonts w:hint="eastAsia"/>
        </w:rPr>
        <w:t>characterizations</w:t>
      </w:r>
      <w:r>
        <w:t xml:space="preserve"> were performed </w:t>
      </w:r>
      <w:r w:rsidR="00576FC8">
        <w:rPr>
          <w:rFonts w:hint="eastAsia"/>
        </w:rPr>
        <w:t>o</w:t>
      </w:r>
      <w:r>
        <w:t xml:space="preserve">n an FEI Titan G2 80-200 </w:t>
      </w:r>
      <w:proofErr w:type="spellStart"/>
      <w:r>
        <w:t>ChemiSTEM</w:t>
      </w:r>
      <w:proofErr w:type="spellEnd"/>
      <w:r>
        <w:t xml:space="preserve"> microscope (200</w:t>
      </w:r>
      <w:r w:rsidR="00017DD8">
        <w:t> </w:t>
      </w:r>
      <w:r>
        <w:t>kV), equipped with a spherical aberration corrector, which could provide a spatial resolution of ~0.8</w:t>
      </w:r>
      <w:r w:rsidR="00017DD8">
        <w:t> </w:t>
      </w:r>
      <w:r>
        <w:t xml:space="preserve">Å. The convergence </w:t>
      </w:r>
      <w:r w:rsidR="00E75A01">
        <w:rPr>
          <w:rFonts w:hint="eastAsia"/>
        </w:rPr>
        <w:t>semi-</w:t>
      </w:r>
      <w:r>
        <w:t>angle was set to ~21</w:t>
      </w:r>
      <w:r w:rsidR="00017DD8">
        <w:t> </w:t>
      </w:r>
      <w:proofErr w:type="spellStart"/>
      <w:r>
        <w:t>mrad</w:t>
      </w:r>
      <w:proofErr w:type="spellEnd"/>
      <w:r>
        <w:t xml:space="preserve"> and the screen beam current was ~0.6</w:t>
      </w:r>
      <w:r w:rsidR="00017DD8">
        <w:t> </w:t>
      </w:r>
      <w:proofErr w:type="spellStart"/>
      <w:r>
        <w:t>nA.</w:t>
      </w:r>
      <w:proofErr w:type="spellEnd"/>
      <w:r>
        <w:t xml:space="preserve"> The low-order aberrations were adjusted to an acceptable level: Cs &lt; 0.5</w:t>
      </w:r>
      <w:r w:rsidR="00017DD8">
        <w:t> </w:t>
      </w:r>
      <w:proofErr w:type="spellStart"/>
      <w:r>
        <w:t>μm</w:t>
      </w:r>
      <w:proofErr w:type="spellEnd"/>
      <w:r>
        <w:t>, A1 &lt; 2</w:t>
      </w:r>
      <w:r w:rsidR="00017DD8">
        <w:t> </w:t>
      </w:r>
      <w:r>
        <w:t>nm, A2 &lt; 20</w:t>
      </w:r>
      <w:r w:rsidR="00017DD8">
        <w:t> </w:t>
      </w:r>
      <w:r>
        <w:t>nm, B2 &lt; 20</w:t>
      </w:r>
      <w:r w:rsidR="00017DD8">
        <w:t> </w:t>
      </w:r>
      <w:r>
        <w:t>nm.</w:t>
      </w:r>
    </w:p>
    <w:p w14:paraId="290F5CE2" w14:textId="77777777" w:rsidR="006E636A" w:rsidRDefault="006E636A" w:rsidP="00A50F6D"/>
    <w:p w14:paraId="5B83BF7D" w14:textId="567799D2" w:rsidR="00864E7E" w:rsidRDefault="00000000" w:rsidP="00A50F6D">
      <w:r>
        <w:t>A double tilt heating holder (</w:t>
      </w:r>
      <w:proofErr w:type="spellStart"/>
      <w:r>
        <w:t>DENSsolutions</w:t>
      </w:r>
      <w:proofErr w:type="spellEnd"/>
      <w:r>
        <w:t xml:space="preserve">, Wildfire D6) and the </w:t>
      </w:r>
      <w:proofErr w:type="spellStart"/>
      <w:r>
        <w:t>SiN</w:t>
      </w:r>
      <w:r>
        <w:rPr>
          <w:vertAlign w:val="subscript"/>
        </w:rPr>
        <w:t>x</w:t>
      </w:r>
      <w:proofErr w:type="spellEnd"/>
      <w:r>
        <w:t xml:space="preserve"> heating chips were used in the </w:t>
      </w:r>
      <w:r>
        <w:rPr>
          <w:i/>
        </w:rPr>
        <w:t>in</w:t>
      </w:r>
      <w:r w:rsidR="00EE2681">
        <w:rPr>
          <w:i/>
        </w:rPr>
        <w:t>-</w:t>
      </w:r>
      <w:r>
        <w:rPr>
          <w:i/>
        </w:rPr>
        <w:t>situ</w:t>
      </w:r>
      <w:r>
        <w:t xml:space="preserve"> heating process. We heated the sample to 900</w:t>
      </w:r>
      <w:r w:rsidR="00017DD8">
        <w:t> </w:t>
      </w:r>
      <w:r>
        <w:t>℃ by a rate of ~5</w:t>
      </w:r>
      <w:r w:rsidR="00017DD8">
        <w:t> </w:t>
      </w:r>
      <w:r>
        <w:t>℃</w:t>
      </w:r>
      <w:r>
        <w:rPr>
          <w:rFonts w:hint="eastAsia"/>
        </w:rPr>
        <w:t>/s</w:t>
      </w:r>
      <w:r>
        <w:t xml:space="preserve"> and kept for 5</w:t>
      </w:r>
      <w:r w:rsidR="00017DD8">
        <w:t> </w:t>
      </w:r>
      <w:r>
        <w:t>minutes</w:t>
      </w:r>
      <w:r w:rsidR="00E75A01">
        <w:rPr>
          <w:rFonts w:hint="eastAsia"/>
        </w:rPr>
        <w:t xml:space="preserve"> under</w:t>
      </w:r>
      <w:r>
        <w:t xml:space="preserve"> the e-beam </w:t>
      </w:r>
      <w:r w:rsidR="00E75A01">
        <w:t xml:space="preserve">blanking </w:t>
      </w:r>
      <w:r>
        <w:t xml:space="preserve">before acquiring images. </w:t>
      </w:r>
      <w:r>
        <w:rPr>
          <w:rFonts w:hint="eastAsia"/>
        </w:rPr>
        <w:t>To minimize the effect of e-beam, we calibrated the instrument beside our interested area and only moved to illuminate it when taking images. N</w:t>
      </w:r>
      <w:r>
        <w:t>o notable electron beam damage was found on the samples during the whole characterization process.</w:t>
      </w:r>
    </w:p>
    <w:p w14:paraId="6855FCAB" w14:textId="77777777" w:rsidR="00864E7E" w:rsidRDefault="00864E7E" w:rsidP="00A50F6D"/>
    <w:p w14:paraId="45CB194B" w14:textId="77777777" w:rsidR="00864E7E" w:rsidRPr="0036615D" w:rsidRDefault="00000000" w:rsidP="00A50F6D">
      <w:pPr>
        <w:rPr>
          <w:b/>
          <w:bCs/>
        </w:rPr>
      </w:pPr>
      <w:r w:rsidRPr="0036615D">
        <w:rPr>
          <w:b/>
          <w:bCs/>
        </w:rPr>
        <w:t>Computational details</w:t>
      </w:r>
    </w:p>
    <w:p w14:paraId="1B961EAD" w14:textId="1C7C8C32" w:rsidR="00864E7E" w:rsidRDefault="00000000" w:rsidP="0036615D">
      <w:pPr>
        <w:spacing w:line="240" w:lineRule="auto"/>
      </w:pPr>
      <w:r>
        <w:t xml:space="preserve">All </w:t>
      </w:r>
      <w:r w:rsidR="00576FC8">
        <w:rPr>
          <w:rFonts w:hint="eastAsia"/>
        </w:rPr>
        <w:t>d</w:t>
      </w:r>
      <w:r>
        <w:t xml:space="preserve">ensity </w:t>
      </w:r>
      <w:r w:rsidR="00576FC8">
        <w:rPr>
          <w:rFonts w:hint="eastAsia"/>
        </w:rPr>
        <w:t>f</w:t>
      </w:r>
      <w:r>
        <w:t xml:space="preserve">unctional </w:t>
      </w:r>
      <w:r w:rsidR="00576FC8">
        <w:rPr>
          <w:rFonts w:hint="eastAsia"/>
        </w:rPr>
        <w:t>t</w:t>
      </w:r>
      <w:r>
        <w:t>heory (DFT) calculations were performed using the VASP (Vienna Ab-initio Simulation Package) code</w:t>
      </w:r>
      <w:r>
        <w:fldChar w:fldCharType="begin"/>
      </w:r>
      <w:r w:rsidR="00992236">
        <w:instrText xml:space="preserve"> ADDIN ZOTERO_ITEM CSL_CITATION {"citationID":"jqa2YRiz","properties":{"formattedCitation":"\\super 2,3\\nosupersub{}","plainCitation":"2,3","noteIndex":0},"citationItems":[{"id":"hP1cZCtL/HO4ZqO57","uris":["http://zotero.org/users/12219587/items/VMIHGXB4"],"itemData":{"id":38,"type":"article-journal","container-title":"Phys. Rev. B","DOI":"10.1103/PhysRevB.59.1758","issue":"3","note":"publisher: American Physical Society","page":"1758–1775","title":"From ultrasoft pseudopotentials to the projector augmented-wave method","volume":"59","author":[{"family":"Kresse","given":"G."},{"family":"Joubert","given":"D."}],"issued":{"date-parts":[["1999",1]]}}},{"id":"hP1cZCtL/bzIeX6y7","uris":["http://zotero.org/users/12219587/items/GNHQGZE4"],"itemData":{"id":37,"type":"article-journal","container-title":"Phys. Rev. B","DOI":"10.1103/PhysRevB.54.11169","issue":"16","note":"publisher: American Physical Society","page":"11169–11186","title":"Efficient iterative schemes for ab initio total-energy calculations using a plane-wave basis set","volume":"54","author":[{"family":"Kresse","given":"G."},{"family":"Furthmüller","given":"J."}],"issued":{"date-parts":[["1996",10]]}}}],"schema":"https://github.com/citation-style-language/schema/raw/master/csl-citation.json"} </w:instrText>
      </w:r>
      <w:r>
        <w:fldChar w:fldCharType="separate"/>
      </w:r>
      <w:r w:rsidR="00CE3E3B" w:rsidRPr="00CE3E3B">
        <w:rPr>
          <w:kern w:val="0"/>
          <w:vertAlign w:val="superscript"/>
        </w:rPr>
        <w:t>2,3</w:t>
      </w:r>
      <w:r>
        <w:fldChar w:fldCharType="end"/>
      </w:r>
      <w:r>
        <w:t>. The spin-polarized DFT+U methodology</w:t>
      </w:r>
      <w:r w:rsidR="009C0AD5">
        <w:fldChar w:fldCharType="begin"/>
      </w:r>
      <w:r w:rsidR="00992236">
        <w:instrText xml:space="preserve"> ADDIN ZOTERO_ITEM CSL_CITATION {"citationID":"1zAFwIpO","properties":{"formattedCitation":"\\super 4,5\\nosupersub{}","plainCitation":"4,5","noteIndex":0},"citationItems":[{"id":11163,"uris":["http://zotero.org/users/6520750/items/8BAINDKM"],"itemData":{"id":11163,"type":"article-journal","container-title":"Physical Review B","DOI":"10.1103/PhysRevB.57.1505","ISSN":"0163-1829, 1095-3795","issue":"3","journalAbbreviation":"Phys. Rev. B","language":"en","license":"http://link.aps.org/licenses/aps-default-license","page":"1505-1509","source":"DOI.org (Crossref)","title":"Electron-energy-loss spectra and the structural stability of nickel oxide: An LSDA+U study","title-short":"Electron-energy-loss spectra and the structural stability of nickel oxide","volume":"57","author":[{"family":"Dudarev","given":"S. L."},{"family":"Botton","given":"G. A."},{"family":"Savrasov","given":"S. Y."},{"family":"Humphreys","given":"C. J."},{"family":"Sutton","given":"A. P."}],"issued":{"date-parts":[["1998",1,15]]}},"label":"page"},{"id":11160,"uris":["http://zotero.org/users/6520750/items/2Q3MLEYT"],"itemData":{"id":11160,"type":"article-journal","container-title":"Physical Review B","DOI":"10.1103/PhysRevB.71.035105","ISSN":"1098-0121, 1550-235X","issue":"3","journalAbbreviation":"Phys. Rev. B","language":"en","license":"http://link.aps.org/licenses/aps-default-license","page":"035105","source":"DOI.org (Crossref)","title":"Linear response approach to the calculation of the effective interaction parameters in the LDA+U method","volume":"71","author":[{"family":"Cococcioni","given":"Matteo"},{"family":"De Gironcoli","given":"Stefano"}],"issued":{"date-parts":[["2005",1,18]]}},"label":"page"}],"schema":"https://github.com/citation-style-language/schema/raw/master/csl-citation.json"} </w:instrText>
      </w:r>
      <w:r w:rsidR="009C0AD5">
        <w:fldChar w:fldCharType="separate"/>
      </w:r>
      <w:r w:rsidR="009C0AD5" w:rsidRPr="009C0AD5">
        <w:rPr>
          <w:kern w:val="0"/>
          <w:vertAlign w:val="superscript"/>
        </w:rPr>
        <w:t>4,5</w:t>
      </w:r>
      <w:r w:rsidR="009C0AD5">
        <w:fldChar w:fldCharType="end"/>
      </w:r>
      <w:r>
        <w:t xml:space="preserve"> was applied in combination with the generalized gradient approximation (GGA) of Perdew-Burke-</w:t>
      </w:r>
      <w:proofErr w:type="spellStart"/>
      <w:r>
        <w:t>Ernzerhof</w:t>
      </w:r>
      <w:proofErr w:type="spellEnd"/>
      <w:r>
        <w:t xml:space="preserve"> (PBE)</w:t>
      </w:r>
      <w:r>
        <w:fldChar w:fldCharType="begin"/>
      </w:r>
      <w:r w:rsidR="00992236">
        <w:instrText xml:space="preserve"> ADDIN ZOTERO_ITEM CSL_CITATION {"citationID":"7p1snOYX","properties":{"formattedCitation":"\\super 6\\nosupersub{}","plainCitation":"6","noteIndex":0},"citationItems":[{"id":"hP1cZCtL/eB2lzkxA","uris":["http://zotero.org/users/12219587/items/9GGGU6EF"],"itemData":{"id":41,"type":"article-journal","container-title":"Phys. Rev. Lett.","DOI":"10.1103/PhysRevLett.77.3865","issue":"18","note":"publisher: American Physical Society","page":"3865–3868","title":"Generalized Gradient Approximation Made Simple","volume":"77","author":[{"family":"Perdew","given":"John P."},{"family":"Burke","given":"Kieron"},{"family":"Ernzerhof","given":"Matthias"}],"issued":{"date-parts":[["1996",10]]}}}],"schema":"https://github.com/citation-style-language/schema/raw/master/csl-citation.json"} </w:instrText>
      </w:r>
      <w:r>
        <w:fldChar w:fldCharType="separate"/>
      </w:r>
      <w:r w:rsidR="00CE3E3B" w:rsidRPr="00CE3E3B">
        <w:rPr>
          <w:kern w:val="0"/>
          <w:vertAlign w:val="superscript"/>
        </w:rPr>
        <w:t>6</w:t>
      </w:r>
      <w:r>
        <w:fldChar w:fldCharType="end"/>
      </w:r>
      <w:r>
        <w:rPr>
          <w:rFonts w:hint="eastAsia"/>
        </w:rPr>
        <w:t>.</w:t>
      </w:r>
      <w:r>
        <w:t xml:space="preserve"> A U-value of 5.0</w:t>
      </w:r>
      <w:r w:rsidR="00017DD8">
        <w:t> </w:t>
      </w:r>
      <w:r>
        <w:t>eV, which is within the appropriate range for reduced ceria-based systems</w:t>
      </w:r>
      <w:r>
        <w:fldChar w:fldCharType="begin"/>
      </w:r>
      <w:r w:rsidR="00992236">
        <w:instrText xml:space="preserve"> ADDIN ZOTERO_ITEM CSL_CITATION {"citationID":"I1ie1nZd","properties":{"formattedCitation":"\\super 7\\nosupersub{}","plainCitation":"7","noteIndex":0},"citationItems":[{"id":"hP1cZCtL/SgZHVC2h","uris":["http://zotero.org/users/12219587/items/S2RNG35U"],"itemData":{"id":42,"type":"article-journal","abstract":"We examine the real space structure and the electronic structure (particularly Ce4f electron localization) of oxygen vacancies in CeO2 (ceria) as a function of U in density functional theory studies with the rotationally invariant forms of the LDA+U and GGA+U functionals. The four nearest neighbor Ce ions always relax outwards, with those not carrying localized Ce4f charge moving furthest. Several quantification schemes show that the charge starts to become localized at U</w:instrText>
      </w:r>
      <w:r w:rsidR="00992236">
        <w:rPr>
          <w:rFonts w:hint="eastAsia"/>
        </w:rPr>
        <w:instrText>≈</w:instrText>
      </w:r>
      <w:r w:rsidR="00992236">
        <w:instrText xml:space="preserve">3eV and that the degree of localization reaches a maximum at </w:instrText>
      </w:r>
      <w:r w:rsidR="00992236">
        <w:rPr>
          <w:rFonts w:ascii="Cambria Math" w:hAnsi="Cambria Math" w:cs="Cambria Math"/>
        </w:rPr>
        <w:instrText>∼</w:instrText>
      </w:r>
      <w:r w:rsidR="00992236">
        <w:instrText xml:space="preserve">6eV for LDA+U or at </w:instrText>
      </w:r>
      <w:r w:rsidR="00992236">
        <w:rPr>
          <w:rFonts w:ascii="Cambria Math" w:hAnsi="Cambria Math" w:cs="Cambria Math"/>
        </w:rPr>
        <w:instrText>∼</w:instrText>
      </w:r>
      <w:r w:rsidR="00992236">
        <w:instrText>5.5eV for GGA+U. For higher U it decreases rapidly as charge is transferred onto second neighbor O ions and beyond. The localization is never into atomic corelike states; at maximum localization about 80–90% of the Ce4f charge is located on the two nearest neighboring Ce ions. However, if we look at the total atomic charge we find that the two ions only make a net gain of (0.2–0.4)e each, so localization is actually very incomplete, with localization of Ce4f electrons coming at the expense of moving other electrons off the Ce ions. We have also revisited some properties of defect-free ceria and find that with LDA+U the crystal structure is actually be</w:instrText>
      </w:r>
      <w:r w:rsidR="00992236">
        <w:rPr>
          <w:rFonts w:hint="eastAsia"/>
        </w:rPr>
        <w:instrText>st described with U=3</w:instrText>
      </w:r>
      <w:r w:rsidR="00992236">
        <w:rPr>
          <w:rFonts w:hint="eastAsia"/>
        </w:rPr>
        <w:instrText>–</w:instrText>
      </w:r>
      <w:r w:rsidR="00992236">
        <w:rPr>
          <w:rFonts w:hint="eastAsia"/>
        </w:rPr>
        <w:instrText>4eV, while the experimental band structure is obtained with U=7</w:instrText>
      </w:r>
      <w:r w:rsidR="00992236">
        <w:rPr>
          <w:rFonts w:hint="eastAsia"/>
        </w:rPr>
        <w:instrText>–</w:instrText>
      </w:r>
      <w:r w:rsidR="00992236">
        <w:rPr>
          <w:rFonts w:hint="eastAsia"/>
        </w:rPr>
        <w:instrText>8eV. (For GGA+U the lattice parameters worsen for U&amp;gt;0eV, but the band structure is similar to LDA+U.) The best overall choice is U</w:instrText>
      </w:r>
      <w:r w:rsidR="00992236">
        <w:rPr>
          <w:rFonts w:hint="eastAsia"/>
        </w:rPr>
        <w:instrText>≈</w:instrText>
      </w:r>
      <w:r w:rsidR="00992236">
        <w:rPr>
          <w:rFonts w:hint="eastAsia"/>
        </w:rPr>
        <w:instrText xml:space="preserve">6eV with LDA+U and </w:instrText>
      </w:r>
      <w:r w:rsidR="00992236">
        <w:rPr>
          <w:rFonts w:hint="eastAsia"/>
        </w:rPr>
        <w:instrText>≈</w:instrText>
      </w:r>
      <w:r w:rsidR="00992236">
        <w:rPr>
          <w:rFonts w:hint="eastAsia"/>
        </w:rPr>
        <w:instrText>5.5eV for GGA+U</w:instrText>
      </w:r>
      <w:r w:rsidR="00992236">
        <w:instrText xml:space="preserve">, since the localization is most important, but a consistent choice for both CeO2 and Ce2O3, with and without vacancies, is hard to find.","container-title":"The Journal of Chemical Physics","DOI":"10.1063/1.2800015","ISSN":"0021-9606","issue":"24","journalAbbreviation":"The Journal of Chemical Physics","page":"244704","title":"Tuning LDA+U for electron localization and structure at oxygen vacancies in ceria","volume":"127","author":[{"family":"Castleton","given":"C. W. M."},{"family":"Kullgren","given":"J."},{"family":"Hermansson","given":"K."}],"issued":{"date-parts":[["2007",12,26]]}}}],"schema":"https://github.com/citation-style-language/schema/raw/master/csl-citation.json"} </w:instrText>
      </w:r>
      <w:r>
        <w:fldChar w:fldCharType="separate"/>
      </w:r>
      <w:r w:rsidR="00CE3E3B" w:rsidRPr="00CE3E3B">
        <w:rPr>
          <w:kern w:val="0"/>
          <w:vertAlign w:val="superscript"/>
        </w:rPr>
        <w:t>7</w:t>
      </w:r>
      <w:r>
        <w:fldChar w:fldCharType="end"/>
      </w:r>
      <w:r>
        <w:t>, was selected to account for the localized electrons associated with Ce</w:t>
      </w:r>
      <w:r>
        <w:rPr>
          <w:vertAlign w:val="superscript"/>
        </w:rPr>
        <w:t>3+</w:t>
      </w:r>
      <w:r>
        <w:t xml:space="preserve"> ions. The projector augmented wave (PAW) potentials</w:t>
      </w:r>
      <w:r>
        <w:fldChar w:fldCharType="begin"/>
      </w:r>
      <w:r w:rsidR="00992236">
        <w:instrText xml:space="preserve"> ADDIN ZOTERO_ITEM CSL_CITATION {"citationID":"OmTADddB","properties":{"formattedCitation":"\\super 2\\nosupersub{}","plainCitation":"2","noteIndex":0},"citationItems":[{"id":"hP1cZCtL/HO4ZqO57","uris":["http://zotero.org/users/12219587/items/VMIHGXB4"],"itemData":{"id":38,"type":"article-journal","container-title":"Phys. Rev. B","DOI":"10.1103/PhysRevB.59.1758","issue":"3","note":"publisher: American Physical Society","page":"1758–1775","title":"From ultrasoft pseudopotentials to the projector augmented-wave method","volume":"59","author":[{"family":"Kresse","given":"G."},{"family":"Joubert","given":"D."}],"issued":{"date-parts":[["1999",1]]}}}],"schema":"https://github.com/citation-style-language/schema/raw/master/csl-citation.json"} </w:instrText>
      </w:r>
      <w:r>
        <w:fldChar w:fldCharType="separate"/>
      </w:r>
      <w:r w:rsidR="00CE3E3B" w:rsidRPr="00CE3E3B">
        <w:rPr>
          <w:kern w:val="0"/>
          <w:vertAlign w:val="superscript"/>
        </w:rPr>
        <w:t>2</w:t>
      </w:r>
      <w:r>
        <w:fldChar w:fldCharType="end"/>
      </w:r>
      <w:r>
        <w:t xml:space="preserve"> were employed, incorporating Ce (4</w:t>
      </w:r>
      <w:r>
        <w:rPr>
          <w:i/>
          <w:iCs/>
        </w:rPr>
        <w:t>f</w:t>
      </w:r>
      <w:r>
        <w:t>, 5</w:t>
      </w:r>
      <w:r>
        <w:rPr>
          <w:i/>
          <w:iCs/>
        </w:rPr>
        <w:t>s</w:t>
      </w:r>
      <w:r>
        <w:t>, 5</w:t>
      </w:r>
      <w:r>
        <w:rPr>
          <w:i/>
          <w:iCs/>
        </w:rPr>
        <w:t>p</w:t>
      </w:r>
      <w:r>
        <w:t>, 5</w:t>
      </w:r>
      <w:r>
        <w:rPr>
          <w:i/>
          <w:iCs/>
        </w:rPr>
        <w:t>d</w:t>
      </w:r>
      <w:r>
        <w:t>, 6</w:t>
      </w:r>
      <w:r>
        <w:rPr>
          <w:i/>
          <w:iCs/>
        </w:rPr>
        <w:t>s</w:t>
      </w:r>
      <w:r>
        <w:t>) and O (2</w:t>
      </w:r>
      <w:r>
        <w:rPr>
          <w:i/>
          <w:iCs/>
        </w:rPr>
        <w:t>s</w:t>
      </w:r>
      <w:r>
        <w:t>, 2</w:t>
      </w:r>
      <w:r>
        <w:rPr>
          <w:i/>
          <w:iCs/>
        </w:rPr>
        <w:t>p</w:t>
      </w:r>
      <w:r>
        <w:t>) electrons as valence states, with a plane-wave cutoff set at 400 eV.</w:t>
      </w:r>
      <w:r>
        <w:rPr>
          <w:rFonts w:hint="eastAsia"/>
        </w:rPr>
        <w:t xml:space="preserve"> </w:t>
      </w:r>
      <w:r>
        <w:t>The CeO</w:t>
      </w:r>
      <w:r>
        <w:rPr>
          <w:vertAlign w:val="subscript"/>
        </w:rPr>
        <w:t>2</w:t>
      </w:r>
      <w:r>
        <w:t xml:space="preserve"> (110) surface was represented by a slab model consisting of seven atomic layers. For simulations of the CeO</w:t>
      </w:r>
      <w:r>
        <w:rPr>
          <w:vertAlign w:val="subscript"/>
        </w:rPr>
        <w:t>2</w:t>
      </w:r>
      <w:r>
        <w:t xml:space="preserve"> (110) surface without any oxygen vacancies, a 3</w:t>
      </w:r>
      <w:r w:rsidR="0036615D" w:rsidRPr="0036615D">
        <w:rPr>
          <w:rFonts w:eastAsia="等线"/>
        </w:rPr>
        <w:t>×</w:t>
      </w:r>
      <w:r>
        <w:t>4 supercell was employed, comprising 252 atoms. A vacuum space of 18</w:t>
      </w:r>
      <w:r w:rsidR="00017DD8">
        <w:t> </w:t>
      </w:r>
      <w:r>
        <w:t>Å was introduced to prevent interactions with its periodic replicas.</w:t>
      </w:r>
      <w:r>
        <w:rPr>
          <w:rFonts w:hint="eastAsia"/>
        </w:rPr>
        <w:t xml:space="preserve"> </w:t>
      </w:r>
      <w:r>
        <w:t>In the process of geometry optimization, the bottom two layers were kept fixed, allowing the remaining atoms in the supercell to relax. A 1</w:t>
      </w:r>
      <w:r w:rsidR="0036615D" w:rsidRPr="0036615D">
        <w:rPr>
          <w:rFonts w:eastAsia="等线"/>
        </w:rPr>
        <w:t>×</w:t>
      </w:r>
      <w:r>
        <w:t>1</w:t>
      </w:r>
      <w:r w:rsidR="0036615D" w:rsidRPr="0036615D">
        <w:rPr>
          <w:rFonts w:eastAsia="等线"/>
        </w:rPr>
        <w:t>×</w:t>
      </w:r>
      <w:r>
        <w:t>1 gamma-point-centered k-points mesh was used. Geometries were optimized until total energy differences and atomic force convergence criteria fell below 10</w:t>
      </w:r>
      <w:r>
        <w:rPr>
          <w:vertAlign w:val="superscript"/>
        </w:rPr>
        <w:t>-4</w:t>
      </w:r>
      <w:r w:rsidR="00017DD8">
        <w:t> </w:t>
      </w:r>
      <w:r>
        <w:t>eV and 0.05</w:t>
      </w:r>
      <w:r w:rsidR="00017DD8">
        <w:t> </w:t>
      </w:r>
      <w:r>
        <w:t>eV/Å, respectively.</w:t>
      </w:r>
    </w:p>
    <w:p w14:paraId="29429D48" w14:textId="77777777" w:rsidR="006E636A" w:rsidRDefault="006E636A" w:rsidP="00A50F6D"/>
    <w:p w14:paraId="692390D0" w14:textId="3AC80CE7" w:rsidR="00864E7E" w:rsidRPr="0036615D" w:rsidRDefault="00000000" w:rsidP="00A50F6D">
      <w:r>
        <w:t>To obtain distinct configurations of the reduced Ce</w:t>
      </w:r>
      <w:r>
        <w:rPr>
          <w:vertAlign w:val="superscript"/>
        </w:rPr>
        <w:t>3+</w:t>
      </w:r>
      <w:r w:rsidR="00017DD8">
        <w:rPr>
          <w:rFonts w:hint="eastAsia"/>
        </w:rPr>
        <w:t xml:space="preserve"> </w:t>
      </w:r>
      <w:r>
        <w:t>sites, a two-step relaxation procedure was employed. Initially, selected Ce</w:t>
      </w:r>
      <w:r>
        <w:rPr>
          <w:vertAlign w:val="superscript"/>
        </w:rPr>
        <w:t>4+</w:t>
      </w:r>
      <w:r>
        <w:t xml:space="preserve"> ions were substituted with Ce</w:t>
      </w:r>
      <w:r>
        <w:rPr>
          <w:vertAlign w:val="superscript"/>
        </w:rPr>
        <w:t>3+</w:t>
      </w:r>
      <w:r>
        <w:t xml:space="preserve"> ions, employing PAW potentials where the 4</w:t>
      </w:r>
      <w:r>
        <w:rPr>
          <w:i/>
          <w:iCs/>
        </w:rPr>
        <w:t>f</w:t>
      </w:r>
      <w:r>
        <w:rPr>
          <w:vertAlign w:val="superscript"/>
        </w:rPr>
        <w:t>1</w:t>
      </w:r>
      <w:r>
        <w:t xml:space="preserve"> state was shifted to the core, accompanied by non-spin polarized calculations. The resulting relaxed structure was further optimized </w:t>
      </w:r>
      <w:r w:rsidRPr="0036615D">
        <w:t>using the standard Ce</w:t>
      </w:r>
      <w:r w:rsidRPr="0036615D">
        <w:rPr>
          <w:vertAlign w:val="superscript"/>
        </w:rPr>
        <w:t>4+</w:t>
      </w:r>
      <w:r w:rsidRPr="0036615D">
        <w:t xml:space="preserve"> PAW potentials and spin-DFT. </w:t>
      </w:r>
    </w:p>
    <w:p w14:paraId="131949FE" w14:textId="77777777" w:rsidR="006E636A" w:rsidRDefault="006E636A" w:rsidP="00A50F6D"/>
    <w:p w14:paraId="14775DB9" w14:textId="79E64CB2" w:rsidR="00864E7E" w:rsidRPr="0036615D" w:rsidRDefault="00000000" w:rsidP="00A50F6D">
      <w:r w:rsidRPr="0036615D">
        <w:t>The formation energy (</w:t>
      </w:r>
      <w:r w:rsidRPr="0036615D">
        <w:rPr>
          <w:i/>
          <w:iCs/>
        </w:rPr>
        <w:t>Ef</w:t>
      </w:r>
      <w:r w:rsidRPr="0036615D">
        <w:t>) of SVs on the CeO</w:t>
      </w:r>
      <w:r w:rsidRPr="0036615D">
        <w:rPr>
          <w:vertAlign w:val="subscript"/>
        </w:rPr>
        <w:t>2</w:t>
      </w:r>
      <w:r w:rsidRPr="0036615D">
        <w:t xml:space="preserve"> (110) surface was computed using the equation:</w:t>
      </w:r>
    </w:p>
    <w:p w14:paraId="425333BC" w14:textId="616AF1CC" w:rsidR="00864E7E" w:rsidRPr="0036615D" w:rsidRDefault="00000000" w:rsidP="007C1D93">
      <w:pPr>
        <w:spacing w:before="100" w:beforeAutospacing="1" w:after="100" w:afterAutospacing="1"/>
        <w:jc w:val="center"/>
      </w:pPr>
      <m:oMathPara>
        <m:oMath>
          <m:r>
            <w:rPr>
              <w:rFonts w:ascii="Cambria Math" w:hAnsi="Cambria Math"/>
            </w:rPr>
            <m:t>Ef</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Ce</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r>
                <m:rPr>
                  <m:sty m:val="p"/>
                </m:rPr>
                <w:rPr>
                  <w:rFonts w:ascii="Cambria Math" w:hAnsi="Cambria Math"/>
                </w:rPr>
                <m:t>-</m:t>
              </m:r>
              <m:r>
                <w:rPr>
                  <w:rFonts w:ascii="Cambria Math" w:hAnsi="Cambria Math"/>
                </w:rPr>
                <m:t>Vos</m:t>
              </m:r>
            </m:sub>
          </m:sSub>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O</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Ce</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sub>
          </m:sSub>
        </m:oMath>
      </m:oMathPara>
    </w:p>
    <w:p w14:paraId="0CF48F9D" w14:textId="562254B0" w:rsidR="00864E7E" w:rsidRPr="0036615D" w:rsidRDefault="00000000" w:rsidP="00A50F6D">
      <w:r w:rsidRPr="0036615D">
        <w:t xml:space="preserve">where </w:t>
      </w:r>
      <w:r w:rsidRPr="0036615D">
        <w:rPr>
          <w:i/>
          <w:iCs/>
        </w:rPr>
        <w:t>E</w:t>
      </w:r>
      <w:r w:rsidRPr="0036615D">
        <w:rPr>
          <w:i/>
          <w:iCs/>
          <w:vertAlign w:val="subscript"/>
        </w:rPr>
        <w:t>CeO2-Vos</w:t>
      </w:r>
      <w:r w:rsidRPr="0036615D">
        <w:rPr>
          <w:rFonts w:eastAsia="MS Gothic"/>
        </w:rPr>
        <w:t>​</w:t>
      </w:r>
      <w:r w:rsidR="00017DD8">
        <w:rPr>
          <w:rFonts w:eastAsiaTheme="minorEastAsia" w:hint="eastAsia"/>
        </w:rPr>
        <w:t xml:space="preserve"> </w:t>
      </w:r>
      <w:r w:rsidRPr="0036615D">
        <w:t>represents the energy of the CeO</w:t>
      </w:r>
      <w:r w:rsidRPr="0036615D">
        <w:rPr>
          <w:vertAlign w:val="subscript"/>
        </w:rPr>
        <w:t>2</w:t>
      </w:r>
      <w:r w:rsidRPr="0036615D">
        <w:t xml:space="preserve"> (110) surface with Vos, </w:t>
      </w:r>
      <w:r w:rsidRPr="0036615D">
        <w:rPr>
          <w:i/>
          <w:iCs/>
        </w:rPr>
        <w:t>n</w:t>
      </w:r>
      <w:r w:rsidRPr="0036615D">
        <w:t xml:space="preserve"> is the number of vacancies,</w:t>
      </w:r>
      <w:r w:rsidRPr="0036615D">
        <w:rPr>
          <w:i/>
          <w:iCs/>
        </w:rPr>
        <w:t xml:space="preserve"> E</w:t>
      </w:r>
      <w:r w:rsidRPr="0036615D">
        <w:rPr>
          <w:i/>
          <w:iCs/>
          <w:vertAlign w:val="subscript"/>
        </w:rPr>
        <w:t>O2</w:t>
      </w:r>
      <w:r w:rsidR="00017DD8" w:rsidRPr="00017DD8">
        <w:rPr>
          <w:rFonts w:hint="eastAsia"/>
          <w:i/>
          <w:iCs/>
        </w:rPr>
        <w:t xml:space="preserve"> </w:t>
      </w:r>
      <w:r w:rsidRPr="00017DD8">
        <w:rPr>
          <w:rFonts w:eastAsia="MS Gothic"/>
        </w:rPr>
        <w:t>​</w:t>
      </w:r>
      <w:r w:rsidRPr="0036615D">
        <w:t>is the energy of an O</w:t>
      </w:r>
      <w:r w:rsidRPr="0036615D">
        <w:rPr>
          <w:vertAlign w:val="subscript"/>
        </w:rPr>
        <w:t>2</w:t>
      </w:r>
      <w:r w:rsidRPr="0036615D">
        <w:t xml:space="preserve"> molecule, and </w:t>
      </w:r>
      <w:r w:rsidRPr="0036615D">
        <w:rPr>
          <w:i/>
          <w:iCs/>
        </w:rPr>
        <w:t>E</w:t>
      </w:r>
      <w:r w:rsidRPr="0036615D">
        <w:rPr>
          <w:i/>
          <w:iCs/>
          <w:vertAlign w:val="subscript"/>
        </w:rPr>
        <w:t>CeO2</w:t>
      </w:r>
      <w:r w:rsidR="00017DD8" w:rsidRPr="00017DD8">
        <w:rPr>
          <w:rFonts w:hint="eastAsia"/>
          <w:i/>
          <w:iCs/>
        </w:rPr>
        <w:t xml:space="preserve"> </w:t>
      </w:r>
      <w:r w:rsidRPr="00017DD8">
        <w:rPr>
          <w:rFonts w:eastAsia="MS Gothic"/>
        </w:rPr>
        <w:t>​</w:t>
      </w:r>
      <w:r w:rsidRPr="0036615D">
        <w:t>is the energy of the pristine CeO</w:t>
      </w:r>
      <w:r w:rsidRPr="0036615D">
        <w:rPr>
          <w:vertAlign w:val="subscript"/>
        </w:rPr>
        <w:t>2</w:t>
      </w:r>
      <w:r w:rsidRPr="0036615D">
        <w:t xml:space="preserve"> (110) surface. Using CE model, the formation energy (Es) for any configuration can be calculated with the equation:</w:t>
      </w:r>
    </w:p>
    <w:p w14:paraId="1D36251F" w14:textId="5ECB0C6E" w:rsidR="00864E7E" w:rsidRPr="0036615D" w:rsidRDefault="00000000" w:rsidP="007C1D93">
      <w:pPr>
        <w:spacing w:before="100" w:beforeAutospacing="1" w:after="100" w:afterAutospacing="1"/>
        <w:jc w:val="center"/>
      </w:pPr>
      <m:oMathPara>
        <m:oMath>
          <m:sSub>
            <m:sSubPr>
              <m:ctrlPr>
                <w:rPr>
                  <w:rFonts w:ascii="Cambria Math" w:hAnsi="Cambria Math"/>
                </w:rPr>
              </m:ctrlPr>
            </m:sSubPr>
            <m:e>
              <m:r>
                <w:rPr>
                  <w:rFonts w:ascii="Cambria Math" w:hAnsi="Cambria Math"/>
                </w:rPr>
                <m:t>E</m:t>
              </m:r>
            </m:e>
            <m:sub>
              <m:r>
                <w:rPr>
                  <w:rFonts w:ascii="Cambria Math" w:hAnsi="Cambria Math"/>
                </w:rPr>
                <m:t>s</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m</m:t>
                  </m:r>
                </m:e>
                <m:sub>
                  <m:r>
                    <w:rPr>
                      <w:rFonts w:ascii="Cambria Math" w:hAnsi="Cambria Math"/>
                    </w:rPr>
                    <m:t>α</m:t>
                  </m:r>
                </m:sub>
              </m:sSub>
              <m:sSub>
                <m:sSubPr>
                  <m:ctrlPr>
                    <w:rPr>
                      <w:rFonts w:ascii="Cambria Math" w:hAnsi="Cambria Math"/>
                    </w:rPr>
                  </m:ctrlPr>
                </m:sSubPr>
                <m:e>
                  <m:r>
                    <w:rPr>
                      <w:rFonts w:ascii="Cambria Math" w:hAnsi="Cambria Math"/>
                    </w:rPr>
                    <m:t>J</m:t>
                  </m:r>
                </m:e>
                <m:sub>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sα</m:t>
                  </m:r>
                </m:sub>
              </m:sSub>
            </m:e>
          </m:nary>
        </m:oMath>
      </m:oMathPara>
    </w:p>
    <w:p w14:paraId="413ADABF" w14:textId="7124207D" w:rsidR="00864E7E" w:rsidRDefault="00000000" w:rsidP="00A50F6D">
      <w:r w:rsidRPr="0036615D">
        <w:t xml:space="preserve">where the summation is performed over all symmetrically inequivalent interactions (clusters), denoted as 0, 1, 2, …, </w:t>
      </w:r>
      <w:r w:rsidRPr="0036615D">
        <w:rPr>
          <w:i/>
          <w:iCs/>
        </w:rPr>
        <w:t>n</w:t>
      </w:r>
      <w:r w:rsidRPr="0036615D">
        <w:t xml:space="preserve">-body clusters. The term </w:t>
      </w:r>
      <w:r w:rsidRPr="0036615D">
        <w:rPr>
          <w:i/>
          <w:iCs/>
        </w:rPr>
        <w:t>m</w:t>
      </w:r>
      <w:r w:rsidRPr="0036615D">
        <w:rPr>
          <w:rFonts w:eastAsia="等线"/>
          <w:i/>
          <w:iCs/>
          <w:vertAlign w:val="subscript"/>
        </w:rPr>
        <w:t>α</w:t>
      </w:r>
      <w:r w:rsidRPr="0036615D">
        <w:rPr>
          <w:i/>
          <w:iCs/>
        </w:rPr>
        <w:t xml:space="preserve"> </w:t>
      </w:r>
      <w:r w:rsidRPr="0036615D">
        <w:t xml:space="preserve">represents the multiplicities, indicating the number of clusters that are equivalent by symmetry to cluster </w:t>
      </w:r>
      <w:r w:rsidRPr="0036615D">
        <w:rPr>
          <w:i/>
          <w:iCs/>
        </w:rPr>
        <w:t>α</w:t>
      </w:r>
      <w:r w:rsidRPr="0036615D">
        <w:t xml:space="preserve">. </w:t>
      </w:r>
      <w:r w:rsidRPr="0036615D">
        <w:rPr>
          <w:i/>
          <w:iCs/>
        </w:rPr>
        <w:t>J</w:t>
      </w:r>
      <w:r w:rsidRPr="0036615D">
        <w:rPr>
          <w:rFonts w:eastAsia="等线"/>
          <w:i/>
          <w:iCs/>
          <w:vertAlign w:val="subscript"/>
        </w:rPr>
        <w:t>α</w:t>
      </w:r>
      <w:r w:rsidRPr="0036615D">
        <w:t xml:space="preserve"> represents the effective cluster interactions (ECIs), and </w:t>
      </w:r>
      <w:proofErr w:type="spellStart"/>
      <w:r w:rsidRPr="0036615D">
        <w:rPr>
          <w:i/>
          <w:iCs/>
        </w:rPr>
        <w:t>X</w:t>
      </w:r>
      <w:r w:rsidRPr="0036615D">
        <w:rPr>
          <w:i/>
          <w:iCs/>
          <w:vertAlign w:val="subscript"/>
        </w:rPr>
        <w:t>s</w:t>
      </w:r>
      <w:proofErr w:type="spellEnd"/>
      <w:r w:rsidRPr="0036615D">
        <w:rPr>
          <w:rFonts w:eastAsia="等线"/>
          <w:i/>
          <w:iCs/>
          <w:vertAlign w:val="subscript"/>
        </w:rPr>
        <w:t>α</w:t>
      </w:r>
      <w:r w:rsidRPr="0036615D">
        <w:t xml:space="preserve"> represents the correlations, which is the probability of finding the cluster </w:t>
      </w:r>
      <w:r w:rsidRPr="0036615D">
        <w:rPr>
          <w:i/>
          <w:iCs/>
        </w:rPr>
        <w:t>α</w:t>
      </w:r>
      <w:r w:rsidRPr="0036615D">
        <w:t xml:space="preserve"> in the configuration </w:t>
      </w:r>
      <w:r w:rsidRPr="0036615D">
        <w:rPr>
          <w:i/>
          <w:iCs/>
        </w:rPr>
        <w:t>s</w:t>
      </w:r>
      <w:r w:rsidRPr="0036615D">
        <w:t>. The ECIs are determined by fitting the predicted energies to the calcula</w:t>
      </w:r>
      <w:r>
        <w:t>ted DFT energies of the structures in the training data set. Here, the least absolute shrinkage and selection operator (LASSO) approach</w:t>
      </w:r>
      <w:r w:rsidR="007C1D93">
        <w:fldChar w:fldCharType="begin"/>
      </w:r>
      <w:r w:rsidR="007C1D93">
        <w:instrText xml:space="preserve"> ADDIN ZOTERO_ITEM CSL_CITATION {"citationID":"4r2pZ6zU","properties":{"formattedCitation":"\\super 8\\nosupersub{}","plainCitation":"8","noteIndex":0},"citationItems":[{"id":9348,"uris":["http://zotero.org/users/6520750/items/68WKCBFN"],"itemData":{"id":9348,"type":"article-journal","abstract":"Fisher-Rao linear discriminant analysis (LDA) is a valuable tool for multigroup classification. LDA is equivalent to maximum likelihood classification assuming Gaussian distributions for each class. In this paper, we fit Gaussian mixtures to each class to facilitate effective classification in non-normal settings, especially when the classes are clustered. Low dimensional views are an important by-product of LDA--our new techniques inherit this feature. We can control the within-class spread of the subclass centres relative to the between-class spread. Our technique for fitting these models permits a natural blend with nonparametric versions of LDA.","archive_location":"841 </w:instrText>
      </w:r>
      <w:r w:rsidR="007C1D93">
        <w:rPr>
          <w:rFonts w:ascii="Segoe UI Emoji" w:hAnsi="Segoe UI Emoji" w:cs="Segoe UI Emoji"/>
        </w:rPr>
        <w:instrText>📊</w:instrText>
      </w:r>
      <w:r w:rsidR="007C1D93">
        <w:instrText xml:space="preserve">","call-number":"1","container-title":"Journal of the Royal Statistical Society Series B: Statistical Methodology","DOI":"10.1111/j.2517-6161.1996.tb02073.x","ISSN":"1369-7412","issue":"1","language":"en","note":"publisher: [Royal Statistical Society, Wiley]","page":"155-176","source":"5.8 (Q1)","title":"Discriminant Analysis by Gaussian Mixtures","volume":"58","author":[{"family":"Hastie","given":"Trevor"},{"family":"Tibshirani","given":"Robert"}],"issued":{"date-parts":[["1996",1,1]]}}}],"schema":"https://github.com/citation-style-language/schema/raw/master/csl-citation.json"} </w:instrText>
      </w:r>
      <w:r w:rsidR="007C1D93">
        <w:fldChar w:fldCharType="separate"/>
      </w:r>
      <w:r w:rsidR="007C1D93" w:rsidRPr="007C1D93">
        <w:rPr>
          <w:kern w:val="0"/>
          <w:vertAlign w:val="superscript"/>
        </w:rPr>
        <w:t>8</w:t>
      </w:r>
      <w:r w:rsidR="007C1D93">
        <w:fldChar w:fldCharType="end"/>
      </w:r>
      <w:r>
        <w:t xml:space="preserve"> are employed to avoid overfitting and select the optimal cluster set. In this approach, the objective function minimized is:</w:t>
      </w:r>
    </w:p>
    <w:p w14:paraId="09E6ABFB" w14:textId="3F84B6F0" w:rsidR="00864E7E" w:rsidRDefault="00000000" w:rsidP="007C1D93">
      <w:pPr>
        <w:spacing w:before="100" w:beforeAutospacing="1" w:after="100" w:afterAutospacing="1"/>
        <w:jc w:val="center"/>
      </w:pPr>
      <m:oMathPara>
        <m:oMath>
          <m:r>
            <w:rPr>
              <w:rFonts w:ascii="Cambria Math" w:hAnsi="Cambria Math"/>
            </w:rPr>
            <m:t>η</m:t>
          </m:r>
          <m:r>
            <m:rPr>
              <m:sty m:val="p"/>
            </m:rP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predicted</m:t>
                      </m:r>
                    </m:sub>
                  </m:sSub>
                  <m:d>
                    <m:dPr>
                      <m:ctrlPr>
                        <w:rPr>
                          <w:rFonts w:ascii="Cambria Math" w:hAnsi="Cambria Math"/>
                        </w:rPr>
                      </m:ctrlPr>
                    </m:dPr>
                    <m:e>
                      <m:sSub>
                        <m:sSubPr>
                          <m:ctrlPr>
                            <w:rPr>
                              <w:rFonts w:ascii="Cambria Math" w:hAnsi="Cambria Math"/>
                            </w:rPr>
                          </m:ctrlPr>
                        </m:sSubPr>
                        <m:e>
                          <m:r>
                            <w:rPr>
                              <w:rFonts w:ascii="Cambria Math" w:hAnsi="Cambria Math"/>
                            </w:rPr>
                            <m:t>J</m:t>
                          </m:r>
                        </m:e>
                        <m:sub>
                          <m:r>
                            <w:rPr>
                              <w:rFonts w:ascii="Cambria Math" w:hAnsi="Cambria Math"/>
                            </w:rPr>
                            <m:t>α</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calculated</m:t>
                      </m:r>
                    </m:sub>
                  </m:sSub>
                </m:e>
              </m:d>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r>
            <w:rPr>
              <w:rFonts w:ascii="Cambria Math" w:eastAsia="等线" w:hAnsi="Cambria Math" w:hint="eastAsia"/>
            </w:rPr>
            <m:t>λ</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J</m:t>
                      </m:r>
                    </m:e>
                    <m:sub>
                      <m:r>
                        <w:rPr>
                          <w:rFonts w:ascii="Cambria Math" w:hAnsi="Cambria Math"/>
                        </w:rPr>
                        <m:t>α</m:t>
                      </m:r>
                    </m:sub>
                  </m:sSub>
                </m:e>
              </m:d>
            </m:e>
            <m:sub>
              <m:r>
                <m:rPr>
                  <m:sty m:val="p"/>
                </m:rPr>
                <w:rPr>
                  <w:rFonts w:ascii="Cambria Math" w:hAnsi="Cambria Math"/>
                </w:rPr>
                <m:t>1</m:t>
              </m:r>
            </m:sub>
          </m:sSub>
        </m:oMath>
      </m:oMathPara>
    </w:p>
    <w:p w14:paraId="71606072" w14:textId="77777777" w:rsidR="00864E7E" w:rsidRPr="0036615D" w:rsidRDefault="00000000" w:rsidP="00A50F6D">
      <w:r>
        <w:rPr>
          <w:rFonts w:hint="eastAsia"/>
        </w:rPr>
        <w:t>H</w:t>
      </w:r>
      <w:r>
        <w:t>e</w:t>
      </w:r>
      <w:r w:rsidRPr="0036615D">
        <w:t xml:space="preserve">re, the first term represents the mean square error between the predicted and calculated energies, and the second term is the </w:t>
      </w:r>
      <w:r w:rsidRPr="0036615D">
        <w:rPr>
          <w:i/>
          <w:iCs/>
        </w:rPr>
        <w:t>l</w:t>
      </w:r>
      <w:r w:rsidRPr="0036615D">
        <w:rPr>
          <w:i/>
          <w:iCs/>
          <w:vertAlign w:val="subscript"/>
        </w:rPr>
        <w:t>1</w:t>
      </w:r>
      <w:r w:rsidRPr="0036615D">
        <w:t xml:space="preserve"> regularization term. The hyperparameter </w:t>
      </w:r>
      <w:r w:rsidRPr="0036615D">
        <w:rPr>
          <w:rFonts w:eastAsia="等线"/>
          <w:i/>
          <w:iCs/>
        </w:rPr>
        <w:t>λ</w:t>
      </w:r>
      <w:r w:rsidRPr="0036615D">
        <w:t xml:space="preserve"> is obtained by minimizing a leave-one-out cross-validation error.</w:t>
      </w:r>
    </w:p>
    <w:p w14:paraId="789A2E4F" w14:textId="77777777" w:rsidR="006E636A" w:rsidRDefault="006E636A" w:rsidP="00A50F6D"/>
    <w:p w14:paraId="3B15B89C" w14:textId="6E8FACE2" w:rsidR="00864E7E" w:rsidRDefault="00000000" w:rsidP="00A50F6D">
      <w:r w:rsidRPr="0036615D">
        <w:t>The CE is carried out utilizing the CELL code [http://sol.physik.hu-berlin.de/cell], which facilitates an iterative compressed sensing-based cluster expansion</w:t>
      </w:r>
      <w:r>
        <w:t xml:space="preserve"> workflow, as detailed in </w:t>
      </w:r>
      <w:r w:rsidR="00EB479B">
        <w:rPr>
          <w:rFonts w:hint="eastAsia"/>
        </w:rPr>
        <w:t>r</w:t>
      </w:r>
      <w:r>
        <w:t>ef</w:t>
      </w:r>
      <w:r w:rsidR="00EB479B">
        <w:rPr>
          <w:rFonts w:hint="eastAsia"/>
        </w:rPr>
        <w:t>erences</w:t>
      </w:r>
      <w:r w:rsidR="00CE3E3B">
        <w:fldChar w:fldCharType="begin"/>
      </w:r>
      <w:r w:rsidR="00992236">
        <w:instrText xml:space="preserve"> ADDIN ZOTERO_ITEM CSL_CITATION {"citationID":"LV5qO2jy","properties":{"formattedCitation":"\\super 9\\uc0\\u8211{}11\\nosupersub{}","plainCitation":"9–11","noteIndex":0},"citationItems":[{"id":11076,"uris":["http://zotero.org/users/6520750/items/NN8RWY2A"],"itemData":{"id":11076,"type":"article-journal","container-title":"Physical Review Materials","DOI":"10.1103/PhysRevMaterials.7.055802","ISSN":"2475-9953","issue":"5","journalAbbreviation":"Phys. Rev. Materials","language":"en","page":"055802","source":"DOI.org (Crossref)","title":"Iterative cluster expansion approach for predicting the structure evolution of mixed Ruddelsden-Popper oxides La&lt;sub&gt;2−x&lt;/sub&gt;Sr&lt;sub&gt;x&lt;/sub&gt;Ni&lt;sub&gt;1−y&lt;/sub&gt;Fe&lt;sub&gt;y&lt;/sub&gt;O&lt;sub&gt;4±δ&lt;/sub&gt;","volume":"7","author":[{"family":"Sarker","given":"Debalaya"},{"family":"Han","given":"Zhong-Kang"},{"family":"Levchenko","given":"Sergey V."}],"issued":{"date-parts":[["2023",5,31]]}},"label":"page"},{"id":1667,"uris":["http://zotero.org/users/6520750/items/I77T22HF"],"itemData":{"id":1667,"type":"article-journal","archive_location":"30 </w:instrText>
      </w:r>
      <w:r w:rsidR="00992236">
        <w:rPr>
          <w:rFonts w:ascii="Segoe UI Emoji" w:hAnsi="Segoe UI Emoji" w:cs="Segoe UI Emoji"/>
        </w:rPr>
        <w:instrText>📊</w:instrText>
      </w:r>
      <w:r w:rsidR="00992236">
        <w:instrText xml:space="preserve">","call-number":"3.989","container-title":"Physical Review Materials","DOI":"10.1103/PhysRevMaterials.2.035802","ISSN":"2475-9953","issue":"3","journalAbbreviation":"Phys. Rev. Materials","language":"en","note":"ZSCC: 0000024","page":"035802","source":"2","title":"Unraveling the oxygen vacancy structures at the reduced CeO&lt;sub&gt;2&lt;/sub&gt;(111) surface","volume":"2","author":[{"family":"Han","given":"Zhong-Kang"},{"family":"Yang","given":"Yi-Zhou"},{"family":"Zhu","given":"Beien"},{"family":"Ganduglia-Pirovano","given":"M. Verónica"},{"family":"Gao","given":"Yi"}],"issued":{"date-parts":[["2018",3,14]]}},"label":"page"},{"id":11072,"uris":["http://zotero.org/users/6520750/items/S4T5BP3N"],"itemData":{"id":11072,"type":"article-journal","abstract":"Alloying is a well-established and versatile method to modify and tune properties of functional materials. Alloy properties depend crucially on the spatial distribution of the alloying elements. In particular, in heterogeneous catalysis, the distribution of guest metal atoms at the catalytic surface has a dramatic effect on its chemical properties. Combining a cluster-expansion model, parameterized with density-functional theory calculations, with Monte Carlo sampling, we describe the distribution and segregation of Pd atoms on the Pd-alloyed Cu(111) surface as a function of H coverage at realistic temperatures. We find that, while in vacuum Pd enriches the near-surface region of Pd/Cu(111), Pd segregates to the bulk layers away from the surface under increasing H coverage. These findings are crucial for designing metal-alloy catalysts with dynamically changing properties.","container-title":"Journal of Applied Physics","DOI":"10.1063/5.0020625","ISSN":"0021-8979, 1089-7550","issue":"14","language":"en","page":"145302","source":"DOI.org (Crossref)","title":"First-principles study of Pd-alloyed Cu(111) surface in hydrogen atmosphere at realistic temperatures","volume":"128","author":[{"family":"Han","given":"Zhong-Kang"},{"family":"Sarker","given":"Debalaya"},{"family":"Troppenz","given":"Maria"},{"family":"Rigamonti","given":"Santiago"},{"family":"Draxl","given":"Claudia"},{"family":"Saidi","given":"Wissam A."},{"family":"Levchenko","given":"Sergey V."}],"issued":{"date-parts":[["2020",10,14]]}},"label":"page"}],"schema":"https://github.com/citation-style-language/schema/raw/master/csl-citation.json"} </w:instrText>
      </w:r>
      <w:r w:rsidR="00CE3E3B">
        <w:fldChar w:fldCharType="separate"/>
      </w:r>
      <w:r w:rsidR="00CE3E3B" w:rsidRPr="00CE3E3B">
        <w:rPr>
          <w:kern w:val="0"/>
          <w:vertAlign w:val="superscript"/>
        </w:rPr>
        <w:t>9–11</w:t>
      </w:r>
      <w:r w:rsidR="00CE3E3B">
        <w:fldChar w:fldCharType="end"/>
      </w:r>
      <w:r>
        <w:t>. Canonical Metropolis Monte Carlo (MC) samplings are performed to obtain the distribution of V</w:t>
      </w:r>
      <w:r>
        <w:rPr>
          <w:rFonts w:hint="eastAsia"/>
        </w:rPr>
        <w:t>o</w:t>
      </w:r>
      <w:r>
        <w:t>s and Ce</w:t>
      </w:r>
      <w:r>
        <w:rPr>
          <w:vertAlign w:val="superscript"/>
        </w:rPr>
        <w:t>3+</w:t>
      </w:r>
      <w:r>
        <w:t xml:space="preserve"> across the top three atomic layers of the CeO</w:t>
      </w:r>
      <w:r>
        <w:rPr>
          <w:vertAlign w:val="subscript"/>
        </w:rPr>
        <w:t>2</w:t>
      </w:r>
      <w:r>
        <w:t xml:space="preserve"> (110) surface.</w:t>
      </w:r>
    </w:p>
    <w:p w14:paraId="7696045D" w14:textId="485D7D4C" w:rsidR="00EE0AD6" w:rsidRDefault="00000000" w:rsidP="00A50F6D">
      <w:r>
        <w:br w:type="page"/>
      </w:r>
    </w:p>
    <w:p w14:paraId="44B24549" w14:textId="77777777" w:rsidR="008938F3" w:rsidRDefault="008938F3" w:rsidP="00A50F6D"/>
    <w:p w14:paraId="75B734C1" w14:textId="77777777" w:rsidR="00EE0AD6" w:rsidRDefault="00EE0AD6" w:rsidP="00BE4EF2">
      <w:pPr>
        <w:jc w:val="center"/>
      </w:pPr>
      <w:r>
        <w:rPr>
          <w:noProof/>
        </w:rPr>
        <w:drawing>
          <wp:inline distT="0" distB="0" distL="0" distR="0" wp14:anchorId="2BA6100A" wp14:editId="3EE0650B">
            <wp:extent cx="5016976" cy="2812301"/>
            <wp:effectExtent l="0" t="0" r="0" b="7620"/>
            <wp:docPr id="391139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39257"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31116" cy="2820227"/>
                    </a:xfrm>
                    <a:prstGeom prst="rect">
                      <a:avLst/>
                    </a:prstGeom>
                    <a:noFill/>
                  </pic:spPr>
                </pic:pic>
              </a:graphicData>
            </a:graphic>
          </wp:inline>
        </w:drawing>
      </w:r>
    </w:p>
    <w:p w14:paraId="7A48ED6E" w14:textId="77777777" w:rsidR="001C7194" w:rsidRDefault="001C7194" w:rsidP="00BE4EF2">
      <w:pPr>
        <w:jc w:val="center"/>
      </w:pPr>
    </w:p>
    <w:p w14:paraId="106FCA06" w14:textId="3BE7CE81" w:rsidR="00EE0AD6" w:rsidRPr="003E5DDF" w:rsidRDefault="00EE0AD6" w:rsidP="00A50F6D">
      <w:pPr>
        <w:rPr>
          <w:sz w:val="21"/>
          <w:szCs w:val="21"/>
        </w:rPr>
      </w:pPr>
      <w:r w:rsidRPr="003E5DDF">
        <w:rPr>
          <w:b/>
          <w:bCs/>
          <w:sz w:val="21"/>
          <w:szCs w:val="21"/>
        </w:rPr>
        <w:t>Fig. S</w:t>
      </w:r>
      <w:r w:rsidR="00052E82" w:rsidRPr="003E5DDF">
        <w:rPr>
          <w:rFonts w:hint="eastAsia"/>
          <w:b/>
          <w:bCs/>
          <w:sz w:val="21"/>
          <w:szCs w:val="21"/>
        </w:rPr>
        <w:t>1</w:t>
      </w:r>
      <w:r w:rsidRPr="003E5DDF">
        <w:rPr>
          <w:sz w:val="21"/>
          <w:szCs w:val="21"/>
        </w:rPr>
        <w:t xml:space="preserve"> A flowchart of the methodology employed in the structure searching process. It includes the random structure generation, </w:t>
      </w:r>
      <w:r w:rsidRPr="003E5DDF">
        <w:rPr>
          <w:i/>
          <w:iCs/>
          <w:sz w:val="21"/>
          <w:szCs w:val="21"/>
        </w:rPr>
        <w:t>ab initio</w:t>
      </w:r>
      <w:r w:rsidRPr="003E5DDF">
        <w:rPr>
          <w:sz w:val="21"/>
          <w:szCs w:val="21"/>
        </w:rPr>
        <w:t xml:space="preserve"> calculations, and cluster-expansion modeling, followed by Metropolis Monte Carlo sampling for finding the lowest non-degenerate structures. The active-learning loop that encompasses the iteratively adding low-energy structures and retraining the model is shown.</w:t>
      </w:r>
    </w:p>
    <w:p w14:paraId="21AE7C3B" w14:textId="0AC9B48C" w:rsidR="008938F3" w:rsidRDefault="008938F3" w:rsidP="00A50F6D">
      <w:r>
        <w:br w:type="page"/>
      </w:r>
    </w:p>
    <w:p w14:paraId="520215DB" w14:textId="77777777" w:rsidR="008938F3" w:rsidRDefault="008938F3" w:rsidP="00A50F6D"/>
    <w:p w14:paraId="5448BA9C" w14:textId="125495C3" w:rsidR="00864E7E" w:rsidRDefault="00CA54E3" w:rsidP="00BE4EF2">
      <w:pPr>
        <w:jc w:val="center"/>
      </w:pPr>
      <w:r>
        <w:rPr>
          <w:noProof/>
        </w:rPr>
        <w:drawing>
          <wp:inline distT="0" distB="0" distL="0" distR="0" wp14:anchorId="6F6E8867" wp14:editId="2DA56E39">
            <wp:extent cx="5119662" cy="2915483"/>
            <wp:effectExtent l="0" t="0" r="5080" b="0"/>
            <wp:docPr id="1625650482" name="图片 1"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50482" name="图片 1" descr="背景图案&#10;&#10;描述已自动生成"/>
                    <pic:cNvPicPr/>
                  </pic:nvPicPr>
                  <pic:blipFill>
                    <a:blip r:embed="rId10"/>
                    <a:stretch>
                      <a:fillRect/>
                    </a:stretch>
                  </pic:blipFill>
                  <pic:spPr>
                    <a:xfrm>
                      <a:off x="0" y="0"/>
                      <a:ext cx="5125380" cy="2918739"/>
                    </a:xfrm>
                    <a:prstGeom prst="rect">
                      <a:avLst/>
                    </a:prstGeom>
                  </pic:spPr>
                </pic:pic>
              </a:graphicData>
            </a:graphic>
          </wp:inline>
        </w:drawing>
      </w:r>
    </w:p>
    <w:p w14:paraId="5F438886" w14:textId="77777777" w:rsidR="001C7194" w:rsidRDefault="001C7194" w:rsidP="00BE4EF2">
      <w:pPr>
        <w:jc w:val="center"/>
      </w:pPr>
    </w:p>
    <w:p w14:paraId="0AD07AF5" w14:textId="7A0C807B" w:rsidR="00CA54E3" w:rsidRPr="003E5DDF" w:rsidRDefault="00CA54E3" w:rsidP="00A50F6D">
      <w:pPr>
        <w:rPr>
          <w:sz w:val="21"/>
          <w:szCs w:val="21"/>
        </w:rPr>
      </w:pPr>
      <w:r w:rsidRPr="003E5DDF">
        <w:rPr>
          <w:b/>
          <w:bCs/>
          <w:sz w:val="21"/>
          <w:szCs w:val="21"/>
        </w:rPr>
        <w:t>Fig.S</w:t>
      </w:r>
      <w:r w:rsidR="00052E82" w:rsidRPr="003E5DDF">
        <w:rPr>
          <w:rFonts w:hint="eastAsia"/>
          <w:b/>
          <w:bCs/>
          <w:sz w:val="21"/>
          <w:szCs w:val="21"/>
        </w:rPr>
        <w:t>2</w:t>
      </w:r>
      <w:r w:rsidRPr="003E5DDF">
        <w:rPr>
          <w:sz w:val="21"/>
          <w:szCs w:val="21"/>
        </w:rPr>
        <w:t xml:space="preserve"> Top view and side view of the most stable configurations with 1 Vo (Θ = 1/72), 2 Vo (Θ = 1/36), 3 Vo (Θ = 1/24), 4 Vo (Θ = 1/18), 5 Vo (Θ = 5/72), 6 Vo (Θ = 1/12), 7 Vo (Θ = 7/72), 8 Vo (Θ = 1/9), 9 Vo (Θ = 1/8), 10 Vo (Θ = 5/36), 11 Vo (Θ = 11/72), and 12 Vo (Θ = 1/6). Ce</w:t>
      </w:r>
      <w:r w:rsidRPr="003E5DDF">
        <w:rPr>
          <w:sz w:val="21"/>
          <w:szCs w:val="21"/>
          <w:vertAlign w:val="superscript"/>
        </w:rPr>
        <w:t>4+</w:t>
      </w:r>
      <w:r w:rsidRPr="003E5DDF">
        <w:rPr>
          <w:sz w:val="21"/>
          <w:szCs w:val="21"/>
        </w:rPr>
        <w:t>, Ce</w:t>
      </w:r>
      <w:r w:rsidRPr="003E5DDF">
        <w:rPr>
          <w:sz w:val="21"/>
          <w:szCs w:val="21"/>
          <w:vertAlign w:val="superscript"/>
        </w:rPr>
        <w:t>3+</w:t>
      </w:r>
      <w:r w:rsidRPr="003E5DDF">
        <w:rPr>
          <w:sz w:val="21"/>
          <w:szCs w:val="21"/>
        </w:rPr>
        <w:t xml:space="preserve"> and oxygen atoms are depicted in white, blue, and red.</w:t>
      </w:r>
    </w:p>
    <w:p w14:paraId="3770B122" w14:textId="77777777" w:rsidR="00574C40" w:rsidRDefault="00574C40" w:rsidP="00A50F6D"/>
    <w:p w14:paraId="5AE62CC2" w14:textId="42EB693A" w:rsidR="008938F3" w:rsidRDefault="008938F3" w:rsidP="00A50F6D">
      <w:r>
        <w:br w:type="page"/>
      </w:r>
    </w:p>
    <w:p w14:paraId="53F7B871" w14:textId="77777777" w:rsidR="00CA54E3" w:rsidRDefault="00CA54E3" w:rsidP="00A50F6D"/>
    <w:p w14:paraId="387FE8CE" w14:textId="79A34C1F" w:rsidR="008938F3" w:rsidRDefault="00B137AF" w:rsidP="00BE4EF2">
      <w:pPr>
        <w:jc w:val="center"/>
      </w:pPr>
      <w:r>
        <w:rPr>
          <w:noProof/>
        </w:rPr>
        <w:drawing>
          <wp:inline distT="0" distB="0" distL="0" distR="0" wp14:anchorId="08AC4524" wp14:editId="616A5CB2">
            <wp:extent cx="5158781" cy="2939623"/>
            <wp:effectExtent l="0" t="0" r="3810" b="0"/>
            <wp:docPr id="1380012057"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12057" name="图片 1" descr="表格&#10;&#10;描述已自动生成"/>
                    <pic:cNvPicPr/>
                  </pic:nvPicPr>
                  <pic:blipFill>
                    <a:blip r:embed="rId11"/>
                    <a:stretch>
                      <a:fillRect/>
                    </a:stretch>
                  </pic:blipFill>
                  <pic:spPr>
                    <a:xfrm>
                      <a:off x="0" y="0"/>
                      <a:ext cx="5164041" cy="2942620"/>
                    </a:xfrm>
                    <a:prstGeom prst="rect">
                      <a:avLst/>
                    </a:prstGeom>
                  </pic:spPr>
                </pic:pic>
              </a:graphicData>
            </a:graphic>
          </wp:inline>
        </w:drawing>
      </w:r>
    </w:p>
    <w:p w14:paraId="77D23ED4" w14:textId="2DC4F6D4" w:rsidR="008938F3" w:rsidRDefault="00574C40" w:rsidP="00BE4EF2">
      <w:pPr>
        <w:jc w:val="center"/>
      </w:pPr>
      <w:r>
        <w:rPr>
          <w:noProof/>
        </w:rPr>
        <w:drawing>
          <wp:inline distT="0" distB="0" distL="0" distR="0" wp14:anchorId="30368670" wp14:editId="66AD5B85">
            <wp:extent cx="5173451" cy="2947983"/>
            <wp:effectExtent l="0" t="0" r="8255" b="5080"/>
            <wp:docPr id="1793848496"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48496" name="图片 1" descr="图片包含 表格&#10;&#10;描述已自动生成"/>
                    <pic:cNvPicPr/>
                  </pic:nvPicPr>
                  <pic:blipFill>
                    <a:blip r:embed="rId12"/>
                    <a:stretch>
                      <a:fillRect/>
                    </a:stretch>
                  </pic:blipFill>
                  <pic:spPr>
                    <a:xfrm>
                      <a:off x="0" y="0"/>
                      <a:ext cx="5186290" cy="2955299"/>
                    </a:xfrm>
                    <a:prstGeom prst="rect">
                      <a:avLst/>
                    </a:prstGeom>
                  </pic:spPr>
                </pic:pic>
              </a:graphicData>
            </a:graphic>
          </wp:inline>
        </w:drawing>
      </w:r>
    </w:p>
    <w:p w14:paraId="545B5B2A" w14:textId="77777777" w:rsidR="001C7194" w:rsidRDefault="001C7194" w:rsidP="00BE4EF2">
      <w:pPr>
        <w:jc w:val="center"/>
      </w:pPr>
    </w:p>
    <w:p w14:paraId="2B364EB3" w14:textId="2A673871" w:rsidR="008938F3" w:rsidRPr="003E5DDF" w:rsidRDefault="00574C40" w:rsidP="00A50F6D">
      <w:pPr>
        <w:rPr>
          <w:sz w:val="21"/>
          <w:szCs w:val="21"/>
        </w:rPr>
      </w:pPr>
      <w:r w:rsidRPr="003E5DDF">
        <w:rPr>
          <w:b/>
          <w:bCs/>
          <w:sz w:val="21"/>
          <w:szCs w:val="21"/>
        </w:rPr>
        <w:t>Fig.S</w:t>
      </w:r>
      <w:r w:rsidR="00052E82" w:rsidRPr="003E5DDF">
        <w:rPr>
          <w:rFonts w:hint="eastAsia"/>
          <w:b/>
          <w:bCs/>
          <w:sz w:val="21"/>
          <w:szCs w:val="21"/>
        </w:rPr>
        <w:t>3</w:t>
      </w:r>
      <w:r w:rsidRPr="003E5DDF">
        <w:rPr>
          <w:sz w:val="21"/>
          <w:szCs w:val="21"/>
        </w:rPr>
        <w:t xml:space="preserve"> One-, two- and three-point clusters selected in the final CE model. Ce</w:t>
      </w:r>
      <w:r w:rsidRPr="003E5DDF">
        <w:rPr>
          <w:sz w:val="21"/>
          <w:szCs w:val="21"/>
          <w:vertAlign w:val="superscript"/>
        </w:rPr>
        <w:t>4+</w:t>
      </w:r>
      <w:r w:rsidRPr="003E5DDF">
        <w:rPr>
          <w:sz w:val="21"/>
          <w:szCs w:val="21"/>
        </w:rPr>
        <w:t>, Ce</w:t>
      </w:r>
      <w:r w:rsidRPr="003E5DDF">
        <w:rPr>
          <w:sz w:val="21"/>
          <w:szCs w:val="21"/>
          <w:vertAlign w:val="superscript"/>
        </w:rPr>
        <w:t>3+</w:t>
      </w:r>
      <w:r w:rsidRPr="003E5DDF">
        <w:rPr>
          <w:sz w:val="21"/>
          <w:szCs w:val="21"/>
        </w:rPr>
        <w:t>, vacancies and oxygen atoms are depicted in white, blue, black and red.</w:t>
      </w:r>
    </w:p>
    <w:p w14:paraId="14B38EC3" w14:textId="47788803" w:rsidR="00B138BC" w:rsidRDefault="00B138BC" w:rsidP="00A50F6D">
      <w:pPr>
        <w:rPr>
          <w:rFonts w:eastAsia="宋体"/>
          <w:kern w:val="0"/>
        </w:rPr>
      </w:pPr>
      <w:r>
        <w:br w:type="page"/>
      </w:r>
    </w:p>
    <w:p w14:paraId="10C1DEAC" w14:textId="77777777" w:rsidR="00B138BC" w:rsidRDefault="00B138BC" w:rsidP="00A50F6D"/>
    <w:p w14:paraId="39D0A61A" w14:textId="340D3088" w:rsidR="001C7194" w:rsidRPr="003E5DDF" w:rsidRDefault="001C7194" w:rsidP="001C7194">
      <w:pPr>
        <w:spacing w:line="240" w:lineRule="auto"/>
        <w:rPr>
          <w:sz w:val="21"/>
          <w:szCs w:val="21"/>
        </w:rPr>
      </w:pPr>
      <w:r w:rsidRPr="003E5DDF">
        <w:rPr>
          <w:b/>
          <w:bCs/>
          <w:sz w:val="21"/>
          <w:szCs w:val="21"/>
        </w:rPr>
        <w:t>Table</w:t>
      </w:r>
      <w:r w:rsidRPr="003E5DDF">
        <w:rPr>
          <w:rFonts w:hint="eastAsia"/>
          <w:b/>
          <w:bCs/>
          <w:sz w:val="21"/>
          <w:szCs w:val="21"/>
        </w:rPr>
        <w:t xml:space="preserve"> </w:t>
      </w:r>
      <w:r w:rsidRPr="003E5DDF">
        <w:rPr>
          <w:b/>
          <w:bCs/>
          <w:sz w:val="21"/>
          <w:szCs w:val="21"/>
        </w:rPr>
        <w:t>S1</w:t>
      </w:r>
      <w:r w:rsidRPr="003E5DDF">
        <w:rPr>
          <w:sz w:val="21"/>
          <w:szCs w:val="21"/>
        </w:rPr>
        <w:t>. ECI value of each cluster in eV per atom. Positive values correspond to repulsion</w:t>
      </w:r>
      <w:r w:rsidRPr="003E5DDF">
        <w:rPr>
          <w:rFonts w:hint="eastAsia"/>
          <w:sz w:val="21"/>
          <w:szCs w:val="21"/>
        </w:rPr>
        <w:t>,</w:t>
      </w:r>
      <w:r w:rsidRPr="003E5DDF">
        <w:rPr>
          <w:sz w:val="21"/>
          <w:szCs w:val="21"/>
        </w:rPr>
        <w:t xml:space="preserve"> and negative to attraction.</w:t>
      </w:r>
    </w:p>
    <w:p w14:paraId="18533CA6" w14:textId="6614D358" w:rsidR="00B138BC" w:rsidRDefault="005B4DF1" w:rsidP="00BC5176">
      <w:pPr>
        <w:jc w:val="center"/>
      </w:pPr>
      <w:r>
        <w:rPr>
          <w:noProof/>
        </w:rPr>
        <w:drawing>
          <wp:inline distT="0" distB="0" distL="0" distR="0" wp14:anchorId="47FCCABC" wp14:editId="14196A4A">
            <wp:extent cx="4963188" cy="2007742"/>
            <wp:effectExtent l="0" t="0" r="0" b="0"/>
            <wp:docPr id="15644297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2979" name="图片 1" descr="表格&#10;&#10;描述已自动生成"/>
                    <pic:cNvPicPr/>
                  </pic:nvPicPr>
                  <pic:blipFill>
                    <a:blip r:embed="rId13"/>
                    <a:stretch>
                      <a:fillRect/>
                    </a:stretch>
                  </pic:blipFill>
                  <pic:spPr>
                    <a:xfrm>
                      <a:off x="0" y="0"/>
                      <a:ext cx="4971971" cy="2011295"/>
                    </a:xfrm>
                    <a:prstGeom prst="rect">
                      <a:avLst/>
                    </a:prstGeom>
                  </pic:spPr>
                </pic:pic>
              </a:graphicData>
            </a:graphic>
          </wp:inline>
        </w:drawing>
      </w:r>
    </w:p>
    <w:p w14:paraId="03CAEE3B" w14:textId="77777777" w:rsidR="001C7194" w:rsidRDefault="001C7194" w:rsidP="001C7194"/>
    <w:p w14:paraId="01ED2EF0" w14:textId="790BA03A" w:rsidR="00017DD8" w:rsidRDefault="009C0AD5" w:rsidP="001C7194">
      <w:pPr>
        <w:widowControl/>
        <w:spacing w:line="240" w:lineRule="auto"/>
        <w:jc w:val="left"/>
      </w:pPr>
      <w:r>
        <w:br w:type="page"/>
      </w:r>
    </w:p>
    <w:p w14:paraId="054E2768" w14:textId="7C9FBF75" w:rsidR="00017DD8" w:rsidRPr="00BC5176" w:rsidRDefault="00017DD8" w:rsidP="00992236">
      <w:pPr>
        <w:ind w:leftChars="-1" w:left="-2"/>
        <w:rPr>
          <w:b/>
          <w:bCs/>
          <w:sz w:val="28"/>
          <w:szCs w:val="28"/>
        </w:rPr>
      </w:pPr>
      <w:r w:rsidRPr="00BC5176">
        <w:rPr>
          <w:rFonts w:hint="eastAsia"/>
          <w:b/>
          <w:bCs/>
          <w:sz w:val="28"/>
          <w:szCs w:val="28"/>
        </w:rPr>
        <w:lastRenderedPageBreak/>
        <w:t>References</w:t>
      </w:r>
    </w:p>
    <w:p w14:paraId="4DA4B093" w14:textId="77777777" w:rsidR="007C1D93" w:rsidRPr="007C1D93" w:rsidRDefault="00017DD8" w:rsidP="007C1D93">
      <w:pPr>
        <w:pStyle w:val="af2"/>
      </w:pPr>
      <w:r>
        <w:fldChar w:fldCharType="begin"/>
      </w:r>
      <w:r w:rsidR="00D87E88">
        <w:instrText xml:space="preserve"> ADDIN ZOTERO_BIBL {"uncited":[],"omitted":[],"custom":[]} CSL_BIBLIOGRAPHY </w:instrText>
      </w:r>
      <w:r>
        <w:fldChar w:fldCharType="separate"/>
      </w:r>
      <w:r w:rsidR="007C1D93" w:rsidRPr="007C1D93">
        <w:t>1.</w:t>
      </w:r>
      <w:r w:rsidR="007C1D93" w:rsidRPr="007C1D93">
        <w:tab/>
        <w:t xml:space="preserve">Mai, H.-X. </w:t>
      </w:r>
      <w:r w:rsidR="007C1D93" w:rsidRPr="007C1D93">
        <w:rPr>
          <w:i/>
          <w:iCs/>
        </w:rPr>
        <w:t>et al.</w:t>
      </w:r>
      <w:r w:rsidR="007C1D93" w:rsidRPr="007C1D93">
        <w:t xml:space="preserve"> Shape-Selective Synthesis and Oxygen Storage Behavior of Ceria Nanopolyhedra, Nanorods, and Nanocubes. </w:t>
      </w:r>
      <w:r w:rsidR="007C1D93" w:rsidRPr="007C1D93">
        <w:rPr>
          <w:i/>
          <w:iCs/>
        </w:rPr>
        <w:t>J. Phys. Chem. B</w:t>
      </w:r>
      <w:r w:rsidR="007C1D93" w:rsidRPr="007C1D93">
        <w:t xml:space="preserve"> </w:t>
      </w:r>
      <w:r w:rsidR="007C1D93" w:rsidRPr="007C1D93">
        <w:rPr>
          <w:b/>
          <w:bCs/>
        </w:rPr>
        <w:t>109</w:t>
      </w:r>
      <w:r w:rsidR="007C1D93" w:rsidRPr="007C1D93">
        <w:t>, 24380–24385 (2005).</w:t>
      </w:r>
    </w:p>
    <w:p w14:paraId="4216DF41" w14:textId="77777777" w:rsidR="007C1D93" w:rsidRPr="007C1D93" w:rsidRDefault="007C1D93" w:rsidP="007C1D93">
      <w:pPr>
        <w:pStyle w:val="af2"/>
      </w:pPr>
      <w:r w:rsidRPr="007C1D93">
        <w:t>2.</w:t>
      </w:r>
      <w:r w:rsidRPr="007C1D93">
        <w:tab/>
        <w:t xml:space="preserve">Kresse, G. &amp; Joubert, D. From ultrasoft pseudopotentials to the projector augmented-wave method. </w:t>
      </w:r>
      <w:r w:rsidRPr="007C1D93">
        <w:rPr>
          <w:i/>
          <w:iCs/>
        </w:rPr>
        <w:t>Phys. Rev. B</w:t>
      </w:r>
      <w:r w:rsidRPr="007C1D93">
        <w:t xml:space="preserve"> </w:t>
      </w:r>
      <w:r w:rsidRPr="007C1D93">
        <w:rPr>
          <w:b/>
          <w:bCs/>
        </w:rPr>
        <w:t>59</w:t>
      </w:r>
      <w:r w:rsidRPr="007C1D93">
        <w:t>, 1758–1775 (1999).</w:t>
      </w:r>
    </w:p>
    <w:p w14:paraId="027F9104" w14:textId="77777777" w:rsidR="007C1D93" w:rsidRPr="007C1D93" w:rsidRDefault="007C1D93" w:rsidP="007C1D93">
      <w:pPr>
        <w:pStyle w:val="af2"/>
      </w:pPr>
      <w:r w:rsidRPr="007C1D93">
        <w:t>3.</w:t>
      </w:r>
      <w:r w:rsidRPr="007C1D93">
        <w:tab/>
        <w:t xml:space="preserve">Kresse, G. &amp; Furthmüller, J. Efficient iterative schemes for ab initio total-energy calculations using a plane-wave basis set. </w:t>
      </w:r>
      <w:r w:rsidRPr="007C1D93">
        <w:rPr>
          <w:i/>
          <w:iCs/>
        </w:rPr>
        <w:t>Phys. Rev. B</w:t>
      </w:r>
      <w:r w:rsidRPr="007C1D93">
        <w:t xml:space="preserve"> </w:t>
      </w:r>
      <w:r w:rsidRPr="007C1D93">
        <w:rPr>
          <w:b/>
          <w:bCs/>
        </w:rPr>
        <w:t>54</w:t>
      </w:r>
      <w:r w:rsidRPr="007C1D93">
        <w:t>, 11169–11186 (1996).</w:t>
      </w:r>
    </w:p>
    <w:p w14:paraId="72EAF61B" w14:textId="77777777" w:rsidR="007C1D93" w:rsidRPr="007C1D93" w:rsidRDefault="007C1D93" w:rsidP="007C1D93">
      <w:pPr>
        <w:pStyle w:val="af2"/>
      </w:pPr>
      <w:r w:rsidRPr="007C1D93">
        <w:t>4.</w:t>
      </w:r>
      <w:r w:rsidRPr="007C1D93">
        <w:tab/>
        <w:t xml:space="preserve">Dudarev, S. L., Botton, G. A., Savrasov, S. Y., Humphreys, C. J. &amp; Sutton, A. P. Electron-energy-loss spectra and the structural stability of nickel oxide: An LSDA+U study. </w:t>
      </w:r>
      <w:r w:rsidRPr="007C1D93">
        <w:rPr>
          <w:i/>
          <w:iCs/>
        </w:rPr>
        <w:t>Phys. Rev. B</w:t>
      </w:r>
      <w:r w:rsidRPr="007C1D93">
        <w:t xml:space="preserve"> </w:t>
      </w:r>
      <w:r w:rsidRPr="007C1D93">
        <w:rPr>
          <w:b/>
          <w:bCs/>
        </w:rPr>
        <w:t>57</w:t>
      </w:r>
      <w:r w:rsidRPr="007C1D93">
        <w:t>, 1505–1509 (1998).</w:t>
      </w:r>
    </w:p>
    <w:p w14:paraId="3AF057BB" w14:textId="77777777" w:rsidR="007C1D93" w:rsidRPr="007C1D93" w:rsidRDefault="007C1D93" w:rsidP="007C1D93">
      <w:pPr>
        <w:pStyle w:val="af2"/>
      </w:pPr>
      <w:r w:rsidRPr="007C1D93">
        <w:t>5.</w:t>
      </w:r>
      <w:r w:rsidRPr="007C1D93">
        <w:tab/>
        <w:t xml:space="preserve">Cococcioni, M. &amp; De Gironcoli, S. Linear response approach to the calculation of the effective interaction parameters in the LDA+U method. </w:t>
      </w:r>
      <w:r w:rsidRPr="007C1D93">
        <w:rPr>
          <w:i/>
          <w:iCs/>
        </w:rPr>
        <w:t>Phys. Rev. B</w:t>
      </w:r>
      <w:r w:rsidRPr="007C1D93">
        <w:t xml:space="preserve"> </w:t>
      </w:r>
      <w:r w:rsidRPr="007C1D93">
        <w:rPr>
          <w:b/>
          <w:bCs/>
        </w:rPr>
        <w:t>71</w:t>
      </w:r>
      <w:r w:rsidRPr="007C1D93">
        <w:t>, 035105 (2005).</w:t>
      </w:r>
    </w:p>
    <w:p w14:paraId="31627D52" w14:textId="77777777" w:rsidR="007C1D93" w:rsidRPr="007C1D93" w:rsidRDefault="007C1D93" w:rsidP="007C1D93">
      <w:pPr>
        <w:pStyle w:val="af2"/>
      </w:pPr>
      <w:r w:rsidRPr="007C1D93">
        <w:t>6.</w:t>
      </w:r>
      <w:r w:rsidRPr="007C1D93">
        <w:tab/>
        <w:t xml:space="preserve">Perdew, J. P., Burke, K. &amp; Ernzerhof, M. Generalized Gradient Approximation Made Simple. </w:t>
      </w:r>
      <w:r w:rsidRPr="007C1D93">
        <w:rPr>
          <w:i/>
          <w:iCs/>
        </w:rPr>
        <w:t>Phys. Rev. Lett.</w:t>
      </w:r>
      <w:r w:rsidRPr="007C1D93">
        <w:t xml:space="preserve"> </w:t>
      </w:r>
      <w:r w:rsidRPr="007C1D93">
        <w:rPr>
          <w:b/>
          <w:bCs/>
        </w:rPr>
        <w:t>77</w:t>
      </w:r>
      <w:r w:rsidRPr="007C1D93">
        <w:t>, 3865–3868 (1996).</w:t>
      </w:r>
    </w:p>
    <w:p w14:paraId="2A6E8B35" w14:textId="77777777" w:rsidR="007C1D93" w:rsidRPr="007C1D93" w:rsidRDefault="007C1D93" w:rsidP="007C1D93">
      <w:pPr>
        <w:pStyle w:val="af2"/>
      </w:pPr>
      <w:r w:rsidRPr="007C1D93">
        <w:t>7.</w:t>
      </w:r>
      <w:r w:rsidRPr="007C1D93">
        <w:tab/>
        <w:t xml:space="preserve">Castleton, C. W. M., Kullgren, J. &amp; Hermansson, K. Tuning LDA+U for electron localization and structure at oxygen vacancies in ceria. </w:t>
      </w:r>
      <w:r w:rsidRPr="007C1D93">
        <w:rPr>
          <w:i/>
          <w:iCs/>
        </w:rPr>
        <w:t>The Journal of Chemical Physics</w:t>
      </w:r>
      <w:r w:rsidRPr="007C1D93">
        <w:t xml:space="preserve"> </w:t>
      </w:r>
      <w:r w:rsidRPr="007C1D93">
        <w:rPr>
          <w:b/>
          <w:bCs/>
        </w:rPr>
        <w:t>127</w:t>
      </w:r>
      <w:r w:rsidRPr="007C1D93">
        <w:t>, 244704 (2007).</w:t>
      </w:r>
    </w:p>
    <w:p w14:paraId="6DDF309D" w14:textId="77777777" w:rsidR="007C1D93" w:rsidRPr="007C1D93" w:rsidRDefault="007C1D93" w:rsidP="007C1D93">
      <w:pPr>
        <w:pStyle w:val="af2"/>
      </w:pPr>
      <w:r w:rsidRPr="007C1D93">
        <w:t>8.</w:t>
      </w:r>
      <w:r w:rsidRPr="007C1D93">
        <w:tab/>
        <w:t xml:space="preserve">Hastie, T. &amp; Tibshirani, R. Discriminant Analysis by Gaussian Mixtures. </w:t>
      </w:r>
      <w:r w:rsidRPr="007C1D93">
        <w:rPr>
          <w:i/>
          <w:iCs/>
        </w:rPr>
        <w:t>Journal of the Royal Statistical Society Series B: Statistical Methodology</w:t>
      </w:r>
      <w:r w:rsidRPr="007C1D93">
        <w:t xml:space="preserve"> </w:t>
      </w:r>
      <w:r w:rsidRPr="007C1D93">
        <w:rPr>
          <w:b/>
          <w:bCs/>
        </w:rPr>
        <w:t>58</w:t>
      </w:r>
      <w:r w:rsidRPr="007C1D93">
        <w:t>, 155–176 (1996).</w:t>
      </w:r>
    </w:p>
    <w:p w14:paraId="2658F85D" w14:textId="77777777" w:rsidR="007C1D93" w:rsidRPr="007C1D93" w:rsidRDefault="007C1D93" w:rsidP="007C1D93">
      <w:pPr>
        <w:pStyle w:val="af2"/>
      </w:pPr>
      <w:r w:rsidRPr="007C1D93">
        <w:t>9.</w:t>
      </w:r>
      <w:r w:rsidRPr="007C1D93">
        <w:tab/>
        <w:t>Sarker, D., Han, Z.-K. &amp; Levchenko, S. V. Iterative cluster expansion approach for predicting the structure evolution of mixed Ruddelsden-Popper oxides La</w:t>
      </w:r>
      <w:r w:rsidRPr="007C1D93">
        <w:rPr>
          <w:vertAlign w:val="subscript"/>
        </w:rPr>
        <w:t>2−x</w:t>
      </w:r>
      <w:r w:rsidRPr="007C1D93">
        <w:t>Sr</w:t>
      </w:r>
      <w:r w:rsidRPr="007C1D93">
        <w:rPr>
          <w:vertAlign w:val="subscript"/>
        </w:rPr>
        <w:t>x</w:t>
      </w:r>
      <w:r w:rsidRPr="007C1D93">
        <w:t>Ni</w:t>
      </w:r>
      <w:r w:rsidRPr="007C1D93">
        <w:rPr>
          <w:vertAlign w:val="subscript"/>
        </w:rPr>
        <w:t>1−y</w:t>
      </w:r>
      <w:r w:rsidRPr="007C1D93">
        <w:t>Fe</w:t>
      </w:r>
      <w:r w:rsidRPr="007C1D93">
        <w:rPr>
          <w:vertAlign w:val="subscript"/>
        </w:rPr>
        <w:t>y</w:t>
      </w:r>
      <w:r w:rsidRPr="007C1D93">
        <w:t>O</w:t>
      </w:r>
      <w:r w:rsidRPr="007C1D93">
        <w:rPr>
          <w:vertAlign w:val="subscript"/>
        </w:rPr>
        <w:t>4±δ</w:t>
      </w:r>
      <w:r w:rsidRPr="007C1D93">
        <w:t xml:space="preserve">. </w:t>
      </w:r>
      <w:r w:rsidRPr="007C1D93">
        <w:rPr>
          <w:i/>
          <w:iCs/>
        </w:rPr>
        <w:t>Phys. Rev. Materials</w:t>
      </w:r>
      <w:r w:rsidRPr="007C1D93">
        <w:t xml:space="preserve"> </w:t>
      </w:r>
      <w:r w:rsidRPr="007C1D93">
        <w:rPr>
          <w:b/>
          <w:bCs/>
        </w:rPr>
        <w:t>7</w:t>
      </w:r>
      <w:r w:rsidRPr="007C1D93">
        <w:t>, 055802 (2023).</w:t>
      </w:r>
    </w:p>
    <w:p w14:paraId="3E3CCF0B" w14:textId="77777777" w:rsidR="007C1D93" w:rsidRPr="007C1D93" w:rsidRDefault="007C1D93" w:rsidP="007C1D93">
      <w:pPr>
        <w:pStyle w:val="af2"/>
      </w:pPr>
      <w:r w:rsidRPr="007C1D93">
        <w:t>10.</w:t>
      </w:r>
      <w:r w:rsidRPr="007C1D93">
        <w:tab/>
        <w:t>Han, Z.-K., Yang, Y.-Z., Zhu, B., Ganduglia-Pirovano, M. V. &amp; Gao, Y. Unraveling the oxygen vacancy structures at the reduced CeO</w:t>
      </w:r>
      <w:r w:rsidRPr="007C1D93">
        <w:rPr>
          <w:vertAlign w:val="subscript"/>
        </w:rPr>
        <w:t>2</w:t>
      </w:r>
      <w:r w:rsidRPr="007C1D93">
        <w:t xml:space="preserve">(111) surface. </w:t>
      </w:r>
      <w:r w:rsidRPr="007C1D93">
        <w:rPr>
          <w:i/>
          <w:iCs/>
        </w:rPr>
        <w:t>Phys. Rev. Materials</w:t>
      </w:r>
      <w:r w:rsidRPr="007C1D93">
        <w:t xml:space="preserve"> </w:t>
      </w:r>
      <w:r w:rsidRPr="007C1D93">
        <w:rPr>
          <w:b/>
          <w:bCs/>
        </w:rPr>
        <w:t>2</w:t>
      </w:r>
      <w:r w:rsidRPr="007C1D93">
        <w:t>, 035802 (2018).</w:t>
      </w:r>
    </w:p>
    <w:p w14:paraId="3DDFA8DF" w14:textId="77777777" w:rsidR="007C1D93" w:rsidRPr="007C1D93" w:rsidRDefault="007C1D93" w:rsidP="007C1D93">
      <w:pPr>
        <w:pStyle w:val="af2"/>
      </w:pPr>
      <w:r w:rsidRPr="007C1D93">
        <w:t>11.</w:t>
      </w:r>
      <w:r w:rsidRPr="007C1D93">
        <w:tab/>
        <w:t xml:space="preserve">Han, Z.-K. </w:t>
      </w:r>
      <w:r w:rsidRPr="007C1D93">
        <w:rPr>
          <w:i/>
          <w:iCs/>
        </w:rPr>
        <w:t>et al.</w:t>
      </w:r>
      <w:r w:rsidRPr="007C1D93">
        <w:t xml:space="preserve"> First-principles study of Pd-alloyed Cu(111) surface in hydrogen atmosphere at realistic temperatures. </w:t>
      </w:r>
      <w:r w:rsidRPr="007C1D93">
        <w:rPr>
          <w:i/>
          <w:iCs/>
        </w:rPr>
        <w:t>Journal of Applied Physics</w:t>
      </w:r>
      <w:r w:rsidRPr="007C1D93">
        <w:t xml:space="preserve"> </w:t>
      </w:r>
      <w:r w:rsidRPr="007C1D93">
        <w:rPr>
          <w:b/>
          <w:bCs/>
        </w:rPr>
        <w:t>128</w:t>
      </w:r>
      <w:r w:rsidRPr="007C1D93">
        <w:t>, 145302 (2020).</w:t>
      </w:r>
    </w:p>
    <w:p w14:paraId="5FD9243A" w14:textId="06FF3ED1" w:rsidR="00017DD8" w:rsidRPr="00574C40" w:rsidRDefault="00017DD8" w:rsidP="00992236">
      <w:pPr>
        <w:pStyle w:val="af2"/>
        <w:tabs>
          <w:tab w:val="left" w:pos="0"/>
        </w:tabs>
        <w:ind w:leftChars="-1" w:left="-2"/>
      </w:pPr>
      <w:r>
        <w:fldChar w:fldCharType="end"/>
      </w:r>
    </w:p>
    <w:sectPr w:rsidR="00017DD8" w:rsidRPr="00574C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9D60D" w14:textId="77777777" w:rsidR="0025506B" w:rsidRDefault="0025506B" w:rsidP="00A50F6D">
      <w:r>
        <w:separator/>
      </w:r>
    </w:p>
  </w:endnote>
  <w:endnote w:type="continuationSeparator" w:id="0">
    <w:p w14:paraId="5D5581B8" w14:textId="77777777" w:rsidR="0025506B" w:rsidRDefault="0025506B" w:rsidP="00A50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56923" w14:textId="77777777" w:rsidR="0025506B" w:rsidRDefault="0025506B" w:rsidP="00A50F6D">
      <w:r>
        <w:separator/>
      </w:r>
    </w:p>
  </w:footnote>
  <w:footnote w:type="continuationSeparator" w:id="0">
    <w:p w14:paraId="572AC1F2" w14:textId="77777777" w:rsidR="0025506B" w:rsidRDefault="0025506B" w:rsidP="00A50F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EwNTM5NzYwMDRjMzkwZTVkZjY2ODkwMGIxNGU0OTUifQ=="/>
  </w:docVars>
  <w:rsids>
    <w:rsidRoot w:val="00694869"/>
    <w:rsid w:val="000008B5"/>
    <w:rsid w:val="000065DC"/>
    <w:rsid w:val="00014F3F"/>
    <w:rsid w:val="00017DD8"/>
    <w:rsid w:val="0002049C"/>
    <w:rsid w:val="000372C2"/>
    <w:rsid w:val="00051649"/>
    <w:rsid w:val="00052E82"/>
    <w:rsid w:val="00053BB3"/>
    <w:rsid w:val="00053E0D"/>
    <w:rsid w:val="00062343"/>
    <w:rsid w:val="00065795"/>
    <w:rsid w:val="00077D13"/>
    <w:rsid w:val="00086A4A"/>
    <w:rsid w:val="000B131B"/>
    <w:rsid w:val="000B6A22"/>
    <w:rsid w:val="000D36D8"/>
    <w:rsid w:val="000F4291"/>
    <w:rsid w:val="000F7952"/>
    <w:rsid w:val="001160E7"/>
    <w:rsid w:val="00120369"/>
    <w:rsid w:val="00130EE3"/>
    <w:rsid w:val="0014743E"/>
    <w:rsid w:val="001474B0"/>
    <w:rsid w:val="001669AB"/>
    <w:rsid w:val="00177DF8"/>
    <w:rsid w:val="001848EC"/>
    <w:rsid w:val="00190CB1"/>
    <w:rsid w:val="001A0ADC"/>
    <w:rsid w:val="001A7E57"/>
    <w:rsid w:val="001B40C3"/>
    <w:rsid w:val="001C7194"/>
    <w:rsid w:val="001D1906"/>
    <w:rsid w:val="001D2FC0"/>
    <w:rsid w:val="001E084D"/>
    <w:rsid w:val="001E1D4A"/>
    <w:rsid w:val="001F4007"/>
    <w:rsid w:val="00202164"/>
    <w:rsid w:val="00214DF0"/>
    <w:rsid w:val="00230B72"/>
    <w:rsid w:val="0025506B"/>
    <w:rsid w:val="00257A4A"/>
    <w:rsid w:val="00275951"/>
    <w:rsid w:val="0029598A"/>
    <w:rsid w:val="00297835"/>
    <w:rsid w:val="002A2BFF"/>
    <w:rsid w:val="002C6CCC"/>
    <w:rsid w:val="002D7ED5"/>
    <w:rsid w:val="002E03A8"/>
    <w:rsid w:val="002F30A4"/>
    <w:rsid w:val="00315468"/>
    <w:rsid w:val="00315B82"/>
    <w:rsid w:val="00340FDE"/>
    <w:rsid w:val="003412A4"/>
    <w:rsid w:val="00361E08"/>
    <w:rsid w:val="0036615D"/>
    <w:rsid w:val="0037616C"/>
    <w:rsid w:val="00387CDD"/>
    <w:rsid w:val="0039714A"/>
    <w:rsid w:val="003A7214"/>
    <w:rsid w:val="003A7C9F"/>
    <w:rsid w:val="003B277B"/>
    <w:rsid w:val="003C5D42"/>
    <w:rsid w:val="003E5DDF"/>
    <w:rsid w:val="003E7EDB"/>
    <w:rsid w:val="004053B8"/>
    <w:rsid w:val="004213C6"/>
    <w:rsid w:val="00427C04"/>
    <w:rsid w:val="00430BDD"/>
    <w:rsid w:val="00435629"/>
    <w:rsid w:val="004431F0"/>
    <w:rsid w:val="00444D43"/>
    <w:rsid w:val="0045016C"/>
    <w:rsid w:val="004744F6"/>
    <w:rsid w:val="004925B9"/>
    <w:rsid w:val="004B2B2E"/>
    <w:rsid w:val="004E0A75"/>
    <w:rsid w:val="004E67A2"/>
    <w:rsid w:val="00525323"/>
    <w:rsid w:val="005256BD"/>
    <w:rsid w:val="00534996"/>
    <w:rsid w:val="005431FC"/>
    <w:rsid w:val="00545F55"/>
    <w:rsid w:val="00547CB9"/>
    <w:rsid w:val="00557209"/>
    <w:rsid w:val="00560C2B"/>
    <w:rsid w:val="005612FB"/>
    <w:rsid w:val="00563C37"/>
    <w:rsid w:val="00574C40"/>
    <w:rsid w:val="00576FC8"/>
    <w:rsid w:val="00577254"/>
    <w:rsid w:val="00577AA4"/>
    <w:rsid w:val="00582830"/>
    <w:rsid w:val="005914D8"/>
    <w:rsid w:val="0059559B"/>
    <w:rsid w:val="005A6D91"/>
    <w:rsid w:val="005B4DF1"/>
    <w:rsid w:val="005E093E"/>
    <w:rsid w:val="005F59A6"/>
    <w:rsid w:val="006143EA"/>
    <w:rsid w:val="0063478C"/>
    <w:rsid w:val="00650D96"/>
    <w:rsid w:val="00664510"/>
    <w:rsid w:val="00664ED3"/>
    <w:rsid w:val="00671003"/>
    <w:rsid w:val="006725B6"/>
    <w:rsid w:val="0067363C"/>
    <w:rsid w:val="00694869"/>
    <w:rsid w:val="006A124D"/>
    <w:rsid w:val="006B05C0"/>
    <w:rsid w:val="006B2AC6"/>
    <w:rsid w:val="006C08F1"/>
    <w:rsid w:val="006E1579"/>
    <w:rsid w:val="006E636A"/>
    <w:rsid w:val="006E7128"/>
    <w:rsid w:val="006F2CDB"/>
    <w:rsid w:val="00704C25"/>
    <w:rsid w:val="007240BB"/>
    <w:rsid w:val="007260AD"/>
    <w:rsid w:val="007416B5"/>
    <w:rsid w:val="00741AA8"/>
    <w:rsid w:val="007438B6"/>
    <w:rsid w:val="0074419D"/>
    <w:rsid w:val="00751301"/>
    <w:rsid w:val="0075551E"/>
    <w:rsid w:val="00757029"/>
    <w:rsid w:val="00764C1E"/>
    <w:rsid w:val="00767A4E"/>
    <w:rsid w:val="00777526"/>
    <w:rsid w:val="007B2F21"/>
    <w:rsid w:val="007C1D93"/>
    <w:rsid w:val="007C64C8"/>
    <w:rsid w:val="007D769F"/>
    <w:rsid w:val="007E3231"/>
    <w:rsid w:val="007E637A"/>
    <w:rsid w:val="00816DB0"/>
    <w:rsid w:val="00823E8C"/>
    <w:rsid w:val="00842D85"/>
    <w:rsid w:val="00857C13"/>
    <w:rsid w:val="00860B0A"/>
    <w:rsid w:val="00864E7E"/>
    <w:rsid w:val="00870CF2"/>
    <w:rsid w:val="00882916"/>
    <w:rsid w:val="00883ABF"/>
    <w:rsid w:val="008938F3"/>
    <w:rsid w:val="00895F5A"/>
    <w:rsid w:val="008A757F"/>
    <w:rsid w:val="008B0B84"/>
    <w:rsid w:val="008B2937"/>
    <w:rsid w:val="008B6E69"/>
    <w:rsid w:val="008C3FFC"/>
    <w:rsid w:val="008E0730"/>
    <w:rsid w:val="008F69CC"/>
    <w:rsid w:val="008F6F67"/>
    <w:rsid w:val="009259C1"/>
    <w:rsid w:val="00932EA7"/>
    <w:rsid w:val="009365F5"/>
    <w:rsid w:val="0094130F"/>
    <w:rsid w:val="009461FE"/>
    <w:rsid w:val="00947D11"/>
    <w:rsid w:val="00960465"/>
    <w:rsid w:val="00975225"/>
    <w:rsid w:val="00977051"/>
    <w:rsid w:val="00992236"/>
    <w:rsid w:val="009C0AD5"/>
    <w:rsid w:val="009C2D7D"/>
    <w:rsid w:val="009C57C2"/>
    <w:rsid w:val="009E777F"/>
    <w:rsid w:val="00A071C5"/>
    <w:rsid w:val="00A0734A"/>
    <w:rsid w:val="00A50F6D"/>
    <w:rsid w:val="00A70F65"/>
    <w:rsid w:val="00A87099"/>
    <w:rsid w:val="00AC1936"/>
    <w:rsid w:val="00AE188B"/>
    <w:rsid w:val="00AE58AD"/>
    <w:rsid w:val="00AF2098"/>
    <w:rsid w:val="00AF7473"/>
    <w:rsid w:val="00B00ABA"/>
    <w:rsid w:val="00B137AF"/>
    <w:rsid w:val="00B138BC"/>
    <w:rsid w:val="00B46D48"/>
    <w:rsid w:val="00B51727"/>
    <w:rsid w:val="00B57948"/>
    <w:rsid w:val="00B61F8E"/>
    <w:rsid w:val="00B628B1"/>
    <w:rsid w:val="00B85DCA"/>
    <w:rsid w:val="00B92364"/>
    <w:rsid w:val="00BA3CD3"/>
    <w:rsid w:val="00BA694C"/>
    <w:rsid w:val="00BC5176"/>
    <w:rsid w:val="00BC6A7E"/>
    <w:rsid w:val="00BC7030"/>
    <w:rsid w:val="00BD4FB2"/>
    <w:rsid w:val="00BE05AD"/>
    <w:rsid w:val="00BE4806"/>
    <w:rsid w:val="00BE4EF2"/>
    <w:rsid w:val="00BF16CD"/>
    <w:rsid w:val="00C00C7E"/>
    <w:rsid w:val="00C43ACD"/>
    <w:rsid w:val="00C464E5"/>
    <w:rsid w:val="00C46792"/>
    <w:rsid w:val="00C47F5F"/>
    <w:rsid w:val="00C51567"/>
    <w:rsid w:val="00C52DC3"/>
    <w:rsid w:val="00C64923"/>
    <w:rsid w:val="00C844A8"/>
    <w:rsid w:val="00C85F25"/>
    <w:rsid w:val="00C87CBB"/>
    <w:rsid w:val="00CA54E3"/>
    <w:rsid w:val="00CD07AF"/>
    <w:rsid w:val="00CD3B65"/>
    <w:rsid w:val="00CE1A37"/>
    <w:rsid w:val="00CE3E3B"/>
    <w:rsid w:val="00CF0E35"/>
    <w:rsid w:val="00D301F0"/>
    <w:rsid w:val="00D30417"/>
    <w:rsid w:val="00D34849"/>
    <w:rsid w:val="00D34E5B"/>
    <w:rsid w:val="00D4367E"/>
    <w:rsid w:val="00D71D24"/>
    <w:rsid w:val="00D87077"/>
    <w:rsid w:val="00D87E88"/>
    <w:rsid w:val="00D931C6"/>
    <w:rsid w:val="00D9403D"/>
    <w:rsid w:val="00DA7A72"/>
    <w:rsid w:val="00DB372B"/>
    <w:rsid w:val="00DB45FF"/>
    <w:rsid w:val="00DB6B6C"/>
    <w:rsid w:val="00DC1D50"/>
    <w:rsid w:val="00DE2E83"/>
    <w:rsid w:val="00DF2686"/>
    <w:rsid w:val="00DF2953"/>
    <w:rsid w:val="00DF303D"/>
    <w:rsid w:val="00DF418F"/>
    <w:rsid w:val="00E03FB9"/>
    <w:rsid w:val="00E0453B"/>
    <w:rsid w:val="00E36B69"/>
    <w:rsid w:val="00E46559"/>
    <w:rsid w:val="00E47387"/>
    <w:rsid w:val="00E529BF"/>
    <w:rsid w:val="00E75A01"/>
    <w:rsid w:val="00E81477"/>
    <w:rsid w:val="00E827E5"/>
    <w:rsid w:val="00E82E61"/>
    <w:rsid w:val="00E97ECC"/>
    <w:rsid w:val="00EA483C"/>
    <w:rsid w:val="00EB12FC"/>
    <w:rsid w:val="00EB479B"/>
    <w:rsid w:val="00EB768E"/>
    <w:rsid w:val="00EC16CA"/>
    <w:rsid w:val="00EC2E9F"/>
    <w:rsid w:val="00EC587E"/>
    <w:rsid w:val="00EE0AD6"/>
    <w:rsid w:val="00EE237F"/>
    <w:rsid w:val="00EE2681"/>
    <w:rsid w:val="00EE778C"/>
    <w:rsid w:val="00F0161A"/>
    <w:rsid w:val="00F11F5E"/>
    <w:rsid w:val="00F309DD"/>
    <w:rsid w:val="00F42ACF"/>
    <w:rsid w:val="00F642D5"/>
    <w:rsid w:val="00F64556"/>
    <w:rsid w:val="00F671EE"/>
    <w:rsid w:val="00F7726B"/>
    <w:rsid w:val="00F913D8"/>
    <w:rsid w:val="00F91974"/>
    <w:rsid w:val="00FA1D32"/>
    <w:rsid w:val="00FC6629"/>
    <w:rsid w:val="00FD2D1A"/>
    <w:rsid w:val="00FE24B1"/>
    <w:rsid w:val="00FE4EA1"/>
    <w:rsid w:val="00FE7B04"/>
    <w:rsid w:val="14ED7035"/>
    <w:rsid w:val="5B7A28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3DA54"/>
  <w14:defaultImageDpi w14:val="32767"/>
  <w15:docId w15:val="{EF6A2888-3CAA-4A7E-82E7-2A5821B6F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0F6D"/>
    <w:pPr>
      <w:widowControl w:val="0"/>
      <w:spacing w:line="120" w:lineRule="auto"/>
      <w:jc w:val="both"/>
    </w:pPr>
    <w:rPr>
      <w:rFonts w:ascii="Times New Roman" w:eastAsiaTheme="minorHAnsi" w:hAnsi="Times New Roman" w:cs="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pPr>
      <w:jc w:val="left"/>
    </w:pPr>
  </w:style>
  <w:style w:type="paragraph" w:styleId="a5">
    <w:name w:val="Balloon Text"/>
    <w:basedOn w:val="a"/>
    <w:link w:val="a6"/>
    <w:autoRedefine/>
    <w:uiPriority w:val="99"/>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jc w:val="left"/>
    </w:pPr>
    <w:rPr>
      <w:sz w:val="18"/>
      <w:szCs w:val="18"/>
    </w:rPr>
  </w:style>
  <w:style w:type="paragraph" w:styleId="a9">
    <w:name w:val="header"/>
    <w:basedOn w:val="a"/>
    <w:link w:val="a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autoRedefine/>
    <w:uiPriority w:val="99"/>
    <w:unhideWhenUsed/>
    <w:qFormat/>
    <w:rsid w:val="00B138BC"/>
    <w:pPr>
      <w:widowControl/>
      <w:spacing w:before="100" w:beforeAutospacing="1" w:after="100" w:afterAutospacing="1" w:line="240" w:lineRule="auto"/>
    </w:pPr>
    <w:rPr>
      <w:rFonts w:eastAsia="宋体"/>
      <w:kern w:val="0"/>
    </w:rPr>
  </w:style>
  <w:style w:type="paragraph" w:styleId="ac">
    <w:name w:val="annotation subject"/>
    <w:basedOn w:val="a3"/>
    <w:next w:val="a3"/>
    <w:link w:val="ad"/>
    <w:autoRedefine/>
    <w:uiPriority w:val="99"/>
    <w:semiHidden/>
    <w:unhideWhenUsed/>
    <w:qFormat/>
    <w:rPr>
      <w:b/>
      <w:bCs/>
    </w:rPr>
  </w:style>
  <w:style w:type="character" w:styleId="ae">
    <w:name w:val="Hyperlink"/>
    <w:autoRedefine/>
    <w:uiPriority w:val="99"/>
    <w:qFormat/>
    <w:rPr>
      <w:color w:val="0563C1"/>
      <w:u w:val="single"/>
    </w:rPr>
  </w:style>
  <w:style w:type="character" w:styleId="af">
    <w:name w:val="annotation reference"/>
    <w:basedOn w:val="a0"/>
    <w:autoRedefine/>
    <w:uiPriority w:val="99"/>
    <w:semiHidden/>
    <w:unhideWhenUsed/>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autoRedefine/>
    <w:uiPriority w:val="99"/>
    <w:semiHidden/>
    <w:qFormat/>
    <w:rPr>
      <w:sz w:val="18"/>
      <w:szCs w:val="18"/>
    </w:rPr>
  </w:style>
  <w:style w:type="paragraph" w:styleId="af0">
    <w:name w:val="List Paragraph"/>
    <w:basedOn w:val="a"/>
    <w:autoRedefine/>
    <w:uiPriority w:val="34"/>
    <w:qFormat/>
    <w:pPr>
      <w:ind w:firstLineChars="200" w:firstLine="420"/>
    </w:pPr>
  </w:style>
  <w:style w:type="paragraph" w:customStyle="1" w:styleId="1">
    <w:name w:val="书目1"/>
    <w:basedOn w:val="a"/>
    <w:next w:val="a"/>
    <w:autoRedefine/>
    <w:uiPriority w:val="37"/>
    <w:unhideWhenUsed/>
    <w:qFormat/>
    <w:pPr>
      <w:tabs>
        <w:tab w:val="left" w:pos="384"/>
      </w:tabs>
      <w:ind w:left="384" w:hanging="384"/>
    </w:pPr>
  </w:style>
  <w:style w:type="character" w:styleId="af1">
    <w:name w:val="Placeholder Text"/>
    <w:basedOn w:val="a0"/>
    <w:autoRedefine/>
    <w:uiPriority w:val="99"/>
    <w:semiHidden/>
    <w:qFormat/>
    <w:rPr>
      <w:color w:val="808080"/>
    </w:rPr>
  </w:style>
  <w:style w:type="character" w:customStyle="1" w:styleId="katex-mathml">
    <w:name w:val="katex-mathml"/>
    <w:basedOn w:val="a0"/>
    <w:autoRedefine/>
    <w:qFormat/>
  </w:style>
  <w:style w:type="character" w:customStyle="1" w:styleId="mord">
    <w:name w:val="mord"/>
    <w:basedOn w:val="a0"/>
    <w:autoRedefine/>
  </w:style>
  <w:style w:type="character" w:customStyle="1" w:styleId="vlist-s">
    <w:name w:val="vlist-s"/>
    <w:basedOn w:val="a0"/>
    <w:autoRedefine/>
    <w:qFormat/>
  </w:style>
  <w:style w:type="character" w:customStyle="1" w:styleId="a4">
    <w:name w:val="批注文字 字符"/>
    <w:basedOn w:val="a0"/>
    <w:link w:val="a3"/>
    <w:autoRedefine/>
    <w:uiPriority w:val="99"/>
    <w:qFormat/>
  </w:style>
  <w:style w:type="character" w:customStyle="1" w:styleId="ad">
    <w:name w:val="批注主题 字符"/>
    <w:basedOn w:val="a4"/>
    <w:link w:val="ac"/>
    <w:autoRedefine/>
    <w:uiPriority w:val="99"/>
    <w:semiHidden/>
    <w:qFormat/>
    <w:rPr>
      <w:b/>
      <w:bCs/>
    </w:rPr>
  </w:style>
  <w:style w:type="paragraph" w:styleId="af2">
    <w:name w:val="Bibliography"/>
    <w:basedOn w:val="a"/>
    <w:next w:val="a"/>
    <w:link w:val="af3"/>
    <w:uiPriority w:val="37"/>
    <w:unhideWhenUsed/>
    <w:rsid w:val="00992236"/>
    <w:pPr>
      <w:tabs>
        <w:tab w:val="left" w:pos="384"/>
      </w:tabs>
      <w:spacing w:line="240" w:lineRule="auto"/>
    </w:pPr>
  </w:style>
  <w:style w:type="paragraph" w:customStyle="1" w:styleId="af4">
    <w:name w:val="参考文献"/>
    <w:basedOn w:val="af2"/>
    <w:link w:val="af5"/>
    <w:qFormat/>
    <w:rsid w:val="009C0AD5"/>
    <w:pPr>
      <w:tabs>
        <w:tab w:val="clear" w:pos="384"/>
        <w:tab w:val="left" w:pos="0"/>
      </w:tabs>
      <w:ind w:leftChars="100" w:left="100" w:rightChars="100" w:right="100"/>
    </w:pPr>
  </w:style>
  <w:style w:type="character" w:customStyle="1" w:styleId="af3">
    <w:name w:val="书目 字符"/>
    <w:basedOn w:val="a0"/>
    <w:link w:val="af2"/>
    <w:uiPriority w:val="37"/>
    <w:rsid w:val="00992236"/>
    <w:rPr>
      <w:rFonts w:ascii="Times New Roman" w:eastAsiaTheme="minorHAnsi" w:hAnsi="Times New Roman" w:cs="Times New Roman"/>
      <w:kern w:val="2"/>
      <w:sz w:val="24"/>
      <w:szCs w:val="24"/>
    </w:rPr>
  </w:style>
  <w:style w:type="character" w:customStyle="1" w:styleId="af5">
    <w:name w:val="参考文献 字符"/>
    <w:basedOn w:val="af3"/>
    <w:link w:val="af4"/>
    <w:rsid w:val="009C0AD5"/>
    <w:rPr>
      <w:rFonts w:ascii="Times New Roman" w:eastAsiaTheme="minorHAnsi" w:hAnsi="Times New Roman" w:cs="Times New Roman"/>
      <w:kern w:val="2"/>
      <w:sz w:val="24"/>
      <w:szCs w:val="24"/>
    </w:rPr>
  </w:style>
  <w:style w:type="paragraph" w:styleId="TOC1">
    <w:name w:val="toc 1"/>
    <w:basedOn w:val="a"/>
    <w:next w:val="a"/>
    <w:autoRedefine/>
    <w:uiPriority w:val="39"/>
    <w:semiHidden/>
    <w:unhideWhenUsed/>
    <w:rsid w:val="00BC5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18560">
      <w:bodyDiv w:val="1"/>
      <w:marLeft w:val="0"/>
      <w:marRight w:val="0"/>
      <w:marTop w:val="0"/>
      <w:marBottom w:val="0"/>
      <w:divBdr>
        <w:top w:val="none" w:sz="0" w:space="0" w:color="auto"/>
        <w:left w:val="none" w:sz="0" w:space="0" w:color="auto"/>
        <w:bottom w:val="none" w:sz="0" w:space="0" w:color="auto"/>
        <w:right w:val="none" w:sz="0" w:space="0" w:color="auto"/>
      </w:divBdr>
    </w:div>
    <w:div w:id="1623070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ngwang@zju.edu.c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hanzk@zju.edu.cn"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7BE1F-9225-4895-B60F-12C55FCC4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8</Pages>
  <Words>3336</Words>
  <Characters>19020</Characters>
  <Application>Microsoft Office Word</Application>
  <DocSecurity>0</DocSecurity>
  <Lines>158</Lines>
  <Paragraphs>44</Paragraphs>
  <ScaleCrop>false</ScaleCrop>
  <Company/>
  <LinksUpToDate>false</LinksUpToDate>
  <CharactersWithSpaces>22312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ChampionStar</dc:creator>
  <cp:lastModifiedBy>仲康 韩</cp:lastModifiedBy>
  <cp:revision>81</cp:revision>
  <dcterms:created xsi:type="dcterms:W3CDTF">2021-01-13T14:47:00Z</dcterms:created>
  <dcterms:modified xsi:type="dcterms:W3CDTF">2024-12-15T03:23:00Z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zotero-version="7.0.9"&gt;&lt;session id="hP1cZCtL"/&gt;&lt;style id="http://www.zotero.org/styles/nature-materials" hasBibliography="1" bibliographyStyleHasBeenSet="1"/&gt;&lt;prefs&gt;&lt;pref name="fieldType" value="Field"/&gt;&lt;/prefs&gt;&lt;/data&gt;</vt:lpwstr>
  </property>
  <property fmtid="{D5CDD505-2E9C-101B-9397-08002B2CF9AE}" pid="3" name="KSOProductBuildVer">
    <vt:lpwstr>2052-12.1.0.16388</vt:lpwstr>
  </property>
  <property fmtid="{D5CDD505-2E9C-101B-9397-08002B2CF9AE}" pid="4" name="ICV">
    <vt:lpwstr>1FBAF450474C49A28CFC2DA51085687E_12</vt:lpwstr>
  </property>
</Properties>
</file>