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917" w:rsidRDefault="00E52917" w:rsidP="0069729E">
      <w:pPr>
        <w:rPr>
          <w:rFonts w:ascii="Times New Roman" w:hAnsi="Times New Roman" w:cs="Times New Roman"/>
          <w:b/>
          <w:sz w:val="24"/>
          <w:szCs w:val="24"/>
        </w:rPr>
      </w:pPr>
    </w:p>
    <w:p w:rsidR="0051190F" w:rsidRPr="00D67C9D" w:rsidRDefault="00C856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Supplemental T</w:t>
      </w:r>
      <w:r w:rsidR="00D86D50" w:rsidRPr="00765EAD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D86D50" w:rsidRPr="00765EAD">
        <w:rPr>
          <w:rFonts w:ascii="Times New Roman" w:hAnsi="Times New Roman" w:cs="Times New Roman"/>
          <w:b/>
          <w:sz w:val="24"/>
          <w:szCs w:val="24"/>
        </w:rPr>
        <w:t>.</w:t>
      </w:r>
      <w:r w:rsidR="00D86D50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75FBA" w:rsidRPr="00D67C9D">
        <w:rPr>
          <w:rFonts w:ascii="Times New Roman" w:hAnsi="Times New Roman" w:cs="Times New Roman" w:hint="eastAsia"/>
          <w:sz w:val="24"/>
          <w:szCs w:val="24"/>
        </w:rPr>
        <w:t xml:space="preserve">Safety </w:t>
      </w:r>
      <w:r w:rsidR="00A32C36" w:rsidRPr="00D67C9D">
        <w:rPr>
          <w:rFonts w:ascii="Times New Roman" w:hAnsi="Times New Roman" w:cs="Times New Roman" w:hint="eastAsia"/>
          <w:sz w:val="24"/>
          <w:szCs w:val="24"/>
        </w:rPr>
        <w:t xml:space="preserve">profile </w:t>
      </w:r>
      <w:r w:rsidR="008F330B" w:rsidRPr="00D67C9D">
        <w:rPr>
          <w:rFonts w:ascii="Times New Roman" w:hAnsi="Times New Roman" w:cs="Times New Roman" w:hint="eastAsia"/>
          <w:sz w:val="24"/>
          <w:szCs w:val="24"/>
        </w:rPr>
        <w:t xml:space="preserve">of prospective </w:t>
      </w:r>
      <w:proofErr w:type="spellStart"/>
      <w:r w:rsidR="008F330B" w:rsidRPr="00D67C9D">
        <w:rPr>
          <w:rFonts w:ascii="Times New Roman" w:hAnsi="Times New Roman" w:cs="Times New Roman" w:hint="eastAsia"/>
          <w:sz w:val="24"/>
          <w:szCs w:val="24"/>
        </w:rPr>
        <w:t>chemoradiotherapy</w:t>
      </w:r>
      <w:proofErr w:type="spellEnd"/>
      <w:r w:rsidR="008F330B" w:rsidRPr="00D67C9D">
        <w:rPr>
          <w:rFonts w:ascii="Times New Roman" w:hAnsi="Times New Roman" w:cs="Times New Roman" w:hint="eastAsia"/>
          <w:sz w:val="24"/>
          <w:szCs w:val="24"/>
        </w:rPr>
        <w:t xml:space="preserve"> trials for </w:t>
      </w:r>
      <w:proofErr w:type="spellStart"/>
      <w:r w:rsidR="008F330B" w:rsidRPr="00D67C9D">
        <w:rPr>
          <w:rFonts w:ascii="Times New Roman" w:hAnsi="Times New Roman" w:cs="Times New Roman" w:hint="eastAsia"/>
          <w:sz w:val="24"/>
          <w:szCs w:val="24"/>
        </w:rPr>
        <w:t>unresectable</w:t>
      </w:r>
      <w:proofErr w:type="spellEnd"/>
      <w:r w:rsidR="008F330B" w:rsidRPr="00D67C9D">
        <w:rPr>
          <w:rFonts w:ascii="Times New Roman" w:hAnsi="Times New Roman" w:cs="Times New Roman" w:hint="eastAsia"/>
          <w:sz w:val="24"/>
          <w:szCs w:val="24"/>
        </w:rPr>
        <w:t xml:space="preserve"> local</w:t>
      </w:r>
      <w:r w:rsidR="00F7795F">
        <w:rPr>
          <w:rFonts w:ascii="Times New Roman" w:hAnsi="Times New Roman" w:cs="Times New Roman" w:hint="eastAsia"/>
          <w:sz w:val="24"/>
          <w:szCs w:val="24"/>
        </w:rPr>
        <w:t>l</w:t>
      </w:r>
      <w:r w:rsidR="008F330B" w:rsidRPr="00D67C9D">
        <w:rPr>
          <w:rFonts w:ascii="Times New Roman" w:hAnsi="Times New Roman" w:cs="Times New Roman" w:hint="eastAsia"/>
          <w:sz w:val="24"/>
          <w:szCs w:val="24"/>
        </w:rPr>
        <w:t>y advanced NSCLC</w:t>
      </w:r>
      <w:r w:rsidR="00F7795F">
        <w:rPr>
          <w:rFonts w:ascii="Times New Roman" w:hAnsi="Times New Roman" w:cs="Times New Roman" w:hint="eastAsia"/>
          <w:sz w:val="24"/>
          <w:szCs w:val="24"/>
        </w:rPr>
        <w:t>.</w:t>
      </w:r>
    </w:p>
    <w:p w:rsidR="008F330B" w:rsidRDefault="008F330B"/>
    <w:tbl>
      <w:tblPr>
        <w:tblW w:w="1072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59"/>
        <w:gridCol w:w="1082"/>
        <w:gridCol w:w="1083"/>
        <w:gridCol w:w="1083"/>
        <w:gridCol w:w="1083"/>
        <w:gridCol w:w="1083"/>
        <w:gridCol w:w="1019"/>
        <w:gridCol w:w="1147"/>
        <w:gridCol w:w="1083"/>
      </w:tblGrid>
      <w:tr w:rsidR="00334EFE" w:rsidRPr="00E52917" w:rsidTr="00334EFE">
        <w:trPr>
          <w:trHeight w:val="555"/>
        </w:trPr>
        <w:tc>
          <w:tcPr>
            <w:tcW w:w="20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>Chemotherapy</w:t>
            </w:r>
          </w:p>
          <w:p w:rsidR="00334EFE" w:rsidRPr="00E52917" w:rsidRDefault="00334EFE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>regimen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334EFE" w:rsidRPr="00E52917" w:rsidRDefault="00334EFE" w:rsidP="00334EF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CBDCA + nab-PTX </w:t>
            </w:r>
          </w:p>
          <w:p w:rsidR="00334EFE" w:rsidRPr="00E52917" w:rsidRDefault="00334EFE" w:rsidP="00334EFE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>(This study, N = 17</w:t>
            </w: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>）</w:t>
            </w:r>
          </w:p>
        </w:tc>
        <w:tc>
          <w:tcPr>
            <w:tcW w:w="216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hideMark/>
          </w:tcPr>
          <w:p w:rsidR="00334EFE" w:rsidRPr="00E52917" w:rsidRDefault="00334EFE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CBDCA </w:t>
            </w:r>
          </w:p>
          <w:p w:rsidR="00334EFE" w:rsidRPr="00E52917" w:rsidRDefault="00334EFE" w:rsidP="004F086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A</w:t>
            </w:r>
            <w:r w:rsidR="004F086A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tagi</w:t>
            </w: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, N = 96) </w:t>
            </w:r>
          </w:p>
        </w:tc>
        <w:tc>
          <w:tcPr>
            <w:tcW w:w="210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334EFE" w:rsidRPr="00E52917" w:rsidRDefault="00334EFE" w:rsidP="00D86D50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>CBDCA + S-1</w:t>
            </w:r>
          </w:p>
          <w:p w:rsidR="00334EFE" w:rsidRPr="00E52917" w:rsidRDefault="00334EFE" w:rsidP="004F086A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>(</w:t>
            </w:r>
            <w:proofErr w:type="spellStart"/>
            <w:r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Niho</w:t>
            </w:r>
            <w:proofErr w:type="spellEnd"/>
            <w:r w:rsidR="004F086A"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,</w:t>
            </w:r>
            <w:r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 xml:space="preserve"> </w:t>
            </w: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>N = 28)</w:t>
            </w:r>
          </w:p>
        </w:tc>
        <w:tc>
          <w:tcPr>
            <w:tcW w:w="223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hideMark/>
          </w:tcPr>
          <w:p w:rsidR="00334EFE" w:rsidRPr="00E52917" w:rsidRDefault="00334EFE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CBDCA + nab-PTX </w:t>
            </w:r>
          </w:p>
          <w:p w:rsidR="00334EFE" w:rsidRPr="00E52917" w:rsidRDefault="00334EFE" w:rsidP="004F086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Kawano</w:t>
            </w:r>
            <w:r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, N = </w:t>
            </w:r>
            <w:r>
              <w:rPr>
                <w:rFonts w:ascii="Times New Roman" w:hAnsi="Times New Roman" w:cs="Times New Roman" w:hint="eastAsia"/>
                <w:bCs/>
                <w:kern w:val="0"/>
                <w:sz w:val="22"/>
              </w:rPr>
              <w:t>56</w:t>
            </w:r>
            <w:r w:rsidRPr="00E52917">
              <w:rPr>
                <w:rFonts w:ascii="Times New Roman" w:hAnsi="Times New Roman" w:cs="Times New Roman"/>
                <w:bCs/>
                <w:kern w:val="0"/>
                <w:sz w:val="22"/>
              </w:rPr>
              <w:t>）</w:t>
            </w:r>
          </w:p>
        </w:tc>
      </w:tr>
      <w:tr w:rsidR="00334EFE" w:rsidRPr="00E52917" w:rsidTr="00334EFE">
        <w:trPr>
          <w:trHeight w:val="314"/>
        </w:trPr>
        <w:tc>
          <w:tcPr>
            <w:tcW w:w="2059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hideMark/>
          </w:tcPr>
          <w:p w:rsidR="00334EFE" w:rsidRPr="00E52917" w:rsidRDefault="00334EFE" w:rsidP="004F086A">
            <w:pPr>
              <w:widowControl/>
              <w:spacing w:line="314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Age, Median (range), years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</w:tcBorders>
          </w:tcPr>
          <w:p w:rsidR="00334EFE" w:rsidRPr="00E52917" w:rsidRDefault="00334EFE" w:rsidP="00D86D50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81 (75-86)</w:t>
            </w:r>
          </w:p>
        </w:tc>
        <w:tc>
          <w:tcPr>
            <w:tcW w:w="2166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hideMark/>
          </w:tcPr>
          <w:p w:rsidR="00334EFE" w:rsidRPr="00E52917" w:rsidRDefault="00334EFE" w:rsidP="00D86D50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 xml:space="preserve">77 (71-89) </w:t>
            </w:r>
          </w:p>
        </w:tc>
        <w:tc>
          <w:tcPr>
            <w:tcW w:w="2102" w:type="dxa"/>
            <w:gridSpan w:val="2"/>
            <w:tcBorders>
              <w:top w:val="single" w:sz="8" w:space="0" w:color="auto"/>
            </w:tcBorders>
          </w:tcPr>
          <w:p w:rsidR="00334EFE" w:rsidRPr="00E52917" w:rsidRDefault="00334EFE" w:rsidP="00D86D50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76.5 (71-83)</w:t>
            </w:r>
          </w:p>
        </w:tc>
        <w:tc>
          <w:tcPr>
            <w:tcW w:w="2230" w:type="dxa"/>
            <w:gridSpan w:val="2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hideMark/>
          </w:tcPr>
          <w:p w:rsidR="00334EFE" w:rsidRPr="00E52917" w:rsidRDefault="00334EFE" w:rsidP="00334EFE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66</w:t>
            </w: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45-74</w:t>
            </w: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)</w:t>
            </w:r>
          </w:p>
        </w:tc>
      </w:tr>
      <w:tr w:rsidR="00334EFE" w:rsidRPr="00E52917" w:rsidTr="00334EFE">
        <w:trPr>
          <w:trHeight w:val="335"/>
        </w:trPr>
        <w:tc>
          <w:tcPr>
            <w:tcW w:w="2059" w:type="dxa"/>
            <w:vMerge w:val="restart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</w:tcPr>
          <w:p w:rsidR="00334EFE" w:rsidRPr="00E52917" w:rsidRDefault="00334EFE" w:rsidP="00DC300B">
            <w:pPr>
              <w:spacing w:line="314" w:lineRule="atLeast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Adverse events</w:t>
            </w:r>
          </w:p>
        </w:tc>
        <w:tc>
          <w:tcPr>
            <w:tcW w:w="2165" w:type="dxa"/>
            <w:gridSpan w:val="2"/>
          </w:tcPr>
          <w:p w:rsidR="00334EFE" w:rsidRPr="00E52917" w:rsidRDefault="00334EFE" w:rsidP="00E52917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Grade</w:t>
            </w:r>
          </w:p>
        </w:tc>
        <w:tc>
          <w:tcPr>
            <w:tcW w:w="2166" w:type="dxa"/>
            <w:gridSpan w:val="2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</w:tcPr>
          <w:p w:rsidR="00334EFE" w:rsidRPr="00E52917" w:rsidRDefault="00334EFE" w:rsidP="00E52917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Grade</w:t>
            </w:r>
          </w:p>
        </w:tc>
        <w:tc>
          <w:tcPr>
            <w:tcW w:w="2102" w:type="dxa"/>
            <w:gridSpan w:val="2"/>
          </w:tcPr>
          <w:p w:rsidR="00334EFE" w:rsidRPr="00E52917" w:rsidRDefault="00334EFE" w:rsidP="00E52917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Grade</w:t>
            </w:r>
          </w:p>
        </w:tc>
        <w:tc>
          <w:tcPr>
            <w:tcW w:w="2230" w:type="dxa"/>
            <w:gridSpan w:val="2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</w:tcPr>
          <w:p w:rsidR="00334EFE" w:rsidRPr="00E52917" w:rsidRDefault="00334EFE" w:rsidP="00E52917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Grade</w:t>
            </w:r>
          </w:p>
        </w:tc>
      </w:tr>
      <w:tr w:rsidR="00334EFE" w:rsidRPr="00E52917" w:rsidTr="00334EFE">
        <w:trPr>
          <w:trHeight w:val="335"/>
        </w:trPr>
        <w:tc>
          <w:tcPr>
            <w:tcW w:w="2059" w:type="dxa"/>
            <w:vMerge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hideMark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082" w:type="dxa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Any (%)</w:t>
            </w:r>
          </w:p>
        </w:tc>
        <w:tc>
          <w:tcPr>
            <w:tcW w:w="1083" w:type="dxa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ＭＳ 明朝" w:eastAsia="ＭＳ 明朝" w:hAnsi="ＭＳ 明朝" w:cs="ＭＳ 明朝" w:hint="eastAsia"/>
                <w:color w:val="000000" w:themeColor="dark1"/>
                <w:kern w:val="0"/>
                <w:sz w:val="22"/>
              </w:rPr>
              <w:t>≧</w:t>
            </w: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 xml:space="preserve"> 3 (%)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Any (%)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ＭＳ 明朝" w:eastAsia="ＭＳ 明朝" w:hAnsi="ＭＳ 明朝" w:cs="ＭＳ 明朝" w:hint="eastAsia"/>
                <w:color w:val="000000" w:themeColor="dark1"/>
                <w:kern w:val="0"/>
                <w:sz w:val="22"/>
              </w:rPr>
              <w:t>≧</w:t>
            </w: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 xml:space="preserve"> 3 (%)</w:t>
            </w:r>
          </w:p>
        </w:tc>
        <w:tc>
          <w:tcPr>
            <w:tcW w:w="1083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Any (%)</w:t>
            </w:r>
          </w:p>
        </w:tc>
        <w:tc>
          <w:tcPr>
            <w:tcW w:w="1019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ＭＳ 明朝" w:eastAsia="ＭＳ 明朝" w:hAnsi="ＭＳ 明朝" w:cs="ＭＳ 明朝" w:hint="eastAsia"/>
                <w:color w:val="000000" w:themeColor="dark1"/>
                <w:kern w:val="0"/>
                <w:sz w:val="22"/>
              </w:rPr>
              <w:t>≧</w:t>
            </w: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 xml:space="preserve"> 3 (%)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Any (%)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ＭＳ 明朝" w:eastAsia="ＭＳ 明朝" w:hAnsi="ＭＳ 明朝" w:cs="ＭＳ 明朝" w:hint="eastAsia"/>
                <w:color w:val="000000" w:themeColor="dark1"/>
                <w:kern w:val="0"/>
                <w:sz w:val="22"/>
              </w:rPr>
              <w:t>≧</w:t>
            </w: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 xml:space="preserve"> 3 (%)</w:t>
            </w:r>
          </w:p>
        </w:tc>
      </w:tr>
      <w:tr w:rsidR="00334EFE" w:rsidRPr="00E52917" w:rsidTr="00334EFE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Neutropenia</w:t>
            </w:r>
          </w:p>
        </w:tc>
        <w:tc>
          <w:tcPr>
            <w:tcW w:w="1082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11 (65%)</w:t>
            </w:r>
          </w:p>
        </w:tc>
        <w:tc>
          <w:tcPr>
            <w:tcW w:w="1083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color w:val="000000" w:themeColor="dark1"/>
                <w:kern w:val="0"/>
                <w:sz w:val="22"/>
              </w:rPr>
              <w:t>4 (24%)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85 (89%)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color w:val="000000" w:themeColor="dark1"/>
                <w:kern w:val="0"/>
                <w:sz w:val="22"/>
              </w:rPr>
              <w:t>55 (57%)</w:t>
            </w:r>
          </w:p>
        </w:tc>
        <w:tc>
          <w:tcPr>
            <w:tcW w:w="1083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15 (54%)</w:t>
            </w:r>
          </w:p>
        </w:tc>
        <w:tc>
          <w:tcPr>
            <w:tcW w:w="1019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2 (7%)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334EFE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51</w:t>
            </w:r>
            <w:r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91%</w:t>
            </w: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dark1"/>
                <w:kern w:val="0"/>
                <w:sz w:val="22"/>
              </w:rPr>
              <w:t>16</w:t>
            </w:r>
            <w:r>
              <w:rPr>
                <w:rFonts w:ascii="Times New Roman" w:hAnsi="Times New Roman" w:cs="Times New Roman"/>
                <w:bCs/>
                <w:color w:val="000000" w:themeColor="dark1"/>
                <w:kern w:val="0"/>
                <w:sz w:val="22"/>
              </w:rPr>
              <w:t xml:space="preserve"> (2</w:t>
            </w:r>
            <w:r>
              <w:rPr>
                <w:rFonts w:ascii="Times New Roman" w:hAnsi="Times New Roman" w:cs="Times New Roman" w:hint="eastAsia"/>
                <w:bCs/>
                <w:color w:val="000000" w:themeColor="dark1"/>
                <w:kern w:val="0"/>
                <w:sz w:val="22"/>
              </w:rPr>
              <w:t>9</w:t>
            </w:r>
            <w:r w:rsidRPr="00E52917">
              <w:rPr>
                <w:rFonts w:ascii="Times New Roman" w:hAnsi="Times New Roman" w:cs="Times New Roman"/>
                <w:bCs/>
                <w:color w:val="000000" w:themeColor="dark1"/>
                <w:kern w:val="0"/>
                <w:sz w:val="22"/>
              </w:rPr>
              <w:t>%)</w:t>
            </w:r>
          </w:p>
        </w:tc>
      </w:tr>
      <w:tr w:rsidR="00334EFE" w:rsidRPr="00E52917" w:rsidTr="00334EFE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Thrombocytopenia</w:t>
            </w:r>
          </w:p>
        </w:tc>
        <w:tc>
          <w:tcPr>
            <w:tcW w:w="1082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10 (59%)</w:t>
            </w:r>
          </w:p>
        </w:tc>
        <w:tc>
          <w:tcPr>
            <w:tcW w:w="1083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color w:val="000000" w:themeColor="dark1"/>
                <w:kern w:val="0"/>
                <w:sz w:val="22"/>
              </w:rPr>
              <w:t>0 (0%)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69 (72%)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bCs/>
                <w:color w:val="000000" w:themeColor="dark1"/>
                <w:kern w:val="0"/>
                <w:sz w:val="22"/>
              </w:rPr>
              <w:t>28 (29%)</w:t>
            </w:r>
          </w:p>
        </w:tc>
        <w:tc>
          <w:tcPr>
            <w:tcW w:w="1083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27 (96%)</w:t>
            </w:r>
          </w:p>
        </w:tc>
        <w:tc>
          <w:tcPr>
            <w:tcW w:w="1019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1 (7%)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38</w:t>
            </w:r>
            <w:r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68</w:t>
            </w: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334EFE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dark1"/>
                <w:kern w:val="0"/>
                <w:sz w:val="22"/>
              </w:rPr>
              <w:t>1</w:t>
            </w:r>
            <w:r w:rsidRPr="00E52917">
              <w:rPr>
                <w:rFonts w:ascii="Times New Roman" w:hAnsi="Times New Roman" w:cs="Times New Roman"/>
                <w:bCs/>
                <w:color w:val="000000" w:themeColor="dark1"/>
                <w:kern w:val="0"/>
                <w:sz w:val="22"/>
              </w:rPr>
              <w:t xml:space="preserve"> (</w:t>
            </w:r>
            <w:r>
              <w:rPr>
                <w:rFonts w:ascii="Times New Roman" w:hAnsi="Times New Roman" w:cs="Times New Roman" w:hint="eastAsia"/>
                <w:bCs/>
                <w:color w:val="000000" w:themeColor="dark1"/>
                <w:kern w:val="0"/>
                <w:sz w:val="22"/>
              </w:rPr>
              <w:t>2</w:t>
            </w:r>
            <w:r w:rsidRPr="00E52917">
              <w:rPr>
                <w:rFonts w:ascii="Times New Roman" w:hAnsi="Times New Roman" w:cs="Times New Roman"/>
                <w:bCs/>
                <w:color w:val="000000" w:themeColor="dark1"/>
                <w:kern w:val="0"/>
                <w:sz w:val="22"/>
              </w:rPr>
              <w:t>%)</w:t>
            </w:r>
          </w:p>
        </w:tc>
      </w:tr>
      <w:tr w:rsidR="00334EFE" w:rsidRPr="00E52917" w:rsidTr="00334EFE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Anemia</w:t>
            </w:r>
          </w:p>
        </w:tc>
        <w:tc>
          <w:tcPr>
            <w:tcW w:w="1082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16 (94%)</w:t>
            </w:r>
          </w:p>
        </w:tc>
        <w:tc>
          <w:tcPr>
            <w:tcW w:w="1083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 (6%)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64 (67%)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5 (5%)</w:t>
            </w:r>
          </w:p>
        </w:tc>
        <w:tc>
          <w:tcPr>
            <w:tcW w:w="1083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26 (36%)</w:t>
            </w:r>
          </w:p>
        </w:tc>
        <w:tc>
          <w:tcPr>
            <w:tcW w:w="1019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6 (21%)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55</w:t>
            </w:r>
            <w:r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 xml:space="preserve"> (9</w:t>
            </w: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8</w:t>
            </w: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4</w:t>
            </w:r>
            <w:r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 xml:space="preserve"> (</w:t>
            </w:r>
            <w:r w:rsidR="004F086A"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7</w:t>
            </w: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%)</w:t>
            </w:r>
          </w:p>
        </w:tc>
      </w:tr>
      <w:tr w:rsidR="00334EFE" w:rsidRPr="00E52917" w:rsidTr="004F086A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Febrile neutropenia</w:t>
            </w:r>
          </w:p>
        </w:tc>
        <w:tc>
          <w:tcPr>
            <w:tcW w:w="1082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83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2 (2%)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2 (2%)</w:t>
            </w:r>
          </w:p>
        </w:tc>
        <w:tc>
          <w:tcPr>
            <w:tcW w:w="1083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19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1 (2%)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0</w:t>
            </w:r>
          </w:p>
        </w:tc>
      </w:tr>
      <w:tr w:rsidR="0043376B" w:rsidRPr="00E52917" w:rsidTr="00334EFE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3376B" w:rsidRPr="00E52917" w:rsidRDefault="0043376B" w:rsidP="00DC300B">
            <w:pPr>
              <w:widowControl/>
              <w:spacing w:line="314" w:lineRule="atLeast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Infection</w:t>
            </w:r>
          </w:p>
        </w:tc>
        <w:tc>
          <w:tcPr>
            <w:tcW w:w="1082" w:type="dxa"/>
            <w:vAlign w:val="center"/>
          </w:tcPr>
          <w:p w:rsidR="0043376B" w:rsidRDefault="0043376B" w:rsidP="00A32C36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2 (12%)</w:t>
            </w:r>
          </w:p>
        </w:tc>
        <w:tc>
          <w:tcPr>
            <w:tcW w:w="1083" w:type="dxa"/>
            <w:vAlign w:val="center"/>
          </w:tcPr>
          <w:p w:rsidR="0043376B" w:rsidRDefault="0043376B" w:rsidP="00A32C36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1 (6%)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3376B" w:rsidRPr="00E52917" w:rsidRDefault="0043376B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20 (21%)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3376B" w:rsidRPr="00E52917" w:rsidRDefault="0043376B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12 (13%)</w:t>
            </w:r>
          </w:p>
        </w:tc>
        <w:tc>
          <w:tcPr>
            <w:tcW w:w="1083" w:type="dxa"/>
          </w:tcPr>
          <w:p w:rsidR="0043376B" w:rsidRDefault="0043376B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-</w:t>
            </w:r>
          </w:p>
        </w:tc>
        <w:tc>
          <w:tcPr>
            <w:tcW w:w="1019" w:type="dxa"/>
          </w:tcPr>
          <w:p w:rsidR="0043376B" w:rsidRDefault="0043376B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-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3376B" w:rsidRDefault="0043376B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10 (18%)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3376B" w:rsidRDefault="0043376B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3 (5%)</w:t>
            </w:r>
          </w:p>
        </w:tc>
      </w:tr>
      <w:tr w:rsidR="00334EFE" w:rsidRPr="00E52917" w:rsidTr="00334EFE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Creatinine increased</w:t>
            </w:r>
          </w:p>
        </w:tc>
        <w:tc>
          <w:tcPr>
            <w:tcW w:w="1082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3 (18%)</w:t>
            </w:r>
          </w:p>
        </w:tc>
        <w:tc>
          <w:tcPr>
            <w:tcW w:w="1083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15 (16%)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</w:p>
        </w:tc>
        <w:tc>
          <w:tcPr>
            <w:tcW w:w="1083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8 (29%)</w:t>
            </w:r>
          </w:p>
        </w:tc>
        <w:tc>
          <w:tcPr>
            <w:tcW w:w="1019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-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-</w:t>
            </w:r>
          </w:p>
        </w:tc>
      </w:tr>
      <w:tr w:rsidR="00334EFE" w:rsidRPr="00E52917" w:rsidTr="004F086A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Fatigue</w:t>
            </w:r>
          </w:p>
        </w:tc>
        <w:tc>
          <w:tcPr>
            <w:tcW w:w="1082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7 (41%)</w:t>
            </w:r>
          </w:p>
        </w:tc>
        <w:tc>
          <w:tcPr>
            <w:tcW w:w="1083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37 (39%)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 (1%)</w:t>
            </w:r>
          </w:p>
        </w:tc>
        <w:tc>
          <w:tcPr>
            <w:tcW w:w="1083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9 (32%)</w:t>
            </w:r>
          </w:p>
        </w:tc>
        <w:tc>
          <w:tcPr>
            <w:tcW w:w="1019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2 (7%)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12 (21%)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1 (2%)</w:t>
            </w:r>
          </w:p>
        </w:tc>
      </w:tr>
      <w:tr w:rsidR="00334EFE" w:rsidRPr="00E52917" w:rsidTr="004F086A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Anorexia</w:t>
            </w:r>
          </w:p>
        </w:tc>
        <w:tc>
          <w:tcPr>
            <w:tcW w:w="1082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10 (59%)</w:t>
            </w:r>
          </w:p>
        </w:tc>
        <w:tc>
          <w:tcPr>
            <w:tcW w:w="1083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44 (46%)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2 (2%)</w:t>
            </w:r>
          </w:p>
        </w:tc>
        <w:tc>
          <w:tcPr>
            <w:tcW w:w="1083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13 (46%)</w:t>
            </w:r>
          </w:p>
        </w:tc>
        <w:tc>
          <w:tcPr>
            <w:tcW w:w="1019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23 (41%)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4 (7%)</w:t>
            </w:r>
          </w:p>
        </w:tc>
      </w:tr>
      <w:tr w:rsidR="00334EFE" w:rsidRPr="00E52917" w:rsidTr="00334EFE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Vomiting</w:t>
            </w:r>
          </w:p>
        </w:tc>
        <w:tc>
          <w:tcPr>
            <w:tcW w:w="1082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2 (12%)</w:t>
            </w:r>
          </w:p>
        </w:tc>
        <w:tc>
          <w:tcPr>
            <w:tcW w:w="1083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4 (4%)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83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4 (14%)</w:t>
            </w:r>
          </w:p>
        </w:tc>
        <w:tc>
          <w:tcPr>
            <w:tcW w:w="1019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8 (14%)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</w:tr>
      <w:tr w:rsidR="004F086A" w:rsidRPr="00E52917" w:rsidTr="00334EFE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F086A" w:rsidRPr="00E52917" w:rsidRDefault="004F086A" w:rsidP="00DC300B">
            <w:pPr>
              <w:widowControl/>
              <w:spacing w:line="314" w:lineRule="atLeast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Diarrhea</w:t>
            </w:r>
          </w:p>
        </w:tc>
        <w:tc>
          <w:tcPr>
            <w:tcW w:w="1082" w:type="dxa"/>
            <w:vAlign w:val="center"/>
          </w:tcPr>
          <w:p w:rsidR="004F086A" w:rsidRPr="00E52917" w:rsidRDefault="004F086A" w:rsidP="00A32C36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83" w:type="dxa"/>
            <w:vAlign w:val="center"/>
          </w:tcPr>
          <w:p w:rsidR="004F086A" w:rsidRPr="00E52917" w:rsidRDefault="004F086A" w:rsidP="00A32C36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F086A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-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F086A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-</w:t>
            </w:r>
          </w:p>
        </w:tc>
        <w:tc>
          <w:tcPr>
            <w:tcW w:w="1083" w:type="dxa"/>
          </w:tcPr>
          <w:p w:rsidR="004F086A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5 (18%)</w:t>
            </w:r>
          </w:p>
        </w:tc>
        <w:tc>
          <w:tcPr>
            <w:tcW w:w="1019" w:type="dxa"/>
          </w:tcPr>
          <w:p w:rsidR="004F086A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F086A" w:rsidRPr="00E52917" w:rsidRDefault="004F086A" w:rsidP="00A32C36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8 (14%)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F086A" w:rsidRPr="00E52917" w:rsidRDefault="004F086A" w:rsidP="00A32C36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0</w:t>
            </w:r>
          </w:p>
        </w:tc>
      </w:tr>
      <w:tr w:rsidR="00334EFE" w:rsidRPr="00E52917" w:rsidTr="004F086A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Peripheral sensory neuropathy</w:t>
            </w:r>
          </w:p>
        </w:tc>
        <w:tc>
          <w:tcPr>
            <w:tcW w:w="1082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 (6%)</w:t>
            </w:r>
          </w:p>
        </w:tc>
        <w:tc>
          <w:tcPr>
            <w:tcW w:w="1083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-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-</w:t>
            </w:r>
          </w:p>
        </w:tc>
        <w:tc>
          <w:tcPr>
            <w:tcW w:w="1083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-</w:t>
            </w:r>
          </w:p>
        </w:tc>
        <w:tc>
          <w:tcPr>
            <w:tcW w:w="1019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-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3 (5%)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0</w:t>
            </w:r>
          </w:p>
        </w:tc>
      </w:tr>
      <w:tr w:rsidR="00334EFE" w:rsidRPr="00E52917" w:rsidTr="004F086A">
        <w:trPr>
          <w:trHeight w:val="314"/>
        </w:trPr>
        <w:tc>
          <w:tcPr>
            <w:tcW w:w="2059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Esophagitis</w:t>
            </w:r>
          </w:p>
        </w:tc>
        <w:tc>
          <w:tcPr>
            <w:tcW w:w="1082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13 (76%)</w:t>
            </w:r>
          </w:p>
        </w:tc>
        <w:tc>
          <w:tcPr>
            <w:tcW w:w="1083" w:type="dxa"/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0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61 (64%)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 (1%)</w:t>
            </w:r>
          </w:p>
        </w:tc>
        <w:tc>
          <w:tcPr>
            <w:tcW w:w="1083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23 (81%)</w:t>
            </w:r>
          </w:p>
        </w:tc>
        <w:tc>
          <w:tcPr>
            <w:tcW w:w="1019" w:type="dxa"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1 (4%)</w:t>
            </w:r>
          </w:p>
        </w:tc>
        <w:tc>
          <w:tcPr>
            <w:tcW w:w="1147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51 (91%)</w:t>
            </w:r>
          </w:p>
        </w:tc>
        <w:tc>
          <w:tcPr>
            <w:tcW w:w="1083" w:type="dxa"/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4F086A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3 (5%)</w:t>
            </w:r>
          </w:p>
        </w:tc>
      </w:tr>
      <w:tr w:rsidR="00334EFE" w:rsidRPr="00E52917" w:rsidTr="004F086A">
        <w:trPr>
          <w:trHeight w:val="314"/>
        </w:trPr>
        <w:tc>
          <w:tcPr>
            <w:tcW w:w="2059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Pneumonitis</w:t>
            </w:r>
          </w:p>
        </w:tc>
        <w:tc>
          <w:tcPr>
            <w:tcW w:w="1082" w:type="dxa"/>
            <w:tcBorders>
              <w:bottom w:val="single" w:sz="8" w:space="0" w:color="auto"/>
            </w:tcBorders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17 (100%)</w:t>
            </w:r>
          </w:p>
        </w:tc>
        <w:tc>
          <w:tcPr>
            <w:tcW w:w="1083" w:type="dxa"/>
            <w:tcBorders>
              <w:bottom w:val="single" w:sz="8" w:space="0" w:color="auto"/>
            </w:tcBorders>
            <w:vAlign w:val="center"/>
          </w:tcPr>
          <w:p w:rsidR="00334EFE" w:rsidRPr="00E52917" w:rsidRDefault="00334EFE" w:rsidP="00A32C36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1 (6%)</w:t>
            </w:r>
          </w:p>
        </w:tc>
        <w:tc>
          <w:tcPr>
            <w:tcW w:w="1083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60 (63%)</w:t>
            </w:r>
          </w:p>
        </w:tc>
        <w:tc>
          <w:tcPr>
            <w:tcW w:w="1083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  <w:hideMark/>
          </w:tcPr>
          <w:p w:rsidR="00334EFE" w:rsidRPr="00E52917" w:rsidRDefault="00462307" w:rsidP="00DC300B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6 (6</w:t>
            </w:r>
            <w:r w:rsidR="00334EFE" w:rsidRPr="00E52917"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  <w:t>%)</w:t>
            </w:r>
          </w:p>
        </w:tc>
        <w:tc>
          <w:tcPr>
            <w:tcW w:w="1083" w:type="dxa"/>
            <w:tcBorders>
              <w:bottom w:val="single" w:sz="8" w:space="0" w:color="auto"/>
            </w:tcBorders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17 (61%)</w:t>
            </w:r>
          </w:p>
        </w:tc>
        <w:tc>
          <w:tcPr>
            <w:tcW w:w="1019" w:type="dxa"/>
            <w:tcBorders>
              <w:bottom w:val="single" w:sz="8" w:space="0" w:color="auto"/>
            </w:tcBorders>
          </w:tcPr>
          <w:p w:rsidR="00334EFE" w:rsidRPr="00E52917" w:rsidRDefault="00334EFE" w:rsidP="00DC300B">
            <w:pPr>
              <w:widowControl/>
              <w:spacing w:line="314" w:lineRule="atLeast"/>
              <w:jc w:val="center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dark1"/>
                <w:kern w:val="0"/>
                <w:sz w:val="22"/>
              </w:rPr>
              <w:t>5 (18%)</w:t>
            </w:r>
          </w:p>
        </w:tc>
        <w:tc>
          <w:tcPr>
            <w:tcW w:w="1147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F086A" w:rsidRPr="00E52917" w:rsidRDefault="004F086A" w:rsidP="004F086A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13 (23%)</w:t>
            </w:r>
          </w:p>
        </w:tc>
        <w:tc>
          <w:tcPr>
            <w:tcW w:w="1083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4F086A" w:rsidRPr="00E52917" w:rsidRDefault="004F086A" w:rsidP="004F086A">
            <w:pPr>
              <w:widowControl/>
              <w:spacing w:line="314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1 (2%)</w:t>
            </w:r>
          </w:p>
        </w:tc>
      </w:tr>
      <w:tr w:rsidR="00334EFE" w:rsidRPr="00E52917" w:rsidTr="00334EFE">
        <w:trPr>
          <w:trHeight w:val="314"/>
        </w:trPr>
        <w:tc>
          <w:tcPr>
            <w:tcW w:w="10722" w:type="dxa"/>
            <w:gridSpan w:val="9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28" w:type="dxa"/>
              <w:bottom w:w="72" w:type="dxa"/>
              <w:right w:w="128" w:type="dxa"/>
            </w:tcMar>
            <w:vAlign w:val="center"/>
          </w:tcPr>
          <w:p w:rsidR="00334EFE" w:rsidRPr="00E52917" w:rsidRDefault="000A2219" w:rsidP="000A2219">
            <w:pPr>
              <w:widowControl/>
              <w:spacing w:line="314" w:lineRule="atLeast"/>
              <w:jc w:val="left"/>
              <w:rPr>
                <w:rFonts w:ascii="Times New Roman" w:hAnsi="Times New Roman" w:cs="Times New Roman"/>
                <w:color w:val="000000" w:themeColor="dark1"/>
                <w:kern w:val="0"/>
                <w:sz w:val="22"/>
              </w:rPr>
            </w:pPr>
            <w:r w:rsidRPr="009117E3">
              <w:rPr>
                <w:rFonts w:ascii="Times New Roman" w:hAnsi="Times New Roman" w:cs="Times New Roman"/>
                <w:sz w:val="24"/>
                <w:szCs w:val="24"/>
              </w:rPr>
              <w:t>Abbreviation</w:t>
            </w:r>
            <w:r w:rsidRPr="009117E3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NSCLC, non-small cell lung cancer; CBDCA, carbop</w:t>
            </w:r>
            <w:r w:rsidR="00CC7035">
              <w:rPr>
                <w:rFonts w:ascii="Times New Roman" w:hAnsi="Times New Roman" w:cs="Times New Roman" w:hint="eastAsia"/>
                <w:sz w:val="24"/>
                <w:szCs w:val="24"/>
              </w:rPr>
              <w:t>latin; nab-PTX, nab-paclitaxel</w:t>
            </w:r>
            <w:bookmarkStart w:id="0" w:name="_GoBack"/>
            <w:bookmarkEnd w:id="0"/>
          </w:p>
        </w:tc>
      </w:tr>
    </w:tbl>
    <w:p w:rsidR="00BC0414" w:rsidRDefault="00BC0414"/>
    <w:p w:rsidR="00D86D50" w:rsidRDefault="00D86D50">
      <w:r>
        <w:br w:type="page"/>
      </w:r>
    </w:p>
    <w:p w:rsidR="00D86D50" w:rsidRDefault="00C856B2" w:rsidP="00D86D50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Supplemental</w:t>
      </w:r>
      <w:r w:rsidRPr="00765E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6D50" w:rsidRPr="00765EA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D86D50" w:rsidRPr="00765EA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D86D50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="00175FBA" w:rsidRPr="00D67C9D">
        <w:rPr>
          <w:rFonts w:ascii="Times New Roman" w:hAnsi="Times New Roman" w:cs="Times New Roman" w:hint="eastAsia"/>
          <w:sz w:val="24"/>
          <w:szCs w:val="24"/>
        </w:rPr>
        <w:t xml:space="preserve">Efficacy of prospective </w:t>
      </w:r>
      <w:proofErr w:type="spellStart"/>
      <w:r w:rsidR="00175FBA" w:rsidRPr="00D67C9D">
        <w:rPr>
          <w:rFonts w:ascii="Times New Roman" w:hAnsi="Times New Roman" w:cs="Times New Roman" w:hint="eastAsia"/>
          <w:sz w:val="24"/>
          <w:szCs w:val="24"/>
        </w:rPr>
        <w:t>chemoradiotherapy</w:t>
      </w:r>
      <w:proofErr w:type="spellEnd"/>
      <w:r w:rsidR="00175FBA" w:rsidRPr="00D67C9D">
        <w:rPr>
          <w:rFonts w:ascii="Times New Roman" w:hAnsi="Times New Roman" w:cs="Times New Roman" w:hint="eastAsia"/>
          <w:sz w:val="24"/>
          <w:szCs w:val="24"/>
        </w:rPr>
        <w:t xml:space="preserve"> trials for </w:t>
      </w:r>
      <w:proofErr w:type="spellStart"/>
      <w:r w:rsidR="00175FBA" w:rsidRPr="00D67C9D">
        <w:rPr>
          <w:rFonts w:ascii="Times New Roman" w:hAnsi="Times New Roman" w:cs="Times New Roman" w:hint="eastAsia"/>
          <w:sz w:val="24"/>
          <w:szCs w:val="24"/>
        </w:rPr>
        <w:t>unresectable</w:t>
      </w:r>
      <w:proofErr w:type="spellEnd"/>
      <w:r w:rsidR="00175FBA" w:rsidRPr="00D67C9D">
        <w:rPr>
          <w:rFonts w:ascii="Times New Roman" w:hAnsi="Times New Roman" w:cs="Times New Roman" w:hint="eastAsia"/>
          <w:sz w:val="24"/>
          <w:szCs w:val="24"/>
        </w:rPr>
        <w:t xml:space="preserve"> local</w:t>
      </w:r>
      <w:r w:rsidR="00F7795F">
        <w:rPr>
          <w:rFonts w:ascii="Times New Roman" w:hAnsi="Times New Roman" w:cs="Times New Roman" w:hint="eastAsia"/>
          <w:sz w:val="24"/>
          <w:szCs w:val="24"/>
        </w:rPr>
        <w:t>l</w:t>
      </w:r>
      <w:r w:rsidR="00175FBA" w:rsidRPr="00D67C9D">
        <w:rPr>
          <w:rFonts w:ascii="Times New Roman" w:hAnsi="Times New Roman" w:cs="Times New Roman" w:hint="eastAsia"/>
          <w:sz w:val="24"/>
          <w:szCs w:val="24"/>
        </w:rPr>
        <w:t>y advanced NSCLC</w:t>
      </w:r>
      <w:r w:rsidR="00F7795F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28734E" w:rsidRPr="00F7795F" w:rsidRDefault="0028734E" w:rsidP="00D86D50"/>
    <w:tbl>
      <w:tblPr>
        <w:tblW w:w="10444" w:type="dxa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64"/>
        <w:gridCol w:w="2118"/>
        <w:gridCol w:w="992"/>
        <w:gridCol w:w="992"/>
        <w:gridCol w:w="1134"/>
        <w:gridCol w:w="1134"/>
        <w:gridCol w:w="1134"/>
        <w:gridCol w:w="1276"/>
      </w:tblGrid>
      <w:tr w:rsidR="0028734E" w:rsidRPr="00E66DCD" w:rsidTr="00EA6F1E">
        <w:trPr>
          <w:trHeight w:val="619"/>
        </w:trPr>
        <w:tc>
          <w:tcPr>
            <w:tcW w:w="166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Author</w:t>
            </w:r>
          </w:p>
        </w:tc>
        <w:tc>
          <w:tcPr>
            <w:tcW w:w="211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Chemotherapy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Patients</w:t>
            </w:r>
          </w:p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number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(years)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Response rate (%)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PFS</w:t>
            </w:r>
          </w:p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(months)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OS</w:t>
            </w:r>
          </w:p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(months)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2-year OS</w:t>
            </w:r>
          </w:p>
          <w:p w:rsidR="00D86D50" w:rsidRPr="00E66DCD" w:rsidRDefault="00D86D50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(%)</w:t>
            </w:r>
          </w:p>
        </w:tc>
      </w:tr>
      <w:tr w:rsidR="00175FBA" w:rsidRPr="00E66DCD" w:rsidTr="00EA6F1E">
        <w:trPr>
          <w:trHeight w:val="619"/>
        </w:trPr>
        <w:tc>
          <w:tcPr>
            <w:tcW w:w="1664" w:type="dxa"/>
            <w:tcBorders>
              <w:top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  <w:tc>
          <w:tcPr>
            <w:tcW w:w="2118" w:type="dxa"/>
            <w:tcBorders>
              <w:top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CBDCA AUC 2</w:t>
            </w:r>
          </w:p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nab-PTX 30 mg/m</w:t>
            </w:r>
            <w:r w:rsidRPr="00E66DCD">
              <w:rPr>
                <w:rFonts w:ascii="Times New Roman" w:hAnsi="Times New Roman" w:cs="Times New Roman"/>
                <w:position w:val="7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≥ 75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76.5%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bCs/>
                <w:sz w:val="24"/>
                <w:szCs w:val="24"/>
              </w:rPr>
              <w:t>13.4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5FBA" w:rsidRPr="00E66DCD" w:rsidTr="00E66DCD">
        <w:trPr>
          <w:trHeight w:val="655"/>
        </w:trPr>
        <w:tc>
          <w:tcPr>
            <w:tcW w:w="166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175FBA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Atagi S</w:t>
            </w:r>
          </w:p>
        </w:tc>
        <w:tc>
          <w:tcPr>
            <w:tcW w:w="2118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CBDCA 30 mg/m</w:t>
            </w:r>
            <w:r w:rsidRPr="00E66DCD">
              <w:rPr>
                <w:rFonts w:ascii="Times New Roman" w:hAnsi="Times New Roman" w:cs="Times New Roman"/>
                <w:position w:val="7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92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≥ 71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51.5%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22.4</w:t>
            </w:r>
          </w:p>
        </w:tc>
        <w:tc>
          <w:tcPr>
            <w:tcW w:w="1276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46.3%</w:t>
            </w:r>
          </w:p>
        </w:tc>
      </w:tr>
      <w:tr w:rsidR="00175FBA" w:rsidRPr="00E66DCD" w:rsidTr="00E66DCD">
        <w:trPr>
          <w:trHeight w:val="655"/>
        </w:trPr>
        <w:tc>
          <w:tcPr>
            <w:tcW w:w="166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Niho</w:t>
            </w:r>
            <w:proofErr w:type="spellEnd"/>
            <w:r w:rsidRPr="00E66DCD"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 w:rsidRPr="00E66DCD">
              <w:rPr>
                <w:rFonts w:ascii="Times New Roman" w:hAnsi="Times New Roman" w:cs="Times New Roman"/>
                <w:position w:val="7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118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CBDCA AUC 3</w:t>
            </w:r>
          </w:p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S-1 80 mg/m</w:t>
            </w:r>
            <w:r w:rsidRPr="00E66DCD">
              <w:rPr>
                <w:rFonts w:ascii="Times New Roman" w:hAnsi="Times New Roman" w:cs="Times New Roman"/>
                <w:position w:val="7"/>
                <w:sz w:val="24"/>
                <w:szCs w:val="24"/>
                <w:vertAlign w:val="superscript"/>
              </w:rPr>
              <w:t>2</w:t>
            </w: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 xml:space="preserve">/day </w:t>
            </w:r>
          </w:p>
        </w:tc>
        <w:tc>
          <w:tcPr>
            <w:tcW w:w="992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≥ 71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71.4%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25.9</w:t>
            </w:r>
          </w:p>
        </w:tc>
        <w:tc>
          <w:tcPr>
            <w:tcW w:w="1276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59.3%</w:t>
            </w:r>
          </w:p>
        </w:tc>
      </w:tr>
      <w:tr w:rsidR="00175FBA" w:rsidRPr="00E66DCD" w:rsidTr="00E66DCD">
        <w:trPr>
          <w:trHeight w:val="619"/>
        </w:trPr>
        <w:tc>
          <w:tcPr>
            <w:tcW w:w="166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175FBA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Yamamoto N</w:t>
            </w:r>
          </w:p>
        </w:tc>
        <w:tc>
          <w:tcPr>
            <w:tcW w:w="2118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CBDCA AUC 2</w:t>
            </w:r>
          </w:p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PTX 40 mg/m</w:t>
            </w:r>
            <w:r w:rsidRPr="00E66DCD">
              <w:rPr>
                <w:rFonts w:ascii="Times New Roman" w:hAnsi="Times New Roman" w:cs="Times New Roman"/>
                <w:position w:val="7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992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≤ 75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63.3%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134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276" w:type="dxa"/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A32C3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46.2%</w:t>
            </w:r>
          </w:p>
        </w:tc>
      </w:tr>
      <w:tr w:rsidR="00175FBA" w:rsidRPr="00E66DCD" w:rsidTr="00EA6F1E">
        <w:trPr>
          <w:trHeight w:val="627"/>
        </w:trPr>
        <w:tc>
          <w:tcPr>
            <w:tcW w:w="1664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D86D50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Kawano Y</w:t>
            </w:r>
            <w:r w:rsidRPr="00E66DCD">
              <w:rPr>
                <w:rFonts w:ascii="Times New Roman" w:hAnsi="Times New Roman" w:cs="Times New Roman"/>
                <w:position w:val="7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118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CBDCA AUC 2</w:t>
            </w:r>
          </w:p>
          <w:p w:rsidR="00175FBA" w:rsidRPr="00E66DCD" w:rsidRDefault="00175FBA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nab-PTX 50 mg/m</w:t>
            </w:r>
            <w:r w:rsidRPr="00E66DCD">
              <w:rPr>
                <w:rFonts w:ascii="Times New Roman" w:hAnsi="Times New Roman" w:cs="Times New Roman"/>
                <w:position w:val="7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≤ 74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76.8%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11.8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D86D50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Not reached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175FBA" w:rsidRPr="00E66DCD" w:rsidRDefault="00175FBA" w:rsidP="0028734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E66DCD">
              <w:rPr>
                <w:rFonts w:ascii="Times New Roman" w:hAnsi="Times New Roman" w:cs="Times New Roman"/>
                <w:sz w:val="24"/>
                <w:szCs w:val="24"/>
              </w:rPr>
              <w:t>66.1%</w:t>
            </w:r>
          </w:p>
        </w:tc>
      </w:tr>
      <w:tr w:rsidR="00C23397" w:rsidRPr="00E66DCD" w:rsidTr="00E66DCD">
        <w:trPr>
          <w:trHeight w:val="627"/>
        </w:trPr>
        <w:tc>
          <w:tcPr>
            <w:tcW w:w="10444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 w:rsidR="00C23397" w:rsidRPr="00E66DCD" w:rsidRDefault="000A2219" w:rsidP="000A2219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117E3">
              <w:rPr>
                <w:rFonts w:ascii="Times New Roman" w:hAnsi="Times New Roman" w:cs="Times New Roman"/>
                <w:sz w:val="24"/>
                <w:szCs w:val="24"/>
              </w:rPr>
              <w:t>Abbreviation</w:t>
            </w:r>
            <w:r w:rsidRPr="009117E3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NSCLC, non-small cell lung cancer; CBDCA, carboplatin; nab-PTX, nab-paclitaxel; PTX, paclitaxel; AUC, </w:t>
            </w:r>
            <w:r w:rsidRPr="000A2219">
              <w:rPr>
                <w:rFonts w:ascii="Times New Roman" w:hAnsi="Times New Roman" w:cs="Times New Roman"/>
                <w:sz w:val="24"/>
                <w:szCs w:val="24"/>
              </w:rPr>
              <w:t>area under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plasma concentration time </w:t>
            </w:r>
            <w:r w:rsidRPr="000A2219">
              <w:rPr>
                <w:rFonts w:ascii="Times New Roman" w:hAnsi="Times New Roman" w:cs="Times New Roman"/>
                <w:sz w:val="24"/>
                <w:szCs w:val="24"/>
              </w:rPr>
              <w:t>curve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; PFS, progression free survival; OS, overall survival</w:t>
            </w:r>
          </w:p>
        </w:tc>
      </w:tr>
    </w:tbl>
    <w:p w:rsidR="00D86D50" w:rsidRDefault="00D86D50"/>
    <w:sectPr w:rsidR="00D86D50" w:rsidSect="00E52917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E1F" w:rsidRDefault="00D06E1F" w:rsidP="0069729E">
      <w:r>
        <w:separator/>
      </w:r>
    </w:p>
  </w:endnote>
  <w:endnote w:type="continuationSeparator" w:id="0">
    <w:p w:rsidR="00D06E1F" w:rsidRDefault="00D06E1F" w:rsidP="00697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898856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32C36" w:rsidRDefault="00A32C36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C703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32C36" w:rsidRDefault="00A32C36">
    <w:pPr>
      <w:pStyle w:val="a5"/>
    </w:pPr>
  </w:p>
  <w:p w:rsidR="00A32C36" w:rsidRDefault="00A32C36"/>
  <w:p w:rsidR="00A32C36" w:rsidRDefault="00A32C36"/>
  <w:p w:rsidR="00A32C36" w:rsidRDefault="00A32C3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E1F" w:rsidRDefault="00D06E1F" w:rsidP="0069729E">
      <w:r>
        <w:separator/>
      </w:r>
    </w:p>
  </w:footnote>
  <w:footnote w:type="continuationSeparator" w:id="0">
    <w:p w:rsidR="00D06E1F" w:rsidRDefault="00D06E1F" w:rsidP="006972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41482"/>
    <w:multiLevelType w:val="hybridMultilevel"/>
    <w:tmpl w:val="A796BD6C"/>
    <w:lvl w:ilvl="0" w:tplc="C94E333A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89D022C"/>
    <w:multiLevelType w:val="hybridMultilevel"/>
    <w:tmpl w:val="FED0401A"/>
    <w:lvl w:ilvl="0" w:tplc="E020CC16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171"/>
    <w:rsid w:val="0000336F"/>
    <w:rsid w:val="00095180"/>
    <w:rsid w:val="000A2219"/>
    <w:rsid w:val="000A5A9D"/>
    <w:rsid w:val="000F199E"/>
    <w:rsid w:val="001603F6"/>
    <w:rsid w:val="00172176"/>
    <w:rsid w:val="00175FBA"/>
    <w:rsid w:val="00184196"/>
    <w:rsid w:val="001E564A"/>
    <w:rsid w:val="00273244"/>
    <w:rsid w:val="0028734E"/>
    <w:rsid w:val="002874FC"/>
    <w:rsid w:val="002916F6"/>
    <w:rsid w:val="002B76A3"/>
    <w:rsid w:val="00334EFE"/>
    <w:rsid w:val="003B7EF3"/>
    <w:rsid w:val="003F4728"/>
    <w:rsid w:val="00410A99"/>
    <w:rsid w:val="0042083F"/>
    <w:rsid w:val="0043376B"/>
    <w:rsid w:val="00454DE3"/>
    <w:rsid w:val="00462307"/>
    <w:rsid w:val="004F086A"/>
    <w:rsid w:val="0051190F"/>
    <w:rsid w:val="00512CAB"/>
    <w:rsid w:val="005F0262"/>
    <w:rsid w:val="005F5FDD"/>
    <w:rsid w:val="00620FC2"/>
    <w:rsid w:val="00670F11"/>
    <w:rsid w:val="0069729E"/>
    <w:rsid w:val="006D2C5F"/>
    <w:rsid w:val="00751C02"/>
    <w:rsid w:val="007D0171"/>
    <w:rsid w:val="007D6547"/>
    <w:rsid w:val="00830784"/>
    <w:rsid w:val="00864142"/>
    <w:rsid w:val="008A3113"/>
    <w:rsid w:val="008F330B"/>
    <w:rsid w:val="008F59D3"/>
    <w:rsid w:val="00937AD9"/>
    <w:rsid w:val="0097005D"/>
    <w:rsid w:val="00980C29"/>
    <w:rsid w:val="009B40BC"/>
    <w:rsid w:val="00A07B84"/>
    <w:rsid w:val="00A169EF"/>
    <w:rsid w:val="00A27E76"/>
    <w:rsid w:val="00A32C36"/>
    <w:rsid w:val="00A62B0A"/>
    <w:rsid w:val="00AA7008"/>
    <w:rsid w:val="00B22DF8"/>
    <w:rsid w:val="00BB6045"/>
    <w:rsid w:val="00BC0414"/>
    <w:rsid w:val="00C050C2"/>
    <w:rsid w:val="00C23397"/>
    <w:rsid w:val="00C275E1"/>
    <w:rsid w:val="00C546CE"/>
    <w:rsid w:val="00C54C15"/>
    <w:rsid w:val="00C856B2"/>
    <w:rsid w:val="00C86997"/>
    <w:rsid w:val="00CC7035"/>
    <w:rsid w:val="00CD495A"/>
    <w:rsid w:val="00CD581D"/>
    <w:rsid w:val="00D06E1F"/>
    <w:rsid w:val="00D67C9D"/>
    <w:rsid w:val="00D86D50"/>
    <w:rsid w:val="00D92349"/>
    <w:rsid w:val="00DA1E99"/>
    <w:rsid w:val="00DC300B"/>
    <w:rsid w:val="00DD091B"/>
    <w:rsid w:val="00E20746"/>
    <w:rsid w:val="00E52917"/>
    <w:rsid w:val="00E66DCD"/>
    <w:rsid w:val="00E83C56"/>
    <w:rsid w:val="00EA6F1E"/>
    <w:rsid w:val="00EF780B"/>
    <w:rsid w:val="00F04217"/>
    <w:rsid w:val="00F521A8"/>
    <w:rsid w:val="00F7795F"/>
    <w:rsid w:val="00FE350E"/>
    <w:rsid w:val="00FE6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1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729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9729E"/>
  </w:style>
  <w:style w:type="paragraph" w:styleId="a5">
    <w:name w:val="footer"/>
    <w:basedOn w:val="a"/>
    <w:link w:val="a6"/>
    <w:uiPriority w:val="99"/>
    <w:unhideWhenUsed/>
    <w:rsid w:val="0069729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9729E"/>
  </w:style>
  <w:style w:type="table" w:styleId="1">
    <w:name w:val="Light Shading"/>
    <w:basedOn w:val="a1"/>
    <w:uiPriority w:val="60"/>
    <w:rsid w:val="0069729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List Paragraph"/>
    <w:basedOn w:val="a"/>
    <w:uiPriority w:val="34"/>
    <w:qFormat/>
    <w:rsid w:val="00273244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B22D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22DF8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D86D5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1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729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9729E"/>
  </w:style>
  <w:style w:type="paragraph" w:styleId="a5">
    <w:name w:val="footer"/>
    <w:basedOn w:val="a"/>
    <w:link w:val="a6"/>
    <w:uiPriority w:val="99"/>
    <w:unhideWhenUsed/>
    <w:rsid w:val="0069729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9729E"/>
  </w:style>
  <w:style w:type="table" w:styleId="1">
    <w:name w:val="Light Shading"/>
    <w:basedOn w:val="a1"/>
    <w:uiPriority w:val="60"/>
    <w:rsid w:val="0069729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List Paragraph"/>
    <w:basedOn w:val="a"/>
    <w:uiPriority w:val="34"/>
    <w:qFormat/>
    <w:rsid w:val="00273244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B22D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22DF8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D86D5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28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Shota Omori</dc:creator>
  <cp:lastModifiedBy>Shota Omori</cp:lastModifiedBy>
  <cp:revision>3</cp:revision>
  <cp:lastPrinted>2020-08-12T04:32:00Z</cp:lastPrinted>
  <dcterms:created xsi:type="dcterms:W3CDTF">2021-05-08T11:41:00Z</dcterms:created>
  <dcterms:modified xsi:type="dcterms:W3CDTF">2021-05-11T13:02:00Z</dcterms:modified>
</cp:coreProperties>
</file>