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03D3" w14:textId="3C15BB8B" w:rsidR="0031784D" w:rsidRDefault="0031784D" w:rsidP="0031784D">
      <w:pPr>
        <w:pStyle w:val="berschrift1"/>
        <w:numPr>
          <w:ilvl w:val="0"/>
          <w:numId w:val="2"/>
        </w:numPr>
        <w:rPr>
          <w:lang w:val="en-US"/>
        </w:rPr>
      </w:pPr>
      <w:r>
        <w:rPr>
          <w:lang w:val="en-US"/>
        </w:rPr>
        <w:t>List of supplementary Files</w:t>
      </w:r>
    </w:p>
    <w:p w14:paraId="5BC77A37" w14:textId="7A9D89C5" w:rsidR="0031784D" w:rsidRDefault="0031784D" w:rsidP="0031784D">
      <w:pPr>
        <w:pStyle w:val="Listenabsatz"/>
        <w:numPr>
          <w:ilvl w:val="0"/>
          <w:numId w:val="4"/>
        </w:numPr>
        <w:rPr>
          <w:lang w:val="en-US"/>
        </w:rPr>
      </w:pPr>
      <w:r>
        <w:rPr>
          <w:lang w:val="en-US"/>
        </w:rPr>
        <w:t>supplementary.docx: Supplementary information to main manuscript</w:t>
      </w:r>
    </w:p>
    <w:p w14:paraId="36D21860" w14:textId="4D698CEE" w:rsidR="0031784D" w:rsidRDefault="0031784D" w:rsidP="0031784D">
      <w:pPr>
        <w:pStyle w:val="Listenabsatz"/>
        <w:numPr>
          <w:ilvl w:val="0"/>
          <w:numId w:val="4"/>
        </w:numPr>
        <w:rPr>
          <w:lang w:val="en-US"/>
        </w:rPr>
      </w:pPr>
      <w:r>
        <w:rPr>
          <w:lang w:val="en-US"/>
        </w:rPr>
        <w:t>datasets_formatted.zip: All datasets used in the manuscript formatte</w:t>
      </w:r>
      <w:r w:rsidR="00563F79">
        <w:rPr>
          <w:lang w:val="en-US"/>
        </w:rPr>
        <w:t>d</w:t>
      </w:r>
      <w:r>
        <w:rPr>
          <w:lang w:val="en-US"/>
        </w:rPr>
        <w:t xml:space="preserve"> to comply </w:t>
      </w:r>
      <w:proofErr w:type="spellStart"/>
      <w:r>
        <w:rPr>
          <w:lang w:val="en-US"/>
        </w:rPr>
        <w:t>OMEx</w:t>
      </w:r>
      <w:proofErr w:type="spellEnd"/>
      <w:r>
        <w:rPr>
          <w:lang w:val="en-US"/>
        </w:rPr>
        <w:t xml:space="preserve"> input format</w:t>
      </w:r>
    </w:p>
    <w:p w14:paraId="434608D4" w14:textId="2FB0EEA5" w:rsidR="007442D1" w:rsidRDefault="007442D1" w:rsidP="0031784D">
      <w:pPr>
        <w:pStyle w:val="Listenabsatz"/>
        <w:numPr>
          <w:ilvl w:val="0"/>
          <w:numId w:val="4"/>
        </w:numPr>
        <w:rPr>
          <w:lang w:val="en-US"/>
        </w:rPr>
      </w:pPr>
      <w:r>
        <w:rPr>
          <w:lang w:val="en-US"/>
        </w:rPr>
        <w:t xml:space="preserve">omex_sydor_comparison.zip: Results generated for the comparison of </w:t>
      </w:r>
      <w:proofErr w:type="spellStart"/>
      <w:r>
        <w:rPr>
          <w:lang w:val="en-US"/>
        </w:rPr>
        <w:t>OMEx</w:t>
      </w:r>
      <w:proofErr w:type="spellEnd"/>
      <w:r>
        <w:rPr>
          <w:lang w:val="en-US"/>
        </w:rPr>
        <w:t xml:space="preserve"> and its original implementation by Sydor </w:t>
      </w:r>
      <w:r>
        <w:rPr>
          <w:i/>
          <w:lang w:val="en-US"/>
        </w:rPr>
        <w:t>et al.</w:t>
      </w:r>
      <w:r>
        <w:rPr>
          <w:lang w:val="en-US"/>
        </w:rPr>
        <w:t xml:space="preserve"> </w:t>
      </w:r>
      <w:sdt>
        <w:sdtPr>
          <w:rPr>
            <w:lang w:val="en-US"/>
          </w:rPr>
          <w:id w:val="1490520423"/>
          <w:citation/>
        </w:sdtPr>
        <w:sdtContent>
          <w:r>
            <w:rPr>
              <w:lang w:val="en-US"/>
            </w:rPr>
            <w:fldChar w:fldCharType="begin"/>
          </w:r>
          <w:r w:rsidRPr="007442D1">
            <w:rPr>
              <w:lang w:val="en-US"/>
            </w:rPr>
            <w:instrText xml:space="preserve"> CITATION Sydor2022 \l 1031 </w:instrText>
          </w:r>
          <w:r>
            <w:rPr>
              <w:lang w:val="en-US"/>
            </w:rPr>
            <w:fldChar w:fldCharType="separate"/>
          </w:r>
          <w:r w:rsidRPr="007442D1">
            <w:rPr>
              <w:noProof/>
              <w:lang w:val="en-US"/>
            </w:rPr>
            <w:t>[1]</w:t>
          </w:r>
          <w:r>
            <w:rPr>
              <w:lang w:val="en-US"/>
            </w:rPr>
            <w:fldChar w:fldCharType="end"/>
          </w:r>
        </w:sdtContent>
      </w:sdt>
    </w:p>
    <w:p w14:paraId="4E31D1CA" w14:textId="2C0A34BA" w:rsidR="004B403F" w:rsidRDefault="004B403F" w:rsidP="0031784D">
      <w:pPr>
        <w:pStyle w:val="Listenabsatz"/>
        <w:numPr>
          <w:ilvl w:val="0"/>
          <w:numId w:val="4"/>
        </w:numPr>
        <w:rPr>
          <w:lang w:val="en-US"/>
        </w:rPr>
      </w:pPr>
      <w:r>
        <w:rPr>
          <w:lang w:val="en-US"/>
        </w:rPr>
        <w:t xml:space="preserve">benchmarking_results.zip: All results generated by </w:t>
      </w:r>
      <w:proofErr w:type="spellStart"/>
      <w:r>
        <w:rPr>
          <w:lang w:val="en-US"/>
        </w:rPr>
        <w:t>OMEx</w:t>
      </w:r>
      <w:proofErr w:type="spellEnd"/>
      <w:r>
        <w:rPr>
          <w:lang w:val="en-US"/>
        </w:rPr>
        <w:t xml:space="preserve"> </w:t>
      </w:r>
      <w:r w:rsidR="007442D1">
        <w:rPr>
          <w:lang w:val="en-US"/>
        </w:rPr>
        <w:t>for the comparison with other molecule selection methods</w:t>
      </w:r>
    </w:p>
    <w:p w14:paraId="75D3315B" w14:textId="4B3EA867" w:rsidR="007442D1" w:rsidRPr="007B3CD1" w:rsidRDefault="007442D1" w:rsidP="007B3CD1">
      <w:pPr>
        <w:pStyle w:val="Listenabsatz"/>
        <w:numPr>
          <w:ilvl w:val="0"/>
          <w:numId w:val="4"/>
        </w:numPr>
        <w:rPr>
          <w:lang w:val="en-US"/>
        </w:rPr>
      </w:pPr>
      <w:r>
        <w:rPr>
          <w:lang w:val="en-US"/>
        </w:rPr>
        <w:t xml:space="preserve">selected_molecule_identification.zip: Output from Workbench4Metabolomics </w:t>
      </w:r>
      <w:sdt>
        <w:sdtPr>
          <w:rPr>
            <w:lang w:val="en-US"/>
          </w:rPr>
          <w:id w:val="-890963115"/>
          <w:citation/>
        </w:sdtPr>
        <w:sdtContent>
          <w:r>
            <w:rPr>
              <w:lang w:val="en-US"/>
            </w:rPr>
            <w:fldChar w:fldCharType="begin"/>
          </w:r>
          <w:r w:rsidRPr="007442D1">
            <w:rPr>
              <w:lang w:val="en-US"/>
            </w:rPr>
            <w:instrText xml:space="preserve"> CITATION Giacomoni2014 \l 1031 </w:instrText>
          </w:r>
          <w:r>
            <w:rPr>
              <w:lang w:val="en-US"/>
            </w:rPr>
            <w:fldChar w:fldCharType="separate"/>
          </w:r>
          <w:r w:rsidRPr="007442D1">
            <w:rPr>
              <w:noProof/>
              <w:lang w:val="en-US"/>
            </w:rPr>
            <w:t>[2]</w:t>
          </w:r>
          <w:r>
            <w:rPr>
              <w:lang w:val="en-US"/>
            </w:rPr>
            <w:fldChar w:fldCharType="end"/>
          </w:r>
        </w:sdtContent>
      </w:sdt>
      <w:r>
        <w:rPr>
          <w:lang w:val="en-US"/>
        </w:rPr>
        <w:t xml:space="preserve"> and </w:t>
      </w:r>
      <w:proofErr w:type="spellStart"/>
      <w:r>
        <w:rPr>
          <w:lang w:val="en-US"/>
        </w:rPr>
        <w:t>UniProt</w:t>
      </w:r>
      <w:proofErr w:type="spellEnd"/>
      <w:r>
        <w:rPr>
          <w:lang w:val="en-US"/>
        </w:rPr>
        <w:t xml:space="preserve"> </w:t>
      </w:r>
      <w:sdt>
        <w:sdtPr>
          <w:rPr>
            <w:lang w:val="en-US"/>
          </w:rPr>
          <w:id w:val="941116165"/>
          <w:citation/>
        </w:sdtPr>
        <w:sdtContent>
          <w:r>
            <w:rPr>
              <w:lang w:val="en-US"/>
            </w:rPr>
            <w:fldChar w:fldCharType="begin"/>
          </w:r>
          <w:r w:rsidRPr="007442D1">
            <w:rPr>
              <w:lang w:val="en-US"/>
            </w:rPr>
            <w:instrText xml:space="preserve"> CITATION Bateman2024 \l 1031 </w:instrText>
          </w:r>
          <w:r>
            <w:rPr>
              <w:lang w:val="en-US"/>
            </w:rPr>
            <w:fldChar w:fldCharType="separate"/>
          </w:r>
          <w:r w:rsidRPr="007442D1">
            <w:rPr>
              <w:noProof/>
              <w:lang w:val="en-US"/>
            </w:rPr>
            <w:t>[3]</w:t>
          </w:r>
          <w:r>
            <w:rPr>
              <w:lang w:val="en-US"/>
            </w:rPr>
            <w:fldChar w:fldCharType="end"/>
          </w:r>
        </w:sdtContent>
      </w:sdt>
      <w:r>
        <w:rPr>
          <w:lang w:val="en-US"/>
        </w:rPr>
        <w:t xml:space="preserve"> queries for the annotation of molecule panels found in the comparison of molecule selection methods</w:t>
      </w:r>
    </w:p>
    <w:p w14:paraId="3ECC3C8B" w14:textId="77777777" w:rsidR="00180FF7" w:rsidRDefault="00000000">
      <w:pPr>
        <w:pStyle w:val="berschrift1"/>
        <w:numPr>
          <w:ilvl w:val="0"/>
          <w:numId w:val="2"/>
        </w:numPr>
        <w:rPr>
          <w:lang w:val="en-US"/>
        </w:rPr>
      </w:pPr>
      <w:r>
        <w:rPr>
          <w:lang w:val="en-US"/>
        </w:rPr>
        <w:t xml:space="preserve">Detailed description of </w:t>
      </w:r>
      <w:proofErr w:type="spellStart"/>
      <w:r>
        <w:rPr>
          <w:lang w:val="en-US"/>
        </w:rPr>
        <w:t>OMEx</w:t>
      </w:r>
      <w:proofErr w:type="spellEnd"/>
      <w:r>
        <w:rPr>
          <w:lang w:val="en-US"/>
        </w:rPr>
        <w:t xml:space="preserve"> Algorithm</w:t>
      </w:r>
    </w:p>
    <w:p w14:paraId="3EB75122" w14:textId="77777777" w:rsidR="00D01E5D" w:rsidRPr="00D01E5D" w:rsidRDefault="00D01E5D" w:rsidP="00D01E5D">
      <w:pPr>
        <w:rPr>
          <w:lang w:val="en-US"/>
        </w:rPr>
      </w:pPr>
      <w:r w:rsidRPr="00D01E5D">
        <w:rPr>
          <w:lang w:val="en-US"/>
        </w:rPr>
        <w:t xml:space="preserve">The Omics Molecule Extractor combines different machine-learning techniques (figure 1). The main objective is to determine a small set of molecules allowing for the best separation of samples (e.g., patients) into their associated categories, for example, control and disease. Diagonal Linear Discriminant Analysis (d-LDA) is used for classification, which has proven to be computationally lightweight but sufficiently accurate on a </w:t>
      </w:r>
      <w:proofErr w:type="spellStart"/>
      <w:r w:rsidRPr="00D01E5D">
        <w:rPr>
          <w:lang w:val="en-US"/>
        </w:rPr>
        <w:t>metaproteomics</w:t>
      </w:r>
      <w:proofErr w:type="spellEnd"/>
      <w:r w:rsidRPr="00D01E5D">
        <w:rPr>
          <w:lang w:val="en-US"/>
        </w:rPr>
        <w:t xml:space="preserve"> dataset compared to other classification methods [1]. Molecules for classification are selected based on a p-value filter and a wrapper [1]. </w:t>
      </w:r>
    </w:p>
    <w:p w14:paraId="19B05514" w14:textId="77777777" w:rsidR="00D01E5D" w:rsidRPr="00D01E5D" w:rsidRDefault="00D01E5D" w:rsidP="00D01E5D">
      <w:pPr>
        <w:rPr>
          <w:lang w:val="en-US"/>
        </w:rPr>
      </w:pPr>
      <w:r w:rsidRPr="00D01E5D">
        <w:rPr>
          <w:lang w:val="en-US"/>
        </w:rPr>
        <w:t>The p-value filter performs a statistical test (two-sample t-test) on each molecule independently, to determine molecules with significantly different magnitudes among the categories. The greater the difference in the molecule distribution between the classes, the smaller the p-value of the test. Subsequently, features below a specified p-value cutoff are filtered and provided to the wrapper. The selection of molecules is done in a five-fold cross-validation setting, i.e., four folds of randomly selected samples are used to determine p-values and train the classifier, and one fold is used to test the classifier accuracy. This process is done five times, iterating through the five folds so that each fold has been used for testing once, while remaining folds were used for training, respectively. Classification accuracy is evaluated at different p-value cutoffs (e.g., 0.0001, 0.001, 0.005, etc.) to assess an appropriate cutoff value. Lastly, the average number of selected molecules and average accuracy are reported for each cutoff.</w:t>
      </w:r>
    </w:p>
    <w:p w14:paraId="1CBC9DEF" w14:textId="77777777" w:rsidR="00D01E5D" w:rsidRPr="00D01E5D" w:rsidRDefault="00D01E5D" w:rsidP="00D01E5D">
      <w:pPr>
        <w:rPr>
          <w:lang w:val="en-US"/>
        </w:rPr>
      </w:pPr>
      <w:r w:rsidRPr="00D01E5D">
        <w:rPr>
          <w:lang w:val="en-US"/>
        </w:rPr>
        <w:t>The wrapper iteratively adds molecules to a panel of molecules used for classification. Firstly, the input dataset is divided randomly into five cross-validation folds, of which four are used for training and one for testing. Using data from the training fold, the wrapper starts with molecules with low p-values, adds them to a panel, trains the classifier on this panel, determines classification accuracy using the test fold, repeats until the classifier accuracy does not increase anymore, and reports how often specific molecule panels and individual molecules were chosen by the classifier. Usually, this results in panels containing less than ten molecules. Subsequently, the training and test sets shift to the next fold, and the process is repeated until the complete dataset has been used for testing. As samples are assigned randomly to their folds, the output of each wrapper run can be different, but well-separating molecules will be chosen more likely than others. By repeating the cross-validation step, for example 1,000 times, panels and individual molecules can be ranked by how often they were picked by the classifier.</w:t>
      </w:r>
    </w:p>
    <w:p w14:paraId="25221430" w14:textId="6A436329" w:rsidR="00D01E5D" w:rsidRDefault="00D01E5D" w:rsidP="005E4DB1">
      <w:pPr>
        <w:rPr>
          <w:lang w:val="en-US"/>
        </w:rPr>
      </w:pPr>
      <w:r w:rsidRPr="00D01E5D">
        <w:rPr>
          <w:lang w:val="en-US"/>
        </w:rPr>
        <w:t xml:space="preserve">An advantage of the wrapper over p-value filtering is that combinations of molecules are considered in the classification. However, wrapping is a computationally expensive technique. Therefore, the preceding p-value filtering reduces the total computation time. The most frequently chosen </w:t>
      </w:r>
      <w:r w:rsidRPr="00D01E5D">
        <w:rPr>
          <w:lang w:val="en-US"/>
        </w:rPr>
        <w:lastRenderedPageBreak/>
        <w:t>panels/molecules are considered to be potential biomarkers. As a last step, independent test samples are classified using the selected molecules to evaluate their predictive power based on classification metrics (accuracy, precision, recall, f1 score). Additionally, a Principal Component Analysis (PCA) and hierarchical clustering are performed based on the selected molecules to visualize their capability of separating the groups.</w:t>
      </w:r>
    </w:p>
    <w:p w14:paraId="54016293" w14:textId="25B6D5FF" w:rsidR="005E4DB1" w:rsidRPr="00D01E5D" w:rsidRDefault="005E4DB1" w:rsidP="005E4DB1">
      <w:pPr>
        <w:pStyle w:val="berschrift1"/>
        <w:numPr>
          <w:ilvl w:val="0"/>
          <w:numId w:val="2"/>
        </w:numPr>
        <w:rPr>
          <w:lang w:val="en-US"/>
        </w:rPr>
      </w:pPr>
      <w:r>
        <w:rPr>
          <w:lang w:val="en-US"/>
        </w:rPr>
        <w:t>Creation of synthetic Datasets</w:t>
      </w:r>
    </w:p>
    <w:p w14:paraId="720C79C1" w14:textId="276D29E4" w:rsidR="00D01E5D" w:rsidRPr="00D01E5D" w:rsidRDefault="00D01E5D" w:rsidP="00D01E5D">
      <w:pPr>
        <w:rPr>
          <w:lang w:val="en-US"/>
        </w:rPr>
      </w:pPr>
      <w:r w:rsidRPr="00D01E5D">
        <w:rPr>
          <w:lang w:val="en-US"/>
        </w:rPr>
        <w:t xml:space="preserve">To validate the applicability of the proposed tool, we applied synthetic data to measure the detection rate of relevant molecules identified by our tool. Therefore, we created a synthetic data-set generator that creates several measurement matrices that consist of two groups (e.g., healthy and disease) encoded in the columns and several molecules representing molecules encoded in the rows. Values in some rows will be systematically differently distributed between groupings, the relevant molecules, and values in other rows will be equally distributed between groupings, the non-relevant molecules. The measurement matrix will be presented to the </w:t>
      </w:r>
      <w:proofErr w:type="spellStart"/>
      <w:r w:rsidRPr="00D01E5D">
        <w:rPr>
          <w:lang w:val="en-US"/>
        </w:rPr>
        <w:t>OMEx</w:t>
      </w:r>
      <w:proofErr w:type="spellEnd"/>
      <w:r w:rsidRPr="00D01E5D">
        <w:rPr>
          <w:lang w:val="en-US"/>
        </w:rPr>
        <w:t xml:space="preserve"> modules to identify the (hidden) relevant molecule measurements. Subsequently, the prediction will be compared to the ground-truth information from the synthetic data-set generator to evaluate the detection rate. It has to be stated in all clarity that real-life processes are more complex. This artificial evaluation rather indicates the usefulness of the tool in a theoretical/hypothetical sense. Therefore, additional verification of the performance on real-life data is needed, and it can be found in the main paper. The described approach is depicted in figure 1.</w:t>
      </w:r>
    </w:p>
    <w:p w14:paraId="6E9171B0" w14:textId="77777777" w:rsidR="00180FF7" w:rsidRPr="00D01E5D" w:rsidRDefault="00000000">
      <w:pPr>
        <w:rPr>
          <w:lang w:val="en-US"/>
        </w:rPr>
      </w:pPr>
      <w:r w:rsidRPr="00D01E5D">
        <w:rPr>
          <w:noProof/>
          <w:lang w:val="en-US"/>
        </w:rPr>
        <w:drawing>
          <wp:anchor distT="0" distB="0" distL="0" distR="0" simplePos="0" relativeHeight="251655168" behindDoc="0" locked="0" layoutInCell="0" allowOverlap="1" wp14:anchorId="258F4219" wp14:editId="03E781C4">
            <wp:simplePos x="0" y="0"/>
            <wp:positionH relativeFrom="column">
              <wp:posOffset>13335</wp:posOffset>
            </wp:positionH>
            <wp:positionV relativeFrom="paragraph">
              <wp:posOffset>77470</wp:posOffset>
            </wp:positionV>
            <wp:extent cx="5563235" cy="2714625"/>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6"/>
                    <a:stretch>
                      <a:fillRect/>
                    </a:stretch>
                  </pic:blipFill>
                  <pic:spPr bwMode="auto">
                    <a:xfrm>
                      <a:off x="0" y="0"/>
                      <a:ext cx="5563235" cy="2714625"/>
                    </a:xfrm>
                    <a:prstGeom prst="rect">
                      <a:avLst/>
                    </a:prstGeom>
                  </pic:spPr>
                </pic:pic>
              </a:graphicData>
            </a:graphic>
          </wp:anchor>
        </w:drawing>
      </w:r>
    </w:p>
    <w:p w14:paraId="5CC35E01" w14:textId="3B63564D" w:rsidR="00180FF7" w:rsidRDefault="00000000">
      <w:pPr>
        <w:pStyle w:val="Beschriftung"/>
        <w:rPr>
          <w:lang w:val="en-US"/>
        </w:rPr>
      </w:pPr>
      <w:r w:rsidRPr="00D01E5D">
        <w:rPr>
          <w:lang w:val="en-US"/>
        </w:rPr>
        <w:t xml:space="preserve">Figure </w:t>
      </w:r>
      <w:r w:rsidR="00D41B83" w:rsidRPr="00D01E5D">
        <w:rPr>
          <w:lang w:val="en-US"/>
        </w:rPr>
        <w:t>1</w:t>
      </w:r>
      <w:r w:rsidRPr="00D01E5D">
        <w:rPr>
          <w:lang w:val="en-US"/>
        </w:rPr>
        <w:t xml:space="preserve">: </w:t>
      </w:r>
      <w:r w:rsidR="00D01E5D" w:rsidRPr="00D01E5D">
        <w:rPr>
          <w:lang w:val="en-US"/>
        </w:rPr>
        <w:t xml:space="preserve">The diagram of the proof-of-concept study of the proposed </w:t>
      </w:r>
      <w:proofErr w:type="spellStart"/>
      <w:r w:rsidR="00D01E5D" w:rsidRPr="00D01E5D">
        <w:rPr>
          <w:lang w:val="en-US"/>
        </w:rPr>
        <w:t>OMEx</w:t>
      </w:r>
      <w:proofErr w:type="spellEnd"/>
      <w:r w:rsidR="00D01E5D" w:rsidRPr="00D01E5D">
        <w:rPr>
          <w:lang w:val="en-US"/>
        </w:rPr>
        <w:t xml:space="preserve"> tool using a synthetic data set generator.</w:t>
      </w:r>
    </w:p>
    <w:p w14:paraId="4DFA29F3" w14:textId="58663759" w:rsidR="00180FF7" w:rsidRDefault="00D01E5D">
      <w:pPr>
        <w:rPr>
          <w:shd w:val="clear" w:color="auto" w:fill="FFFF00"/>
          <w:lang w:val="en-US"/>
        </w:rPr>
      </w:pPr>
      <w:r w:rsidRPr="00D01E5D">
        <w:rPr>
          <w:lang w:val="en-US"/>
        </w:rPr>
        <w:t xml:space="preserve">The artificial data generator (see pseudocode in figure 2) is based on exploiting sequences of (pseudo) random numbers. This technique is also known as sampling. For the sampling sequence, we need to introduce some restricting assumptions. Each data point belongs to exactly one group/class, and this assignment follows a Bernoulli-Distribution [B], in case of two classes, e.g., C1 and C2. The balance of these groupings is encoded by the distribution’s parameter that is connected with its Conjugate Prior (a Dirichlet-Distribution [Dir]). Each molecule within the data set belongs to a latent grouping, being either relevant or </w:t>
      </w:r>
      <w:r w:rsidR="00FB014B">
        <w:rPr>
          <w:lang w:val="en-US"/>
        </w:rPr>
        <w:t>non-</w:t>
      </w:r>
      <w:r w:rsidRPr="00D01E5D">
        <w:rPr>
          <w:lang w:val="en-US"/>
        </w:rPr>
        <w:t xml:space="preserve">relevant. Therefore, this assignment follows another Bernoulli-Distribution [B] with a distribution’s parameter conjugated to its own Conjugate Prior (a Dirichlet-Distribution [Dir]). We further assume that molecules are drawn from Normal-Distributions [N]. In the case of </w:t>
      </w:r>
      <w:r w:rsidR="00FB014B">
        <w:rPr>
          <w:lang w:val="en-US"/>
        </w:rPr>
        <w:t>non-</w:t>
      </w:r>
      <w:r w:rsidRPr="00D01E5D">
        <w:rPr>
          <w:lang w:val="en-US"/>
        </w:rPr>
        <w:t xml:space="preserve">relevant molecules, they follow a shared distribution N(µ0,σ); In the case of relevant </w:t>
      </w:r>
      <w:r w:rsidRPr="00D01E5D">
        <w:rPr>
          <w:lang w:val="en-US"/>
        </w:rPr>
        <w:lastRenderedPageBreak/>
        <w:t xml:space="preserve">molecules, they follow class-specific distributions N(µc1,σ) and N(µc2,σ) (figure 3). The distribution parameters for µ’s and </w:t>
      </w:r>
      <w:proofErr w:type="spellStart"/>
      <w:r w:rsidRPr="00D01E5D">
        <w:rPr>
          <w:lang w:val="en-US"/>
        </w:rPr>
        <w:t>σ’s</w:t>
      </w:r>
      <w:proofErr w:type="spellEnd"/>
      <w:r w:rsidRPr="00D01E5D">
        <w:rPr>
          <w:lang w:val="en-US"/>
        </w:rPr>
        <w:t xml:space="preserve"> can be adjusted by the user. We choose the simple parametrization that can be found in figure 2. Further, we restrict sampled values to be non-negative by setting negative samples to zero. This step was incorporated to emulate missing measurements indicated by the zero, exactly as it can be found in the real-life data sets used in our work. With these basic assumptions set, we can create sampled datasets to evaluate the proposed tool by exploiting the information stored about the sampling process. By repeating this procedure multiple times, one can create several</w:t>
      </w:r>
      <w:r>
        <w:rPr>
          <w:lang w:val="en-US"/>
        </w:rPr>
        <w:t xml:space="preserve"> </w:t>
      </w:r>
      <w:r w:rsidRPr="00D01E5D">
        <w:rPr>
          <w:lang w:val="en-US"/>
        </w:rPr>
        <w:t>artificially generated data sets to evaluate the molecule selection algorithm.</w:t>
      </w:r>
      <w:r w:rsidRPr="00D01E5D">
        <w:rPr>
          <w:noProof/>
        </w:rPr>
        <w:drawing>
          <wp:anchor distT="0" distB="0" distL="0" distR="0" simplePos="0" relativeHeight="251660288" behindDoc="0" locked="0" layoutInCell="0" allowOverlap="1" wp14:anchorId="6369F705" wp14:editId="5A0020B1">
            <wp:simplePos x="0" y="0"/>
            <wp:positionH relativeFrom="column">
              <wp:posOffset>0</wp:posOffset>
            </wp:positionH>
            <wp:positionV relativeFrom="paragraph">
              <wp:posOffset>729788</wp:posOffset>
            </wp:positionV>
            <wp:extent cx="5760720" cy="7298055"/>
            <wp:effectExtent l="0" t="0" r="0" b="0"/>
            <wp:wrapSquare wrapText="largest"/>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7"/>
                    <a:stretch>
                      <a:fillRect/>
                    </a:stretch>
                  </pic:blipFill>
                  <pic:spPr bwMode="auto">
                    <a:xfrm>
                      <a:off x="0" y="0"/>
                      <a:ext cx="5760720" cy="7298055"/>
                    </a:xfrm>
                    <a:prstGeom prst="rect">
                      <a:avLst/>
                    </a:prstGeom>
                  </pic:spPr>
                </pic:pic>
              </a:graphicData>
            </a:graphic>
          </wp:anchor>
        </w:drawing>
      </w:r>
    </w:p>
    <w:p w14:paraId="6E0B3AA8" w14:textId="77777777" w:rsidR="00D01E5D" w:rsidRPr="00D01E5D" w:rsidRDefault="00D01E5D">
      <w:pPr>
        <w:rPr>
          <w:lang w:val="en-US"/>
        </w:rPr>
      </w:pPr>
    </w:p>
    <w:p w14:paraId="11282419" w14:textId="448D39B4" w:rsidR="00180FF7" w:rsidRPr="00D01E5D" w:rsidRDefault="00000000">
      <w:pPr>
        <w:pStyle w:val="Beschriftung"/>
        <w:rPr>
          <w:lang w:val="en-US"/>
        </w:rPr>
      </w:pPr>
      <w:r w:rsidRPr="00D01E5D">
        <w:rPr>
          <w:lang w:val="en-US"/>
        </w:rPr>
        <w:t xml:space="preserve">Figure </w:t>
      </w:r>
      <w:r w:rsidR="00D41B83" w:rsidRPr="00D01E5D">
        <w:rPr>
          <w:lang w:val="en-US"/>
        </w:rPr>
        <w:t>2</w:t>
      </w:r>
      <w:r w:rsidRPr="00D01E5D">
        <w:rPr>
          <w:lang w:val="en-US"/>
        </w:rPr>
        <w:t xml:space="preserve"> </w:t>
      </w:r>
      <w:r w:rsidR="00D01E5D" w:rsidRPr="00D01E5D">
        <w:rPr>
          <w:lang w:val="en-US"/>
        </w:rPr>
        <w:t xml:space="preserve">The function generates a sampled data set for the described properties. A </w:t>
      </w:r>
      <w:proofErr w:type="spellStart"/>
      <w:r w:rsidR="00D01E5D" w:rsidRPr="00D01E5D">
        <w:rPr>
          <w:lang w:val="en-US"/>
        </w:rPr>
        <w:t>tupel</w:t>
      </w:r>
      <w:proofErr w:type="spellEnd"/>
      <w:r w:rsidR="00D01E5D" w:rsidRPr="00D01E5D">
        <w:rPr>
          <w:lang w:val="en-US"/>
        </w:rPr>
        <w:t xml:space="preserve"> will be returned for the measurement matrix itself and a list of the relevant molecules.</w:t>
      </w:r>
    </w:p>
    <w:p w14:paraId="4BFD9E3C" w14:textId="77777777" w:rsidR="00180FF7" w:rsidRPr="00D01E5D" w:rsidRDefault="00180FF7">
      <w:pPr>
        <w:pStyle w:val="berschrift1"/>
        <w:rPr>
          <w:lang w:val="en-US"/>
        </w:rPr>
      </w:pPr>
    </w:p>
    <w:p w14:paraId="5BAC44C1" w14:textId="77777777" w:rsidR="00180FF7" w:rsidRPr="00D01E5D" w:rsidRDefault="00000000">
      <w:pPr>
        <w:keepNext/>
      </w:pPr>
      <w:r w:rsidRPr="00D01E5D">
        <w:rPr>
          <w:noProof/>
        </w:rPr>
        <w:drawing>
          <wp:inline distT="0" distB="0" distL="0" distR="0" wp14:anchorId="09BBBBC8" wp14:editId="021F8DF3">
            <wp:extent cx="5760720" cy="2962275"/>
            <wp:effectExtent l="0" t="0" r="0" b="0"/>
            <wp:docPr id="3"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pic:cNvPicPr>
                      <a:picLocks noChangeAspect="1" noChangeArrowheads="1"/>
                    </pic:cNvPicPr>
                  </pic:nvPicPr>
                  <pic:blipFill>
                    <a:blip r:embed="rId8"/>
                    <a:stretch>
                      <a:fillRect/>
                    </a:stretch>
                  </pic:blipFill>
                  <pic:spPr bwMode="auto">
                    <a:xfrm>
                      <a:off x="0" y="0"/>
                      <a:ext cx="5760720" cy="2962275"/>
                    </a:xfrm>
                    <a:prstGeom prst="rect">
                      <a:avLst/>
                    </a:prstGeom>
                  </pic:spPr>
                </pic:pic>
              </a:graphicData>
            </a:graphic>
          </wp:inline>
        </w:drawing>
      </w:r>
    </w:p>
    <w:p w14:paraId="7AD67B99" w14:textId="3B995439" w:rsidR="00180FF7" w:rsidRPr="00D01E5D" w:rsidRDefault="00000000">
      <w:pPr>
        <w:pStyle w:val="Beschriftung"/>
        <w:rPr>
          <w:lang w:val="en-US"/>
        </w:rPr>
      </w:pPr>
      <w:r w:rsidRPr="00D01E5D">
        <w:rPr>
          <w:lang w:val="en-US"/>
        </w:rPr>
        <w:t xml:space="preserve">Figure </w:t>
      </w:r>
      <w:r w:rsidR="00C3076E" w:rsidRPr="00D01E5D">
        <w:rPr>
          <w:lang w:val="en-US"/>
        </w:rPr>
        <w:t>3</w:t>
      </w:r>
      <w:r w:rsidRPr="00D01E5D">
        <w:rPr>
          <w:lang w:val="en-US"/>
        </w:rPr>
        <w:t xml:space="preserve"> Overlapping distribution of </w:t>
      </w:r>
      <w:r w:rsidR="00D72719" w:rsidRPr="00D01E5D">
        <w:rPr>
          <w:lang w:val="en-US"/>
        </w:rPr>
        <w:t>molecules</w:t>
      </w:r>
      <w:r w:rsidRPr="00D01E5D">
        <w:rPr>
          <w:lang w:val="en-US"/>
        </w:rPr>
        <w:t xml:space="preserve"> produced by the sampler.</w:t>
      </w:r>
      <w:r w:rsidR="00D72719" w:rsidRPr="00D01E5D">
        <w:rPr>
          <w:lang w:val="en-US"/>
        </w:rPr>
        <w:t xml:space="preserve"> The x-axis (support) corresponds to the values that can be sampled for artificial molecules, the y-axis (density) corresponds to the probability of sampling one specific value.</w:t>
      </w:r>
      <w:r w:rsidRPr="00D01E5D">
        <w:rPr>
          <w:lang w:val="en-US"/>
        </w:rPr>
        <w:t xml:space="preserve"> </w:t>
      </w:r>
      <w:r w:rsidR="00FB014B">
        <w:rPr>
          <w:lang w:val="en-US"/>
        </w:rPr>
        <w:t>Non-</w:t>
      </w:r>
      <w:r w:rsidRPr="00D01E5D">
        <w:rPr>
          <w:lang w:val="en-US"/>
        </w:rPr>
        <w:t xml:space="preserve">relevant </w:t>
      </w:r>
      <w:r w:rsidR="00D72719" w:rsidRPr="00D01E5D">
        <w:rPr>
          <w:lang w:val="en-US"/>
        </w:rPr>
        <w:t>molecules</w:t>
      </w:r>
      <w:r w:rsidRPr="00D01E5D">
        <w:rPr>
          <w:lang w:val="en-US"/>
        </w:rPr>
        <w:t xml:space="preserve"> share the gray distribution in the middle across both groups. Relevant </w:t>
      </w:r>
      <w:r w:rsidR="00D72719" w:rsidRPr="00D01E5D">
        <w:rPr>
          <w:lang w:val="en-US"/>
        </w:rPr>
        <w:t>molecules</w:t>
      </w:r>
      <w:r w:rsidRPr="00D01E5D">
        <w:rPr>
          <w:lang w:val="en-US"/>
        </w:rPr>
        <w:t xml:space="preserve"> have class-specific distributions (blue &amp; yellow). All distributions share a reasonable overlap, making the task not unrealistically easy.</w:t>
      </w:r>
    </w:p>
    <w:p w14:paraId="11509478" w14:textId="77777777" w:rsidR="00180FF7" w:rsidRPr="00D01E5D" w:rsidRDefault="00000000">
      <w:pPr>
        <w:pStyle w:val="berschrift1"/>
        <w:numPr>
          <w:ilvl w:val="0"/>
          <w:numId w:val="2"/>
        </w:numPr>
        <w:rPr>
          <w:lang w:val="en-US"/>
        </w:rPr>
      </w:pPr>
      <w:r w:rsidRPr="00D01E5D">
        <w:rPr>
          <w:lang w:val="en-US"/>
        </w:rPr>
        <w:t>Evaluation of the algorithm using synthetic datasets</w:t>
      </w:r>
    </w:p>
    <w:p w14:paraId="5B5C8B0C" w14:textId="393A6BA8" w:rsidR="00180FF7" w:rsidRDefault="00000000">
      <w:pPr>
        <w:rPr>
          <w:lang w:val="en-US"/>
        </w:rPr>
      </w:pPr>
      <w:r w:rsidRPr="00D01E5D">
        <w:rPr>
          <w:lang w:val="en-US"/>
        </w:rPr>
        <w:t xml:space="preserve">We applied the sampling approach from </w:t>
      </w:r>
      <w:r w:rsidR="002C54B7" w:rsidRPr="00D01E5D">
        <w:rPr>
          <w:lang w:val="en-US"/>
        </w:rPr>
        <w:t>s</w:t>
      </w:r>
      <w:r w:rsidRPr="00D01E5D">
        <w:rPr>
          <w:lang w:val="en-US"/>
        </w:rPr>
        <w:t>ec</w:t>
      </w:r>
      <w:r w:rsidR="002C54B7" w:rsidRPr="00D01E5D">
        <w:rPr>
          <w:lang w:val="en-US"/>
        </w:rPr>
        <w:t>tion</w:t>
      </w:r>
      <w:r w:rsidRPr="00D01E5D">
        <w:rPr>
          <w:lang w:val="en-US"/>
        </w:rPr>
        <w:t xml:space="preserve"> 2 to generate artificial data sets for an initial evaluation of the </w:t>
      </w:r>
      <w:proofErr w:type="spellStart"/>
      <w:r w:rsidRPr="00D01E5D">
        <w:rPr>
          <w:lang w:val="en-US"/>
        </w:rPr>
        <w:t>OMEx</w:t>
      </w:r>
      <w:proofErr w:type="spellEnd"/>
      <w:r w:rsidRPr="00D01E5D">
        <w:rPr>
          <w:lang w:val="en-US"/>
        </w:rPr>
        <w:t xml:space="preserve"> modules individually and in combination</w:t>
      </w:r>
      <w:r w:rsidR="0089151C">
        <w:rPr>
          <w:lang w:val="en-US"/>
        </w:rPr>
        <w:t xml:space="preserve"> (</w:t>
      </w:r>
      <w:r w:rsidR="0089151C" w:rsidRPr="0089151C">
        <w:rPr>
          <w:lang w:val="en-US"/>
        </w:rPr>
        <w:t>https://gitlab.com/kay.schallert/mpa-cloud-server/-/tree/master/src/main/java/service/omex/algorithmtest</w:t>
      </w:r>
      <w:r w:rsidR="0089151C">
        <w:rPr>
          <w:lang w:val="en-US"/>
        </w:rPr>
        <w:t>)</w:t>
      </w:r>
      <w:r w:rsidRPr="00D01E5D">
        <w:rPr>
          <w:lang w:val="en-US"/>
        </w:rPr>
        <w:t xml:space="preserve">. All results presented are produced by the parametrization depicted in </w:t>
      </w:r>
      <w:r w:rsidR="0010707A" w:rsidRPr="00D01E5D">
        <w:rPr>
          <w:lang w:val="en-US"/>
        </w:rPr>
        <w:t>f</w:t>
      </w:r>
      <w:r w:rsidRPr="00D01E5D">
        <w:rPr>
          <w:lang w:val="en-US"/>
        </w:rPr>
        <w:t xml:space="preserve">igure </w:t>
      </w:r>
      <w:r w:rsidR="0010707A" w:rsidRPr="00D01E5D">
        <w:rPr>
          <w:lang w:val="en-US"/>
        </w:rPr>
        <w:t>2</w:t>
      </w:r>
      <w:r w:rsidRPr="00D01E5D">
        <w:rPr>
          <w:lang w:val="en-US"/>
        </w:rPr>
        <w:t xml:space="preserve"> and </w:t>
      </w:r>
      <w:r w:rsidR="0010707A" w:rsidRPr="00D01E5D">
        <w:rPr>
          <w:lang w:val="en-US"/>
        </w:rPr>
        <w:t>f</w:t>
      </w:r>
      <w:r w:rsidRPr="00D01E5D">
        <w:rPr>
          <w:lang w:val="en-US"/>
        </w:rPr>
        <w:t xml:space="preserve">igure </w:t>
      </w:r>
      <w:r w:rsidR="0010707A" w:rsidRPr="00D01E5D">
        <w:rPr>
          <w:lang w:val="en-US"/>
        </w:rPr>
        <w:t>3</w:t>
      </w:r>
      <w:r w:rsidRPr="00D01E5D">
        <w:rPr>
          <w:lang w:val="en-US"/>
        </w:rPr>
        <w:t xml:space="preserve"> </w:t>
      </w:r>
      <w:bookmarkStart w:id="0" w:name="tw-target-text"/>
      <w:bookmarkEnd w:id="0"/>
      <w:r w:rsidRPr="00D01E5D">
        <w:rPr>
          <w:lang w:val="en-US"/>
        </w:rPr>
        <w:t>exemplary. Within the analysis, 100 artificial data sets were generated. They were restricted to exactly 60</w:t>
      </w:r>
      <w:r w:rsidR="0010707A" w:rsidRPr="00D01E5D">
        <w:rPr>
          <w:lang w:val="en-US"/>
        </w:rPr>
        <w:t xml:space="preserve"> samples</w:t>
      </w:r>
      <w:r w:rsidRPr="00D01E5D">
        <w:rPr>
          <w:lang w:val="en-US"/>
        </w:rPr>
        <w:t xml:space="preserve"> (artificial participants</w:t>
      </w:r>
      <w:r w:rsidR="0010707A" w:rsidRPr="00D01E5D">
        <w:rPr>
          <w:lang w:val="en-US"/>
        </w:rPr>
        <w:t xml:space="preserve">, encoded by the variable </w:t>
      </w:r>
      <w:proofErr w:type="spellStart"/>
      <w:r w:rsidR="0010707A" w:rsidRPr="00D01E5D">
        <w:rPr>
          <w:lang w:val="en-US"/>
        </w:rPr>
        <w:t>dataSetSize</w:t>
      </w:r>
      <w:proofErr w:type="spellEnd"/>
      <w:r w:rsidRPr="00D01E5D">
        <w:rPr>
          <w:lang w:val="en-US"/>
        </w:rPr>
        <w:t xml:space="preserve">) with 50 artificial </w:t>
      </w:r>
      <w:r w:rsidR="0010707A" w:rsidRPr="00D01E5D">
        <w:rPr>
          <w:lang w:val="en-US"/>
        </w:rPr>
        <w:t xml:space="preserve">molecules (encoded by </w:t>
      </w:r>
      <w:proofErr w:type="spellStart"/>
      <w:r w:rsidR="0010707A" w:rsidRPr="00D01E5D">
        <w:rPr>
          <w:lang w:val="en-US"/>
        </w:rPr>
        <w:t>moleculeSize</w:t>
      </w:r>
      <w:proofErr w:type="spellEnd"/>
      <w:r w:rsidR="0010707A" w:rsidRPr="00D01E5D">
        <w:rPr>
          <w:lang w:val="en-US"/>
        </w:rPr>
        <w:t>)</w:t>
      </w:r>
      <w:r w:rsidRPr="00D01E5D">
        <w:rPr>
          <w:lang w:val="en-US"/>
        </w:rPr>
        <w:t xml:space="preserve">. We enforced an equal class balance by setting αc = (50, 50). In addition, the balance of the </w:t>
      </w:r>
      <w:r w:rsidR="00A02CF8" w:rsidRPr="00D01E5D">
        <w:rPr>
          <w:lang w:val="en-US"/>
        </w:rPr>
        <w:t>molecule</w:t>
      </w:r>
      <w:r w:rsidRPr="00D01E5D">
        <w:rPr>
          <w:lang w:val="en-US"/>
        </w:rPr>
        <w:t xml:space="preserve"> relevance is strongly enforced to be unequal in favor of </w:t>
      </w:r>
      <w:r w:rsidR="00FB014B">
        <w:rPr>
          <w:lang w:val="en-US"/>
        </w:rPr>
        <w:t>non-</w:t>
      </w:r>
      <w:r w:rsidRPr="00D01E5D">
        <w:rPr>
          <w:lang w:val="en-US"/>
        </w:rPr>
        <w:t xml:space="preserve">relevant molecules by setting αr = (10, 100). The </w:t>
      </w:r>
      <w:r w:rsidR="00A02CF8" w:rsidRPr="00D01E5D">
        <w:rPr>
          <w:lang w:val="en-US"/>
        </w:rPr>
        <w:t>molecule</w:t>
      </w:r>
      <w:r w:rsidRPr="00D01E5D">
        <w:rPr>
          <w:lang w:val="en-US"/>
        </w:rPr>
        <w:t xml:space="preserve"> generating distribution was set to three distinct Normal Distributions, with a shared µ0 = 1 for the </w:t>
      </w:r>
      <w:r w:rsidR="00FB014B">
        <w:rPr>
          <w:lang w:val="en-US"/>
        </w:rPr>
        <w:t>non-</w:t>
      </w:r>
      <w:r w:rsidRPr="00D01E5D">
        <w:rPr>
          <w:lang w:val="en-US"/>
        </w:rPr>
        <w:t xml:space="preserve">relevant </w:t>
      </w:r>
      <w:r w:rsidR="00A02CF8" w:rsidRPr="00D01E5D">
        <w:rPr>
          <w:lang w:val="en-US"/>
        </w:rPr>
        <w:t>molecules</w:t>
      </w:r>
      <w:r w:rsidRPr="00D01E5D">
        <w:rPr>
          <w:lang w:val="en-US"/>
        </w:rPr>
        <w:t xml:space="preserve"> and µc1 = 0 &amp; µc2 = 2 for the class-specific </w:t>
      </w:r>
      <w:r w:rsidR="00A02CF8" w:rsidRPr="00D01E5D">
        <w:rPr>
          <w:lang w:val="en-US"/>
        </w:rPr>
        <w:t>and</w:t>
      </w:r>
      <w:r w:rsidRPr="00D01E5D">
        <w:rPr>
          <w:lang w:val="en-US"/>
        </w:rPr>
        <w:t xml:space="preserve"> relevant </w:t>
      </w:r>
      <w:r w:rsidR="00A02CF8" w:rsidRPr="00D01E5D">
        <w:rPr>
          <w:lang w:val="en-US"/>
        </w:rPr>
        <w:t>molecules</w:t>
      </w:r>
      <w:r w:rsidRPr="00D01E5D">
        <w:rPr>
          <w:lang w:val="en-US"/>
        </w:rPr>
        <w:t>, respectively. All three distributions are instantiated with the unit variance. This results in distinct yet strongly overlapping boundaries</w:t>
      </w:r>
      <w:r w:rsidR="00A02CF8" w:rsidRPr="00D01E5D">
        <w:rPr>
          <w:lang w:val="en-US"/>
        </w:rPr>
        <w:t xml:space="preserve"> (</w:t>
      </w:r>
      <w:r w:rsidRPr="00D01E5D">
        <w:rPr>
          <w:lang w:val="en-US"/>
        </w:rPr>
        <w:t xml:space="preserve">figure </w:t>
      </w:r>
      <w:r w:rsidR="00A02CF8" w:rsidRPr="00D01E5D">
        <w:rPr>
          <w:lang w:val="en-US"/>
        </w:rPr>
        <w:t>3)</w:t>
      </w:r>
      <w:r w:rsidRPr="00D01E5D">
        <w:rPr>
          <w:lang w:val="en-US"/>
        </w:rPr>
        <w:t>.</w:t>
      </w:r>
    </w:p>
    <w:p w14:paraId="450A5DD9" w14:textId="04AB4E88" w:rsidR="005E4DB1" w:rsidRDefault="005E4DB1">
      <w:pPr>
        <w:rPr>
          <w:lang w:val="en-US"/>
        </w:rPr>
      </w:pPr>
      <w:r>
        <w:rPr>
          <w:lang w:val="en-US"/>
        </w:rPr>
        <w:t>T</w:t>
      </w:r>
      <w:r w:rsidR="00FB014B">
        <w:rPr>
          <w:lang w:val="en-US"/>
        </w:rPr>
        <w:t>he generated synthetic datasets were subjected to the filter and wrapper individually, as well as to their combination. The</w:t>
      </w:r>
      <w:r w:rsidR="00D90829">
        <w:rPr>
          <w:lang w:val="en-US"/>
        </w:rPr>
        <w:t xml:space="preserve"> numbers of</w:t>
      </w:r>
      <w:r w:rsidR="00FB014B">
        <w:rPr>
          <w:lang w:val="en-US"/>
        </w:rPr>
        <w:t xml:space="preserve"> molecules predicted as “relevant”</w:t>
      </w:r>
      <w:r w:rsidR="00D90829">
        <w:rPr>
          <w:lang w:val="en-US"/>
        </w:rPr>
        <w:t xml:space="preserve"> (positive)</w:t>
      </w:r>
      <w:r w:rsidR="00FB014B">
        <w:rPr>
          <w:lang w:val="en-US"/>
        </w:rPr>
        <w:t xml:space="preserve"> and “non-relevant”</w:t>
      </w:r>
      <w:r w:rsidR="00D90829">
        <w:rPr>
          <w:lang w:val="en-US"/>
        </w:rPr>
        <w:t xml:space="preserve"> (negative)</w:t>
      </w:r>
      <w:r w:rsidR="00FB014B">
        <w:rPr>
          <w:lang w:val="en-US"/>
        </w:rPr>
        <w:t xml:space="preserve"> by each stage were compared to their ground-truth group</w:t>
      </w:r>
      <w:r w:rsidR="00D90829">
        <w:rPr>
          <w:lang w:val="en-US"/>
        </w:rPr>
        <w:t>ings resulting in a confusion matrix (table 1).</w:t>
      </w:r>
    </w:p>
    <w:p w14:paraId="5E8CE32D" w14:textId="3B5A2AEC" w:rsidR="00D90829" w:rsidRDefault="00D90829" w:rsidP="00D90829">
      <w:pPr>
        <w:pStyle w:val="Beschriftung"/>
        <w:rPr>
          <w:lang w:val="en-US"/>
        </w:rPr>
      </w:pPr>
      <w:r w:rsidRPr="00D01E5D">
        <w:rPr>
          <w:lang w:val="en-US"/>
        </w:rPr>
        <w:t xml:space="preserve">Table </w:t>
      </w:r>
      <w:r>
        <w:rPr>
          <w:lang w:val="en-US"/>
        </w:rPr>
        <w:t>1</w:t>
      </w:r>
      <w:r w:rsidRPr="00D01E5D">
        <w:rPr>
          <w:lang w:val="en-US"/>
        </w:rPr>
        <w:t xml:space="preserve"> </w:t>
      </w:r>
      <w:r>
        <w:rPr>
          <w:lang w:val="en-US"/>
        </w:rPr>
        <w:t>Structure of a c</w:t>
      </w:r>
      <w:r w:rsidRPr="00F607BD">
        <w:rPr>
          <w:lang w:val="en-US"/>
        </w:rPr>
        <w:t>onfusion matrix.</w:t>
      </w:r>
    </w:p>
    <w:tbl>
      <w:tblPr>
        <w:tblStyle w:val="Tabellenraster"/>
        <w:tblW w:w="9062" w:type="dxa"/>
        <w:tblInd w:w="108" w:type="dxa"/>
        <w:tblLayout w:type="fixed"/>
        <w:tblLook w:val="04A0" w:firstRow="1" w:lastRow="0" w:firstColumn="1" w:lastColumn="0" w:noHBand="0" w:noVBand="1"/>
      </w:tblPr>
      <w:tblGrid>
        <w:gridCol w:w="1418"/>
        <w:gridCol w:w="1417"/>
        <w:gridCol w:w="3184"/>
        <w:gridCol w:w="3043"/>
      </w:tblGrid>
      <w:tr w:rsidR="00D90829" w:rsidRPr="00D01E5D" w14:paraId="7719B415" w14:textId="77777777" w:rsidTr="00D90829">
        <w:tc>
          <w:tcPr>
            <w:tcW w:w="1418" w:type="dxa"/>
            <w:tcBorders>
              <w:top w:val="nil"/>
              <w:left w:val="nil"/>
              <w:bottom w:val="nil"/>
              <w:right w:val="nil"/>
            </w:tcBorders>
          </w:tcPr>
          <w:p w14:paraId="01BD8371" w14:textId="77777777" w:rsidR="00D90829" w:rsidRPr="00D01E5D" w:rsidRDefault="00D90829" w:rsidP="00F423B0">
            <w:pPr>
              <w:widowControl w:val="0"/>
              <w:spacing w:after="0" w:line="240" w:lineRule="auto"/>
              <w:rPr>
                <w:lang w:val="en-US"/>
              </w:rPr>
            </w:pPr>
          </w:p>
        </w:tc>
        <w:tc>
          <w:tcPr>
            <w:tcW w:w="1417" w:type="dxa"/>
            <w:tcBorders>
              <w:top w:val="nil"/>
              <w:left w:val="nil"/>
              <w:bottom w:val="nil"/>
            </w:tcBorders>
          </w:tcPr>
          <w:p w14:paraId="5E682FC9" w14:textId="77777777" w:rsidR="00D90829" w:rsidRPr="00D01E5D" w:rsidRDefault="00D90829" w:rsidP="00F423B0">
            <w:pPr>
              <w:widowControl w:val="0"/>
              <w:spacing w:after="0" w:line="240" w:lineRule="auto"/>
              <w:rPr>
                <w:lang w:val="en-US"/>
              </w:rPr>
            </w:pPr>
          </w:p>
        </w:tc>
        <w:tc>
          <w:tcPr>
            <w:tcW w:w="6227" w:type="dxa"/>
            <w:gridSpan w:val="2"/>
          </w:tcPr>
          <w:p w14:paraId="5DFE1287" w14:textId="77777777" w:rsidR="00D90829" w:rsidRPr="00D01E5D" w:rsidRDefault="00D90829" w:rsidP="00F423B0">
            <w:pPr>
              <w:widowControl w:val="0"/>
              <w:spacing w:after="0" w:line="240" w:lineRule="auto"/>
              <w:rPr>
                <w:lang w:val="en-US"/>
              </w:rPr>
            </w:pPr>
            <w:r w:rsidRPr="00D01E5D">
              <w:rPr>
                <w:rFonts w:eastAsia="Calibri"/>
                <w:lang w:val="en-US"/>
              </w:rPr>
              <w:t>prediction</w:t>
            </w:r>
          </w:p>
        </w:tc>
      </w:tr>
      <w:tr w:rsidR="00D90829" w:rsidRPr="00D01E5D" w14:paraId="5CB64AF5" w14:textId="77777777" w:rsidTr="00D90829">
        <w:tc>
          <w:tcPr>
            <w:tcW w:w="1418" w:type="dxa"/>
            <w:tcBorders>
              <w:top w:val="nil"/>
              <w:left w:val="nil"/>
              <w:right w:val="nil"/>
            </w:tcBorders>
          </w:tcPr>
          <w:p w14:paraId="301E912D" w14:textId="77777777" w:rsidR="00D90829" w:rsidRPr="00D01E5D" w:rsidRDefault="00D90829" w:rsidP="00F423B0">
            <w:pPr>
              <w:widowControl w:val="0"/>
              <w:spacing w:after="0" w:line="240" w:lineRule="auto"/>
              <w:rPr>
                <w:lang w:val="en-US"/>
              </w:rPr>
            </w:pPr>
          </w:p>
        </w:tc>
        <w:tc>
          <w:tcPr>
            <w:tcW w:w="1417" w:type="dxa"/>
            <w:tcBorders>
              <w:top w:val="nil"/>
              <w:left w:val="nil"/>
            </w:tcBorders>
          </w:tcPr>
          <w:p w14:paraId="1FB43574" w14:textId="77777777" w:rsidR="00D90829" w:rsidRPr="00D01E5D" w:rsidRDefault="00D90829" w:rsidP="00F423B0">
            <w:pPr>
              <w:widowControl w:val="0"/>
              <w:spacing w:after="0" w:line="240" w:lineRule="auto"/>
              <w:rPr>
                <w:lang w:val="en-US"/>
              </w:rPr>
            </w:pPr>
          </w:p>
        </w:tc>
        <w:tc>
          <w:tcPr>
            <w:tcW w:w="3184" w:type="dxa"/>
          </w:tcPr>
          <w:p w14:paraId="5F736F44" w14:textId="77777777" w:rsidR="00D90829" w:rsidRPr="00D01E5D" w:rsidRDefault="00D90829" w:rsidP="00F423B0">
            <w:pPr>
              <w:widowControl w:val="0"/>
              <w:spacing w:after="0" w:line="240" w:lineRule="auto"/>
              <w:rPr>
                <w:lang w:val="en-US"/>
              </w:rPr>
            </w:pPr>
            <w:r w:rsidRPr="00D01E5D">
              <w:rPr>
                <w:rFonts w:eastAsia="Calibri"/>
                <w:lang w:val="en-US"/>
              </w:rPr>
              <w:t>relevant</w:t>
            </w:r>
          </w:p>
        </w:tc>
        <w:tc>
          <w:tcPr>
            <w:tcW w:w="3043" w:type="dxa"/>
          </w:tcPr>
          <w:p w14:paraId="6A807285" w14:textId="77777777" w:rsidR="00D90829" w:rsidRPr="00D01E5D" w:rsidRDefault="00D90829" w:rsidP="00F423B0">
            <w:pPr>
              <w:widowControl w:val="0"/>
              <w:spacing w:after="0" w:line="240" w:lineRule="auto"/>
              <w:rPr>
                <w:lang w:val="en-US"/>
              </w:rPr>
            </w:pPr>
            <w:r>
              <w:rPr>
                <w:rFonts w:eastAsia="Calibri"/>
                <w:lang w:val="en-US"/>
              </w:rPr>
              <w:t>non-</w:t>
            </w:r>
            <w:r w:rsidRPr="00D01E5D">
              <w:rPr>
                <w:rFonts w:eastAsia="Calibri"/>
                <w:lang w:val="en-US"/>
              </w:rPr>
              <w:t>relevant</w:t>
            </w:r>
          </w:p>
        </w:tc>
      </w:tr>
      <w:tr w:rsidR="00D90829" w:rsidRPr="00D01E5D" w14:paraId="5A492603" w14:textId="77777777" w:rsidTr="00D90829">
        <w:tc>
          <w:tcPr>
            <w:tcW w:w="1418" w:type="dxa"/>
            <w:vMerge w:val="restart"/>
          </w:tcPr>
          <w:p w14:paraId="58666F65" w14:textId="77777777" w:rsidR="00D90829" w:rsidRPr="00D01E5D" w:rsidRDefault="00D90829" w:rsidP="00F423B0">
            <w:pPr>
              <w:widowControl w:val="0"/>
              <w:spacing w:after="0" w:line="240" w:lineRule="auto"/>
              <w:rPr>
                <w:lang w:val="en-US"/>
              </w:rPr>
            </w:pPr>
            <w:r w:rsidRPr="00D01E5D">
              <w:rPr>
                <w:rFonts w:eastAsia="Calibri"/>
                <w:lang w:val="en-US"/>
              </w:rPr>
              <w:lastRenderedPageBreak/>
              <w:t>ground-truth</w:t>
            </w:r>
          </w:p>
        </w:tc>
        <w:tc>
          <w:tcPr>
            <w:tcW w:w="1417" w:type="dxa"/>
          </w:tcPr>
          <w:p w14:paraId="6CCC6016" w14:textId="77777777" w:rsidR="00D90829" w:rsidRPr="00D01E5D" w:rsidRDefault="00D90829" w:rsidP="00F423B0">
            <w:pPr>
              <w:widowControl w:val="0"/>
              <w:spacing w:after="0" w:line="240" w:lineRule="auto"/>
              <w:rPr>
                <w:lang w:val="en-US"/>
              </w:rPr>
            </w:pPr>
            <w:r w:rsidRPr="00D01E5D">
              <w:rPr>
                <w:rFonts w:eastAsia="Calibri"/>
                <w:lang w:val="en-US"/>
              </w:rPr>
              <w:t>relevant</w:t>
            </w:r>
          </w:p>
        </w:tc>
        <w:tc>
          <w:tcPr>
            <w:tcW w:w="3184" w:type="dxa"/>
          </w:tcPr>
          <w:p w14:paraId="778F297E" w14:textId="776C8BD6" w:rsidR="00D90829" w:rsidRPr="00D90829" w:rsidRDefault="00D90829" w:rsidP="00F423B0">
            <w:pPr>
              <w:widowControl w:val="0"/>
              <w:spacing w:after="0" w:line="240" w:lineRule="auto"/>
              <w:rPr>
                <w:shd w:val="clear" w:color="auto" w:fill="FFFF00"/>
              </w:rPr>
            </w:pPr>
            <w:r>
              <w:rPr>
                <w:rFonts w:eastAsia="Calibri"/>
                <w:lang w:val="en-US"/>
              </w:rPr>
              <w:t># true positive predictions (TP)</w:t>
            </w:r>
          </w:p>
        </w:tc>
        <w:tc>
          <w:tcPr>
            <w:tcW w:w="3043" w:type="dxa"/>
          </w:tcPr>
          <w:p w14:paraId="4A37D091" w14:textId="6BCB57F9" w:rsidR="00D90829" w:rsidRPr="00D90829" w:rsidRDefault="00D90829" w:rsidP="00F423B0">
            <w:pPr>
              <w:widowControl w:val="0"/>
              <w:spacing w:after="0" w:line="240" w:lineRule="auto"/>
              <w:rPr>
                <w:shd w:val="clear" w:color="auto" w:fill="FFFF00"/>
              </w:rPr>
            </w:pPr>
            <w:r>
              <w:rPr>
                <w:rFonts w:eastAsia="Calibri"/>
                <w:lang w:val="en-US"/>
              </w:rPr>
              <w:t># false positive predictions (FP)</w:t>
            </w:r>
          </w:p>
        </w:tc>
      </w:tr>
      <w:tr w:rsidR="00D90829" w:rsidRPr="00D01E5D" w14:paraId="2798ED57" w14:textId="77777777" w:rsidTr="00D90829">
        <w:tc>
          <w:tcPr>
            <w:tcW w:w="1418" w:type="dxa"/>
            <w:vMerge/>
          </w:tcPr>
          <w:p w14:paraId="43442B0A" w14:textId="77777777" w:rsidR="00D90829" w:rsidRPr="00D01E5D" w:rsidRDefault="00D90829" w:rsidP="00F423B0">
            <w:pPr>
              <w:widowControl w:val="0"/>
              <w:spacing w:after="0" w:line="240" w:lineRule="auto"/>
              <w:rPr>
                <w:lang w:val="en-US"/>
              </w:rPr>
            </w:pPr>
          </w:p>
        </w:tc>
        <w:tc>
          <w:tcPr>
            <w:tcW w:w="1417" w:type="dxa"/>
          </w:tcPr>
          <w:p w14:paraId="2933F254" w14:textId="77777777" w:rsidR="00D90829" w:rsidRPr="00D01E5D" w:rsidRDefault="00D90829" w:rsidP="00F423B0">
            <w:pPr>
              <w:widowControl w:val="0"/>
              <w:spacing w:after="0" w:line="240" w:lineRule="auto"/>
              <w:rPr>
                <w:lang w:val="en-US"/>
              </w:rPr>
            </w:pPr>
            <w:r>
              <w:rPr>
                <w:rFonts w:eastAsia="Calibri"/>
                <w:lang w:val="en-US"/>
              </w:rPr>
              <w:t>non-</w:t>
            </w:r>
            <w:r w:rsidRPr="00D01E5D">
              <w:rPr>
                <w:rFonts w:eastAsia="Calibri"/>
                <w:lang w:val="en-US"/>
              </w:rPr>
              <w:t>relevant</w:t>
            </w:r>
          </w:p>
        </w:tc>
        <w:tc>
          <w:tcPr>
            <w:tcW w:w="3184" w:type="dxa"/>
          </w:tcPr>
          <w:p w14:paraId="48E4563C" w14:textId="7A1EE8BE" w:rsidR="00D90829" w:rsidRPr="00D90829" w:rsidRDefault="00D90829" w:rsidP="00F423B0">
            <w:pPr>
              <w:widowControl w:val="0"/>
              <w:spacing w:after="0" w:line="240" w:lineRule="auto"/>
              <w:rPr>
                <w:shd w:val="clear" w:color="auto" w:fill="FFFF00"/>
              </w:rPr>
            </w:pPr>
            <w:r>
              <w:rPr>
                <w:rFonts w:eastAsia="Calibri"/>
                <w:lang w:val="en-US"/>
              </w:rPr>
              <w:t># false negative predictions (FN)</w:t>
            </w:r>
          </w:p>
        </w:tc>
        <w:tc>
          <w:tcPr>
            <w:tcW w:w="3043" w:type="dxa"/>
          </w:tcPr>
          <w:p w14:paraId="7ACD0DD7" w14:textId="2C0AB9E6" w:rsidR="00D90829" w:rsidRPr="00D90829" w:rsidRDefault="00D90829" w:rsidP="00F423B0">
            <w:pPr>
              <w:widowControl w:val="0"/>
              <w:spacing w:after="0" w:line="240" w:lineRule="auto"/>
              <w:rPr>
                <w:shd w:val="clear" w:color="auto" w:fill="FFFF00"/>
              </w:rPr>
            </w:pPr>
            <w:r>
              <w:rPr>
                <w:rFonts w:eastAsia="Calibri"/>
                <w:lang w:val="en-US"/>
              </w:rPr>
              <w:t># true negative predictions (TN)</w:t>
            </w:r>
          </w:p>
        </w:tc>
      </w:tr>
    </w:tbl>
    <w:p w14:paraId="4D214099" w14:textId="34E50A67" w:rsidR="00D90829" w:rsidRDefault="00D90829">
      <w:pPr>
        <w:rPr>
          <w:lang w:val="en-US"/>
        </w:rPr>
      </w:pPr>
    </w:p>
    <w:p w14:paraId="3CA3BD93" w14:textId="39DA15EB" w:rsidR="00D90829" w:rsidRDefault="00D90829">
      <w:pPr>
        <w:rPr>
          <w:lang w:val="en-US"/>
        </w:rPr>
      </w:pPr>
      <w:r>
        <w:rPr>
          <w:lang w:val="en-US"/>
        </w:rPr>
        <w:t>From this comparison, we calculated the precision, and recall</w:t>
      </w:r>
      <w:r w:rsidR="00303FCD">
        <w:rPr>
          <w:lang w:val="en-US"/>
        </w:rPr>
        <w:t xml:space="preserve">. </w:t>
      </w:r>
      <w:r w:rsidR="00C90EFA">
        <w:rPr>
          <w:lang w:val="en-US"/>
        </w:rPr>
        <w:t>Precision (equation 1)</w:t>
      </w:r>
      <w:r w:rsidR="00303FCD">
        <w:rPr>
          <w:lang w:val="en-US"/>
        </w:rPr>
        <w:t xml:space="preserve"> describes whether members predicted as positives (i.e., relevant molecules) are correct (equation 2), and recall describes the capability to find all members of the positive group (equation 3).</w:t>
      </w:r>
    </w:p>
    <w:p w14:paraId="5FC6522B" w14:textId="6897A9F9" w:rsidR="00303FCD" w:rsidRDefault="00303FCD">
      <w:pPr>
        <w:rPr>
          <w:rFonts w:eastAsiaTheme="minorEastAsia"/>
          <w:lang w:val="en-US"/>
        </w:rPr>
      </w:pPr>
      <m:oMath>
        <m:r>
          <w:rPr>
            <w:rFonts w:ascii="Cambria Math" w:hAnsi="Cambria Math"/>
            <w:lang w:val="en-US"/>
          </w:rPr>
          <m:t>Precision=</m:t>
        </m:r>
        <m:f>
          <m:fPr>
            <m:ctrlPr>
              <w:rPr>
                <w:rFonts w:ascii="Cambria Math" w:hAnsi="Cambria Math"/>
                <w:i/>
                <w:lang w:val="en-US"/>
              </w:rPr>
            </m:ctrlPr>
          </m:fPr>
          <m:num>
            <m:r>
              <w:rPr>
                <w:rFonts w:ascii="Cambria Math" w:hAnsi="Cambria Math"/>
                <w:lang w:val="en-US"/>
              </w:rPr>
              <m:t>true positive predictions</m:t>
            </m:r>
          </m:num>
          <m:den>
            <m:r>
              <w:rPr>
                <w:rFonts w:ascii="Cambria Math" w:hAnsi="Cambria Math"/>
                <w:lang w:val="en-US"/>
              </w:rPr>
              <m:t>all positive predictions</m:t>
            </m:r>
          </m:den>
        </m:f>
        <m: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TP</m:t>
            </m:r>
          </m:num>
          <m:den>
            <m:r>
              <w:rPr>
                <w:rFonts w:ascii="Cambria Math" w:eastAsiaTheme="minorEastAsia" w:hAnsi="Cambria Math"/>
                <w:lang w:val="en-US"/>
              </w:rPr>
              <m:t>TP+FP</m:t>
            </m:r>
          </m:den>
        </m:f>
      </m:oMath>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r>
      <w:r>
        <w:rPr>
          <w:rFonts w:eastAsiaTheme="minorEastAsia"/>
          <w:lang w:val="en-US"/>
        </w:rPr>
        <w:tab/>
        <w:t>(</w:t>
      </w:r>
      <w:r w:rsidR="00C90EFA">
        <w:rPr>
          <w:rFonts w:eastAsiaTheme="minorEastAsia"/>
          <w:lang w:val="en-US"/>
        </w:rPr>
        <w:t>1</w:t>
      </w:r>
      <w:r>
        <w:rPr>
          <w:rFonts w:eastAsiaTheme="minorEastAsia"/>
          <w:lang w:val="en-US"/>
        </w:rPr>
        <w:t>)</w:t>
      </w:r>
    </w:p>
    <w:p w14:paraId="7F81CC5A" w14:textId="1F3A87B2" w:rsidR="00303FCD" w:rsidRDefault="00303FCD">
      <w:pPr>
        <w:rPr>
          <w:rFonts w:eastAsiaTheme="minorEastAsia"/>
          <w:lang w:val="en-US"/>
        </w:rPr>
      </w:pPr>
      <m:oMath>
        <m:r>
          <w:rPr>
            <w:rFonts w:ascii="Cambria Math" w:hAnsi="Cambria Math"/>
            <w:lang w:val="en-US"/>
          </w:rPr>
          <m:t>Recall=</m:t>
        </m:r>
        <m:f>
          <m:fPr>
            <m:ctrlPr>
              <w:rPr>
                <w:rFonts w:ascii="Cambria Math" w:hAnsi="Cambria Math"/>
                <w:i/>
                <w:lang w:val="en-US"/>
              </w:rPr>
            </m:ctrlPr>
          </m:fPr>
          <m:num>
            <m:r>
              <w:rPr>
                <w:rFonts w:ascii="Cambria Math" w:hAnsi="Cambria Math"/>
                <w:lang w:val="en-US"/>
              </w:rPr>
              <m:t>true positive predictions</m:t>
            </m:r>
          </m:num>
          <m:den>
            <m:r>
              <w:rPr>
                <w:rFonts w:ascii="Cambria Math" w:hAnsi="Cambria Math"/>
                <w:lang w:val="en-US"/>
              </w:rPr>
              <m:t>ground truth positives</m:t>
            </m:r>
          </m:den>
        </m:f>
        <m: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TP</m:t>
            </m:r>
          </m:num>
          <m:den>
            <m:r>
              <w:rPr>
                <w:rFonts w:ascii="Cambria Math" w:eastAsiaTheme="minorEastAsia" w:hAnsi="Cambria Math"/>
                <w:lang w:val="en-US"/>
              </w:rPr>
              <m:t>TP+FN</m:t>
            </m:r>
          </m:den>
        </m:f>
      </m:oMath>
      <w:r w:rsidR="003F5439">
        <w:rPr>
          <w:rFonts w:eastAsiaTheme="minorEastAsia"/>
          <w:lang w:val="en-US"/>
        </w:rPr>
        <w:tab/>
      </w:r>
      <w:r w:rsidR="003F5439">
        <w:rPr>
          <w:rFonts w:eastAsiaTheme="minorEastAsia"/>
          <w:lang w:val="en-US"/>
        </w:rPr>
        <w:tab/>
      </w:r>
      <w:r w:rsidR="003F5439">
        <w:rPr>
          <w:rFonts w:eastAsiaTheme="minorEastAsia"/>
          <w:lang w:val="en-US"/>
        </w:rPr>
        <w:tab/>
      </w:r>
      <w:r w:rsidR="003F5439">
        <w:rPr>
          <w:rFonts w:eastAsiaTheme="minorEastAsia"/>
          <w:lang w:val="en-US"/>
        </w:rPr>
        <w:tab/>
      </w:r>
      <w:r w:rsidR="003F5439">
        <w:rPr>
          <w:rFonts w:eastAsiaTheme="minorEastAsia"/>
          <w:lang w:val="en-US"/>
        </w:rPr>
        <w:tab/>
      </w:r>
      <w:r w:rsidR="003F5439">
        <w:rPr>
          <w:rFonts w:eastAsiaTheme="minorEastAsia"/>
          <w:lang w:val="en-US"/>
        </w:rPr>
        <w:tab/>
      </w:r>
      <w:r w:rsidR="003F5439">
        <w:rPr>
          <w:rFonts w:eastAsiaTheme="minorEastAsia"/>
          <w:lang w:val="en-US"/>
        </w:rPr>
        <w:tab/>
        <w:t>(</w:t>
      </w:r>
      <w:r w:rsidR="00C90EFA">
        <w:rPr>
          <w:rFonts w:eastAsiaTheme="minorEastAsia"/>
          <w:lang w:val="en-US"/>
        </w:rPr>
        <w:t>2</w:t>
      </w:r>
      <w:r w:rsidR="003F5439">
        <w:rPr>
          <w:rFonts w:eastAsiaTheme="minorEastAsia"/>
          <w:lang w:val="en-US"/>
        </w:rPr>
        <w:t>)</w:t>
      </w:r>
    </w:p>
    <w:p w14:paraId="1DFB2B1D" w14:textId="2F907B8E" w:rsidR="00F73DE2" w:rsidRPr="00303FCD" w:rsidRDefault="00F73DE2">
      <w:pPr>
        <w:rPr>
          <w:lang w:val="en-US"/>
        </w:rPr>
      </w:pPr>
      <w:r>
        <w:rPr>
          <w:rFonts w:eastAsiaTheme="minorEastAsia"/>
          <w:lang w:val="en-US"/>
        </w:rPr>
        <w:t>All three metrics describe ratios and range from 0 to 1 (the higher, the better). A precision of 0 for example, means that only non-relevant molecules were predicted as relevant, while 1 means that all predicted relevant molecules are indeed relevant. Likewise, a recall of 1 means that all relevant molecules were predicted as relevant, 0 means all relevant molecules were predicted as non-relevant.</w:t>
      </w:r>
    </w:p>
    <w:p w14:paraId="084F21D5" w14:textId="77777777" w:rsidR="00180FF7" w:rsidRPr="00D01E5D" w:rsidRDefault="00000000">
      <w:pPr>
        <w:pStyle w:val="berschrift2"/>
        <w:numPr>
          <w:ilvl w:val="1"/>
          <w:numId w:val="2"/>
        </w:numPr>
        <w:rPr>
          <w:lang w:val="en-US"/>
        </w:rPr>
      </w:pPr>
      <w:proofErr w:type="spellStart"/>
      <w:r w:rsidRPr="00D01E5D">
        <w:rPr>
          <w:lang w:val="en-US"/>
        </w:rPr>
        <w:t>OMEx</w:t>
      </w:r>
      <w:proofErr w:type="spellEnd"/>
      <w:r w:rsidRPr="00D01E5D">
        <w:rPr>
          <w:lang w:val="en-US"/>
        </w:rPr>
        <w:t xml:space="preserve"> – Filter only</w:t>
      </w:r>
    </w:p>
    <w:p w14:paraId="5ED18D04" w14:textId="0886AC90" w:rsidR="00180FF7" w:rsidRPr="00D01E5D" w:rsidRDefault="00000000">
      <w:pPr>
        <w:rPr>
          <w:lang w:val="en-US"/>
        </w:rPr>
      </w:pPr>
      <w:r w:rsidRPr="00D01E5D">
        <w:rPr>
          <w:lang w:val="en-US"/>
        </w:rPr>
        <w:t xml:space="preserve">The derived </w:t>
      </w:r>
      <w:r w:rsidR="00CC0297" w:rsidRPr="00D01E5D">
        <w:rPr>
          <w:lang w:val="en-US"/>
        </w:rPr>
        <w:t>c</w:t>
      </w:r>
      <w:r w:rsidRPr="00D01E5D">
        <w:rPr>
          <w:lang w:val="en-US"/>
        </w:rPr>
        <w:t xml:space="preserve">onfusion </w:t>
      </w:r>
      <w:r w:rsidR="00CC0297" w:rsidRPr="00D01E5D">
        <w:rPr>
          <w:lang w:val="en-US"/>
        </w:rPr>
        <w:t>m</w:t>
      </w:r>
      <w:r w:rsidRPr="00D01E5D">
        <w:rPr>
          <w:lang w:val="en-US"/>
        </w:rPr>
        <w:t xml:space="preserve">atrix for the filter-only strategy can be found in </w:t>
      </w:r>
      <w:r w:rsidR="00B662DA" w:rsidRPr="00D01E5D">
        <w:rPr>
          <w:lang w:val="en-US"/>
        </w:rPr>
        <w:t>t</w:t>
      </w:r>
      <w:r w:rsidRPr="00D01E5D">
        <w:rPr>
          <w:lang w:val="en-US"/>
        </w:rPr>
        <w:t>able 1.</w:t>
      </w:r>
      <w:r w:rsidR="00866F87">
        <w:rPr>
          <w:lang w:val="en-US"/>
        </w:rPr>
        <w:t xml:space="preserve"> The overall accuracy of the filter is high (0.97), however it</w:t>
      </w:r>
      <w:r w:rsidRPr="00D01E5D">
        <w:rPr>
          <w:lang w:val="en-US"/>
        </w:rPr>
        <w:t xml:space="preserve"> rather reports too many features as too few, as demonstrated by the high recall of 1 and the low precision of 0</w:t>
      </w:r>
      <w:bookmarkStart w:id="1" w:name="cwos"/>
      <w:bookmarkEnd w:id="1"/>
      <w:r w:rsidRPr="00D01E5D">
        <w:rPr>
          <w:lang w:val="en-US"/>
        </w:rPr>
        <w:t>.75. These extreme results originate from the near optimal design of the synthetic data set generator (only white-noise, no additional ‘hidden’ processes, ‘statistically perfect’ distributions, etc.). Yet, these results also imply that automatic thresholding by classification accuracy is a viable selection strategy and that the implementation of the proposed tool works in its intended way.</w:t>
      </w:r>
    </w:p>
    <w:p w14:paraId="281BCBD7" w14:textId="0A18A875" w:rsidR="00180FF7" w:rsidRPr="00D01E5D" w:rsidRDefault="00000000">
      <w:pPr>
        <w:pStyle w:val="Beschriftung"/>
        <w:rPr>
          <w:lang w:val="en-US"/>
        </w:rPr>
      </w:pPr>
      <w:r w:rsidRPr="00D01E5D">
        <w:rPr>
          <w:lang w:val="en-US"/>
        </w:rPr>
        <w:t xml:space="preserve">Table </w:t>
      </w:r>
      <w:r w:rsidR="00D90829">
        <w:rPr>
          <w:lang w:val="en-US"/>
        </w:rPr>
        <w:t>2</w:t>
      </w:r>
      <w:r w:rsidRPr="00D01E5D">
        <w:rPr>
          <w:lang w:val="en-US"/>
        </w:rPr>
        <w:t xml:space="preserve"> </w:t>
      </w:r>
      <w:r w:rsidR="00F607BD" w:rsidRPr="00F607BD">
        <w:rPr>
          <w:lang w:val="en-US"/>
        </w:rPr>
        <w:t>Confusion matrix derived from the sampling and the filter stage.</w:t>
      </w:r>
      <w:r w:rsidR="006C1E36">
        <w:rPr>
          <w:lang w:val="en-US"/>
        </w:rPr>
        <w:t xml:space="preserve"> Entries are the cumulated results of molecule selections from 100 datasets including 50 molecules and 60 samples.</w:t>
      </w:r>
      <w:r w:rsidR="00F607BD" w:rsidRPr="00F607BD">
        <w:rPr>
          <w:lang w:val="en-US"/>
        </w:rPr>
        <w:t xml:space="preserve"> The filter stage rather reports too many molecules as too few.</w:t>
      </w:r>
    </w:p>
    <w:tbl>
      <w:tblPr>
        <w:tblStyle w:val="Tabellenraster"/>
        <w:tblW w:w="9062" w:type="dxa"/>
        <w:tblInd w:w="108" w:type="dxa"/>
        <w:tblLayout w:type="fixed"/>
        <w:tblLook w:val="04A0" w:firstRow="1" w:lastRow="0" w:firstColumn="1" w:lastColumn="0" w:noHBand="0" w:noVBand="1"/>
      </w:tblPr>
      <w:tblGrid>
        <w:gridCol w:w="1560"/>
        <w:gridCol w:w="1416"/>
        <w:gridCol w:w="3043"/>
        <w:gridCol w:w="3043"/>
      </w:tblGrid>
      <w:tr w:rsidR="00180FF7" w:rsidRPr="00D01E5D" w14:paraId="1EA05347" w14:textId="77777777">
        <w:tc>
          <w:tcPr>
            <w:tcW w:w="1559" w:type="dxa"/>
            <w:tcBorders>
              <w:top w:val="nil"/>
              <w:left w:val="nil"/>
              <w:bottom w:val="nil"/>
              <w:right w:val="nil"/>
            </w:tcBorders>
          </w:tcPr>
          <w:p w14:paraId="4D67B479" w14:textId="77777777" w:rsidR="00180FF7" w:rsidRPr="00D01E5D" w:rsidRDefault="00180FF7">
            <w:pPr>
              <w:widowControl w:val="0"/>
              <w:spacing w:after="0" w:line="240" w:lineRule="auto"/>
              <w:rPr>
                <w:lang w:val="en-US"/>
              </w:rPr>
            </w:pPr>
          </w:p>
        </w:tc>
        <w:tc>
          <w:tcPr>
            <w:tcW w:w="1416" w:type="dxa"/>
            <w:tcBorders>
              <w:top w:val="nil"/>
              <w:left w:val="nil"/>
              <w:bottom w:val="nil"/>
            </w:tcBorders>
          </w:tcPr>
          <w:p w14:paraId="1E8356BB" w14:textId="77777777" w:rsidR="00180FF7" w:rsidRPr="00D01E5D" w:rsidRDefault="00180FF7">
            <w:pPr>
              <w:widowControl w:val="0"/>
              <w:spacing w:after="0" w:line="240" w:lineRule="auto"/>
              <w:rPr>
                <w:lang w:val="en-US"/>
              </w:rPr>
            </w:pPr>
          </w:p>
        </w:tc>
        <w:tc>
          <w:tcPr>
            <w:tcW w:w="6086" w:type="dxa"/>
            <w:gridSpan w:val="2"/>
          </w:tcPr>
          <w:p w14:paraId="2FA3166E" w14:textId="77777777" w:rsidR="00180FF7" w:rsidRPr="00D01E5D" w:rsidRDefault="00000000">
            <w:pPr>
              <w:widowControl w:val="0"/>
              <w:spacing w:after="0" w:line="240" w:lineRule="auto"/>
              <w:rPr>
                <w:lang w:val="en-US"/>
              </w:rPr>
            </w:pPr>
            <w:r w:rsidRPr="00D01E5D">
              <w:rPr>
                <w:rFonts w:eastAsia="Calibri"/>
                <w:lang w:val="en-US"/>
              </w:rPr>
              <w:t>prediction</w:t>
            </w:r>
          </w:p>
        </w:tc>
      </w:tr>
      <w:tr w:rsidR="00180FF7" w:rsidRPr="00D01E5D" w14:paraId="7CDE4171" w14:textId="77777777">
        <w:tc>
          <w:tcPr>
            <w:tcW w:w="1559" w:type="dxa"/>
            <w:tcBorders>
              <w:top w:val="nil"/>
              <w:left w:val="nil"/>
              <w:right w:val="nil"/>
            </w:tcBorders>
          </w:tcPr>
          <w:p w14:paraId="07A7920E" w14:textId="77777777" w:rsidR="00180FF7" w:rsidRPr="00D01E5D" w:rsidRDefault="00180FF7">
            <w:pPr>
              <w:widowControl w:val="0"/>
              <w:spacing w:after="0" w:line="240" w:lineRule="auto"/>
              <w:rPr>
                <w:lang w:val="en-US"/>
              </w:rPr>
            </w:pPr>
          </w:p>
        </w:tc>
        <w:tc>
          <w:tcPr>
            <w:tcW w:w="1416" w:type="dxa"/>
            <w:tcBorders>
              <w:top w:val="nil"/>
              <w:left w:val="nil"/>
            </w:tcBorders>
          </w:tcPr>
          <w:p w14:paraId="429ACC99" w14:textId="77777777" w:rsidR="00180FF7" w:rsidRPr="00D01E5D" w:rsidRDefault="00180FF7">
            <w:pPr>
              <w:widowControl w:val="0"/>
              <w:spacing w:after="0" w:line="240" w:lineRule="auto"/>
              <w:rPr>
                <w:lang w:val="en-US"/>
              </w:rPr>
            </w:pPr>
          </w:p>
        </w:tc>
        <w:tc>
          <w:tcPr>
            <w:tcW w:w="3043" w:type="dxa"/>
          </w:tcPr>
          <w:p w14:paraId="47A7D52F"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0CAA507B" w14:textId="4E9AB086"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r>
      <w:tr w:rsidR="00180FF7" w:rsidRPr="00D01E5D" w14:paraId="4B20DC2C" w14:textId="77777777">
        <w:tc>
          <w:tcPr>
            <w:tcW w:w="1559" w:type="dxa"/>
            <w:vMerge w:val="restart"/>
          </w:tcPr>
          <w:p w14:paraId="7581862E" w14:textId="77777777" w:rsidR="00180FF7" w:rsidRPr="00D01E5D" w:rsidRDefault="00000000">
            <w:pPr>
              <w:widowControl w:val="0"/>
              <w:spacing w:after="0" w:line="240" w:lineRule="auto"/>
              <w:rPr>
                <w:lang w:val="en-US"/>
              </w:rPr>
            </w:pPr>
            <w:r w:rsidRPr="00D01E5D">
              <w:rPr>
                <w:rFonts w:eastAsia="Calibri"/>
                <w:lang w:val="en-US"/>
              </w:rPr>
              <w:t>ground-truth</w:t>
            </w:r>
          </w:p>
        </w:tc>
        <w:tc>
          <w:tcPr>
            <w:tcW w:w="1416" w:type="dxa"/>
          </w:tcPr>
          <w:p w14:paraId="050595EA"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4254E795" w14:textId="4B55DFA7" w:rsidR="00180FF7" w:rsidRPr="00D01E5D" w:rsidRDefault="00AA6FFE">
            <w:pPr>
              <w:widowControl w:val="0"/>
              <w:spacing w:after="0" w:line="240" w:lineRule="auto"/>
              <w:rPr>
                <w:shd w:val="clear" w:color="auto" w:fill="FFFF00"/>
              </w:rPr>
            </w:pPr>
            <w:r>
              <w:rPr>
                <w:rFonts w:eastAsia="Calibri"/>
                <w:lang w:val="en-US"/>
              </w:rPr>
              <w:t>440</w:t>
            </w:r>
          </w:p>
        </w:tc>
        <w:tc>
          <w:tcPr>
            <w:tcW w:w="3043" w:type="dxa"/>
          </w:tcPr>
          <w:p w14:paraId="4E451419" w14:textId="4AA580B4" w:rsidR="00180FF7" w:rsidRPr="00D01E5D" w:rsidRDefault="00AA6FFE">
            <w:pPr>
              <w:widowControl w:val="0"/>
              <w:spacing w:after="0" w:line="240" w:lineRule="auto"/>
              <w:rPr>
                <w:shd w:val="clear" w:color="auto" w:fill="FFFF00"/>
              </w:rPr>
            </w:pPr>
            <w:r>
              <w:rPr>
                <w:rFonts w:eastAsia="Calibri"/>
                <w:lang w:val="en-US"/>
              </w:rPr>
              <w:t>141</w:t>
            </w:r>
          </w:p>
        </w:tc>
      </w:tr>
      <w:tr w:rsidR="00180FF7" w:rsidRPr="00D01E5D" w14:paraId="4D6F2E80" w14:textId="77777777">
        <w:tc>
          <w:tcPr>
            <w:tcW w:w="1559" w:type="dxa"/>
            <w:vMerge/>
          </w:tcPr>
          <w:p w14:paraId="46AB5CB3" w14:textId="77777777" w:rsidR="00180FF7" w:rsidRPr="00D01E5D" w:rsidRDefault="00180FF7">
            <w:pPr>
              <w:widowControl w:val="0"/>
              <w:spacing w:after="0" w:line="240" w:lineRule="auto"/>
              <w:rPr>
                <w:lang w:val="en-US"/>
              </w:rPr>
            </w:pPr>
          </w:p>
        </w:tc>
        <w:tc>
          <w:tcPr>
            <w:tcW w:w="1416" w:type="dxa"/>
          </w:tcPr>
          <w:p w14:paraId="37101B44" w14:textId="4B06008F"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c>
          <w:tcPr>
            <w:tcW w:w="3043" w:type="dxa"/>
          </w:tcPr>
          <w:p w14:paraId="7FF2CA2E" w14:textId="7DE9383E" w:rsidR="00180FF7" w:rsidRPr="00D01E5D" w:rsidRDefault="00AA6FFE">
            <w:pPr>
              <w:widowControl w:val="0"/>
              <w:spacing w:after="0" w:line="240" w:lineRule="auto"/>
              <w:rPr>
                <w:shd w:val="clear" w:color="auto" w:fill="FFFF00"/>
              </w:rPr>
            </w:pPr>
            <w:r>
              <w:rPr>
                <w:rFonts w:eastAsia="Calibri"/>
                <w:lang w:val="en-US"/>
              </w:rPr>
              <w:t>0</w:t>
            </w:r>
          </w:p>
        </w:tc>
        <w:tc>
          <w:tcPr>
            <w:tcW w:w="3043" w:type="dxa"/>
          </w:tcPr>
          <w:p w14:paraId="204335AF" w14:textId="060C5DE7" w:rsidR="00180FF7" w:rsidRPr="00D01E5D" w:rsidRDefault="00AA6FFE">
            <w:pPr>
              <w:widowControl w:val="0"/>
              <w:spacing w:after="0" w:line="240" w:lineRule="auto"/>
              <w:rPr>
                <w:shd w:val="clear" w:color="auto" w:fill="FFFF00"/>
              </w:rPr>
            </w:pPr>
            <w:r>
              <w:rPr>
                <w:rFonts w:eastAsia="Calibri"/>
                <w:lang w:val="en-US"/>
              </w:rPr>
              <w:t>4,419</w:t>
            </w:r>
          </w:p>
        </w:tc>
      </w:tr>
    </w:tbl>
    <w:p w14:paraId="3D57B99E" w14:textId="77777777" w:rsidR="00180FF7" w:rsidRDefault="00000000">
      <w:pPr>
        <w:pStyle w:val="berschrift2"/>
        <w:numPr>
          <w:ilvl w:val="1"/>
          <w:numId w:val="2"/>
        </w:numPr>
        <w:rPr>
          <w:lang w:val="en-US"/>
        </w:rPr>
      </w:pPr>
      <w:proofErr w:type="spellStart"/>
      <w:r w:rsidRPr="00D01E5D">
        <w:rPr>
          <w:lang w:val="en-US"/>
        </w:rPr>
        <w:t>OMEx</w:t>
      </w:r>
      <w:proofErr w:type="spellEnd"/>
      <w:r w:rsidRPr="00D01E5D">
        <w:rPr>
          <w:lang w:val="en-US"/>
        </w:rPr>
        <w:t xml:space="preserve"> – Wrapper only</w:t>
      </w:r>
    </w:p>
    <w:p w14:paraId="6978C96C" w14:textId="46CE716A" w:rsidR="00180FF7" w:rsidRPr="00D01E5D" w:rsidRDefault="00000000">
      <w:pPr>
        <w:rPr>
          <w:lang w:val="en-US"/>
        </w:rPr>
      </w:pPr>
      <w:r w:rsidRPr="00D01E5D">
        <w:rPr>
          <w:lang w:val="en-US"/>
        </w:rPr>
        <w:t xml:space="preserve">The derived </w:t>
      </w:r>
      <w:r w:rsidR="00CC0297" w:rsidRPr="00D01E5D">
        <w:rPr>
          <w:lang w:val="en-US"/>
        </w:rPr>
        <w:t>c</w:t>
      </w:r>
      <w:r w:rsidRPr="00D01E5D">
        <w:rPr>
          <w:lang w:val="en-US"/>
        </w:rPr>
        <w:t xml:space="preserve">onfusion </w:t>
      </w:r>
      <w:r w:rsidR="00CC0297" w:rsidRPr="00D01E5D">
        <w:rPr>
          <w:lang w:val="en-US"/>
        </w:rPr>
        <w:t>m</w:t>
      </w:r>
      <w:r w:rsidRPr="00D01E5D">
        <w:rPr>
          <w:lang w:val="en-US"/>
        </w:rPr>
        <w:t xml:space="preserve">atrix for the wrapper-only strategy can be found in </w:t>
      </w:r>
      <w:r w:rsidR="00B662DA" w:rsidRPr="00D01E5D">
        <w:rPr>
          <w:lang w:val="en-US"/>
        </w:rPr>
        <w:t>t</w:t>
      </w:r>
      <w:r w:rsidRPr="00D01E5D">
        <w:rPr>
          <w:lang w:val="en-US"/>
        </w:rPr>
        <w:t>able 2.</w:t>
      </w:r>
      <w:r w:rsidR="00866F87">
        <w:rPr>
          <w:lang w:val="en-US"/>
        </w:rPr>
        <w:t xml:space="preserve"> Still the accuracy is high with a value of 0.96 but it</w:t>
      </w:r>
      <w:r w:rsidRPr="00D01E5D">
        <w:rPr>
          <w:lang w:val="en-US"/>
        </w:rPr>
        <w:t xml:space="preserve"> can be stated that the wrapper rather reports too few features as too many, as demonstrated by the low recall of 0.63 and high precision of 0.88. These results indicate that this </w:t>
      </w:r>
      <w:r w:rsidR="00B662DA" w:rsidRPr="00D01E5D">
        <w:rPr>
          <w:lang w:val="en-US"/>
        </w:rPr>
        <w:t>molecule</w:t>
      </w:r>
      <w:r w:rsidRPr="00D01E5D">
        <w:rPr>
          <w:lang w:val="en-US"/>
        </w:rPr>
        <w:t xml:space="preserve"> selection is a suboptimal strategy to identify all relevant features. Even</w:t>
      </w:r>
      <w:r w:rsidR="00B662DA" w:rsidRPr="00D01E5D">
        <w:rPr>
          <w:lang w:val="en-US"/>
        </w:rPr>
        <w:t xml:space="preserve"> </w:t>
      </w:r>
      <w:r w:rsidRPr="00D01E5D">
        <w:rPr>
          <w:lang w:val="en-US"/>
        </w:rPr>
        <w:t xml:space="preserve">though, the </w:t>
      </w:r>
      <w:r w:rsidR="00866F87">
        <w:rPr>
          <w:lang w:val="en-US"/>
        </w:rPr>
        <w:t>precision</w:t>
      </w:r>
      <w:r w:rsidRPr="00D01E5D">
        <w:rPr>
          <w:lang w:val="en-US"/>
        </w:rPr>
        <w:t xml:space="preserve"> is considerably higher compared to the filter, most of the relevant features will not be reported. Furthermore, the computing time is significantly higher and </w:t>
      </w:r>
      <w:r w:rsidR="00866F87">
        <w:rPr>
          <w:lang w:val="en-US"/>
        </w:rPr>
        <w:t>becomes not practical for more than 150 molecules</w:t>
      </w:r>
      <w:r w:rsidRPr="00D01E5D">
        <w:rPr>
          <w:lang w:val="en-US"/>
        </w:rPr>
        <w:t>.</w:t>
      </w:r>
    </w:p>
    <w:p w14:paraId="59D42B12" w14:textId="373334FA" w:rsidR="00180FF7" w:rsidRPr="00D01E5D" w:rsidRDefault="00000000">
      <w:pPr>
        <w:pStyle w:val="Beschriftung"/>
        <w:rPr>
          <w:lang w:val="en-US"/>
        </w:rPr>
      </w:pPr>
      <w:r w:rsidRPr="00D01E5D">
        <w:rPr>
          <w:lang w:val="en-US"/>
        </w:rPr>
        <w:t xml:space="preserve">Table </w:t>
      </w:r>
      <w:r w:rsidR="00D90829">
        <w:rPr>
          <w:lang w:val="en-US"/>
        </w:rPr>
        <w:t>3</w:t>
      </w:r>
      <w:r w:rsidRPr="00D01E5D">
        <w:rPr>
          <w:lang w:val="en-US"/>
        </w:rPr>
        <w:t xml:space="preserve"> </w:t>
      </w:r>
      <w:r w:rsidR="00F607BD" w:rsidRPr="00F607BD">
        <w:rPr>
          <w:lang w:val="en-US"/>
        </w:rPr>
        <w:t>Confusion matrix derived from the sampling and the wrapper approach.</w:t>
      </w:r>
      <w:r w:rsidR="006C1E36">
        <w:rPr>
          <w:lang w:val="en-US"/>
        </w:rPr>
        <w:t xml:space="preserve"> Entries are the cumulated results of molecule selections from 100 datasets including 50 molecules and 60 samples.</w:t>
      </w:r>
      <w:r w:rsidR="00F607BD" w:rsidRPr="00F607BD">
        <w:rPr>
          <w:lang w:val="en-US"/>
        </w:rPr>
        <w:t xml:space="preserve"> The wrapper stage rather reports too few molecules as too many.</w:t>
      </w:r>
    </w:p>
    <w:tbl>
      <w:tblPr>
        <w:tblStyle w:val="Tabellenraster"/>
        <w:tblW w:w="9062" w:type="dxa"/>
        <w:tblInd w:w="108" w:type="dxa"/>
        <w:tblLayout w:type="fixed"/>
        <w:tblLook w:val="04A0" w:firstRow="1" w:lastRow="0" w:firstColumn="1" w:lastColumn="0" w:noHBand="0" w:noVBand="1"/>
      </w:tblPr>
      <w:tblGrid>
        <w:gridCol w:w="1560"/>
        <w:gridCol w:w="1416"/>
        <w:gridCol w:w="3043"/>
        <w:gridCol w:w="3043"/>
      </w:tblGrid>
      <w:tr w:rsidR="00180FF7" w:rsidRPr="00D01E5D" w14:paraId="61230516" w14:textId="77777777">
        <w:tc>
          <w:tcPr>
            <w:tcW w:w="1559" w:type="dxa"/>
            <w:tcBorders>
              <w:top w:val="nil"/>
              <w:left w:val="nil"/>
              <w:bottom w:val="nil"/>
              <w:right w:val="nil"/>
            </w:tcBorders>
          </w:tcPr>
          <w:p w14:paraId="3B852E87" w14:textId="77777777" w:rsidR="00180FF7" w:rsidRPr="00D01E5D" w:rsidRDefault="00180FF7">
            <w:pPr>
              <w:widowControl w:val="0"/>
              <w:spacing w:after="0" w:line="240" w:lineRule="auto"/>
              <w:rPr>
                <w:lang w:val="en-US"/>
              </w:rPr>
            </w:pPr>
          </w:p>
        </w:tc>
        <w:tc>
          <w:tcPr>
            <w:tcW w:w="1416" w:type="dxa"/>
            <w:tcBorders>
              <w:top w:val="nil"/>
              <w:left w:val="nil"/>
              <w:bottom w:val="nil"/>
            </w:tcBorders>
          </w:tcPr>
          <w:p w14:paraId="7F56B47A" w14:textId="77777777" w:rsidR="00180FF7" w:rsidRPr="00D01E5D" w:rsidRDefault="00180FF7">
            <w:pPr>
              <w:widowControl w:val="0"/>
              <w:spacing w:after="0" w:line="240" w:lineRule="auto"/>
              <w:rPr>
                <w:lang w:val="en-US"/>
              </w:rPr>
            </w:pPr>
          </w:p>
        </w:tc>
        <w:tc>
          <w:tcPr>
            <w:tcW w:w="6086" w:type="dxa"/>
            <w:gridSpan w:val="2"/>
          </w:tcPr>
          <w:p w14:paraId="3C569871" w14:textId="77777777" w:rsidR="00180FF7" w:rsidRPr="00D01E5D" w:rsidRDefault="00000000">
            <w:pPr>
              <w:widowControl w:val="0"/>
              <w:spacing w:after="0" w:line="240" w:lineRule="auto"/>
              <w:rPr>
                <w:lang w:val="en-US"/>
              </w:rPr>
            </w:pPr>
            <w:r w:rsidRPr="00D01E5D">
              <w:rPr>
                <w:rFonts w:eastAsia="Calibri"/>
                <w:lang w:val="en-US"/>
              </w:rPr>
              <w:t>prediction</w:t>
            </w:r>
          </w:p>
        </w:tc>
      </w:tr>
      <w:tr w:rsidR="00180FF7" w:rsidRPr="00D01E5D" w14:paraId="54C1DAD8" w14:textId="77777777">
        <w:tc>
          <w:tcPr>
            <w:tcW w:w="1559" w:type="dxa"/>
            <w:tcBorders>
              <w:top w:val="nil"/>
              <w:left w:val="nil"/>
              <w:right w:val="nil"/>
            </w:tcBorders>
          </w:tcPr>
          <w:p w14:paraId="1786F543" w14:textId="77777777" w:rsidR="00180FF7" w:rsidRPr="00D01E5D" w:rsidRDefault="00180FF7">
            <w:pPr>
              <w:widowControl w:val="0"/>
              <w:spacing w:after="0" w:line="240" w:lineRule="auto"/>
              <w:rPr>
                <w:lang w:val="en-US"/>
              </w:rPr>
            </w:pPr>
          </w:p>
        </w:tc>
        <w:tc>
          <w:tcPr>
            <w:tcW w:w="1416" w:type="dxa"/>
            <w:tcBorders>
              <w:top w:val="nil"/>
              <w:left w:val="nil"/>
            </w:tcBorders>
          </w:tcPr>
          <w:p w14:paraId="2F7BBDC5" w14:textId="77777777" w:rsidR="00180FF7" w:rsidRPr="00D01E5D" w:rsidRDefault="00180FF7">
            <w:pPr>
              <w:widowControl w:val="0"/>
              <w:spacing w:after="0" w:line="240" w:lineRule="auto"/>
              <w:rPr>
                <w:lang w:val="en-US"/>
              </w:rPr>
            </w:pPr>
          </w:p>
        </w:tc>
        <w:tc>
          <w:tcPr>
            <w:tcW w:w="3043" w:type="dxa"/>
          </w:tcPr>
          <w:p w14:paraId="392BEB69"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64F2E180" w14:textId="32507907"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r>
      <w:tr w:rsidR="00180FF7" w:rsidRPr="00D01E5D" w14:paraId="0472982A" w14:textId="77777777">
        <w:tc>
          <w:tcPr>
            <w:tcW w:w="1559" w:type="dxa"/>
            <w:vMerge w:val="restart"/>
          </w:tcPr>
          <w:p w14:paraId="2BF5672A" w14:textId="77777777" w:rsidR="00180FF7" w:rsidRPr="00D01E5D" w:rsidRDefault="00000000">
            <w:pPr>
              <w:widowControl w:val="0"/>
              <w:spacing w:after="0" w:line="240" w:lineRule="auto"/>
              <w:rPr>
                <w:lang w:val="en-US"/>
              </w:rPr>
            </w:pPr>
            <w:r w:rsidRPr="00D01E5D">
              <w:rPr>
                <w:rFonts w:eastAsia="Calibri"/>
                <w:lang w:val="en-US"/>
              </w:rPr>
              <w:t>ground-truth</w:t>
            </w:r>
          </w:p>
        </w:tc>
        <w:tc>
          <w:tcPr>
            <w:tcW w:w="1416" w:type="dxa"/>
          </w:tcPr>
          <w:p w14:paraId="00836FCF"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4D64F87E" w14:textId="2EA0920A" w:rsidR="00180FF7" w:rsidRPr="00D01E5D" w:rsidRDefault="00AA6FFE">
            <w:pPr>
              <w:widowControl w:val="0"/>
              <w:spacing w:after="0" w:line="240" w:lineRule="auto"/>
              <w:rPr>
                <w:shd w:val="clear" w:color="auto" w:fill="FFFF00"/>
              </w:rPr>
            </w:pPr>
            <w:r>
              <w:rPr>
                <w:rFonts w:eastAsia="Calibri"/>
                <w:lang w:val="en-US"/>
              </w:rPr>
              <w:t>280</w:t>
            </w:r>
          </w:p>
        </w:tc>
        <w:tc>
          <w:tcPr>
            <w:tcW w:w="3043" w:type="dxa"/>
          </w:tcPr>
          <w:p w14:paraId="359DDEA1" w14:textId="1B02038F" w:rsidR="00180FF7" w:rsidRPr="00D01E5D" w:rsidRDefault="00AA6FFE">
            <w:pPr>
              <w:widowControl w:val="0"/>
              <w:spacing w:after="0" w:line="240" w:lineRule="auto"/>
              <w:rPr>
                <w:shd w:val="clear" w:color="auto" w:fill="FFFF00"/>
              </w:rPr>
            </w:pPr>
            <w:r>
              <w:rPr>
                <w:rFonts w:eastAsia="Calibri"/>
                <w:lang w:val="en-US"/>
              </w:rPr>
              <w:t>35</w:t>
            </w:r>
          </w:p>
        </w:tc>
      </w:tr>
      <w:tr w:rsidR="00180FF7" w:rsidRPr="00D01E5D" w14:paraId="22C595F8" w14:textId="77777777">
        <w:tc>
          <w:tcPr>
            <w:tcW w:w="1559" w:type="dxa"/>
            <w:vMerge/>
          </w:tcPr>
          <w:p w14:paraId="3B443649" w14:textId="77777777" w:rsidR="00180FF7" w:rsidRPr="00D01E5D" w:rsidRDefault="00180FF7">
            <w:pPr>
              <w:widowControl w:val="0"/>
              <w:spacing w:after="0" w:line="240" w:lineRule="auto"/>
              <w:rPr>
                <w:lang w:val="en-US"/>
              </w:rPr>
            </w:pPr>
          </w:p>
        </w:tc>
        <w:tc>
          <w:tcPr>
            <w:tcW w:w="1416" w:type="dxa"/>
          </w:tcPr>
          <w:p w14:paraId="42E35CBF" w14:textId="182DBF31"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c>
          <w:tcPr>
            <w:tcW w:w="3043" w:type="dxa"/>
          </w:tcPr>
          <w:p w14:paraId="2769D724" w14:textId="56071D15" w:rsidR="00180FF7" w:rsidRPr="00D01E5D" w:rsidRDefault="00AA6FFE">
            <w:pPr>
              <w:widowControl w:val="0"/>
              <w:spacing w:after="0" w:line="240" w:lineRule="auto"/>
              <w:rPr>
                <w:shd w:val="clear" w:color="auto" w:fill="FFFF00"/>
              </w:rPr>
            </w:pPr>
            <w:r>
              <w:rPr>
                <w:rFonts w:eastAsia="Calibri"/>
                <w:lang w:val="en-US"/>
              </w:rPr>
              <w:t>160</w:t>
            </w:r>
          </w:p>
        </w:tc>
        <w:tc>
          <w:tcPr>
            <w:tcW w:w="3043" w:type="dxa"/>
          </w:tcPr>
          <w:p w14:paraId="226F4C0F" w14:textId="08B40BE4" w:rsidR="00180FF7" w:rsidRPr="00D01E5D" w:rsidRDefault="00AA6FFE">
            <w:pPr>
              <w:widowControl w:val="0"/>
              <w:spacing w:after="0" w:line="240" w:lineRule="auto"/>
              <w:rPr>
                <w:shd w:val="clear" w:color="auto" w:fill="FFFF00"/>
              </w:rPr>
            </w:pPr>
            <w:r>
              <w:rPr>
                <w:rFonts w:eastAsia="Calibri"/>
                <w:lang w:val="en-US"/>
              </w:rPr>
              <w:t>4,525</w:t>
            </w:r>
          </w:p>
        </w:tc>
      </w:tr>
    </w:tbl>
    <w:p w14:paraId="11171F9E" w14:textId="77777777" w:rsidR="00180FF7" w:rsidRPr="00D01E5D" w:rsidRDefault="00180FF7">
      <w:pPr>
        <w:rPr>
          <w:lang w:val="en-US"/>
        </w:rPr>
      </w:pPr>
    </w:p>
    <w:p w14:paraId="3F249FAE" w14:textId="77777777" w:rsidR="00180FF7" w:rsidRDefault="00000000">
      <w:pPr>
        <w:pStyle w:val="berschrift2"/>
        <w:numPr>
          <w:ilvl w:val="1"/>
          <w:numId w:val="2"/>
        </w:numPr>
        <w:rPr>
          <w:lang w:val="en-US"/>
        </w:rPr>
      </w:pPr>
      <w:proofErr w:type="spellStart"/>
      <w:r w:rsidRPr="00D01E5D">
        <w:rPr>
          <w:lang w:val="en-US"/>
        </w:rPr>
        <w:lastRenderedPageBreak/>
        <w:t>OMEx</w:t>
      </w:r>
      <w:proofErr w:type="spellEnd"/>
      <w:r w:rsidRPr="00D01E5D">
        <w:rPr>
          <w:lang w:val="en-US"/>
        </w:rPr>
        <w:t xml:space="preserve"> (combined Filter &amp; Wrapper)</w:t>
      </w:r>
    </w:p>
    <w:p w14:paraId="7B0EA149" w14:textId="4B88881C" w:rsidR="00180FF7" w:rsidRPr="00D01E5D" w:rsidRDefault="00000000">
      <w:pPr>
        <w:rPr>
          <w:lang w:val="en-US"/>
        </w:rPr>
      </w:pPr>
      <w:r w:rsidRPr="00D01E5D">
        <w:rPr>
          <w:lang w:val="en-US"/>
        </w:rPr>
        <w:t xml:space="preserve">The derived Confusion Matrix for </w:t>
      </w:r>
      <w:proofErr w:type="spellStart"/>
      <w:r w:rsidRPr="00D01E5D">
        <w:rPr>
          <w:lang w:val="en-US"/>
        </w:rPr>
        <w:t>OMEx</w:t>
      </w:r>
      <w:proofErr w:type="spellEnd"/>
      <w:r w:rsidRPr="00D01E5D">
        <w:rPr>
          <w:lang w:val="en-US"/>
        </w:rPr>
        <w:t xml:space="preserve"> (combined strategy of filter and wrapper) can be found in </w:t>
      </w:r>
      <w:r w:rsidR="00B662DA" w:rsidRPr="00D01E5D">
        <w:rPr>
          <w:lang w:val="en-US"/>
        </w:rPr>
        <w:t>t</w:t>
      </w:r>
      <w:r w:rsidRPr="00D01E5D">
        <w:rPr>
          <w:lang w:val="en-US"/>
        </w:rPr>
        <w:t xml:space="preserve">able 3. The results of </w:t>
      </w:r>
      <w:r w:rsidR="00B662DA" w:rsidRPr="00D01E5D">
        <w:rPr>
          <w:lang w:val="en-US"/>
        </w:rPr>
        <w:t xml:space="preserve">section </w:t>
      </w:r>
      <w:r w:rsidRPr="00D01E5D">
        <w:rPr>
          <w:lang w:val="en-US"/>
        </w:rPr>
        <w:t xml:space="preserve">3.1 and 3.2 implied that the filter and the wrapper strategies comprise complementary strengths and weaknesses. Therefore, an initial filter </w:t>
      </w:r>
      <w:r w:rsidR="006232A4" w:rsidRPr="00D01E5D">
        <w:rPr>
          <w:lang w:val="en-US"/>
        </w:rPr>
        <w:t xml:space="preserve">was </w:t>
      </w:r>
      <w:r w:rsidRPr="00D01E5D">
        <w:rPr>
          <w:lang w:val="en-US"/>
        </w:rPr>
        <w:t>applied in a (pre-)filtering stage. The</w:t>
      </w:r>
      <w:r w:rsidR="006232A4" w:rsidRPr="00D01E5D">
        <w:rPr>
          <w:lang w:val="en-US"/>
        </w:rPr>
        <w:t xml:space="preserve"> p-value</w:t>
      </w:r>
      <w:r w:rsidRPr="00D01E5D">
        <w:rPr>
          <w:lang w:val="en-US"/>
        </w:rPr>
        <w:t xml:space="preserve"> threshold value for filtering w</w:t>
      </w:r>
      <w:r w:rsidR="006232A4" w:rsidRPr="00D01E5D">
        <w:rPr>
          <w:lang w:val="en-US"/>
        </w:rPr>
        <w:t>as</w:t>
      </w:r>
      <w:r w:rsidRPr="00D01E5D">
        <w:rPr>
          <w:lang w:val="en-US"/>
        </w:rPr>
        <w:t xml:space="preserve"> selected by maximal accuracy. The remaining </w:t>
      </w:r>
      <w:r w:rsidR="00B662DA" w:rsidRPr="00D01E5D">
        <w:rPr>
          <w:lang w:val="en-US"/>
        </w:rPr>
        <w:t>molecules</w:t>
      </w:r>
      <w:r w:rsidRPr="00D01E5D">
        <w:rPr>
          <w:lang w:val="en-US"/>
        </w:rPr>
        <w:t xml:space="preserve"> </w:t>
      </w:r>
      <w:r w:rsidR="006232A4" w:rsidRPr="00D01E5D">
        <w:rPr>
          <w:lang w:val="en-US"/>
        </w:rPr>
        <w:t>were</w:t>
      </w:r>
      <w:r w:rsidRPr="00D01E5D">
        <w:rPr>
          <w:lang w:val="en-US"/>
        </w:rPr>
        <w:t xml:space="preserve"> provided to the wrapper stage for a (post-)filtering. The results indicate that the combined approach produces balanced results with a recall of 0.76 and precision of 0.91</w:t>
      </w:r>
      <w:r w:rsidR="009D7AFC">
        <w:rPr>
          <w:lang w:val="en-US"/>
        </w:rPr>
        <w:t xml:space="preserve"> at high accuracy of 0.97</w:t>
      </w:r>
      <w:r w:rsidRPr="00D01E5D">
        <w:rPr>
          <w:lang w:val="en-US"/>
        </w:rPr>
        <w:t xml:space="preserve">. Yet, the combined strategy </w:t>
      </w:r>
      <w:r w:rsidR="009D7AFC" w:rsidRPr="00D01E5D">
        <w:rPr>
          <w:lang w:val="en-US"/>
        </w:rPr>
        <w:t>tends to</w:t>
      </w:r>
      <w:r w:rsidRPr="00D01E5D">
        <w:rPr>
          <w:lang w:val="en-US"/>
        </w:rPr>
        <w:t xml:space="preserve"> report rather too few </w:t>
      </w:r>
      <w:r w:rsidR="006232A4" w:rsidRPr="00D01E5D">
        <w:rPr>
          <w:lang w:val="en-US"/>
        </w:rPr>
        <w:t xml:space="preserve">molecules </w:t>
      </w:r>
      <w:r w:rsidRPr="00D01E5D">
        <w:rPr>
          <w:lang w:val="en-US"/>
        </w:rPr>
        <w:t>as too many. Therefore, users should inspect multiple high-ranking panels instead of exclusively concentrating on the top ranking one.</w:t>
      </w:r>
    </w:p>
    <w:p w14:paraId="7B4E6DDE" w14:textId="6654F883" w:rsidR="00180FF7" w:rsidRPr="00D01E5D" w:rsidRDefault="00000000">
      <w:pPr>
        <w:pStyle w:val="Beschriftung"/>
        <w:rPr>
          <w:lang w:val="en-US"/>
        </w:rPr>
      </w:pPr>
      <w:r w:rsidRPr="00D01E5D">
        <w:rPr>
          <w:lang w:val="en-US"/>
        </w:rPr>
        <w:t xml:space="preserve">Table </w:t>
      </w:r>
      <w:r w:rsidR="00D90829">
        <w:rPr>
          <w:lang w:val="en-US"/>
        </w:rPr>
        <w:t>4</w:t>
      </w:r>
      <w:r w:rsidRPr="00D01E5D">
        <w:rPr>
          <w:lang w:val="en-US"/>
        </w:rPr>
        <w:t xml:space="preserve"> </w:t>
      </w:r>
      <w:r w:rsidR="00F607BD" w:rsidRPr="00F607BD">
        <w:rPr>
          <w:lang w:val="en-US"/>
        </w:rPr>
        <w:t>Confusion matrix derived from the sampling and the combined approach of filter and wrapper (</w:t>
      </w:r>
      <w:proofErr w:type="spellStart"/>
      <w:r w:rsidR="00F607BD" w:rsidRPr="00F607BD">
        <w:rPr>
          <w:lang w:val="en-US"/>
        </w:rPr>
        <w:t>OMEx</w:t>
      </w:r>
      <w:proofErr w:type="spellEnd"/>
      <w:r w:rsidR="00F607BD" w:rsidRPr="00F607BD">
        <w:rPr>
          <w:lang w:val="en-US"/>
        </w:rPr>
        <w:t>).</w:t>
      </w:r>
      <w:r w:rsidR="006C1E36">
        <w:rPr>
          <w:lang w:val="en-US"/>
        </w:rPr>
        <w:t xml:space="preserve"> Entries are the cumulated results of molecule selections from 100 datasets including 50 molecules and 60 samples.</w:t>
      </w:r>
      <w:r w:rsidR="00F607BD" w:rsidRPr="00F607BD">
        <w:rPr>
          <w:lang w:val="en-US"/>
        </w:rPr>
        <w:t xml:space="preserve"> The combined approach produces balanced results compared to the individual strategies.</w:t>
      </w:r>
    </w:p>
    <w:tbl>
      <w:tblPr>
        <w:tblStyle w:val="Tabellenraster"/>
        <w:tblW w:w="9062" w:type="dxa"/>
        <w:tblInd w:w="108" w:type="dxa"/>
        <w:tblLayout w:type="fixed"/>
        <w:tblLook w:val="04A0" w:firstRow="1" w:lastRow="0" w:firstColumn="1" w:lastColumn="0" w:noHBand="0" w:noVBand="1"/>
      </w:tblPr>
      <w:tblGrid>
        <w:gridCol w:w="1560"/>
        <w:gridCol w:w="1416"/>
        <w:gridCol w:w="3043"/>
        <w:gridCol w:w="3043"/>
      </w:tblGrid>
      <w:tr w:rsidR="00180FF7" w:rsidRPr="00D01E5D" w14:paraId="43F5BA91" w14:textId="77777777">
        <w:tc>
          <w:tcPr>
            <w:tcW w:w="1559" w:type="dxa"/>
            <w:tcBorders>
              <w:top w:val="nil"/>
              <w:left w:val="nil"/>
              <w:bottom w:val="nil"/>
              <w:right w:val="nil"/>
            </w:tcBorders>
          </w:tcPr>
          <w:p w14:paraId="0AD9E3B3" w14:textId="77777777" w:rsidR="00180FF7" w:rsidRPr="00D01E5D" w:rsidRDefault="00180FF7">
            <w:pPr>
              <w:widowControl w:val="0"/>
              <w:spacing w:after="0" w:line="240" w:lineRule="auto"/>
              <w:rPr>
                <w:lang w:val="en-US"/>
              </w:rPr>
            </w:pPr>
          </w:p>
        </w:tc>
        <w:tc>
          <w:tcPr>
            <w:tcW w:w="1416" w:type="dxa"/>
            <w:tcBorders>
              <w:top w:val="nil"/>
              <w:left w:val="nil"/>
              <w:bottom w:val="nil"/>
            </w:tcBorders>
          </w:tcPr>
          <w:p w14:paraId="6400FBDA" w14:textId="77777777" w:rsidR="00180FF7" w:rsidRPr="00D01E5D" w:rsidRDefault="00180FF7">
            <w:pPr>
              <w:widowControl w:val="0"/>
              <w:spacing w:after="0" w:line="240" w:lineRule="auto"/>
              <w:rPr>
                <w:lang w:val="en-US"/>
              </w:rPr>
            </w:pPr>
          </w:p>
        </w:tc>
        <w:tc>
          <w:tcPr>
            <w:tcW w:w="6086" w:type="dxa"/>
            <w:gridSpan w:val="2"/>
          </w:tcPr>
          <w:p w14:paraId="14CAD262" w14:textId="77777777" w:rsidR="00180FF7" w:rsidRPr="00D01E5D" w:rsidRDefault="00000000">
            <w:pPr>
              <w:widowControl w:val="0"/>
              <w:spacing w:after="0" w:line="240" w:lineRule="auto"/>
              <w:rPr>
                <w:lang w:val="en-US"/>
              </w:rPr>
            </w:pPr>
            <w:r w:rsidRPr="00D01E5D">
              <w:rPr>
                <w:rFonts w:eastAsia="Calibri"/>
                <w:lang w:val="en-US"/>
              </w:rPr>
              <w:t>prediction</w:t>
            </w:r>
          </w:p>
        </w:tc>
      </w:tr>
      <w:tr w:rsidR="00180FF7" w:rsidRPr="00D01E5D" w14:paraId="5266EBAE" w14:textId="77777777">
        <w:tc>
          <w:tcPr>
            <w:tcW w:w="1559" w:type="dxa"/>
            <w:tcBorders>
              <w:top w:val="nil"/>
              <w:left w:val="nil"/>
              <w:right w:val="nil"/>
            </w:tcBorders>
          </w:tcPr>
          <w:p w14:paraId="450312A9" w14:textId="77777777" w:rsidR="00180FF7" w:rsidRPr="00D01E5D" w:rsidRDefault="00180FF7">
            <w:pPr>
              <w:widowControl w:val="0"/>
              <w:spacing w:after="0" w:line="240" w:lineRule="auto"/>
              <w:rPr>
                <w:lang w:val="en-US"/>
              </w:rPr>
            </w:pPr>
          </w:p>
        </w:tc>
        <w:tc>
          <w:tcPr>
            <w:tcW w:w="1416" w:type="dxa"/>
            <w:tcBorders>
              <w:top w:val="nil"/>
              <w:left w:val="nil"/>
            </w:tcBorders>
          </w:tcPr>
          <w:p w14:paraId="21EFA9E6" w14:textId="77777777" w:rsidR="00180FF7" w:rsidRPr="00D01E5D" w:rsidRDefault="00180FF7">
            <w:pPr>
              <w:widowControl w:val="0"/>
              <w:spacing w:after="0" w:line="240" w:lineRule="auto"/>
              <w:rPr>
                <w:lang w:val="en-US"/>
              </w:rPr>
            </w:pPr>
          </w:p>
        </w:tc>
        <w:tc>
          <w:tcPr>
            <w:tcW w:w="3043" w:type="dxa"/>
          </w:tcPr>
          <w:p w14:paraId="0255A17E"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2A211672" w14:textId="66E61E3F"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r>
      <w:tr w:rsidR="00180FF7" w:rsidRPr="00D01E5D" w14:paraId="028E1F81" w14:textId="77777777">
        <w:tc>
          <w:tcPr>
            <w:tcW w:w="1559" w:type="dxa"/>
            <w:vMerge w:val="restart"/>
          </w:tcPr>
          <w:p w14:paraId="516C6201" w14:textId="77777777" w:rsidR="00180FF7" w:rsidRPr="00D01E5D" w:rsidRDefault="00000000">
            <w:pPr>
              <w:widowControl w:val="0"/>
              <w:spacing w:after="0" w:line="240" w:lineRule="auto"/>
              <w:rPr>
                <w:lang w:val="en-US"/>
              </w:rPr>
            </w:pPr>
            <w:r w:rsidRPr="00D01E5D">
              <w:rPr>
                <w:rFonts w:eastAsia="Calibri"/>
                <w:lang w:val="en-US"/>
              </w:rPr>
              <w:t>ground-truth</w:t>
            </w:r>
          </w:p>
        </w:tc>
        <w:tc>
          <w:tcPr>
            <w:tcW w:w="1416" w:type="dxa"/>
          </w:tcPr>
          <w:p w14:paraId="45F89A81" w14:textId="77777777" w:rsidR="00180FF7" w:rsidRPr="00D01E5D" w:rsidRDefault="00000000">
            <w:pPr>
              <w:widowControl w:val="0"/>
              <w:spacing w:after="0" w:line="240" w:lineRule="auto"/>
              <w:rPr>
                <w:lang w:val="en-US"/>
              </w:rPr>
            </w:pPr>
            <w:r w:rsidRPr="00D01E5D">
              <w:rPr>
                <w:rFonts w:eastAsia="Calibri"/>
                <w:lang w:val="en-US"/>
              </w:rPr>
              <w:t>relevant</w:t>
            </w:r>
          </w:p>
        </w:tc>
        <w:tc>
          <w:tcPr>
            <w:tcW w:w="3043" w:type="dxa"/>
          </w:tcPr>
          <w:p w14:paraId="6D4C0E0B" w14:textId="36C19460" w:rsidR="00180FF7" w:rsidRPr="00D01E5D" w:rsidRDefault="00AA6FFE">
            <w:pPr>
              <w:widowControl w:val="0"/>
              <w:spacing w:after="0" w:line="240" w:lineRule="auto"/>
              <w:rPr>
                <w:shd w:val="clear" w:color="auto" w:fill="FFFF00"/>
              </w:rPr>
            </w:pPr>
            <w:r>
              <w:rPr>
                <w:rFonts w:eastAsia="Calibri"/>
                <w:lang w:val="en-US"/>
              </w:rPr>
              <w:t>338</w:t>
            </w:r>
          </w:p>
        </w:tc>
        <w:tc>
          <w:tcPr>
            <w:tcW w:w="3043" w:type="dxa"/>
          </w:tcPr>
          <w:p w14:paraId="19C3AB44" w14:textId="77442E4B" w:rsidR="00180FF7" w:rsidRPr="00D01E5D" w:rsidRDefault="00AA6FFE">
            <w:pPr>
              <w:widowControl w:val="0"/>
              <w:spacing w:after="0" w:line="240" w:lineRule="auto"/>
              <w:rPr>
                <w:shd w:val="clear" w:color="auto" w:fill="FFFF00"/>
              </w:rPr>
            </w:pPr>
            <w:r>
              <w:rPr>
                <w:rFonts w:eastAsia="Calibri"/>
                <w:lang w:val="en-US"/>
              </w:rPr>
              <w:t>31</w:t>
            </w:r>
          </w:p>
        </w:tc>
      </w:tr>
      <w:tr w:rsidR="00180FF7" w14:paraId="01DE75AA" w14:textId="77777777">
        <w:tc>
          <w:tcPr>
            <w:tcW w:w="1559" w:type="dxa"/>
            <w:vMerge/>
          </w:tcPr>
          <w:p w14:paraId="215B5C80" w14:textId="77777777" w:rsidR="00180FF7" w:rsidRPr="00D01E5D" w:rsidRDefault="00180FF7">
            <w:pPr>
              <w:widowControl w:val="0"/>
              <w:spacing w:after="0" w:line="240" w:lineRule="auto"/>
              <w:rPr>
                <w:lang w:val="en-US"/>
              </w:rPr>
            </w:pPr>
          </w:p>
        </w:tc>
        <w:tc>
          <w:tcPr>
            <w:tcW w:w="1416" w:type="dxa"/>
          </w:tcPr>
          <w:p w14:paraId="48F85CAA" w14:textId="315A0A11" w:rsidR="00180FF7" w:rsidRPr="00D01E5D" w:rsidRDefault="00FB014B">
            <w:pPr>
              <w:widowControl w:val="0"/>
              <w:spacing w:after="0" w:line="240" w:lineRule="auto"/>
              <w:rPr>
                <w:lang w:val="en-US"/>
              </w:rPr>
            </w:pPr>
            <w:r>
              <w:rPr>
                <w:rFonts w:eastAsia="Calibri"/>
                <w:lang w:val="en-US"/>
              </w:rPr>
              <w:t>non-</w:t>
            </w:r>
            <w:r w:rsidRPr="00D01E5D">
              <w:rPr>
                <w:rFonts w:eastAsia="Calibri"/>
                <w:lang w:val="en-US"/>
              </w:rPr>
              <w:t>relevant</w:t>
            </w:r>
          </w:p>
        </w:tc>
        <w:tc>
          <w:tcPr>
            <w:tcW w:w="3043" w:type="dxa"/>
          </w:tcPr>
          <w:p w14:paraId="7B07BF25" w14:textId="2F9630B8" w:rsidR="00180FF7" w:rsidRPr="00D01E5D" w:rsidRDefault="00AA6FFE">
            <w:pPr>
              <w:widowControl w:val="0"/>
              <w:spacing w:after="0" w:line="240" w:lineRule="auto"/>
              <w:rPr>
                <w:shd w:val="clear" w:color="auto" w:fill="FFFF00"/>
              </w:rPr>
            </w:pPr>
            <w:r>
              <w:rPr>
                <w:rFonts w:eastAsia="Calibri"/>
                <w:lang w:val="en-US"/>
              </w:rPr>
              <w:t>102</w:t>
            </w:r>
          </w:p>
        </w:tc>
        <w:tc>
          <w:tcPr>
            <w:tcW w:w="3043" w:type="dxa"/>
          </w:tcPr>
          <w:p w14:paraId="733CE307" w14:textId="3682D338" w:rsidR="00180FF7" w:rsidRDefault="00AA6FFE">
            <w:pPr>
              <w:widowControl w:val="0"/>
              <w:spacing w:after="0" w:line="240" w:lineRule="auto"/>
              <w:rPr>
                <w:shd w:val="clear" w:color="auto" w:fill="FFFF00"/>
              </w:rPr>
            </w:pPr>
            <w:r>
              <w:rPr>
                <w:rFonts w:eastAsia="Calibri"/>
                <w:lang w:val="en-US"/>
              </w:rPr>
              <w:t>4,529</w:t>
            </w:r>
          </w:p>
        </w:tc>
      </w:tr>
    </w:tbl>
    <w:p w14:paraId="4E54A072" w14:textId="77777777" w:rsidR="00180FF7" w:rsidRDefault="00180FF7">
      <w:pPr>
        <w:rPr>
          <w:lang w:val="en-US"/>
        </w:rPr>
      </w:pPr>
    </w:p>
    <w:p w14:paraId="1F9C1D45" w14:textId="77777777" w:rsidR="00180FF7" w:rsidRDefault="00000000">
      <w:pPr>
        <w:pStyle w:val="berschrift1"/>
        <w:rPr>
          <w:lang w:val="en-US"/>
        </w:rPr>
      </w:pPr>
      <w:r>
        <w:rPr>
          <w:lang w:val="en-US"/>
        </w:rPr>
        <w:t xml:space="preserve">4 Benchmarking </w:t>
      </w:r>
      <w:proofErr w:type="spellStart"/>
      <w:r>
        <w:rPr>
          <w:lang w:val="en-US"/>
        </w:rPr>
        <w:t>OMEx</w:t>
      </w:r>
      <w:proofErr w:type="spellEnd"/>
      <w:r>
        <w:rPr>
          <w:lang w:val="en-US"/>
        </w:rPr>
        <w:t xml:space="preserve"> using five omics datasets</w:t>
      </w:r>
    </w:p>
    <w:p w14:paraId="73C64B4F" w14:textId="633A1D54" w:rsidR="008F13AA" w:rsidRDefault="006148EB" w:rsidP="006148EB">
      <w:pPr>
        <w:rPr>
          <w:lang w:val="en-US"/>
        </w:rPr>
      </w:pPr>
      <w:proofErr w:type="spellStart"/>
      <w:r>
        <w:rPr>
          <w:lang w:val="en-US"/>
        </w:rPr>
        <w:t>OMEx</w:t>
      </w:r>
      <w:proofErr w:type="spellEnd"/>
      <w:r>
        <w:rPr>
          <w:lang w:val="en-US"/>
        </w:rPr>
        <w:t xml:space="preserve"> was tested and compared against its original implementation using a stool </w:t>
      </w:r>
      <w:proofErr w:type="spellStart"/>
      <w:r>
        <w:rPr>
          <w:lang w:val="en-US"/>
        </w:rPr>
        <w:t>metaproteomics</w:t>
      </w:r>
      <w:proofErr w:type="spellEnd"/>
      <w:r>
        <w:rPr>
          <w:lang w:val="en-US"/>
        </w:rPr>
        <w:t xml:space="preserve"> dataset </w:t>
      </w:r>
      <w:sdt>
        <w:sdtPr>
          <w:rPr>
            <w:lang w:val="en-US"/>
          </w:rPr>
          <w:id w:val="-1943144061"/>
          <w:citation/>
        </w:sdtPr>
        <w:sdtContent>
          <w:r>
            <w:rPr>
              <w:lang w:val="en-US"/>
            </w:rPr>
            <w:fldChar w:fldCharType="begin"/>
          </w:r>
          <w:r w:rsidRPr="006148EB">
            <w:rPr>
              <w:lang w:val="en-US"/>
            </w:rPr>
            <w:instrText xml:space="preserve"> CITATION Sydor2022 \l 1031 </w:instrText>
          </w:r>
          <w:r>
            <w:rPr>
              <w:lang w:val="en-US"/>
            </w:rPr>
            <w:fldChar w:fldCharType="separate"/>
          </w:r>
          <w:r w:rsidRPr="006148EB">
            <w:rPr>
              <w:noProof/>
              <w:lang w:val="en-US"/>
            </w:rPr>
            <w:t>[1]</w:t>
          </w:r>
          <w:r>
            <w:rPr>
              <w:lang w:val="en-US"/>
            </w:rPr>
            <w:fldChar w:fldCharType="end"/>
          </w:r>
        </w:sdtContent>
      </w:sdt>
      <w:r>
        <w:rPr>
          <w:lang w:val="en-US"/>
        </w:rPr>
        <w:t xml:space="preserve"> and against other molecule selection methods using blood proteomics</w:t>
      </w:r>
      <w:r w:rsidR="008F13AA">
        <w:rPr>
          <w:lang w:val="en-US"/>
        </w:rPr>
        <w:t xml:space="preserve"> </w:t>
      </w:r>
      <w:sdt>
        <w:sdtPr>
          <w:rPr>
            <w:lang w:val="en-US"/>
          </w:rPr>
          <w:id w:val="-1254122345"/>
          <w:citation/>
        </w:sdtPr>
        <w:sdtContent>
          <w:r w:rsidR="008F13AA">
            <w:rPr>
              <w:lang w:val="en-US"/>
            </w:rPr>
            <w:fldChar w:fldCharType="begin"/>
          </w:r>
          <w:r w:rsidR="008F13AA" w:rsidRPr="008F13AA">
            <w:rPr>
              <w:lang w:val="en-US"/>
            </w:rPr>
            <w:instrText xml:space="preserve"> CITATION Tasaki2018 \l 1031 </w:instrText>
          </w:r>
          <w:r w:rsidR="008F13AA">
            <w:rPr>
              <w:lang w:val="en-US"/>
            </w:rPr>
            <w:fldChar w:fldCharType="separate"/>
          </w:r>
          <w:r w:rsidR="008F13AA" w:rsidRPr="008F13AA">
            <w:rPr>
              <w:noProof/>
              <w:lang w:val="en-US"/>
            </w:rPr>
            <w:t>[4]</w:t>
          </w:r>
          <w:r w:rsidR="008F13AA">
            <w:rPr>
              <w:lang w:val="en-US"/>
            </w:rPr>
            <w:fldChar w:fldCharType="end"/>
          </w:r>
        </w:sdtContent>
      </w:sdt>
      <w:r>
        <w:rPr>
          <w:lang w:val="en-US"/>
        </w:rPr>
        <w:t>, blood transcriptomics</w:t>
      </w:r>
      <w:r w:rsidR="008F13AA">
        <w:rPr>
          <w:lang w:val="en-US"/>
        </w:rPr>
        <w:t xml:space="preserve"> </w:t>
      </w:r>
      <w:sdt>
        <w:sdtPr>
          <w:rPr>
            <w:lang w:val="en-US"/>
          </w:rPr>
          <w:id w:val="-1727442218"/>
          <w:citation/>
        </w:sdtPr>
        <w:sdtContent>
          <w:r w:rsidR="008F13AA">
            <w:rPr>
              <w:lang w:val="en-US"/>
            </w:rPr>
            <w:fldChar w:fldCharType="begin"/>
          </w:r>
          <w:r w:rsidR="008F13AA" w:rsidRPr="008F13AA">
            <w:rPr>
              <w:lang w:val="en-US"/>
            </w:rPr>
            <w:instrText xml:space="preserve"> CITATION Tasaki2018 \l 1031 </w:instrText>
          </w:r>
          <w:r w:rsidR="008F13AA">
            <w:rPr>
              <w:lang w:val="en-US"/>
            </w:rPr>
            <w:fldChar w:fldCharType="separate"/>
          </w:r>
          <w:r w:rsidR="008F13AA" w:rsidRPr="008F13AA">
            <w:rPr>
              <w:noProof/>
              <w:lang w:val="en-US"/>
            </w:rPr>
            <w:t>[4]</w:t>
          </w:r>
          <w:r w:rsidR="008F13AA">
            <w:rPr>
              <w:lang w:val="en-US"/>
            </w:rPr>
            <w:fldChar w:fldCharType="end"/>
          </w:r>
        </w:sdtContent>
      </w:sdt>
      <w:r>
        <w:rPr>
          <w:lang w:val="en-US"/>
        </w:rPr>
        <w:t>, urine metabolomics</w:t>
      </w:r>
      <w:r w:rsidR="008F13AA">
        <w:rPr>
          <w:lang w:val="en-US"/>
        </w:rPr>
        <w:t xml:space="preserve"> </w:t>
      </w:r>
      <w:sdt>
        <w:sdtPr>
          <w:rPr>
            <w:lang w:val="en-US"/>
          </w:rPr>
          <w:id w:val="-456569199"/>
          <w:citation/>
        </w:sdtPr>
        <w:sdtContent>
          <w:r w:rsidR="008F13AA">
            <w:rPr>
              <w:lang w:val="en-US"/>
            </w:rPr>
            <w:fldChar w:fldCharType="begin"/>
          </w:r>
          <w:r w:rsidR="008F13AA" w:rsidRPr="008F13AA">
            <w:rPr>
              <w:lang w:val="en-US"/>
            </w:rPr>
            <w:instrText xml:space="preserve"> CITATION Mathe2014 \l 1031 </w:instrText>
          </w:r>
          <w:r w:rsidR="008F13AA">
            <w:rPr>
              <w:lang w:val="en-US"/>
            </w:rPr>
            <w:fldChar w:fldCharType="separate"/>
          </w:r>
          <w:r w:rsidR="008F13AA" w:rsidRPr="008F13AA">
            <w:rPr>
              <w:noProof/>
              <w:lang w:val="en-US"/>
            </w:rPr>
            <w:t>[5]</w:t>
          </w:r>
          <w:r w:rsidR="008F13AA">
            <w:rPr>
              <w:lang w:val="en-US"/>
            </w:rPr>
            <w:fldChar w:fldCharType="end"/>
          </w:r>
        </w:sdtContent>
      </w:sdt>
      <w:r>
        <w:rPr>
          <w:lang w:val="en-US"/>
        </w:rPr>
        <w:t>, and glial tumor metabolomics</w:t>
      </w:r>
      <w:r w:rsidR="008F13AA">
        <w:rPr>
          <w:lang w:val="en-US"/>
        </w:rPr>
        <w:t xml:space="preserve"> </w:t>
      </w:r>
      <w:sdt>
        <w:sdtPr>
          <w:rPr>
            <w:lang w:val="en-US"/>
          </w:rPr>
          <w:id w:val="1746841701"/>
          <w:citation/>
        </w:sdtPr>
        <w:sdtContent>
          <w:r w:rsidR="008F13AA">
            <w:rPr>
              <w:lang w:val="en-US"/>
            </w:rPr>
            <w:fldChar w:fldCharType="begin"/>
          </w:r>
          <w:r w:rsidR="008F13AA" w:rsidRPr="008F13AA">
            <w:rPr>
              <w:lang w:val="en-US"/>
            </w:rPr>
            <w:instrText xml:space="preserve"> CITATION Chardin2022 \l 1031 </w:instrText>
          </w:r>
          <w:r w:rsidR="008F13AA">
            <w:rPr>
              <w:lang w:val="en-US"/>
            </w:rPr>
            <w:fldChar w:fldCharType="separate"/>
          </w:r>
          <w:r w:rsidR="008F13AA" w:rsidRPr="008F13AA">
            <w:rPr>
              <w:noProof/>
              <w:lang w:val="en-US"/>
            </w:rPr>
            <w:t>[6]</w:t>
          </w:r>
          <w:r w:rsidR="008F13AA">
            <w:rPr>
              <w:lang w:val="en-US"/>
            </w:rPr>
            <w:fldChar w:fldCharType="end"/>
          </w:r>
        </w:sdtContent>
      </w:sdt>
      <w:r>
        <w:rPr>
          <w:lang w:val="en-US"/>
        </w:rPr>
        <w:t xml:space="preserve"> datasets (see main manuscript for a detailed description of datasets).</w:t>
      </w:r>
      <w:r w:rsidR="008F13AA">
        <w:rPr>
          <w:lang w:val="en-US"/>
        </w:rPr>
        <w:t xml:space="preserve"> A processed version of the blood transcriptomics dataset was used, which had been used in another classification study </w:t>
      </w:r>
      <w:sdt>
        <w:sdtPr>
          <w:rPr>
            <w:lang w:val="en-US"/>
          </w:rPr>
          <w:id w:val="1074704059"/>
          <w:citation/>
        </w:sdtPr>
        <w:sdtContent>
          <w:r w:rsidR="008F13AA">
            <w:rPr>
              <w:lang w:val="en-US"/>
            </w:rPr>
            <w:fldChar w:fldCharType="begin"/>
          </w:r>
          <w:r w:rsidR="008F13AA" w:rsidRPr="008F13AA">
            <w:rPr>
              <w:lang w:val="en-US"/>
            </w:rPr>
            <w:instrText xml:space="preserve"> CITATION Ng2023 \l 1031 </w:instrText>
          </w:r>
          <w:r w:rsidR="008F13AA">
            <w:rPr>
              <w:lang w:val="en-US"/>
            </w:rPr>
            <w:fldChar w:fldCharType="separate"/>
          </w:r>
          <w:r w:rsidR="008F13AA" w:rsidRPr="008F13AA">
            <w:rPr>
              <w:noProof/>
              <w:lang w:val="en-US"/>
            </w:rPr>
            <w:t>[7]</w:t>
          </w:r>
          <w:r w:rsidR="008F13AA">
            <w:rPr>
              <w:lang w:val="en-US"/>
            </w:rPr>
            <w:fldChar w:fldCharType="end"/>
          </w:r>
        </w:sdtContent>
      </w:sdt>
      <w:r w:rsidR="008F13AA">
        <w:rPr>
          <w:lang w:val="en-US"/>
        </w:rPr>
        <w:t>.</w:t>
      </w:r>
      <w:r w:rsidR="0089151C">
        <w:rPr>
          <w:lang w:val="en-US"/>
        </w:rPr>
        <w:t xml:space="preserve"> All input datasets were formatted to comply </w:t>
      </w:r>
      <w:proofErr w:type="spellStart"/>
      <w:r w:rsidR="0089151C">
        <w:rPr>
          <w:lang w:val="en-US"/>
        </w:rPr>
        <w:t>OMEx</w:t>
      </w:r>
      <w:proofErr w:type="spellEnd"/>
      <w:r w:rsidR="0089151C">
        <w:rPr>
          <w:lang w:val="en-US"/>
        </w:rPr>
        <w:t xml:space="preserve"> input format (</w:t>
      </w:r>
      <w:r w:rsidR="0089151C">
        <w:rPr>
          <w:lang w:val="en-US"/>
        </w:rPr>
        <w:t>datasets_formatted.zip</w:t>
      </w:r>
      <w:r w:rsidR="0089151C">
        <w:rPr>
          <w:lang w:val="en-US"/>
        </w:rPr>
        <w:t>).</w:t>
      </w:r>
    </w:p>
    <w:p w14:paraId="179E046A" w14:textId="13B04709" w:rsidR="00BF582D" w:rsidRDefault="00E341CA" w:rsidP="006148EB">
      <w:pPr>
        <w:rPr>
          <w:lang w:val="en-US"/>
        </w:rPr>
      </w:pPr>
      <w:r>
        <w:rPr>
          <w:lang w:val="en-US"/>
        </w:rPr>
        <w:t xml:space="preserve">For every run with </w:t>
      </w:r>
      <w:proofErr w:type="spellStart"/>
      <w:r>
        <w:rPr>
          <w:lang w:val="en-US"/>
        </w:rPr>
        <w:t>OMEx</w:t>
      </w:r>
      <w:proofErr w:type="spellEnd"/>
      <w:r>
        <w:rPr>
          <w:lang w:val="en-US"/>
        </w:rPr>
        <w:t xml:space="preserve">, the automatic mode was run </w:t>
      </w:r>
      <w:r w:rsidR="00B02B0F">
        <w:rPr>
          <w:lang w:val="en-US"/>
        </w:rPr>
        <w:t>based on</w:t>
      </w:r>
      <w:r w:rsidR="00D80E05">
        <w:rPr>
          <w:lang w:val="en-US"/>
        </w:rPr>
        <w:t xml:space="preserve"> the</w:t>
      </w:r>
      <w:r>
        <w:rPr>
          <w:lang w:val="en-US"/>
        </w:rPr>
        <w:t xml:space="preserve"> default parameters (table 5).</w:t>
      </w:r>
      <w:r w:rsidR="00B02B0F">
        <w:rPr>
          <w:lang w:val="en-US"/>
        </w:rPr>
        <w:t xml:space="preserve"> </w:t>
      </w:r>
    </w:p>
    <w:p w14:paraId="584E6A2A" w14:textId="36F384DB" w:rsidR="00BF582D" w:rsidRPr="00BF582D" w:rsidRDefault="00BF582D" w:rsidP="00BF582D">
      <w:pPr>
        <w:pStyle w:val="Beschriftung"/>
        <w:keepNext/>
        <w:rPr>
          <w:lang w:val="en-US"/>
        </w:rPr>
      </w:pPr>
      <w:r w:rsidRPr="00BF582D">
        <w:rPr>
          <w:lang w:val="en-US"/>
        </w:rPr>
        <w:t>Table 5 Default parameters for e</w:t>
      </w:r>
      <w:r>
        <w:rPr>
          <w:lang w:val="en-US"/>
        </w:rPr>
        <w:t xml:space="preserve">very step of </w:t>
      </w:r>
      <w:proofErr w:type="spellStart"/>
      <w:r>
        <w:rPr>
          <w:lang w:val="en-US"/>
        </w:rPr>
        <w:t>OMEx</w:t>
      </w:r>
      <w:proofErr w:type="spellEnd"/>
      <w:r>
        <w:rPr>
          <w:lang w:val="en-US"/>
        </w:rPr>
        <w:t>.</w:t>
      </w:r>
    </w:p>
    <w:tbl>
      <w:tblPr>
        <w:tblStyle w:val="Tabellenraster"/>
        <w:tblW w:w="0" w:type="auto"/>
        <w:tblLook w:val="04A0" w:firstRow="1" w:lastRow="0" w:firstColumn="1" w:lastColumn="0" w:noHBand="0" w:noVBand="1"/>
      </w:tblPr>
      <w:tblGrid>
        <w:gridCol w:w="4606"/>
        <w:gridCol w:w="4606"/>
      </w:tblGrid>
      <w:tr w:rsidR="00E341CA" w14:paraId="76E055FF" w14:textId="77777777" w:rsidTr="00B02B0F">
        <w:trPr>
          <w:trHeight w:val="204"/>
        </w:trPr>
        <w:tc>
          <w:tcPr>
            <w:tcW w:w="4606" w:type="dxa"/>
          </w:tcPr>
          <w:p w14:paraId="49E5FAEC" w14:textId="7180C0E9" w:rsidR="00E341CA" w:rsidRDefault="00E341CA" w:rsidP="006148EB">
            <w:pPr>
              <w:rPr>
                <w:lang w:val="en-US"/>
              </w:rPr>
            </w:pPr>
            <w:r>
              <w:rPr>
                <w:lang w:val="en-US"/>
              </w:rPr>
              <w:t>Parameter</w:t>
            </w:r>
          </w:p>
        </w:tc>
        <w:tc>
          <w:tcPr>
            <w:tcW w:w="4606" w:type="dxa"/>
          </w:tcPr>
          <w:p w14:paraId="16D7FBB7" w14:textId="007A0E19" w:rsidR="00E341CA" w:rsidRDefault="00E341CA" w:rsidP="006148EB">
            <w:pPr>
              <w:rPr>
                <w:lang w:val="en-US"/>
              </w:rPr>
            </w:pPr>
            <w:r>
              <w:rPr>
                <w:lang w:val="en-US"/>
              </w:rPr>
              <w:t>value</w:t>
            </w:r>
          </w:p>
        </w:tc>
      </w:tr>
      <w:tr w:rsidR="00E341CA" w14:paraId="2C32A172" w14:textId="77777777" w:rsidTr="00B02B0F">
        <w:trPr>
          <w:trHeight w:val="204"/>
        </w:trPr>
        <w:tc>
          <w:tcPr>
            <w:tcW w:w="9212" w:type="dxa"/>
            <w:gridSpan w:val="2"/>
          </w:tcPr>
          <w:p w14:paraId="75E34DF5" w14:textId="4AE1D2B1" w:rsidR="00E341CA" w:rsidRDefault="00E341CA" w:rsidP="006148EB">
            <w:pPr>
              <w:rPr>
                <w:lang w:val="en-US"/>
              </w:rPr>
            </w:pPr>
            <w:r>
              <w:rPr>
                <w:lang w:val="en-US"/>
              </w:rPr>
              <w:t>Data input</w:t>
            </w:r>
          </w:p>
        </w:tc>
      </w:tr>
      <w:tr w:rsidR="00E341CA" w14:paraId="57563078" w14:textId="77777777" w:rsidTr="00B02B0F">
        <w:trPr>
          <w:trHeight w:val="204"/>
        </w:trPr>
        <w:tc>
          <w:tcPr>
            <w:tcW w:w="4606" w:type="dxa"/>
          </w:tcPr>
          <w:p w14:paraId="2D686C8E" w14:textId="78F2D47D" w:rsidR="00E341CA" w:rsidRDefault="00D80E05" w:rsidP="006148EB">
            <w:pPr>
              <w:rPr>
                <w:lang w:val="en-US"/>
              </w:rPr>
            </w:pPr>
            <w:r>
              <w:rPr>
                <w:lang w:val="en-US"/>
              </w:rPr>
              <w:t xml:space="preserve">Non-sparsity fraction </w:t>
            </w:r>
          </w:p>
        </w:tc>
        <w:tc>
          <w:tcPr>
            <w:tcW w:w="4606" w:type="dxa"/>
          </w:tcPr>
          <w:p w14:paraId="1A194AC5" w14:textId="16CEC443" w:rsidR="00E341CA" w:rsidRDefault="00D80E05" w:rsidP="006148EB">
            <w:pPr>
              <w:rPr>
                <w:lang w:val="en-US"/>
              </w:rPr>
            </w:pPr>
            <w:r>
              <w:rPr>
                <w:lang w:val="en-US"/>
              </w:rPr>
              <w:t>0.66</w:t>
            </w:r>
          </w:p>
        </w:tc>
      </w:tr>
      <w:tr w:rsidR="00E341CA" w14:paraId="4D4EF4CE" w14:textId="77777777" w:rsidTr="00B02B0F">
        <w:trPr>
          <w:trHeight w:val="204"/>
        </w:trPr>
        <w:tc>
          <w:tcPr>
            <w:tcW w:w="4606" w:type="dxa"/>
          </w:tcPr>
          <w:p w14:paraId="208E61AF" w14:textId="772DF3C5" w:rsidR="00E341CA" w:rsidRDefault="00D80E05" w:rsidP="006148EB">
            <w:pPr>
              <w:rPr>
                <w:lang w:val="en-US"/>
              </w:rPr>
            </w:pPr>
            <w:r>
              <w:rPr>
                <w:lang w:val="en-US"/>
              </w:rPr>
              <w:t>Normalize data</w:t>
            </w:r>
          </w:p>
        </w:tc>
        <w:tc>
          <w:tcPr>
            <w:tcW w:w="4606" w:type="dxa"/>
          </w:tcPr>
          <w:p w14:paraId="1146343E" w14:textId="4F19C02F" w:rsidR="00E341CA" w:rsidRDefault="00D80E05" w:rsidP="006148EB">
            <w:pPr>
              <w:rPr>
                <w:lang w:val="en-US"/>
              </w:rPr>
            </w:pPr>
            <w:r>
              <w:rPr>
                <w:lang w:val="en-US"/>
              </w:rPr>
              <w:t>true</w:t>
            </w:r>
          </w:p>
        </w:tc>
      </w:tr>
      <w:tr w:rsidR="00E341CA" w14:paraId="7B1A487E" w14:textId="77777777" w:rsidTr="00B02B0F">
        <w:trPr>
          <w:trHeight w:val="204"/>
        </w:trPr>
        <w:tc>
          <w:tcPr>
            <w:tcW w:w="4606" w:type="dxa"/>
          </w:tcPr>
          <w:p w14:paraId="69126B35" w14:textId="2267F9AC" w:rsidR="00E341CA" w:rsidRPr="00D80E05" w:rsidRDefault="00D80E05" w:rsidP="006148EB">
            <w:pPr>
              <w:rPr>
                <w:lang w:val="en-US"/>
              </w:rPr>
            </w:pPr>
            <w:r w:rsidRPr="00D80E05">
              <w:rPr>
                <w:rFonts w:ascii="Roboto" w:hAnsi="Roboto"/>
                <w:spacing w:val="4"/>
                <w:sz w:val="21"/>
                <w:szCs w:val="21"/>
                <w:lang w:val="en-US"/>
              </w:rPr>
              <w:t>split a test set from input data</w:t>
            </w:r>
          </w:p>
        </w:tc>
        <w:tc>
          <w:tcPr>
            <w:tcW w:w="4606" w:type="dxa"/>
          </w:tcPr>
          <w:p w14:paraId="02A7D16F" w14:textId="29EEA271" w:rsidR="00E341CA" w:rsidRDefault="00D80E05" w:rsidP="006148EB">
            <w:pPr>
              <w:rPr>
                <w:lang w:val="en-US"/>
              </w:rPr>
            </w:pPr>
            <w:r>
              <w:rPr>
                <w:lang w:val="en-US"/>
              </w:rPr>
              <w:t>true</w:t>
            </w:r>
          </w:p>
        </w:tc>
      </w:tr>
      <w:tr w:rsidR="00E341CA" w14:paraId="6AF4D92E" w14:textId="77777777" w:rsidTr="00B02B0F">
        <w:trPr>
          <w:trHeight w:val="204"/>
        </w:trPr>
        <w:tc>
          <w:tcPr>
            <w:tcW w:w="4606" w:type="dxa"/>
          </w:tcPr>
          <w:p w14:paraId="3A5BFA52" w14:textId="7EA6487F" w:rsidR="00E341CA" w:rsidRDefault="00D80E05" w:rsidP="006148EB">
            <w:pPr>
              <w:rPr>
                <w:lang w:val="en-US"/>
              </w:rPr>
            </w:pPr>
            <w:r>
              <w:rPr>
                <w:lang w:val="en-US"/>
              </w:rPr>
              <w:t>Test set fraction</w:t>
            </w:r>
          </w:p>
        </w:tc>
        <w:tc>
          <w:tcPr>
            <w:tcW w:w="4606" w:type="dxa"/>
          </w:tcPr>
          <w:p w14:paraId="759EDF99" w14:textId="42DA9AF3" w:rsidR="00E341CA" w:rsidRDefault="00D80E05" w:rsidP="006148EB">
            <w:pPr>
              <w:rPr>
                <w:lang w:val="en-US"/>
              </w:rPr>
            </w:pPr>
            <w:r>
              <w:rPr>
                <w:lang w:val="en-US"/>
              </w:rPr>
              <w:t>0.3</w:t>
            </w:r>
          </w:p>
        </w:tc>
      </w:tr>
      <w:tr w:rsidR="00D80E05" w14:paraId="1BDA2787" w14:textId="77777777" w:rsidTr="00B02B0F">
        <w:trPr>
          <w:trHeight w:val="204"/>
        </w:trPr>
        <w:tc>
          <w:tcPr>
            <w:tcW w:w="9212" w:type="dxa"/>
            <w:gridSpan w:val="2"/>
          </w:tcPr>
          <w:p w14:paraId="083CB436" w14:textId="3843B240" w:rsidR="00D80E05" w:rsidRDefault="00D80E05" w:rsidP="006148EB">
            <w:pPr>
              <w:rPr>
                <w:lang w:val="en-US"/>
              </w:rPr>
            </w:pPr>
            <w:r>
              <w:rPr>
                <w:lang w:val="en-US"/>
              </w:rPr>
              <w:t>Filter</w:t>
            </w:r>
          </w:p>
        </w:tc>
      </w:tr>
      <w:tr w:rsidR="00E341CA" w14:paraId="79E74296" w14:textId="77777777" w:rsidTr="00B02B0F">
        <w:trPr>
          <w:trHeight w:val="204"/>
        </w:trPr>
        <w:tc>
          <w:tcPr>
            <w:tcW w:w="4606" w:type="dxa"/>
          </w:tcPr>
          <w:p w14:paraId="1B2B2A74" w14:textId="33932F1A" w:rsidR="00E341CA" w:rsidRDefault="00D80E05" w:rsidP="006148EB">
            <w:pPr>
              <w:rPr>
                <w:lang w:val="en-US"/>
              </w:rPr>
            </w:pPr>
            <w:r>
              <w:rPr>
                <w:lang w:val="en-US"/>
              </w:rPr>
              <w:t>folds</w:t>
            </w:r>
          </w:p>
        </w:tc>
        <w:tc>
          <w:tcPr>
            <w:tcW w:w="4606" w:type="dxa"/>
          </w:tcPr>
          <w:p w14:paraId="620877C2" w14:textId="3082BF07" w:rsidR="00E341CA" w:rsidRDefault="00D80E05" w:rsidP="006148EB">
            <w:pPr>
              <w:rPr>
                <w:lang w:val="en-US"/>
              </w:rPr>
            </w:pPr>
            <w:r>
              <w:rPr>
                <w:lang w:val="en-US"/>
              </w:rPr>
              <w:t>5</w:t>
            </w:r>
          </w:p>
        </w:tc>
      </w:tr>
      <w:tr w:rsidR="00D80E05" w14:paraId="20DB13C9" w14:textId="77777777" w:rsidTr="00B02B0F">
        <w:trPr>
          <w:trHeight w:val="204"/>
        </w:trPr>
        <w:tc>
          <w:tcPr>
            <w:tcW w:w="4606" w:type="dxa"/>
          </w:tcPr>
          <w:p w14:paraId="6B92DAEA" w14:textId="048CE35C" w:rsidR="00D80E05" w:rsidRDefault="00D80E05" w:rsidP="006148EB">
            <w:pPr>
              <w:rPr>
                <w:lang w:val="en-US"/>
              </w:rPr>
            </w:pPr>
            <w:r>
              <w:rPr>
                <w:lang w:val="en-US"/>
              </w:rPr>
              <w:t>repeats</w:t>
            </w:r>
          </w:p>
        </w:tc>
        <w:tc>
          <w:tcPr>
            <w:tcW w:w="4606" w:type="dxa"/>
          </w:tcPr>
          <w:p w14:paraId="7BE52576" w14:textId="36F0AA31" w:rsidR="00D80E05" w:rsidRDefault="00D80E05" w:rsidP="006148EB">
            <w:pPr>
              <w:rPr>
                <w:lang w:val="en-US"/>
              </w:rPr>
            </w:pPr>
            <w:r>
              <w:rPr>
                <w:lang w:val="en-US"/>
              </w:rPr>
              <w:t>1000</w:t>
            </w:r>
          </w:p>
        </w:tc>
      </w:tr>
      <w:tr w:rsidR="00D80E05" w14:paraId="371FD862" w14:textId="77777777" w:rsidTr="00B02B0F">
        <w:trPr>
          <w:trHeight w:val="204"/>
        </w:trPr>
        <w:tc>
          <w:tcPr>
            <w:tcW w:w="9212" w:type="dxa"/>
            <w:gridSpan w:val="2"/>
          </w:tcPr>
          <w:p w14:paraId="1CA31315" w14:textId="69F242BE" w:rsidR="00D80E05" w:rsidRDefault="00D80E05" w:rsidP="006148EB">
            <w:pPr>
              <w:rPr>
                <w:lang w:val="en-US"/>
              </w:rPr>
            </w:pPr>
            <w:r>
              <w:rPr>
                <w:lang w:val="en-US"/>
              </w:rPr>
              <w:t>Wrapper</w:t>
            </w:r>
          </w:p>
        </w:tc>
      </w:tr>
      <w:tr w:rsidR="00D80E05" w14:paraId="459B4FC3" w14:textId="77777777" w:rsidTr="00B02B0F">
        <w:trPr>
          <w:trHeight w:val="204"/>
        </w:trPr>
        <w:tc>
          <w:tcPr>
            <w:tcW w:w="4606" w:type="dxa"/>
          </w:tcPr>
          <w:p w14:paraId="7EB795D2" w14:textId="153335CE" w:rsidR="00D80E05" w:rsidRDefault="00D80E05" w:rsidP="006148EB">
            <w:pPr>
              <w:rPr>
                <w:lang w:val="en-US"/>
              </w:rPr>
            </w:pPr>
            <w:r>
              <w:rPr>
                <w:lang w:val="en-US"/>
              </w:rPr>
              <w:t>Molecule cutoff</w:t>
            </w:r>
          </w:p>
        </w:tc>
        <w:tc>
          <w:tcPr>
            <w:tcW w:w="4606" w:type="dxa"/>
          </w:tcPr>
          <w:p w14:paraId="63FB954B" w14:textId="074FA1EC" w:rsidR="00D80E05" w:rsidRDefault="00D80E05" w:rsidP="006148EB">
            <w:pPr>
              <w:rPr>
                <w:lang w:val="en-US"/>
              </w:rPr>
            </w:pPr>
            <w:r>
              <w:rPr>
                <w:lang w:val="en-US"/>
              </w:rPr>
              <w:t xml:space="preserve">As specified by </w:t>
            </w:r>
            <w:proofErr w:type="spellStart"/>
            <w:r>
              <w:rPr>
                <w:lang w:val="en-US"/>
              </w:rPr>
              <w:t>OMEx</w:t>
            </w:r>
            <w:proofErr w:type="spellEnd"/>
          </w:p>
        </w:tc>
      </w:tr>
      <w:tr w:rsidR="00D80E05" w14:paraId="4CB6E991" w14:textId="77777777" w:rsidTr="00B02B0F">
        <w:trPr>
          <w:trHeight w:val="204"/>
        </w:trPr>
        <w:tc>
          <w:tcPr>
            <w:tcW w:w="4606" w:type="dxa"/>
          </w:tcPr>
          <w:p w14:paraId="4A5B842E" w14:textId="05BC8BBD" w:rsidR="00D80E05" w:rsidRDefault="00D80E05" w:rsidP="006148EB">
            <w:pPr>
              <w:rPr>
                <w:lang w:val="en-US"/>
              </w:rPr>
            </w:pPr>
            <w:r>
              <w:rPr>
                <w:lang w:val="en-US"/>
              </w:rPr>
              <w:lastRenderedPageBreak/>
              <w:t>folds</w:t>
            </w:r>
          </w:p>
        </w:tc>
        <w:tc>
          <w:tcPr>
            <w:tcW w:w="4606" w:type="dxa"/>
          </w:tcPr>
          <w:p w14:paraId="33EAAB35" w14:textId="2D4993D3" w:rsidR="00D80E05" w:rsidRDefault="00D80E05" w:rsidP="006148EB">
            <w:pPr>
              <w:rPr>
                <w:lang w:val="en-US"/>
              </w:rPr>
            </w:pPr>
            <w:r>
              <w:rPr>
                <w:lang w:val="en-US"/>
              </w:rPr>
              <w:t>5</w:t>
            </w:r>
          </w:p>
        </w:tc>
      </w:tr>
      <w:tr w:rsidR="00D80E05" w14:paraId="702078E0" w14:textId="77777777" w:rsidTr="00B02B0F">
        <w:trPr>
          <w:trHeight w:val="204"/>
        </w:trPr>
        <w:tc>
          <w:tcPr>
            <w:tcW w:w="4606" w:type="dxa"/>
          </w:tcPr>
          <w:p w14:paraId="37545CA6" w14:textId="6C2F2292" w:rsidR="00D80E05" w:rsidRDefault="00D80E05" w:rsidP="006148EB">
            <w:pPr>
              <w:rPr>
                <w:lang w:val="en-US"/>
              </w:rPr>
            </w:pPr>
            <w:r>
              <w:rPr>
                <w:lang w:val="en-US"/>
              </w:rPr>
              <w:t>repeats</w:t>
            </w:r>
          </w:p>
        </w:tc>
        <w:tc>
          <w:tcPr>
            <w:tcW w:w="4606" w:type="dxa"/>
          </w:tcPr>
          <w:p w14:paraId="3A7330B6" w14:textId="57772435" w:rsidR="00D80E05" w:rsidRDefault="00D80E05" w:rsidP="006148EB">
            <w:pPr>
              <w:rPr>
                <w:lang w:val="en-US"/>
              </w:rPr>
            </w:pPr>
            <w:r>
              <w:rPr>
                <w:lang w:val="en-US"/>
              </w:rPr>
              <w:t>1000</w:t>
            </w:r>
          </w:p>
        </w:tc>
      </w:tr>
    </w:tbl>
    <w:p w14:paraId="0F685139" w14:textId="77777777" w:rsidR="00E341CA" w:rsidRDefault="00E341CA" w:rsidP="006148EB">
      <w:pPr>
        <w:rPr>
          <w:lang w:val="en-US"/>
        </w:rPr>
      </w:pPr>
    </w:p>
    <w:p w14:paraId="1B25E64C" w14:textId="6F61E547" w:rsidR="00BF582D" w:rsidRDefault="00BF582D" w:rsidP="006148EB">
      <w:pPr>
        <w:rPr>
          <w:lang w:val="en-US"/>
        </w:rPr>
      </w:pPr>
      <w:r>
        <w:rPr>
          <w:lang w:val="en-US"/>
        </w:rPr>
        <w:t>For the comparison to the original algorithm three group pairings were run (C vs. NASH, C vs. HCC, NASH vs. HCC) with default parameters, except that 2000 wrapper repeats were used. For the same pairings, runs without test</w:t>
      </w:r>
      <w:r>
        <w:rPr>
          <w:lang w:val="en-US"/>
        </w:rPr>
        <w:t xml:space="preserve"> </w:t>
      </w:r>
      <w:r>
        <w:rPr>
          <w:lang w:val="en-US"/>
        </w:rPr>
        <w:t>set (</w:t>
      </w:r>
      <w:r w:rsidRPr="00D80E05">
        <w:rPr>
          <w:rFonts w:ascii="Roboto" w:hAnsi="Roboto"/>
          <w:spacing w:val="4"/>
          <w:sz w:val="21"/>
          <w:szCs w:val="21"/>
          <w:lang w:val="en-US"/>
        </w:rPr>
        <w:t>split a test set from input data</w:t>
      </w:r>
      <w:r>
        <w:rPr>
          <w:rFonts w:ascii="Roboto" w:hAnsi="Roboto"/>
          <w:spacing w:val="4"/>
          <w:sz w:val="21"/>
          <w:szCs w:val="21"/>
          <w:lang w:val="en-US"/>
        </w:rPr>
        <w:t xml:space="preserve"> = false</w:t>
      </w:r>
      <w:r>
        <w:rPr>
          <w:lang w:val="en-US"/>
        </w:rPr>
        <w:t>) and 1000 wrapper repeats were performed.</w:t>
      </w:r>
    </w:p>
    <w:p w14:paraId="07AFE5FE" w14:textId="2A0C9A31" w:rsidR="00BF582D" w:rsidRDefault="00BF582D" w:rsidP="006148EB">
      <w:pPr>
        <w:rPr>
          <w:lang w:val="en-US"/>
        </w:rPr>
      </w:pPr>
      <w:r>
        <w:rPr>
          <w:lang w:val="en-US"/>
        </w:rPr>
        <w:t>For the blood proteomics, urine metabolomics and glial tumor metabolomics datasets, default parameters were used, except that wrapper repeats were set to 2000. For the blood transcriptomics dataset normalization was disabled and wrapper repeats were set to 2000.</w:t>
      </w:r>
    </w:p>
    <w:p w14:paraId="49615602" w14:textId="1B58FACD" w:rsidR="00113FE4" w:rsidRDefault="00113FE4" w:rsidP="006148EB">
      <w:pPr>
        <w:rPr>
          <w:lang w:val="en-US"/>
        </w:rPr>
      </w:pPr>
      <w:r>
        <w:rPr>
          <w:lang w:val="en-US"/>
        </w:rPr>
        <w:t xml:space="preserve">Configurations can also be inspected when opening the </w:t>
      </w:r>
      <w:proofErr w:type="spellStart"/>
      <w:r>
        <w:rPr>
          <w:lang w:val="en-US"/>
        </w:rPr>
        <w:t>config.json</w:t>
      </w:r>
      <w:proofErr w:type="spellEnd"/>
      <w:r>
        <w:rPr>
          <w:lang w:val="en-US"/>
        </w:rPr>
        <w:t xml:space="preserve"> file contained in the output directory of every </w:t>
      </w:r>
      <w:proofErr w:type="spellStart"/>
      <w:r>
        <w:rPr>
          <w:lang w:val="en-US"/>
        </w:rPr>
        <w:t>OMEx</w:t>
      </w:r>
      <w:proofErr w:type="spellEnd"/>
      <w:r>
        <w:rPr>
          <w:lang w:val="en-US"/>
        </w:rPr>
        <w:t xml:space="preserve"> run (</w:t>
      </w:r>
      <w:r>
        <w:rPr>
          <w:lang w:val="en-US"/>
        </w:rPr>
        <w:t>omex_sydor_comparison.zip</w:t>
      </w:r>
      <w:r>
        <w:rPr>
          <w:lang w:val="en-US"/>
        </w:rPr>
        <w:t xml:space="preserve">, </w:t>
      </w:r>
      <w:r>
        <w:rPr>
          <w:lang w:val="en-US"/>
        </w:rPr>
        <w:t>benchmarking_results.zip</w:t>
      </w:r>
      <w:r>
        <w:rPr>
          <w:lang w:val="en-US"/>
        </w:rPr>
        <w:t>).</w:t>
      </w:r>
    </w:p>
    <w:p w14:paraId="1BB88B81" w14:textId="58EE9C1D" w:rsidR="00CC3349" w:rsidRDefault="00CC3349" w:rsidP="00CC3349">
      <w:pPr>
        <w:pStyle w:val="berschrift1"/>
        <w:rPr>
          <w:lang w:val="en-US"/>
        </w:rPr>
      </w:pPr>
      <w:r>
        <w:rPr>
          <w:lang w:val="en-US"/>
        </w:rPr>
        <w:t>5 Annotation of molecule panels</w:t>
      </w:r>
    </w:p>
    <w:p w14:paraId="5A8B7FAC" w14:textId="51729126" w:rsidR="00CC3349" w:rsidRDefault="0046167F" w:rsidP="00CC3349">
      <w:pPr>
        <w:rPr>
          <w:lang w:val="en-US"/>
        </w:rPr>
      </w:pPr>
      <w:r>
        <w:rPr>
          <w:lang w:val="en-US"/>
        </w:rPr>
        <w:t>We provided the selected panels for the blood proteomics, blood transcriptomics, urine metabolomics and glial tumor metabolomics datasets in the main manuscript. No meta information on molecules was contained in the datasets requiring a manual annotation of molecule identifiers.</w:t>
      </w:r>
    </w:p>
    <w:p w14:paraId="6B6D621E" w14:textId="082D8D4C" w:rsidR="0046167F" w:rsidRPr="0046167F" w:rsidRDefault="0046167F" w:rsidP="00CC3349">
      <w:pPr>
        <w:rPr>
          <w:lang w:val="en-US"/>
        </w:rPr>
      </w:pPr>
      <w:r>
        <w:rPr>
          <w:lang w:val="en-US"/>
        </w:rPr>
        <w:t xml:space="preserve">For the blood proteomics and blood transcriptomics datasets, gene names were contained in the datasets, which were queried in </w:t>
      </w:r>
      <w:proofErr w:type="spellStart"/>
      <w:r>
        <w:rPr>
          <w:lang w:val="en-US"/>
        </w:rPr>
        <w:t>UniProt</w:t>
      </w:r>
      <w:proofErr w:type="spellEnd"/>
      <w:r>
        <w:rPr>
          <w:lang w:val="en-US"/>
        </w:rPr>
        <w:t xml:space="preserve"> </w:t>
      </w:r>
      <w:sdt>
        <w:sdtPr>
          <w:rPr>
            <w:lang w:val="en-US"/>
          </w:rPr>
          <w:id w:val="1034929927"/>
          <w:citation/>
        </w:sdtPr>
        <w:sdtContent>
          <w:r>
            <w:rPr>
              <w:lang w:val="en-US"/>
            </w:rPr>
            <w:fldChar w:fldCharType="begin"/>
          </w:r>
          <w:r w:rsidRPr="0046167F">
            <w:rPr>
              <w:lang w:val="en-US"/>
            </w:rPr>
            <w:instrText xml:space="preserve"> CITATION Bateman2024 \l 1031 </w:instrText>
          </w:r>
          <w:r>
            <w:rPr>
              <w:lang w:val="en-US"/>
            </w:rPr>
            <w:fldChar w:fldCharType="separate"/>
          </w:r>
          <w:r w:rsidRPr="0046167F">
            <w:rPr>
              <w:noProof/>
              <w:lang w:val="en-US"/>
            </w:rPr>
            <w:t>[3]</w:t>
          </w:r>
          <w:r>
            <w:rPr>
              <w:lang w:val="en-US"/>
            </w:rPr>
            <w:fldChar w:fldCharType="end"/>
          </w:r>
        </w:sdtContent>
      </w:sdt>
      <w:r>
        <w:rPr>
          <w:lang w:val="en-US"/>
        </w:rPr>
        <w:t xml:space="preserve"> (date of access: January 20, 2025). For the two metabolomics datasets, molecule m/z values were</w:t>
      </w:r>
      <w:r w:rsidR="000220A7">
        <w:rPr>
          <w:lang w:val="en-US"/>
        </w:rPr>
        <w:t xml:space="preserve"> present in molecule identifiers and could be</w:t>
      </w:r>
      <w:r>
        <w:rPr>
          <w:lang w:val="en-US"/>
        </w:rPr>
        <w:t xml:space="preserve"> input into the</w:t>
      </w:r>
      <w:r w:rsidR="00323542">
        <w:rPr>
          <w:lang w:val="en-US"/>
        </w:rPr>
        <w:t xml:space="preserve"> Annotation LCMS FIAMS tool on the</w:t>
      </w:r>
      <w:r>
        <w:rPr>
          <w:lang w:val="en-US"/>
        </w:rPr>
        <w:t xml:space="preserve"> </w:t>
      </w:r>
      <w:r w:rsidRPr="0046167F">
        <w:rPr>
          <w:lang w:val="en-US"/>
        </w:rPr>
        <w:t>Workflow4Metabolomics platform</w:t>
      </w:r>
      <w:r w:rsidR="000220A7">
        <w:rPr>
          <w:lang w:val="en-US"/>
        </w:rPr>
        <w:t xml:space="preserve"> </w:t>
      </w:r>
      <w:sdt>
        <w:sdtPr>
          <w:rPr>
            <w:lang w:val="en-US"/>
          </w:rPr>
          <w:id w:val="1773431351"/>
          <w:citation/>
        </w:sdtPr>
        <w:sdtContent>
          <w:r w:rsidR="000220A7">
            <w:rPr>
              <w:lang w:val="en-US"/>
            </w:rPr>
            <w:fldChar w:fldCharType="begin"/>
          </w:r>
          <w:r w:rsidR="000220A7" w:rsidRPr="000220A7">
            <w:rPr>
              <w:lang w:val="en-US"/>
            </w:rPr>
            <w:instrText xml:space="preserve"> CITATION Giacomoni2014 \l 1031 </w:instrText>
          </w:r>
          <w:r w:rsidR="000220A7">
            <w:rPr>
              <w:lang w:val="en-US"/>
            </w:rPr>
            <w:fldChar w:fldCharType="separate"/>
          </w:r>
          <w:r w:rsidR="000220A7" w:rsidRPr="000220A7">
            <w:rPr>
              <w:noProof/>
              <w:lang w:val="en-US"/>
            </w:rPr>
            <w:t>[2]</w:t>
          </w:r>
          <w:r w:rsidR="000220A7">
            <w:rPr>
              <w:lang w:val="en-US"/>
            </w:rPr>
            <w:fldChar w:fldCharType="end"/>
          </w:r>
        </w:sdtContent>
      </w:sdt>
      <w:r w:rsidR="000220A7">
        <w:rPr>
          <w:lang w:val="en-US"/>
        </w:rPr>
        <w:t xml:space="preserve">. </w:t>
      </w:r>
      <w:r w:rsidR="00323542">
        <w:rPr>
          <w:lang w:val="en-US"/>
        </w:rPr>
        <w:t>Specifically, the “bank-inhouse” tool was used to annotate m/z values. Parameters can be found in the subdirectories for the respective datasets in “</w:t>
      </w:r>
      <w:r w:rsidR="00323542">
        <w:rPr>
          <w:lang w:val="en-US"/>
        </w:rPr>
        <w:t>selected_molecule_identification.zip</w:t>
      </w:r>
      <w:r w:rsidR="00323542">
        <w:rPr>
          <w:lang w:val="en-US"/>
        </w:rPr>
        <w:t>”.</w:t>
      </w:r>
    </w:p>
    <w:sdt>
      <w:sdtPr>
        <w:id w:val="-1529935213"/>
        <w:docPartObj>
          <w:docPartGallery w:val="Bibliographies"/>
          <w:docPartUnique/>
        </w:docPartObj>
      </w:sdtPr>
      <w:sdtEndPr>
        <w:rPr>
          <w:rFonts w:asciiTheme="minorHAnsi" w:eastAsiaTheme="minorHAnsi" w:hAnsiTheme="minorHAnsi" w:cstheme="minorBidi"/>
          <w:color w:val="auto"/>
          <w:sz w:val="22"/>
          <w:szCs w:val="22"/>
        </w:rPr>
      </w:sdtEndPr>
      <w:sdtContent>
        <w:p w14:paraId="41A897DD" w14:textId="54D5C1E7" w:rsidR="0046167F" w:rsidRDefault="0046167F">
          <w:pPr>
            <w:pStyle w:val="berschrift1"/>
          </w:pPr>
          <w:r>
            <w:t>References</w:t>
          </w:r>
        </w:p>
        <w:sdt>
          <w:sdtPr>
            <w:id w:val="111145805"/>
            <w:bibliography/>
          </w:sdtPr>
          <w:sdtContent>
            <w:p w14:paraId="7D55803C" w14:textId="77777777" w:rsidR="0046167F" w:rsidRDefault="0046167F">
              <w:pPr>
                <w:rPr>
                  <w:noProof/>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840"/>
              </w:tblGrid>
              <w:tr w:rsidR="0046167F" w:rsidRPr="0046167F" w14:paraId="324147B0" w14:textId="77777777">
                <w:trPr>
                  <w:divId w:val="567422617"/>
                  <w:tblCellSpacing w:w="15" w:type="dxa"/>
                </w:trPr>
                <w:tc>
                  <w:tcPr>
                    <w:tcW w:w="50" w:type="pct"/>
                    <w:hideMark/>
                  </w:tcPr>
                  <w:p w14:paraId="31D900DF" w14:textId="0C5A3FFD" w:rsidR="0046167F" w:rsidRDefault="0046167F">
                    <w:pPr>
                      <w:pStyle w:val="Literaturverzeichnis"/>
                      <w:rPr>
                        <w:noProof/>
                        <w:kern w:val="0"/>
                        <w:sz w:val="24"/>
                        <w:szCs w:val="24"/>
                        <w14:ligatures w14:val="none"/>
                      </w:rPr>
                    </w:pPr>
                    <w:r>
                      <w:rPr>
                        <w:noProof/>
                      </w:rPr>
                      <w:t xml:space="preserve">[1] </w:t>
                    </w:r>
                  </w:p>
                </w:tc>
                <w:tc>
                  <w:tcPr>
                    <w:tcW w:w="0" w:type="auto"/>
                    <w:hideMark/>
                  </w:tcPr>
                  <w:p w14:paraId="6D034A2B" w14:textId="77777777" w:rsidR="0046167F" w:rsidRPr="0046167F" w:rsidRDefault="0046167F">
                    <w:pPr>
                      <w:pStyle w:val="Literaturverzeichnis"/>
                      <w:rPr>
                        <w:noProof/>
                        <w:lang w:val="en-US"/>
                      </w:rPr>
                    </w:pPr>
                    <w:r w:rsidRPr="0046167F">
                      <w:rPr>
                        <w:noProof/>
                        <w:lang w:val="en-US"/>
                      </w:rPr>
                      <w:t xml:space="preserve">S. Sydor, C. Dandyk, J. Schwerdt, P. Manka, D. Benndorf, T. Lehmann, K. Schallert, M. Wolf, U. Reichl, A. Canbay, L. P. Bechmann und R. Heyer, „Discovering Biomarkers for Non-Alcoholic Steatohepatitis Patients with and without Hepatocellular Carcinoma Using Fecal Metaproteomics,“ </w:t>
                    </w:r>
                    <w:r w:rsidRPr="0046167F">
                      <w:rPr>
                        <w:i/>
                        <w:iCs/>
                        <w:noProof/>
                        <w:lang w:val="en-US"/>
                      </w:rPr>
                      <w:t xml:space="preserve">International Journal of Molecular Sciences, </w:t>
                    </w:r>
                    <w:r w:rsidRPr="0046167F">
                      <w:rPr>
                        <w:noProof/>
                        <w:lang w:val="en-US"/>
                      </w:rPr>
                      <w:t xml:space="preserve">Bd. 23, p. 8841, August 2022. </w:t>
                    </w:r>
                  </w:p>
                </w:tc>
              </w:tr>
              <w:tr w:rsidR="0046167F" w:rsidRPr="0046167F" w14:paraId="2DD55FC4" w14:textId="77777777">
                <w:trPr>
                  <w:divId w:val="567422617"/>
                  <w:tblCellSpacing w:w="15" w:type="dxa"/>
                </w:trPr>
                <w:tc>
                  <w:tcPr>
                    <w:tcW w:w="50" w:type="pct"/>
                    <w:hideMark/>
                  </w:tcPr>
                  <w:p w14:paraId="0D67EC5A" w14:textId="77777777" w:rsidR="0046167F" w:rsidRDefault="0046167F">
                    <w:pPr>
                      <w:pStyle w:val="Literaturverzeichnis"/>
                      <w:rPr>
                        <w:noProof/>
                      </w:rPr>
                    </w:pPr>
                    <w:r>
                      <w:rPr>
                        <w:noProof/>
                      </w:rPr>
                      <w:t xml:space="preserve">[2] </w:t>
                    </w:r>
                  </w:p>
                </w:tc>
                <w:tc>
                  <w:tcPr>
                    <w:tcW w:w="0" w:type="auto"/>
                    <w:hideMark/>
                  </w:tcPr>
                  <w:p w14:paraId="66E3021F" w14:textId="77777777" w:rsidR="0046167F" w:rsidRPr="0046167F" w:rsidRDefault="0046167F">
                    <w:pPr>
                      <w:pStyle w:val="Literaturverzeichnis"/>
                      <w:rPr>
                        <w:noProof/>
                        <w:lang w:val="en-US"/>
                      </w:rPr>
                    </w:pPr>
                    <w:r w:rsidRPr="0046167F">
                      <w:rPr>
                        <w:noProof/>
                        <w:lang w:val="en-US"/>
                      </w:rPr>
                      <w:t xml:space="preserve">F. Giacomoni, G. Le Corguillé, M. Monsoor, M. Landi, P. Pericard, M. Pétéra, C. Duperier, M. Tremblay-Franco, J.-F. Martin, D. Jacob, S. Goulitquer, E. A. Thévenot und C. Caron, „Workflow4Metabolomics: a collaborative research infrastructure for computational metabolomics,“ </w:t>
                    </w:r>
                    <w:r w:rsidRPr="0046167F">
                      <w:rPr>
                        <w:i/>
                        <w:iCs/>
                        <w:noProof/>
                        <w:lang w:val="en-US"/>
                      </w:rPr>
                      <w:t xml:space="preserve">Bioinformatics, </w:t>
                    </w:r>
                    <w:r w:rsidRPr="0046167F">
                      <w:rPr>
                        <w:noProof/>
                        <w:lang w:val="en-US"/>
                      </w:rPr>
                      <w:t xml:space="preserve">Bd. 31, p. 1493–1495, December 2014. </w:t>
                    </w:r>
                  </w:p>
                </w:tc>
              </w:tr>
              <w:tr w:rsidR="0046167F" w14:paraId="3E3351D0" w14:textId="77777777">
                <w:trPr>
                  <w:divId w:val="567422617"/>
                  <w:tblCellSpacing w:w="15" w:type="dxa"/>
                </w:trPr>
                <w:tc>
                  <w:tcPr>
                    <w:tcW w:w="50" w:type="pct"/>
                    <w:hideMark/>
                  </w:tcPr>
                  <w:p w14:paraId="6DC7A962" w14:textId="77777777" w:rsidR="0046167F" w:rsidRDefault="0046167F">
                    <w:pPr>
                      <w:pStyle w:val="Literaturverzeichnis"/>
                      <w:rPr>
                        <w:noProof/>
                      </w:rPr>
                    </w:pPr>
                    <w:r>
                      <w:rPr>
                        <w:noProof/>
                      </w:rPr>
                      <w:t xml:space="preserve">[3] </w:t>
                    </w:r>
                  </w:p>
                </w:tc>
                <w:tc>
                  <w:tcPr>
                    <w:tcW w:w="0" w:type="auto"/>
                    <w:hideMark/>
                  </w:tcPr>
                  <w:p w14:paraId="1FBA03DF" w14:textId="77777777" w:rsidR="0046167F" w:rsidRDefault="0046167F">
                    <w:pPr>
                      <w:pStyle w:val="Literaturverzeichnis"/>
                      <w:rPr>
                        <w:noProof/>
                      </w:rPr>
                    </w:pPr>
                    <w:r>
                      <w:rPr>
                        <w:noProof/>
                      </w:rPr>
                      <w:t xml:space="preserve">A. Bateman, M.-J. Martin, S. Orchard, M. Magrane, A. Adesina, S. Ahmad, E. H. Bowler-Barnett, H. Bye-A-Jee, D. Carpentier, P. Denny, J. Fan, P. Garmiri, L. J. d. C. Gonzales, A. Hussein, A. Ignatchenko, G. Insana, R. Ishtiaq, V. Joshi, D. Jyothi, S. Kandasaamy, A. Lock, A. Luciani, J. Luo, Y. Lussi, J. S. M. Marin, P. Raposo, D. L. Rice, R. Santos, E. Speretta, J. Stephenson, P. Totoo, N. Tyagi, N. Urakova, P. Vasudev, K. Warner, S. Wijerathne, C. W.-H. Yu, R. Zaru, A. J. Bridge, L. Aimo, G. Argoud-Puy, A. H. Auchincloss, K. B. Axelsen, P. Bansal, D. Baratin, T. M. Batista Neto, M.-C. Blatter, J. T. Bolleman, E. Boutet, L. Breuza, B. C. Gil, C. Casals-Casas, K. C. Echioukh, E. Coudert, B. Cuche, E. de Castro, A. Estreicher, M. L. Famiglietti, M. Feuermann, E. Gasteiger, P. Gaudet, S. Gehant, V. </w:t>
                    </w:r>
                    <w:r>
                      <w:rPr>
                        <w:noProof/>
                      </w:rPr>
                      <w:lastRenderedPageBreak/>
                      <w:t xml:space="preserve">Gerritsen, A. Gos, N. Gruaz, C. Hulo, N. Hyka-Nouspikel, F. Jungo, A. Kerhornou, P. L. Mercier, D. Lieberherr, P. Masson, A. Morgat, S. Paesano, I. Pedruzzi, S. Pilbout, L. Pourcel, S. Poux, M. Pozzato, M. Pruess, N. Redaschi, C. Rivoire, C. J. A. Sigrist, K. Sonesson, S. Sundaram, A. Sveshnikova, C. H. Wu, C. N. Arighi, C. Chen, Y. Chen, H. Huang, K. Laiho, M. Lehvaslaiho, P. McGarvey, D. A. Natale, K. Ross, C. R. Vinayaka, Y. Wang und J. Zhang, „UniProt: the Universal Protein Knowledgebase in 2025,“ </w:t>
                    </w:r>
                    <w:r>
                      <w:rPr>
                        <w:i/>
                        <w:iCs/>
                        <w:noProof/>
                      </w:rPr>
                      <w:t xml:space="preserve">Nucleic Acids Research, </w:t>
                    </w:r>
                    <w:r>
                      <w:rPr>
                        <w:noProof/>
                      </w:rPr>
                      <w:t xml:space="preserve">Bd. 53, p. D609–D617, November 2024. </w:t>
                    </w:r>
                  </w:p>
                </w:tc>
              </w:tr>
              <w:tr w:rsidR="0046167F" w14:paraId="5FAC5BB0" w14:textId="77777777">
                <w:trPr>
                  <w:divId w:val="567422617"/>
                  <w:tblCellSpacing w:w="15" w:type="dxa"/>
                </w:trPr>
                <w:tc>
                  <w:tcPr>
                    <w:tcW w:w="50" w:type="pct"/>
                    <w:hideMark/>
                  </w:tcPr>
                  <w:p w14:paraId="51D65D32" w14:textId="77777777" w:rsidR="0046167F" w:rsidRDefault="0046167F">
                    <w:pPr>
                      <w:pStyle w:val="Literaturverzeichnis"/>
                      <w:rPr>
                        <w:noProof/>
                      </w:rPr>
                    </w:pPr>
                    <w:r>
                      <w:rPr>
                        <w:noProof/>
                      </w:rPr>
                      <w:lastRenderedPageBreak/>
                      <w:t xml:space="preserve">[4] </w:t>
                    </w:r>
                  </w:p>
                </w:tc>
                <w:tc>
                  <w:tcPr>
                    <w:tcW w:w="0" w:type="auto"/>
                    <w:hideMark/>
                  </w:tcPr>
                  <w:p w14:paraId="27C22FB1" w14:textId="77777777" w:rsidR="0046167F" w:rsidRDefault="0046167F">
                    <w:pPr>
                      <w:pStyle w:val="Literaturverzeichnis"/>
                      <w:rPr>
                        <w:noProof/>
                      </w:rPr>
                    </w:pPr>
                    <w:r>
                      <w:rPr>
                        <w:noProof/>
                      </w:rPr>
                      <w:t xml:space="preserve">S. Tasaki, K. Suzuki, Y. Kassai, M. Takeshita, A. Murota, Y. Kondo, T. Ando, Y. Nakayama, Y. Okuzono, M. Takiguchi, R. Kurisu, T. Miyazaki, K. Yoshimoto, H. Yasuoka, K. Yamaoka, R. Morita, A. Yoshimura, H. Toyoshiba und T. Takeuchi, „Multi-omics monitoring of drug response in rheumatoid arthritis in pursuit of molecular remission,“ </w:t>
                    </w:r>
                    <w:r>
                      <w:rPr>
                        <w:i/>
                        <w:iCs/>
                        <w:noProof/>
                      </w:rPr>
                      <w:t xml:space="preserve">Nature Communications, </w:t>
                    </w:r>
                    <w:r>
                      <w:rPr>
                        <w:noProof/>
                      </w:rPr>
                      <w:t xml:space="preserve">Bd. 9, July 2018. </w:t>
                    </w:r>
                  </w:p>
                </w:tc>
              </w:tr>
              <w:tr w:rsidR="0046167F" w:rsidRPr="0046167F" w14:paraId="7CDD8BD6" w14:textId="77777777">
                <w:trPr>
                  <w:divId w:val="567422617"/>
                  <w:tblCellSpacing w:w="15" w:type="dxa"/>
                </w:trPr>
                <w:tc>
                  <w:tcPr>
                    <w:tcW w:w="50" w:type="pct"/>
                    <w:hideMark/>
                  </w:tcPr>
                  <w:p w14:paraId="7246463A" w14:textId="77777777" w:rsidR="0046167F" w:rsidRDefault="0046167F">
                    <w:pPr>
                      <w:pStyle w:val="Literaturverzeichnis"/>
                      <w:rPr>
                        <w:noProof/>
                      </w:rPr>
                    </w:pPr>
                    <w:r>
                      <w:rPr>
                        <w:noProof/>
                      </w:rPr>
                      <w:t xml:space="preserve">[5] </w:t>
                    </w:r>
                  </w:p>
                </w:tc>
                <w:tc>
                  <w:tcPr>
                    <w:tcW w:w="0" w:type="auto"/>
                    <w:hideMark/>
                  </w:tcPr>
                  <w:p w14:paraId="0D01105E" w14:textId="77777777" w:rsidR="0046167F" w:rsidRPr="0046167F" w:rsidRDefault="0046167F">
                    <w:pPr>
                      <w:pStyle w:val="Literaturverzeichnis"/>
                      <w:rPr>
                        <w:noProof/>
                        <w:lang w:val="en-US"/>
                      </w:rPr>
                    </w:pPr>
                    <w:r w:rsidRPr="0046167F">
                      <w:rPr>
                        <w:noProof/>
                        <w:lang w:val="en-US"/>
                      </w:rPr>
                      <w:t xml:space="preserve">E. A. Mathé, A. D. Patterson, M. Haznadar, S. K. Manna, K. W. Krausz, E. D. Bowman, P. G. Shields, J. R. Idle, P. B. Smith, K. Anami, D. G. Kazandjian, E. Hatzakis, F. J. Gonzalez und C. C. Harris, „Noninvasive Urinary Metabolomic Profiling Identifies Diagnostic and Prognostic Markers in Lung Cancer,“ </w:t>
                    </w:r>
                    <w:r w:rsidRPr="0046167F">
                      <w:rPr>
                        <w:i/>
                        <w:iCs/>
                        <w:noProof/>
                        <w:lang w:val="en-US"/>
                      </w:rPr>
                      <w:t xml:space="preserve">Cancer Research, </w:t>
                    </w:r>
                    <w:r w:rsidRPr="0046167F">
                      <w:rPr>
                        <w:noProof/>
                        <w:lang w:val="en-US"/>
                      </w:rPr>
                      <w:t xml:space="preserve">Bd. 74, p. 3259–3270, June 2014. </w:t>
                    </w:r>
                  </w:p>
                </w:tc>
              </w:tr>
              <w:tr w:rsidR="0046167F" w:rsidRPr="0046167F" w14:paraId="26925629" w14:textId="77777777">
                <w:trPr>
                  <w:divId w:val="567422617"/>
                  <w:tblCellSpacing w:w="15" w:type="dxa"/>
                </w:trPr>
                <w:tc>
                  <w:tcPr>
                    <w:tcW w:w="50" w:type="pct"/>
                    <w:hideMark/>
                  </w:tcPr>
                  <w:p w14:paraId="5A4A7897" w14:textId="77777777" w:rsidR="0046167F" w:rsidRDefault="0046167F">
                    <w:pPr>
                      <w:pStyle w:val="Literaturverzeichnis"/>
                      <w:rPr>
                        <w:noProof/>
                      </w:rPr>
                    </w:pPr>
                    <w:r>
                      <w:rPr>
                        <w:noProof/>
                      </w:rPr>
                      <w:t xml:space="preserve">[6] </w:t>
                    </w:r>
                  </w:p>
                </w:tc>
                <w:tc>
                  <w:tcPr>
                    <w:tcW w:w="0" w:type="auto"/>
                    <w:hideMark/>
                  </w:tcPr>
                  <w:p w14:paraId="76012FC4" w14:textId="77777777" w:rsidR="0046167F" w:rsidRPr="0046167F" w:rsidRDefault="0046167F">
                    <w:pPr>
                      <w:pStyle w:val="Literaturverzeichnis"/>
                      <w:rPr>
                        <w:noProof/>
                        <w:lang w:val="en-US"/>
                      </w:rPr>
                    </w:pPr>
                    <w:r w:rsidRPr="0046167F">
                      <w:rPr>
                        <w:noProof/>
                        <w:lang w:val="en-US"/>
                      </w:rPr>
                      <w:t xml:space="preserve">D. Chardin, C. Gille, T. Pourcher, O. Humbert und M. Barlaud, „Learning a confidence score and the latent space of a new supervised autoencoder for diagnosis and prognosis in clinical metabolomic studies,“ </w:t>
                    </w:r>
                    <w:r w:rsidRPr="0046167F">
                      <w:rPr>
                        <w:i/>
                        <w:iCs/>
                        <w:noProof/>
                        <w:lang w:val="en-US"/>
                      </w:rPr>
                      <w:t xml:space="preserve">BMC Bioinformatics, </w:t>
                    </w:r>
                    <w:r w:rsidRPr="0046167F">
                      <w:rPr>
                        <w:noProof/>
                        <w:lang w:val="en-US"/>
                      </w:rPr>
                      <w:t xml:space="preserve">Bd. 23, September 2022. </w:t>
                    </w:r>
                  </w:p>
                </w:tc>
              </w:tr>
              <w:tr w:rsidR="0046167F" w:rsidRPr="0046167F" w14:paraId="2D4D6EF9" w14:textId="77777777">
                <w:trPr>
                  <w:divId w:val="567422617"/>
                  <w:tblCellSpacing w:w="15" w:type="dxa"/>
                </w:trPr>
                <w:tc>
                  <w:tcPr>
                    <w:tcW w:w="50" w:type="pct"/>
                    <w:hideMark/>
                  </w:tcPr>
                  <w:p w14:paraId="5700225C" w14:textId="77777777" w:rsidR="0046167F" w:rsidRDefault="0046167F">
                    <w:pPr>
                      <w:pStyle w:val="Literaturverzeichnis"/>
                      <w:rPr>
                        <w:noProof/>
                      </w:rPr>
                    </w:pPr>
                    <w:r>
                      <w:rPr>
                        <w:noProof/>
                      </w:rPr>
                      <w:t xml:space="preserve">[7] </w:t>
                    </w:r>
                  </w:p>
                </w:tc>
                <w:tc>
                  <w:tcPr>
                    <w:tcW w:w="0" w:type="auto"/>
                    <w:hideMark/>
                  </w:tcPr>
                  <w:p w14:paraId="3B32F77E" w14:textId="77777777" w:rsidR="0046167F" w:rsidRPr="0046167F" w:rsidRDefault="0046167F">
                    <w:pPr>
                      <w:pStyle w:val="Literaturverzeichnis"/>
                      <w:rPr>
                        <w:noProof/>
                        <w:lang w:val="en-US"/>
                      </w:rPr>
                    </w:pPr>
                    <w:r w:rsidRPr="0046167F">
                      <w:rPr>
                        <w:noProof/>
                        <w:lang w:val="en-US"/>
                      </w:rPr>
                      <w:t xml:space="preserve">S. Ng, S. Masarone, D. Watson und M. R. Barnes, „The benefits and pitfalls of machine learning for biomarker discovery,“ </w:t>
                    </w:r>
                    <w:r w:rsidRPr="0046167F">
                      <w:rPr>
                        <w:i/>
                        <w:iCs/>
                        <w:noProof/>
                        <w:lang w:val="en-US"/>
                      </w:rPr>
                      <w:t xml:space="preserve">Cell and Tissue Research, </w:t>
                    </w:r>
                    <w:r w:rsidRPr="0046167F">
                      <w:rPr>
                        <w:noProof/>
                        <w:lang w:val="en-US"/>
                      </w:rPr>
                      <w:t xml:space="preserve">Bd. 394, p. 17–31, July 2023. </w:t>
                    </w:r>
                  </w:p>
                </w:tc>
              </w:tr>
            </w:tbl>
            <w:p w14:paraId="0EA703E7" w14:textId="77777777" w:rsidR="0046167F" w:rsidRPr="0046167F" w:rsidRDefault="0046167F">
              <w:pPr>
                <w:divId w:val="567422617"/>
                <w:rPr>
                  <w:rFonts w:eastAsia="Times New Roman"/>
                  <w:noProof/>
                  <w:lang w:val="en-US"/>
                </w:rPr>
              </w:pPr>
            </w:p>
            <w:p w14:paraId="7BD6D4FE" w14:textId="3A0F9DD3" w:rsidR="0046167F" w:rsidRDefault="0046167F">
              <w:r>
                <w:rPr>
                  <w:b/>
                  <w:bCs/>
                </w:rPr>
                <w:fldChar w:fldCharType="end"/>
              </w:r>
            </w:p>
          </w:sdtContent>
        </w:sdt>
      </w:sdtContent>
    </w:sdt>
    <w:p w14:paraId="2F27D125" w14:textId="77777777" w:rsidR="00180FF7" w:rsidRDefault="00180FF7">
      <w:pPr>
        <w:rPr>
          <w:lang w:val="en-US"/>
        </w:rPr>
      </w:pPr>
    </w:p>
    <w:sectPr w:rsidR="00180FF7">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no Pro">
    <w:altName w:val="Calibri"/>
    <w:charset w:val="00"/>
    <w:family w:val="roman"/>
    <w:pitch w:val="variable"/>
  </w:font>
  <w:font w:name="Liberation Mono">
    <w:altName w:val="Courier New"/>
    <w:charset w:val="00"/>
    <w:family w:val="roman"/>
    <w:pitch w:val="variable"/>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4C0E"/>
    <w:multiLevelType w:val="multilevel"/>
    <w:tmpl w:val="D0968C78"/>
    <w:lvl w:ilvl="0">
      <w:start w:val="1"/>
      <w:numFmt w:val="decimal"/>
      <w:lvlText w:val="%1."/>
      <w:lvlJc w:val="left"/>
      <w:pPr>
        <w:tabs>
          <w:tab w:val="num" w:pos="0"/>
        </w:tabs>
        <w:ind w:left="720" w:hanging="360"/>
      </w:pPr>
    </w:lvl>
    <w:lvl w:ilvl="1">
      <w:start w:val="1"/>
      <w:numFmt w:val="decimal"/>
      <w:lvlText w:val="%1.%2"/>
      <w:lvlJc w:val="left"/>
      <w:pPr>
        <w:tabs>
          <w:tab w:val="num" w:pos="0"/>
        </w:tabs>
        <w:ind w:left="750" w:hanging="39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 w15:restartNumberingAfterBreak="0">
    <w:nsid w:val="2DA53EF7"/>
    <w:multiLevelType w:val="hybridMultilevel"/>
    <w:tmpl w:val="A56811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A61EE8"/>
    <w:multiLevelType w:val="multilevel"/>
    <w:tmpl w:val="B0E6F68A"/>
    <w:lvl w:ilvl="0">
      <w:numFmt w:val="bullet"/>
      <w:lvlText w:val="-"/>
      <w:lvlJc w:val="left"/>
      <w:pPr>
        <w:tabs>
          <w:tab w:val="num" w:pos="0"/>
        </w:tabs>
        <w:ind w:left="1070" w:hanging="71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35C59CC"/>
    <w:multiLevelType w:val="multilevel"/>
    <w:tmpl w:val="52446C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32451891">
    <w:abstractNumId w:val="2"/>
  </w:num>
  <w:num w:numId="2" w16cid:durableId="1680736548">
    <w:abstractNumId w:val="0"/>
  </w:num>
  <w:num w:numId="3" w16cid:durableId="1595169367">
    <w:abstractNumId w:val="3"/>
  </w:num>
  <w:num w:numId="4" w16cid:durableId="1064137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0FF7"/>
    <w:rsid w:val="000203FA"/>
    <w:rsid w:val="000220A7"/>
    <w:rsid w:val="0010707A"/>
    <w:rsid w:val="00113FE4"/>
    <w:rsid w:val="00180FF7"/>
    <w:rsid w:val="002A2B75"/>
    <w:rsid w:val="002C54B7"/>
    <w:rsid w:val="00303FCD"/>
    <w:rsid w:val="0031784D"/>
    <w:rsid w:val="00323542"/>
    <w:rsid w:val="003F53CE"/>
    <w:rsid w:val="003F5439"/>
    <w:rsid w:val="0046167F"/>
    <w:rsid w:val="004A0573"/>
    <w:rsid w:val="004B403F"/>
    <w:rsid w:val="00563F79"/>
    <w:rsid w:val="005E4DB1"/>
    <w:rsid w:val="006148EB"/>
    <w:rsid w:val="006232A4"/>
    <w:rsid w:val="00687F3E"/>
    <w:rsid w:val="006C1E36"/>
    <w:rsid w:val="007124E3"/>
    <w:rsid w:val="00725C5A"/>
    <w:rsid w:val="007442D1"/>
    <w:rsid w:val="007A4FC2"/>
    <w:rsid w:val="007B3CD1"/>
    <w:rsid w:val="00866F87"/>
    <w:rsid w:val="0088778D"/>
    <w:rsid w:val="0089151C"/>
    <w:rsid w:val="008F13AA"/>
    <w:rsid w:val="00941E58"/>
    <w:rsid w:val="009D7AFC"/>
    <w:rsid w:val="009F5355"/>
    <w:rsid w:val="00A01CA7"/>
    <w:rsid w:val="00A02CF8"/>
    <w:rsid w:val="00A958D2"/>
    <w:rsid w:val="00A97553"/>
    <w:rsid w:val="00AA6FFE"/>
    <w:rsid w:val="00B02B0F"/>
    <w:rsid w:val="00B03FDF"/>
    <w:rsid w:val="00B662DA"/>
    <w:rsid w:val="00B67E58"/>
    <w:rsid w:val="00B75F12"/>
    <w:rsid w:val="00B90BD2"/>
    <w:rsid w:val="00B96145"/>
    <w:rsid w:val="00BF582D"/>
    <w:rsid w:val="00C3076E"/>
    <w:rsid w:val="00C90EFA"/>
    <w:rsid w:val="00C91A31"/>
    <w:rsid w:val="00CC0297"/>
    <w:rsid w:val="00CC3349"/>
    <w:rsid w:val="00CC6938"/>
    <w:rsid w:val="00CD6F1D"/>
    <w:rsid w:val="00CE298E"/>
    <w:rsid w:val="00D01E5D"/>
    <w:rsid w:val="00D41B83"/>
    <w:rsid w:val="00D72719"/>
    <w:rsid w:val="00D80E05"/>
    <w:rsid w:val="00D90829"/>
    <w:rsid w:val="00E341CA"/>
    <w:rsid w:val="00F607BD"/>
    <w:rsid w:val="00F663B2"/>
    <w:rsid w:val="00F73DE2"/>
    <w:rsid w:val="00FB01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A7D0"/>
  <w15:docId w15:val="{ED460A2B-DC5A-4A73-A918-97B53D98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1C13"/>
    <w:pPr>
      <w:spacing w:after="160" w:line="259" w:lineRule="auto"/>
      <w:jc w:val="both"/>
    </w:pPr>
  </w:style>
  <w:style w:type="paragraph" w:styleId="berschrift1">
    <w:name w:val="heading 1"/>
    <w:basedOn w:val="Standard"/>
    <w:next w:val="Standard"/>
    <w:link w:val="berschrift1Zchn"/>
    <w:uiPriority w:val="9"/>
    <w:qFormat/>
    <w:rsid w:val="00F317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12D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F317CA"/>
    <w:rPr>
      <w:rFonts w:asciiTheme="majorHAnsi" w:eastAsiaTheme="majorEastAsia" w:hAnsiTheme="majorHAnsi" w:cstheme="majorBidi"/>
      <w:color w:val="2F5496" w:themeColor="accent1" w:themeShade="BF"/>
      <w:sz w:val="32"/>
      <w:szCs w:val="32"/>
    </w:rPr>
  </w:style>
  <w:style w:type="character" w:styleId="Zeilennummer">
    <w:name w:val="line number"/>
    <w:basedOn w:val="Absatz-Standardschriftart"/>
    <w:qFormat/>
    <w:rsid w:val="00591C13"/>
    <w:rPr>
      <w:sz w:val="18"/>
    </w:rPr>
  </w:style>
  <w:style w:type="character" w:customStyle="1" w:styleId="berschrift2Zchn">
    <w:name w:val="Überschrift 2 Zchn"/>
    <w:basedOn w:val="Absatz-Standardschriftart"/>
    <w:link w:val="berschrift2"/>
    <w:uiPriority w:val="9"/>
    <w:qFormat/>
    <w:rsid w:val="00912DE0"/>
    <w:rPr>
      <w:rFonts w:asciiTheme="majorHAnsi" w:eastAsiaTheme="majorEastAsia" w:hAnsiTheme="majorHAnsi" w:cstheme="majorBidi"/>
      <w:color w:val="2F5496" w:themeColor="accent1" w:themeShade="BF"/>
      <w:sz w:val="26"/>
      <w:szCs w:val="2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next w:val="Standard"/>
    <w:uiPriority w:val="35"/>
    <w:unhideWhenUsed/>
    <w:qFormat/>
    <w:rsid w:val="002409EF"/>
    <w:pPr>
      <w:spacing w:after="200" w:line="240" w:lineRule="auto"/>
    </w:pPr>
    <w:rPr>
      <w:i/>
      <w:iCs/>
      <w:color w:val="44546A" w:themeColor="text2"/>
      <w:sz w:val="18"/>
      <w:szCs w:val="18"/>
    </w:rPr>
  </w:style>
  <w:style w:type="paragraph" w:customStyle="1" w:styleId="Verzeichnis">
    <w:name w:val="Verzeichnis"/>
    <w:basedOn w:val="Standard"/>
    <w:qFormat/>
    <w:pPr>
      <w:suppressLineNumbers/>
    </w:pPr>
    <w:rPr>
      <w:rFonts w:cs="Arial"/>
    </w:rPr>
  </w:style>
  <w:style w:type="paragraph" w:styleId="Listenabsatz">
    <w:name w:val="List Paragraph"/>
    <w:basedOn w:val="Standard"/>
    <w:uiPriority w:val="34"/>
    <w:qFormat/>
    <w:rsid w:val="00591C13"/>
    <w:pPr>
      <w:ind w:left="720"/>
      <w:contextualSpacing/>
    </w:pPr>
  </w:style>
  <w:style w:type="paragraph" w:customStyle="1" w:styleId="TAMainText">
    <w:name w:val="TA_Main_Text"/>
    <w:basedOn w:val="Standard"/>
    <w:autoRedefine/>
    <w:qFormat/>
    <w:rsid w:val="00591C13"/>
    <w:pPr>
      <w:spacing w:after="60" w:line="240" w:lineRule="auto"/>
      <w:ind w:firstLine="180"/>
    </w:pPr>
    <w:rPr>
      <w:rFonts w:ascii="Arno Pro" w:eastAsia="Times New Roman" w:hAnsi="Arno Pro" w:cs="Times New Roman"/>
      <w:sz w:val="19"/>
      <w:szCs w:val="20"/>
      <w:lang w:val="en-US"/>
      <w14:ligatures w14:val="none"/>
    </w:rPr>
  </w:style>
  <w:style w:type="paragraph" w:styleId="Literaturverzeichnis">
    <w:name w:val="Bibliography"/>
    <w:basedOn w:val="Standard"/>
    <w:next w:val="Standard"/>
    <w:uiPriority w:val="37"/>
    <w:unhideWhenUsed/>
    <w:qFormat/>
    <w:rsid w:val="00591C13"/>
  </w:style>
  <w:style w:type="paragraph" w:customStyle="1" w:styleId="VorformatierterText">
    <w:name w:val="Vorformatierter Text"/>
    <w:basedOn w:val="Standard"/>
    <w:qFormat/>
    <w:pPr>
      <w:spacing w:after="0"/>
    </w:pPr>
    <w:rPr>
      <w:rFonts w:ascii="Liberation Mono" w:eastAsia="Liberation Mono" w:hAnsi="Liberation Mono" w:cs="Liberation Mono"/>
      <w:sz w:val="20"/>
      <w:szCs w:val="20"/>
    </w:rPr>
  </w:style>
  <w:style w:type="table" w:styleId="Tabellenraster">
    <w:name w:val="Table Grid"/>
    <w:basedOn w:val="NormaleTabelle"/>
    <w:uiPriority w:val="39"/>
    <w:rsid w:val="00F81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03F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22401">
      <w:bodyDiv w:val="1"/>
      <w:marLeft w:val="0"/>
      <w:marRight w:val="0"/>
      <w:marTop w:val="0"/>
      <w:marBottom w:val="0"/>
      <w:divBdr>
        <w:top w:val="none" w:sz="0" w:space="0" w:color="auto"/>
        <w:left w:val="none" w:sz="0" w:space="0" w:color="auto"/>
        <w:bottom w:val="none" w:sz="0" w:space="0" w:color="auto"/>
        <w:right w:val="none" w:sz="0" w:space="0" w:color="auto"/>
      </w:divBdr>
    </w:div>
    <w:div w:id="233663615">
      <w:bodyDiv w:val="1"/>
      <w:marLeft w:val="0"/>
      <w:marRight w:val="0"/>
      <w:marTop w:val="0"/>
      <w:marBottom w:val="0"/>
      <w:divBdr>
        <w:top w:val="none" w:sz="0" w:space="0" w:color="auto"/>
        <w:left w:val="none" w:sz="0" w:space="0" w:color="auto"/>
        <w:bottom w:val="none" w:sz="0" w:space="0" w:color="auto"/>
        <w:right w:val="none" w:sz="0" w:space="0" w:color="auto"/>
      </w:divBdr>
    </w:div>
    <w:div w:id="567422617">
      <w:bodyDiv w:val="1"/>
      <w:marLeft w:val="0"/>
      <w:marRight w:val="0"/>
      <w:marTop w:val="0"/>
      <w:marBottom w:val="0"/>
      <w:divBdr>
        <w:top w:val="none" w:sz="0" w:space="0" w:color="auto"/>
        <w:left w:val="none" w:sz="0" w:space="0" w:color="auto"/>
        <w:bottom w:val="none" w:sz="0" w:space="0" w:color="auto"/>
        <w:right w:val="none" w:sz="0" w:space="0" w:color="auto"/>
      </w:divBdr>
    </w:div>
    <w:div w:id="569121895">
      <w:bodyDiv w:val="1"/>
      <w:marLeft w:val="0"/>
      <w:marRight w:val="0"/>
      <w:marTop w:val="0"/>
      <w:marBottom w:val="0"/>
      <w:divBdr>
        <w:top w:val="none" w:sz="0" w:space="0" w:color="auto"/>
        <w:left w:val="none" w:sz="0" w:space="0" w:color="auto"/>
        <w:bottom w:val="none" w:sz="0" w:space="0" w:color="auto"/>
        <w:right w:val="none" w:sz="0" w:space="0" w:color="auto"/>
      </w:divBdr>
    </w:div>
    <w:div w:id="586232997">
      <w:bodyDiv w:val="1"/>
      <w:marLeft w:val="0"/>
      <w:marRight w:val="0"/>
      <w:marTop w:val="0"/>
      <w:marBottom w:val="0"/>
      <w:divBdr>
        <w:top w:val="none" w:sz="0" w:space="0" w:color="auto"/>
        <w:left w:val="none" w:sz="0" w:space="0" w:color="auto"/>
        <w:bottom w:val="none" w:sz="0" w:space="0" w:color="auto"/>
        <w:right w:val="none" w:sz="0" w:space="0" w:color="auto"/>
      </w:divBdr>
    </w:div>
    <w:div w:id="861672229">
      <w:bodyDiv w:val="1"/>
      <w:marLeft w:val="0"/>
      <w:marRight w:val="0"/>
      <w:marTop w:val="0"/>
      <w:marBottom w:val="0"/>
      <w:divBdr>
        <w:top w:val="none" w:sz="0" w:space="0" w:color="auto"/>
        <w:left w:val="none" w:sz="0" w:space="0" w:color="auto"/>
        <w:bottom w:val="none" w:sz="0" w:space="0" w:color="auto"/>
        <w:right w:val="none" w:sz="0" w:space="0" w:color="auto"/>
      </w:divBdr>
    </w:div>
    <w:div w:id="1069886554">
      <w:bodyDiv w:val="1"/>
      <w:marLeft w:val="0"/>
      <w:marRight w:val="0"/>
      <w:marTop w:val="0"/>
      <w:marBottom w:val="0"/>
      <w:divBdr>
        <w:top w:val="none" w:sz="0" w:space="0" w:color="auto"/>
        <w:left w:val="none" w:sz="0" w:space="0" w:color="auto"/>
        <w:bottom w:val="none" w:sz="0" w:space="0" w:color="auto"/>
        <w:right w:val="none" w:sz="0" w:space="0" w:color="auto"/>
      </w:divBdr>
    </w:div>
    <w:div w:id="1303079262">
      <w:bodyDiv w:val="1"/>
      <w:marLeft w:val="0"/>
      <w:marRight w:val="0"/>
      <w:marTop w:val="0"/>
      <w:marBottom w:val="0"/>
      <w:divBdr>
        <w:top w:val="none" w:sz="0" w:space="0" w:color="auto"/>
        <w:left w:val="none" w:sz="0" w:space="0" w:color="auto"/>
        <w:bottom w:val="none" w:sz="0" w:space="0" w:color="auto"/>
        <w:right w:val="none" w:sz="0" w:space="0" w:color="auto"/>
      </w:divBdr>
    </w:div>
    <w:div w:id="1540969481">
      <w:bodyDiv w:val="1"/>
      <w:marLeft w:val="0"/>
      <w:marRight w:val="0"/>
      <w:marTop w:val="0"/>
      <w:marBottom w:val="0"/>
      <w:divBdr>
        <w:top w:val="none" w:sz="0" w:space="0" w:color="auto"/>
        <w:left w:val="none" w:sz="0" w:space="0" w:color="auto"/>
        <w:bottom w:val="none" w:sz="0" w:space="0" w:color="auto"/>
        <w:right w:val="none" w:sz="0" w:space="0" w:color="auto"/>
      </w:divBdr>
    </w:div>
    <w:div w:id="1730611583">
      <w:bodyDiv w:val="1"/>
      <w:marLeft w:val="0"/>
      <w:marRight w:val="0"/>
      <w:marTop w:val="0"/>
      <w:marBottom w:val="0"/>
      <w:divBdr>
        <w:top w:val="none" w:sz="0" w:space="0" w:color="auto"/>
        <w:left w:val="none" w:sz="0" w:space="0" w:color="auto"/>
        <w:bottom w:val="none" w:sz="0" w:space="0" w:color="auto"/>
        <w:right w:val="none" w:sz="0" w:space="0" w:color="auto"/>
      </w:divBdr>
    </w:div>
    <w:div w:id="1763187011">
      <w:bodyDiv w:val="1"/>
      <w:marLeft w:val="0"/>
      <w:marRight w:val="0"/>
      <w:marTop w:val="0"/>
      <w:marBottom w:val="0"/>
      <w:divBdr>
        <w:top w:val="none" w:sz="0" w:space="0" w:color="auto"/>
        <w:left w:val="none" w:sz="0" w:space="0" w:color="auto"/>
        <w:bottom w:val="none" w:sz="0" w:space="0" w:color="auto"/>
        <w:right w:val="none" w:sz="0" w:space="0" w:color="auto"/>
      </w:divBdr>
    </w:div>
    <w:div w:id="2012872954">
      <w:bodyDiv w:val="1"/>
      <w:marLeft w:val="0"/>
      <w:marRight w:val="0"/>
      <w:marTop w:val="0"/>
      <w:marBottom w:val="0"/>
      <w:divBdr>
        <w:top w:val="none" w:sz="0" w:space="0" w:color="auto"/>
        <w:left w:val="none" w:sz="0" w:space="0" w:color="auto"/>
        <w:bottom w:val="none" w:sz="0" w:space="0" w:color="auto"/>
        <w:right w:val="none" w:sz="0" w:space="0" w:color="auto"/>
      </w:divBdr>
    </w:div>
    <w:div w:id="2030250463">
      <w:bodyDiv w:val="1"/>
      <w:marLeft w:val="0"/>
      <w:marRight w:val="0"/>
      <w:marTop w:val="0"/>
      <w:marBottom w:val="0"/>
      <w:divBdr>
        <w:top w:val="none" w:sz="0" w:space="0" w:color="auto"/>
        <w:left w:val="none" w:sz="0" w:space="0" w:color="auto"/>
        <w:bottom w:val="none" w:sz="0" w:space="0" w:color="auto"/>
        <w:right w:val="none" w:sz="0" w:space="0" w:color="auto"/>
      </w:divBdr>
    </w:div>
    <w:div w:id="2038694131">
      <w:bodyDiv w:val="1"/>
      <w:marLeft w:val="0"/>
      <w:marRight w:val="0"/>
      <w:marTop w:val="0"/>
      <w:marBottom w:val="0"/>
      <w:divBdr>
        <w:top w:val="none" w:sz="0" w:space="0" w:color="auto"/>
        <w:left w:val="none" w:sz="0" w:space="0" w:color="auto"/>
        <w:bottom w:val="none" w:sz="0" w:space="0" w:color="auto"/>
        <w:right w:val="none" w:sz="0" w:space="0" w:color="auto"/>
      </w:divBdr>
    </w:div>
    <w:div w:id="2111272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Volume>23</b:Volume>
    <b:BIBTEX_Entry>article</b:BIBTEX_Entry>
    <b:SourceType>JournalArticle</b:SourceType>
    <b:Title>Discovering Biomarkers for Non-Alcoholic Steatohepatitis Patients with and without Hepatocellular Carcinoma Using Fecal Metaproteomics</b:Title>
    <b:Publisher>MDPI AG</b:Publisher>
    <b:Tag>Sydor2022</b:Tag>
    <b:DOI>10.3390/ijms23168841</b:DOI>
    <b:Author>
      <b:Author>
        <b:NameList>
          <b:Person>
            <b:Last>Sydor</b:Last>
            <b:First>Svenja</b:First>
          </b:Person>
          <b:Person>
            <b:Last>Dandyk</b:Last>
            <b:First>Christian</b:First>
          </b:Person>
          <b:Person>
            <b:Last>Schwerdt</b:Last>
            <b:First>Johannes</b:First>
          </b:Person>
          <b:Person>
            <b:Last>Manka</b:Last>
            <b:First>Paul</b:First>
          </b:Person>
          <b:Person>
            <b:Last>Benndorf</b:Last>
            <b:First>Dirk</b:First>
          </b:Person>
          <b:Person>
            <b:Last>Lehmann</b:Last>
            <b:First>Theresa</b:First>
          </b:Person>
          <b:Person>
            <b:Last>Schallert</b:Last>
            <b:First>Kay</b:First>
          </b:Person>
          <b:Person>
            <b:Last>Wolf</b:Last>
            <b:First>Maximilian</b:First>
          </b:Person>
          <b:Person>
            <b:Last>Reichl</b:Last>
            <b:First>Udo</b:First>
          </b:Person>
          <b:Person>
            <b:Last>Canbay</b:Last>
            <b:First>Ali</b:First>
          </b:Person>
          <b:Person>
            <b:Last>Bechmann</b:Last>
            <b:Middle>P.</b:Middle>
            <b:First>Lars</b:First>
          </b:Person>
          <b:Person>
            <b:Last>Heyer</b:Last>
            <b:First>Robert</b:First>
          </b:Person>
        </b:NameList>
      </b:Author>
    </b:Author>
    <b:Pages>8841</b:Pages>
    <b:Year>2022</b:Year>
    <b:Month>August</b:Month>
    <b:JournalName>International Journal of Molecular Sciences</b:JournalName>
    <b:Number>16</b:Number>
    <b:StandardNumber> ISSN: 1422-0067</b:StandardNumber>
    <b:RefOrder>1</b:RefOrder>
  </b:Source>
  <b:Source>
    <b:Volume>53</b:Volume>
    <b:BIBTEX_Entry>article</b:BIBTEX_Entry>
    <b:SourceType>JournalArticle</b:SourceType>
    <b:Title>UniProt: the Universal Protein Knowledgebase in 2025</b:Title>
    <b:Publisher>Oxford University Press (OUP)</b:Publisher>
    <b:Tag>Bateman2024</b:Tag>
    <b:DOI>10.1093/nar/gkae1010</b:DOI>
    <b:Author>
      <b:Author>
        <b:NameList>
          <b:Person>
            <b:Last>Bateman</b:Last>
            <b:First>Alex</b:First>
          </b:Person>
          <b:Person>
            <b:Last>Martin</b:Last>
            <b:First>Maria-Jesus</b:First>
          </b:Person>
          <b:Person>
            <b:Last>Orchard</b:Last>
            <b:First>Sandra</b:First>
          </b:Person>
          <b:Person>
            <b:Last>Magrane</b:Last>
            <b:First>Michele</b:First>
          </b:Person>
          <b:Person>
            <b:Last>Adesina</b:Last>
            <b:First>Aduragbemi</b:First>
          </b:Person>
          <b:Person>
            <b:Last>Ahmad</b:Last>
            <b:First>Shadab</b:First>
          </b:Person>
          <b:Person>
            <b:Last>Bowler-Barnett</b:Last>
            <b:Middle>H.</b:Middle>
            <b:First>Emily</b:First>
          </b:Person>
          <b:Person>
            <b:Last>Bye-A-Jee</b:Last>
            <b:First>Hema</b:First>
          </b:Person>
          <b:Person>
            <b:Last>Carpentier</b:Last>
            <b:First>David</b:First>
          </b:Person>
          <b:Person>
            <b:Last>Denny</b:Last>
            <b:First>Paul</b:First>
          </b:Person>
          <b:Person>
            <b:Last>Fan</b:Last>
            <b:First>Jun</b:First>
          </b:Person>
          <b:Person>
            <b:Last>Garmiri</b:Last>
            <b:First>Penelope</b:First>
          </b:Person>
          <b:Person>
            <b:Last>Gonzales</b:Last>
            <b:Middle>Jose da Costa</b:Middle>
            <b:First>Leonardo</b:First>
          </b:Person>
          <b:Person>
            <b:Last>Hussein</b:Last>
            <b:First>Abdulrahman</b:First>
          </b:Person>
          <b:Person>
            <b:Last>Ignatchenko</b:Last>
            <b:First>Alexandr</b:First>
          </b:Person>
          <b:Person>
            <b:Last>Insana</b:Last>
            <b:First>Giuseppe</b:First>
          </b:Person>
          <b:Person>
            <b:Last>Ishtiaq</b:Last>
            <b:First>Rizwan</b:First>
          </b:Person>
          <b:Person>
            <b:Last>Joshi</b:Last>
            <b:First>Vishal</b:First>
          </b:Person>
          <b:Person>
            <b:Last>Jyothi</b:Last>
            <b:First>Dushyanth</b:First>
          </b:Person>
          <b:Person>
            <b:Last>Kandasaamy</b:Last>
            <b:First>Swaathi</b:First>
          </b:Person>
          <b:Person>
            <b:Last>Lock</b:Last>
            <b:First>Antonia</b:First>
          </b:Person>
          <b:Person>
            <b:Last>Luciani</b:Last>
            <b:First>Aurelien</b:First>
          </b:Person>
          <b:Person>
            <b:Last>Luo</b:Last>
            <b:First>Jie</b:First>
          </b:Person>
          <b:Person>
            <b:Last>Lussi</b:Last>
            <b:First>Yvonne</b:First>
          </b:Person>
          <b:Person>
            <b:Last>Marin</b:Last>
            <b:Middle>Sebastian Martinez</b:Middle>
            <b:First>Juan</b:First>
          </b:Person>
          <b:Person>
            <b:Last>Raposo</b:Last>
            <b:First>Pedro</b:First>
          </b:Person>
          <b:Person>
            <b:Last>Rice</b:Last>
            <b:Middle>L.</b:Middle>
            <b:First>Daniel</b:First>
          </b:Person>
          <b:Person>
            <b:Last>Santos</b:Last>
            <b:First>Rafael</b:First>
          </b:Person>
          <b:Person>
            <b:Last>Speretta</b:Last>
            <b:First>Elena</b:First>
          </b:Person>
          <b:Person>
            <b:Last>Stephenson</b:Last>
            <b:First>James</b:First>
          </b:Person>
          <b:Person>
            <b:Last>Totoo</b:Last>
            <b:First>Prabhat</b:First>
          </b:Person>
          <b:Person>
            <b:Last>Tyagi</b:Last>
            <b:First>Nidhi</b:First>
          </b:Person>
          <b:Person>
            <b:Last>Urakova</b:Last>
            <b:First>Nadya</b:First>
          </b:Person>
          <b:Person>
            <b:Last>Vasudev</b:Last>
            <b:First>Preethi</b:First>
          </b:Person>
          <b:Person>
            <b:Last>Warner</b:Last>
            <b:First>Kate</b:First>
          </b:Person>
          <b:Person>
            <b:Last>Wijerathne</b:Last>
            <b:First>Supun</b:First>
          </b:Person>
          <b:Person>
            <b:Last>Yu</b:Last>
            <b:Middle>Wing-Heng</b:Middle>
            <b:First>Conny</b:First>
          </b:Person>
          <b:Person>
            <b:Last>Zaru</b:Last>
            <b:First>Rossana</b:First>
          </b:Person>
          <b:Person>
            <b:Last>Bridge</b:Last>
            <b:Middle>J.</b:Middle>
            <b:First>Alan</b:First>
          </b:Person>
          <b:Person>
            <b:Last>Aimo</b:Last>
            <b:First>Lucila</b:First>
          </b:Person>
          <b:Person>
            <b:Last>Argoud-Puy</b:Last>
            <b:First>Ghislaine</b:First>
          </b:Person>
          <b:Person>
            <b:Last>Auchincloss</b:Last>
            <b:Middle>H.</b:Middle>
            <b:First>Andrea</b:First>
          </b:Person>
          <b:Person>
            <b:Last>Axelsen</b:Last>
            <b:Middle>B.</b:Middle>
            <b:First>Kristian</b:First>
          </b:Person>
          <b:Person>
            <b:Last>Bansal</b:Last>
            <b:First>Parit</b:First>
          </b:Person>
          <b:Person>
            <b:Last>Baratin</b:Last>
            <b:First>Delphine</b:First>
          </b:Person>
          <b:Person>
            <b:Last>Batista Neto</b:Last>
            <b:Middle>M.</b:Middle>
            <b:First>Teresa</b:First>
          </b:Person>
          <b:Person>
            <b:Last>Blatter</b:Last>
            <b:First>Marie-Claude</b:First>
          </b:Person>
          <b:Person>
            <b:Last>Bolleman</b:Last>
            <b:Middle>T.</b:Middle>
            <b:First>Jerven</b:First>
          </b:Person>
          <b:Person>
            <b:Last>Boutet</b:Last>
            <b:First>Emmanuel</b:First>
          </b:Person>
          <b:Person>
            <b:Last>Breuza</b:Last>
            <b:First>Lionel</b:First>
          </b:Person>
          <b:Person>
            <b:Last>Gil</b:Last>
            <b:Middle>Cabrera</b:Middle>
            <b:First>Blanca</b:First>
          </b:Person>
          <b:Person>
            <b:Last>Casals-Casas</b:Last>
            <b:First>Cristina</b:First>
          </b:Person>
          <b:Person>
            <b:Last>Echioukh</b:Last>
            <b:Middle>Chikh</b:Middle>
            <b:First>Kamal</b:First>
          </b:Person>
          <b:Person>
            <b:Last>Coudert</b:Last>
            <b:First>Elisabeth</b:First>
          </b:Person>
          <b:Person>
            <b:Last>Cuche</b:Last>
            <b:First>Beatrice</b:First>
          </b:Person>
          <b:Person>
            <b:Last>de Castro</b:Last>
            <b:First>Edouard</b:First>
          </b:Person>
          <b:Person>
            <b:Last>Estreicher</b:Last>
            <b:First>Anne</b:First>
          </b:Person>
          <b:Person>
            <b:Last>Famiglietti</b:Last>
            <b:Middle>L.</b:Middle>
            <b:First>Maria</b:First>
          </b:Person>
          <b:Person>
            <b:Last>Feuermann</b:Last>
            <b:First>Marc</b:First>
          </b:Person>
          <b:Person>
            <b:Last>Gasteiger</b:Last>
            <b:First>Elisabeth</b:First>
          </b:Person>
          <b:Person>
            <b:Last>Gaudet</b:Last>
            <b:First>Pascale</b:First>
          </b:Person>
          <b:Person>
            <b:Last>Gehant</b:Last>
            <b:First>Sebastien</b:First>
          </b:Person>
          <b:Person>
            <b:Last>Gerritsen</b:Last>
            <b:First>Vivienne</b:First>
          </b:Person>
          <b:Person>
            <b:Last>Gos</b:Last>
            <b:First>Arnaud</b:First>
          </b:Person>
          <b:Person>
            <b:Last>Gruaz</b:Last>
            <b:First>Nadine</b:First>
          </b:Person>
          <b:Person>
            <b:Last>Hulo</b:Last>
            <b:First>Chantal</b:First>
          </b:Person>
          <b:Person>
            <b:Last>Hyka-Nouspikel</b:Last>
            <b:First>Nevila</b:First>
          </b:Person>
          <b:Person>
            <b:Last>Jungo</b:Last>
            <b:First>Florence</b:First>
          </b:Person>
          <b:Person>
            <b:Last>Kerhornou</b:Last>
            <b:First>Arnaud</b:First>
          </b:Person>
          <b:Person>
            <b:Last>Mercier</b:Last>
            <b:Middle>Le</b:Middle>
            <b:First>Philippe</b:First>
          </b:Person>
          <b:Person>
            <b:Last>Lieberherr</b:Last>
            <b:First>Damien</b:First>
          </b:Person>
          <b:Person>
            <b:Last>Masson</b:Last>
            <b:First>Patrick</b:First>
          </b:Person>
          <b:Person>
            <b:Last>Morgat</b:Last>
            <b:First>Anne</b:First>
          </b:Person>
          <b:Person>
            <b:Last>Paesano</b:Last>
            <b:First>Salvo</b:First>
          </b:Person>
          <b:Person>
            <b:Last>Pedruzzi</b:Last>
            <b:First>Ivo</b:First>
          </b:Person>
          <b:Person>
            <b:Last>Pilbout</b:Last>
            <b:First>Sandrine</b:First>
          </b:Person>
          <b:Person>
            <b:Last>Pourcel</b:Last>
            <b:First>Lucille</b:First>
          </b:Person>
          <b:Person>
            <b:Last>Poux</b:Last>
            <b:First>Sylvain</b:First>
          </b:Person>
          <b:Person>
            <b:Last>Pozzato</b:Last>
            <b:First>Monica</b:First>
          </b:Person>
          <b:Person>
            <b:Last>Pruess</b:Last>
            <b:First>Manuela</b:First>
          </b:Person>
          <b:Person>
            <b:Last>Redaschi</b:Last>
            <b:First>Nicole</b:First>
          </b:Person>
          <b:Person>
            <b:Last>Rivoire</b:Last>
            <b:First>Catherine</b:First>
          </b:Person>
          <b:Person>
            <b:Last>Sigrist</b:Last>
            <b:Middle>J. A.</b:Middle>
            <b:First>Christian</b:First>
          </b:Person>
          <b:Person>
            <b:Last>Sonesson</b:Last>
            <b:First>Karin</b:First>
          </b:Person>
          <b:Person>
            <b:Last>Sundaram</b:Last>
            <b:First>Shyamala</b:First>
          </b:Person>
          <b:Person>
            <b:Last>Sveshnikova</b:Last>
            <b:First>Anastasia</b:First>
          </b:Person>
          <b:Person>
            <b:Last>Wu</b:Last>
            <b:Middle>H.</b:Middle>
            <b:First>Cathy</b:First>
          </b:Person>
          <b:Person>
            <b:Last>Arighi</b:Last>
            <b:Middle>N.</b:Middle>
            <b:First>Cecilia</b:First>
          </b:Person>
          <b:Person>
            <b:Last>Chen</b:Last>
            <b:First>Chuming</b:First>
          </b:Person>
          <b:Person>
            <b:Last>Chen</b:Last>
            <b:First>Yongxing</b:First>
          </b:Person>
          <b:Person>
            <b:Last>Huang</b:Last>
            <b:First>Hongzhan</b:First>
          </b:Person>
          <b:Person>
            <b:Last>Laiho</b:Last>
            <b:First>Kati</b:First>
          </b:Person>
          <b:Person>
            <b:Last>Lehvaslaiho</b:Last>
            <b:First>Minna</b:First>
          </b:Person>
          <b:Person>
            <b:Last>McGarvey</b:Last>
            <b:First>Peter</b:First>
          </b:Person>
          <b:Person>
            <b:Last>Natale</b:Last>
            <b:Middle>A.</b:Middle>
            <b:First>Darren</b:First>
          </b:Person>
          <b:Person>
            <b:Last>Ross</b:Last>
            <b:First>Karen</b:First>
          </b:Person>
          <b:Person>
            <b:Last>Vinayaka</b:Last>
            <b:Middle>R.</b:Middle>
            <b:First>C.</b:First>
          </b:Person>
          <b:Person>
            <b:Last>Wang</b:Last>
            <b:First>Yuqi</b:First>
          </b:Person>
          <b:Person>
            <b:Last>Zhang</b:Last>
            <b:First>Jian</b:First>
          </b:Person>
        </b:NameList>
      </b:Author>
    </b:Author>
    <b:Pages>D609–D617</b:Pages>
    <b:Year>2024</b:Year>
    <b:Month>November</b:Month>
    <b:JournalName>Nucleic Acids Research</b:JournalName>
    <b:Number>D1</b:Number>
    <b:StandardNumber> ISSN: 1362-4962</b:StandardNumber>
    <b:RefOrder>3</b:RefOrder>
  </b:Source>
  <b:Source>
    <b:Volume>31</b:Volume>
    <b:BIBTEX_Entry>article</b:BIBTEX_Entry>
    <b:SourceType>JournalArticle</b:SourceType>
    <b:Title>Workflow4Metabolomics: a collaborative research infrastructure for computational metabolomics</b:Title>
    <b:Publisher>Oxford University Press (OUP)</b:Publisher>
    <b:Tag>Giacomoni2014</b:Tag>
    <b:DOI>10.1093/bioinformatics/btu813</b:DOI>
    <b:Author>
      <b:Author>
        <b:NameList>
          <b:Person>
            <b:Last>Giacomoni</b:Last>
            <b:First>Franck</b:First>
          </b:Person>
          <b:Person>
            <b:Last>Le Corguillé</b:Last>
            <b:First>Gildas</b:First>
          </b:Person>
          <b:Person>
            <b:Last>Monsoor</b:Last>
            <b:First>Misharl</b:First>
          </b:Person>
          <b:Person>
            <b:Last>Landi</b:Last>
            <b:First>Marion</b:First>
          </b:Person>
          <b:Person>
            <b:Last>Pericard</b:Last>
            <b:First>Pierre</b:First>
          </b:Person>
          <b:Person>
            <b:Last>Pétéra</b:Last>
            <b:First>Mélanie</b:First>
          </b:Person>
          <b:Person>
            <b:Last>Duperier</b:Last>
            <b:First>Christophe</b:First>
          </b:Person>
          <b:Person>
            <b:Last>Tremblay-Franco</b:Last>
            <b:First>Marie</b:First>
          </b:Person>
          <b:Person>
            <b:Last>Martin</b:Last>
            <b:First>Jean-François</b:First>
          </b:Person>
          <b:Person>
            <b:Last>Jacob</b:Last>
            <b:First>Daniel</b:First>
          </b:Person>
          <b:Person>
            <b:Last>Goulitquer</b:Last>
            <b:First>Sophie</b:First>
          </b:Person>
          <b:Person>
            <b:Last>Thévenot</b:Last>
            <b:Middle>A.</b:Middle>
            <b:First>Etienne</b:First>
          </b:Person>
          <b:Person>
            <b:Last>Caron</b:Last>
            <b:First>Christophe</b:First>
          </b:Person>
        </b:NameList>
      </b:Author>
    </b:Author>
    <b:Pages>1493–1495</b:Pages>
    <b:Year>2014</b:Year>
    <b:Month>December</b:Month>
    <b:JournalName>Bioinformatics</b:JournalName>
    <b:Number>9</b:Number>
    <b:StandardNumber> ISSN: 1367-4803</b:StandardNumber>
    <b:RefOrder>2</b:RefOrder>
  </b:Source>
  <b:Source>
    <b:Volume>23</b:Volume>
    <b:BIBTEX_Entry>article</b:BIBTEX_Entry>
    <b:SourceType>JournalArticle</b:SourceType>
    <b:Title>Learning a confidence score and the latent space of a new supervised autoencoder for diagnosis and prognosis in clinical metabolomic studies</b:Title>
    <b:Publisher>Springer Science and Business Media LLC</b:Publisher>
    <b:Tag>Chardin2022</b:Tag>
    <b:DOI>10.1186/s12859-022-04900-x</b:DOI>
    <b:Author>
      <b:Author>
        <b:NameList>
          <b:Person>
            <b:Last>Chardin</b:Last>
            <b:First>David</b:First>
          </b:Person>
          <b:Person>
            <b:Last>Gille</b:Last>
            <b:First>Cyprien</b:First>
          </b:Person>
          <b:Person>
            <b:Last>Pourcher</b:Last>
            <b:First>Thierry</b:First>
          </b:Person>
          <b:Person>
            <b:Last>Humbert</b:Last>
            <b:First>Olivier</b:First>
          </b:Person>
          <b:Person>
            <b:Last>Barlaud</b:Last>
            <b:First>Michel</b:First>
          </b:Person>
        </b:NameList>
      </b:Author>
    </b:Author>
    <b:Year>2022</b:Year>
    <b:Month>September</b:Month>
    <b:JournalName>BMC Bioinformatics</b:JournalName>
    <b:Number>1</b:Number>
    <b:StandardNumber> ISSN: 1471-2105</b:StandardNumber>
    <b:RefOrder>6</b:RefOrder>
  </b:Source>
  <b:Source>
    <b:Volume>74</b:Volume>
    <b:BIBTEX_Entry>article</b:BIBTEX_Entry>
    <b:SourceType>JournalArticle</b:SourceType>
    <b:Title>Noninvasive Urinary Metabolomic Profiling Identifies Diagnostic and Prognostic Markers in Lung Cancer</b:Title>
    <b:Publisher>American Association for Cancer Research (AACR)</b:Publisher>
    <b:Tag>Mathe2014</b:Tag>
    <b:DOI>10.1158/0008-5472.can-14-0109</b:DOI>
    <b:Author>
      <b:Author>
        <b:NameList>
          <b:Person>
            <b:Last>Mathé</b:Last>
            <b:Middle>A.</b:Middle>
            <b:First>Ewy</b:First>
          </b:Person>
          <b:Person>
            <b:Last>Patterson</b:Last>
            <b:Middle>D.</b:Middle>
            <b:First>Andrew</b:First>
          </b:Person>
          <b:Person>
            <b:Last>Haznadar</b:Last>
            <b:First>Majda</b:First>
          </b:Person>
          <b:Person>
            <b:Last>Manna</b:Last>
            <b:Middle>K.</b:Middle>
            <b:First>Soumen</b:First>
          </b:Person>
          <b:Person>
            <b:Last>Krausz</b:Last>
            <b:Middle>W.</b:Middle>
            <b:First>Kristopher</b:First>
          </b:Person>
          <b:Person>
            <b:Last>Bowman</b:Last>
            <b:Middle>D.</b:Middle>
            <b:First>Elise</b:First>
          </b:Person>
          <b:Person>
            <b:Last>Shields</b:Last>
            <b:Middle>G.</b:Middle>
            <b:First>Peter</b:First>
          </b:Person>
          <b:Person>
            <b:Last>Idle</b:Last>
            <b:Middle>R.</b:Middle>
            <b:First>Jeffrey</b:First>
          </b:Person>
          <b:Person>
            <b:Last>Smith</b:Last>
            <b:Middle>B.</b:Middle>
            <b:First>Philip</b:First>
          </b:Person>
          <b:Person>
            <b:Last>Anami</b:Last>
            <b:First>Katsuhiro</b:First>
          </b:Person>
          <b:Person>
            <b:Last>Kazandjian</b:Last>
            <b:Middle>G.</b:Middle>
            <b:First>Dickran</b:First>
          </b:Person>
          <b:Person>
            <b:Last>Hatzakis</b:Last>
            <b:First>Emmanuel</b:First>
          </b:Person>
          <b:Person>
            <b:Last>Gonzalez</b:Last>
            <b:Middle>J.</b:Middle>
            <b:First>Frank</b:First>
          </b:Person>
          <b:Person>
            <b:Last>Harris</b:Last>
            <b:Middle>C.</b:Middle>
            <b:First>Curtis</b:First>
          </b:Person>
        </b:NameList>
      </b:Author>
    </b:Author>
    <b:Pages>3259–3270</b:Pages>
    <b:Year>2014</b:Year>
    <b:Month>June</b:Month>
    <b:JournalName>Cancer Research</b:JournalName>
    <b:Number>12</b:Number>
    <b:StandardNumber> ISSN: 1538-7445</b:StandardNumber>
    <b:RefOrder>5</b:RefOrder>
  </b:Source>
  <b:Source>
    <b:Volume>9</b:Volume>
    <b:BIBTEX_Entry>article</b:BIBTEX_Entry>
    <b:SourceType>JournalArticle</b:SourceType>
    <b:Title>Multi-omics monitoring of drug response in rheumatoid arthritis in pursuit of molecular remission</b:Title>
    <b:Publisher>Springer Science and Business Media LLC</b:Publisher>
    <b:Tag>Tasaki2018</b:Tag>
    <b:DOI>10.1038/s41467-018-05044-4</b:DOI>
    <b:Author>
      <b:Author>
        <b:NameList>
          <b:Person>
            <b:Last>Tasaki</b:Last>
            <b:First>Shinya</b:First>
          </b:Person>
          <b:Person>
            <b:Last>Suzuki</b:Last>
            <b:First>Katsuya</b:First>
          </b:Person>
          <b:Person>
            <b:Last>Kassai</b:Last>
            <b:First>Yoshiaki</b:First>
          </b:Person>
          <b:Person>
            <b:Last>Takeshita</b:Last>
            <b:First>Masaru</b:First>
          </b:Person>
          <b:Person>
            <b:Last>Murota</b:Last>
            <b:First>Atsuko</b:First>
          </b:Person>
          <b:Person>
            <b:Last>Kondo</b:Last>
            <b:First>Yasushi</b:First>
          </b:Person>
          <b:Person>
            <b:Last>Ando</b:Last>
            <b:First>Tatsuya</b:First>
          </b:Person>
          <b:Person>
            <b:Last>Nakayama</b:Last>
            <b:First>Yusuke</b:First>
          </b:Person>
          <b:Person>
            <b:Last>Okuzono</b:Last>
            <b:First>Yuumi</b:First>
          </b:Person>
          <b:Person>
            <b:Last>Takiguchi</b:Last>
            <b:First>Maiko</b:First>
          </b:Person>
          <b:Person>
            <b:Last>Kurisu</b:Last>
            <b:First>Rina</b:First>
          </b:Person>
          <b:Person>
            <b:Last>Miyazaki</b:Last>
            <b:First>Takahiro</b:First>
          </b:Person>
          <b:Person>
            <b:Last>Yoshimoto</b:Last>
            <b:First>Keiko</b:First>
          </b:Person>
          <b:Person>
            <b:Last>Yasuoka</b:Last>
            <b:First>Hidekata</b:First>
          </b:Person>
          <b:Person>
            <b:Last>Yamaoka</b:Last>
            <b:First>Kunihiro</b:First>
          </b:Person>
          <b:Person>
            <b:Last>Morita</b:Last>
            <b:First>Rimpei</b:First>
          </b:Person>
          <b:Person>
            <b:Last>Yoshimura</b:Last>
            <b:First>Akihiko</b:First>
          </b:Person>
          <b:Person>
            <b:Last>Toyoshiba</b:Last>
            <b:First>Hiroyoshi</b:First>
          </b:Person>
          <b:Person>
            <b:Last>Takeuchi</b:Last>
            <b:First>Tsutomu</b:First>
          </b:Person>
        </b:NameList>
      </b:Author>
    </b:Author>
    <b:Year>2018</b:Year>
    <b:Month>July</b:Month>
    <b:JournalName>Nature Communications</b:JournalName>
    <b:Number>1</b:Number>
    <b:StandardNumber> ISSN: 2041-1723</b:StandardNumber>
    <b:RefOrder>4</b:RefOrder>
  </b:Source>
  <b:Source>
    <b:Volume>394</b:Volume>
    <b:BIBTEX_Entry>article</b:BIBTEX_Entry>
    <b:SourceType>JournalArticle</b:SourceType>
    <b:Title>The benefits and pitfalls of machine learning for biomarker discovery</b:Title>
    <b:Publisher>Springer Science and Business Media LLC</b:Publisher>
    <b:Tag>Ng2023</b:Tag>
    <b:DOI>10.1007/s00441-023-03816-z</b:DOI>
    <b:Author>
      <b:Author>
        <b:NameList>
          <b:Person>
            <b:Last>Ng</b:Last>
            <b:First>Sandra</b:First>
          </b:Person>
          <b:Person>
            <b:Last>Masarone</b:Last>
            <b:First>Sara</b:First>
          </b:Person>
          <b:Person>
            <b:Last>Watson</b:Last>
            <b:First>David</b:First>
          </b:Person>
          <b:Person>
            <b:Last>Barnes</b:Last>
            <b:Middle>R.</b:Middle>
            <b:First>Michael</b:First>
          </b:Person>
        </b:NameList>
      </b:Author>
    </b:Author>
    <b:Pages>17–31</b:Pages>
    <b:Year>2023</b:Year>
    <b:Month>July</b:Month>
    <b:JournalName>Cell and Tissue Research</b:JournalName>
    <b:Number>1</b:Number>
    <b:StandardNumber> ISSN: 1432-0878</b:StandardNumber>
    <b:RefOrder>7</b:RefOrder>
  </b:Source>
</b:Sources>
</file>

<file path=customXml/itemProps1.xml><?xml version="1.0" encoding="utf-8"?>
<ds:datastoreItem xmlns:ds="http://schemas.openxmlformats.org/officeDocument/2006/customXml" ds:itemID="{E0BB4045-A25A-4107-B9B3-61635DEC8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2775</Words>
  <Characters>17487</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Emanuel</dc:creator>
  <dc:description/>
  <cp:lastModifiedBy>Lange, Emanuel</cp:lastModifiedBy>
  <cp:revision>172</cp:revision>
  <dcterms:created xsi:type="dcterms:W3CDTF">2024-11-19T14:38:00Z</dcterms:created>
  <dcterms:modified xsi:type="dcterms:W3CDTF">2025-01-28T10:39:00Z</dcterms:modified>
  <dc:language>de-DE</dc:language>
</cp:coreProperties>
</file>