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Fig. S1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/>
          <w:sz w:val="24"/>
        </w:rPr>
        <w:t>The whole cell sugar of strain TRM63209</w:t>
      </w:r>
      <w:r>
        <w:rPr>
          <w:rFonts w:ascii="Times New Roman" w:hAnsi="Times New Roman"/>
          <w:sz w:val="24"/>
          <w:vertAlign w:val="superscript"/>
        </w:rPr>
        <w:t>T</w:t>
      </w:r>
    </w:p>
    <w:p>
      <w:pPr>
        <w:widowControl/>
        <w:spacing w:line="480" w:lineRule="auto"/>
      </w:pPr>
      <w:r>
        <w:rPr>
          <w:rFonts w:hint="eastAsia"/>
        </w:rPr>
        <w:drawing>
          <wp:inline distT="0" distB="0" distL="114300" distR="114300">
            <wp:extent cx="1643380" cy="2056130"/>
            <wp:effectExtent l="0" t="0" r="4445" b="1270"/>
            <wp:docPr id="2" name="图片 2" descr="whol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whol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43380" cy="205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Fig. S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2 </w:t>
      </w:r>
      <w:r>
        <w:rPr>
          <w:rFonts w:ascii="Times New Roman" w:hAnsi="Times New Roman"/>
          <w:sz w:val="24"/>
        </w:rPr>
        <w:t>The amino</w:t>
      </w:r>
      <w:r>
        <w:rPr>
          <w:rFonts w:hint="eastAsia" w:ascii="Times New Roman" w:hAnsi="Times New Roman"/>
          <w:sz w:val="24"/>
        </w:rPr>
        <w:t>-</w:t>
      </w:r>
      <w:r>
        <w:rPr>
          <w:rFonts w:ascii="Times New Roman" w:hAnsi="Times New Roman"/>
          <w:sz w:val="24"/>
        </w:rPr>
        <w:t>acids component of strain TRM63209</w:t>
      </w:r>
      <w:r>
        <w:rPr>
          <w:rFonts w:ascii="Times New Roman" w:hAnsi="Times New Roman"/>
          <w:sz w:val="24"/>
          <w:vertAlign w:val="superscript"/>
        </w:rPr>
        <w:t>T</w:t>
      </w:r>
    </w:p>
    <w:p>
      <w:pPr>
        <w:widowControl/>
        <w:spacing w:line="480" w:lineRule="auto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drawing>
          <wp:inline distT="0" distB="0" distL="114300" distR="114300">
            <wp:extent cx="1266190" cy="2460625"/>
            <wp:effectExtent l="0" t="0" r="635" b="6350"/>
            <wp:docPr id="3" name="图片 3" descr="aminoac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minoacid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6190" cy="246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Fig. S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3 </w:t>
      </w:r>
      <w:r>
        <w:rPr>
          <w:rFonts w:ascii="Times New Roman" w:hAnsi="Times New Roman" w:eastAsia="AdvPTimesB"/>
          <w:color w:val="000000"/>
          <w:kern w:val="0"/>
          <w:sz w:val="24"/>
          <w:lang w:bidi="ar"/>
        </w:rPr>
        <w:t>The Polar lipids component of strain TRM63209</w:t>
      </w:r>
      <w:r>
        <w:rPr>
          <w:rFonts w:ascii="Times New Roman" w:hAnsi="Times New Roman" w:eastAsia="AdvPTimesB"/>
          <w:color w:val="000000"/>
          <w:kern w:val="0"/>
          <w:sz w:val="24"/>
          <w:vertAlign w:val="superscript"/>
          <w:lang w:bidi="ar"/>
        </w:rPr>
        <w:t>T</w:t>
      </w:r>
    </w:p>
    <w:p>
      <w:pPr>
        <w:widowControl/>
        <w:spacing w:line="480" w:lineRule="auto"/>
        <w:rPr>
          <w:rFonts w:ascii="Times New Roman" w:hAnsi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/>
          <w:color w:val="000000"/>
          <w:kern w:val="0"/>
          <w:sz w:val="24"/>
        </w:rPr>
        <w:drawing>
          <wp:inline distT="0" distB="0" distL="114300" distR="114300">
            <wp:extent cx="5487670" cy="1880870"/>
            <wp:effectExtent l="0" t="0" r="8255" b="5080"/>
            <wp:docPr id="4" name="图片 4" descr="Polar lipid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Polar lipid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7670" cy="1880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Note: (a) ninhydrin color development; (b) anisaldehyde color development; (c) molybdenum phosphoric acid color development</w:t>
      </w:r>
    </w:p>
    <w:p>
      <w:pPr>
        <w:rPr>
          <w:rFonts w:ascii="Times New Roman" w:hAnsi="Times New Roman" w:eastAsia="黑体"/>
          <w:sz w:val="24"/>
          <w:vertAlign w:val="superscript"/>
        </w:rPr>
      </w:pP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Fig. S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4 </w:t>
      </w:r>
      <w:r>
        <w:rPr>
          <w:rFonts w:ascii="Times New Roman" w:hAnsi="Times New Roman" w:eastAsia="黑体"/>
          <w:sz w:val="24"/>
        </w:rPr>
        <w:t>The menaquinone component of strain TRM</w:t>
      </w:r>
      <w:r>
        <w:rPr>
          <w:rFonts w:hint="eastAsia" w:ascii="Times New Roman" w:hAnsi="Times New Roman" w:eastAsia="黑体"/>
          <w:sz w:val="24"/>
        </w:rPr>
        <w:t>63209</w:t>
      </w:r>
      <w:r>
        <w:rPr>
          <w:rFonts w:ascii="Times New Roman" w:hAnsi="Times New Roman" w:eastAsia="黑体"/>
          <w:sz w:val="24"/>
          <w:vertAlign w:val="superscript"/>
        </w:rPr>
        <w:t>T</w:t>
      </w:r>
    </w:p>
    <w:p>
      <w:pPr>
        <w:widowControl/>
        <w:spacing w:line="480" w:lineRule="auto"/>
        <w:jc w:val="center"/>
        <w:rPr>
          <w:rFonts w:ascii="Times New Roman" w:hAnsi="Times New Roman" w:eastAsia="黑体"/>
          <w:sz w:val="24"/>
        </w:rPr>
      </w:pPr>
    </w:p>
    <w:p>
      <w:pPr>
        <w:widowControl/>
        <w:spacing w:line="480" w:lineRule="auto"/>
        <w:jc w:val="center"/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3610610" cy="2530475"/>
            <wp:effectExtent l="0" t="0" r="8890" b="3175"/>
            <wp:docPr id="5" name="图片 5" descr="menaquino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menaquinon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10610" cy="253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center"/>
      </w:pPr>
      <w:r>
        <w:rPr>
          <w:rFonts w:ascii="Times New Roman" w:hAnsi="Times New Roman" w:eastAsia="AdvPTimes"/>
          <w:color w:val="000000"/>
          <w:kern w:val="0"/>
          <w:sz w:val="24"/>
        </w:rPr>
        <w:drawing>
          <wp:inline distT="0" distB="0" distL="114300" distR="114300">
            <wp:extent cx="6214745" cy="5674360"/>
            <wp:effectExtent l="0" t="0" r="0" b="0"/>
            <wp:docPr id="1" name="图片 1" descr="M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L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14745" cy="567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jc w:val="center"/>
      </w:pPr>
    </w:p>
    <w:p>
      <w:pPr>
        <w:spacing w:line="360" w:lineRule="auto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eastAsia="黑体"/>
          <w:sz w:val="24"/>
        </w:rPr>
        <w:br w:type="page"/>
      </w: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Fig. S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5 </w:t>
      </w:r>
      <w:r>
        <w:rPr>
          <w:rFonts w:ascii="Times New Roman" w:hAnsi="Times New Roman"/>
          <w:sz w:val="24"/>
        </w:rPr>
        <w:t xml:space="preserve">Maximum-likelihood tree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based on 16S rRNA gene</w:t>
      </w:r>
      <w:r>
        <w:rPr>
          <w:rFonts w:ascii="Times New Roman" w:hAnsi="Times New Roman" w:eastAsia="AdvPSMPi6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sequences showing the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phylogenetic relationships between strain TRM63209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and other closely related species of 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>Streptomyces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. Numbers at the nodes are percentage bootstrap values based on 1000 resampled datasets; only values </w:t>
      </w:r>
      <w:r>
        <w:rPr>
          <w:rFonts w:ascii="Times New Roman" w:hAnsi="Times New Roman"/>
          <w:color w:val="333333"/>
          <w:sz w:val="24"/>
          <w:shd w:val="clear" w:color="auto" w:fill="FFFFFF"/>
        </w:rPr>
        <w:t>&gt;</w:t>
      </w:r>
      <w:r>
        <w:rPr>
          <w:rFonts w:hint="eastAsia" w:ascii="Times New Roman" w:hAnsi="Times New Roman"/>
          <w:color w:val="333333"/>
          <w:sz w:val="24"/>
          <w:shd w:val="clear" w:color="auto" w:fill="FFFFFF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50% are shown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.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Bar,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0.00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5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0 substitutions per nucleotide position</w:t>
      </w: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r>
        <w:rPr>
          <w:rFonts w:ascii="Times New Roman" w:hAnsi="Times New Roman" w:eastAsia="AdvPTimes"/>
          <w:color w:val="000000"/>
          <w:kern w:val="0"/>
          <w:sz w:val="24"/>
        </w:rPr>
        <w:drawing>
          <wp:inline distT="0" distB="0" distL="114300" distR="114300">
            <wp:extent cx="6049645" cy="5685790"/>
            <wp:effectExtent l="0" t="0" r="0" b="0"/>
            <wp:docPr id="7" name="图片 7" descr="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M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049645" cy="56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Fig. S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6 </w:t>
      </w:r>
      <w:r>
        <w:rPr>
          <w:rFonts w:hint="eastAsia" w:ascii="Times New Roman" w:hAnsi="Times New Roman"/>
          <w:sz w:val="24"/>
        </w:rPr>
        <w:t>Minimum-Evolution</w:t>
      </w:r>
      <w:r>
        <w:rPr>
          <w:rFonts w:ascii="Times New Roman" w:hAnsi="Times New Roman"/>
          <w:sz w:val="24"/>
        </w:rPr>
        <w:t xml:space="preserve">tree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based on 16S rRNA gene</w:t>
      </w:r>
      <w:r>
        <w:rPr>
          <w:rFonts w:ascii="Times New Roman" w:hAnsi="Times New Roman" w:eastAsia="AdvPSMPi6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sequences showing the phylogenetic relationships between strain TRM63209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and other closely related species of 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>Streptomyces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. Numbers at the nodes are percentage bootstrap values based on 1000 resampled datasets; only values </w:t>
      </w:r>
      <w:r>
        <w:rPr>
          <w:rFonts w:ascii="Times New Roman" w:hAnsi="Times New Roman"/>
          <w:color w:val="333333"/>
          <w:sz w:val="24"/>
          <w:shd w:val="clear" w:color="auto" w:fill="FFFFFF"/>
        </w:rPr>
        <w:t>&gt;</w:t>
      </w:r>
      <w:r>
        <w:rPr>
          <w:rFonts w:hint="eastAsia" w:ascii="Times New Roman" w:hAnsi="Times New Roman"/>
          <w:color w:val="333333"/>
          <w:sz w:val="24"/>
          <w:shd w:val="clear" w:color="auto" w:fill="FFFFFF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50% are shown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.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Bar,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0.00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5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0 substitutions per nucleotide position</w:t>
      </w: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 w:eastAsia="AdvPTimesB"/>
          <w:color w:val="000000"/>
          <w:kern w:val="0"/>
          <w:sz w:val="24"/>
        </w:rPr>
        <w:drawing>
          <wp:inline distT="0" distB="0" distL="114300" distR="114300">
            <wp:extent cx="6341110" cy="4508500"/>
            <wp:effectExtent l="0" t="0" r="0" b="0"/>
            <wp:docPr id="8" name="图片 8" descr="持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持家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4111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AdvPTimesB"/>
          <w:color w:val="000000"/>
          <w:kern w:val="0"/>
          <w:sz w:val="24"/>
          <w:lang w:bidi="ar"/>
        </w:rPr>
        <w:t xml:space="preserve">Fig. </w:t>
      </w:r>
      <w:r>
        <w:rPr>
          <w:rFonts w:hint="eastAsia" w:ascii="Times New Roman" w:hAnsi="Times New Roman" w:eastAsia="AdvPTimesB"/>
          <w:color w:val="000000"/>
          <w:kern w:val="0"/>
          <w:sz w:val="24"/>
          <w:lang w:bidi="ar"/>
        </w:rPr>
        <w:t>S7</w:t>
      </w:r>
      <w:r>
        <w:rPr>
          <w:rFonts w:ascii="Times New Roman" w:hAnsi="Times New Roman" w:eastAsia="AdvPTimesB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Neighbour-joining tree based on a multilocus sequence analysis of five house-keeping genes (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>atp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D, 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>gyr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B, 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>rec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A, 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>rpo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B, and 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>trp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B) showing the phylogenetic relationships between strain TRM63209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and other closest species of </w:t>
      </w:r>
      <w:r>
        <w:rPr>
          <w:rFonts w:ascii="Times New Roman" w:hAnsi="Times New Roman" w:eastAsia="AdvPTimesI"/>
          <w:color w:val="000000"/>
          <w:kern w:val="0"/>
          <w:sz w:val="24"/>
          <w:lang w:bidi="ar"/>
        </w:rPr>
        <w:t xml:space="preserve">Streptomyces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and display the taxonomic position of strain TRM63209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. Numbers at the nodes are percentage bootstrap values based on 1000 resampled datasets; only values&gt;50% are shown. Bar, 0.0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1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00 substitutions per nucleotide posit</w:t>
      </w:r>
    </w:p>
    <w:p>
      <w:pPr>
        <w:widowControl/>
        <w:spacing w:line="480" w:lineRule="auto"/>
      </w:pPr>
    </w:p>
    <w:p>
      <w:pPr>
        <w:widowControl/>
        <w:spacing w:line="480" w:lineRule="auto"/>
        <w:rPr>
          <w:rFonts w:ascii="Times New Roman" w:hAnsi="Times New Roman"/>
          <w:sz w:val="22"/>
        </w:rPr>
      </w:pPr>
      <w:r>
        <w:rPr>
          <w:rFonts w:hint="eastAsia" w:ascii="Times New Roman" w:hAnsi="Times New Roman"/>
          <w:b/>
          <w:bCs/>
          <w:sz w:val="22"/>
        </w:rPr>
        <w:t>Table</w:t>
      </w:r>
      <w:r>
        <w:rPr>
          <w:rFonts w:hint="eastAsia" w:ascii="Times New Roman" w:hAnsi="Times New Roman"/>
          <w:b/>
          <w:bCs/>
          <w:sz w:val="22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sz w:val="22"/>
        </w:rPr>
        <w:t>S1</w:t>
      </w:r>
      <w:r>
        <w:rPr>
          <w:rFonts w:hint="eastAsia" w:ascii="Times New Roman" w:hAnsi="Times New Roman"/>
          <w:sz w:val="22"/>
        </w:rPr>
        <w:t xml:space="preserve"> Type and content of fatty acid in strain </w:t>
      </w:r>
      <w:r>
        <w:rPr>
          <w:rFonts w:ascii="Times New Roman" w:hAnsi="Times New Roman" w:eastAsia="黑体"/>
          <w:sz w:val="24"/>
        </w:rPr>
        <w:t>TRM</w:t>
      </w:r>
      <w:r>
        <w:rPr>
          <w:rFonts w:hint="eastAsia" w:ascii="Times New Roman" w:hAnsi="Times New Roman" w:eastAsia="黑体"/>
          <w:sz w:val="24"/>
        </w:rPr>
        <w:t>63209</w:t>
      </w:r>
      <w:r>
        <w:rPr>
          <w:rFonts w:ascii="Times New Roman" w:hAnsi="Times New Roman" w:eastAsia="黑体"/>
          <w:sz w:val="24"/>
          <w:vertAlign w:val="superscript"/>
        </w:rPr>
        <w:t>T</w:t>
      </w:r>
    </w:p>
    <w:tbl>
      <w:tblPr>
        <w:tblStyle w:val="3"/>
        <w:tblW w:w="8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2197"/>
        <w:gridCol w:w="2280"/>
        <w:gridCol w:w="2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Numbei</w:t>
            </w:r>
          </w:p>
        </w:tc>
        <w:tc>
          <w:tcPr>
            <w:tcW w:w="219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Retention Time(min)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Types of Fatty Acids</w:t>
            </w:r>
          </w:p>
        </w:tc>
        <w:tc>
          <w:tcPr>
            <w:tcW w:w="2910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Content of Fatty Acid(%）</w:t>
            </w:r>
          </w:p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（&gt;1%）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197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2.7565</w:t>
            </w:r>
          </w:p>
        </w:tc>
        <w:tc>
          <w:tcPr>
            <w:tcW w:w="2280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16:0 iso</w:t>
            </w:r>
          </w:p>
        </w:tc>
        <w:tc>
          <w:tcPr>
            <w:tcW w:w="2910" w:type="dxa"/>
            <w:tcBorders>
              <w:top w:val="single" w:color="000000" w:sz="4" w:space="0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26.52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2.8730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16:0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21.44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2.4683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15:0 anteiso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9.77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3.1067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17:0 anteiso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9.72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2.4394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15:0 iso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6.65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2.8219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Sum In Feature 3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3.0758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17:0 iso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2.7084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16:1 iso H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2.1328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14:0 iso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3.4432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18:1 w9c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2.5541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15:0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3.0145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Sum In Feature 9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3.0507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17:1 anteiso w9c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1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2.2426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14:0</w:t>
            </w:r>
          </w:p>
        </w:tc>
        <w:tc>
          <w:tcPr>
            <w:tcW w:w="29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197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3.4319</w:t>
            </w:r>
          </w:p>
        </w:tc>
        <w:tc>
          <w:tcPr>
            <w:tcW w:w="2280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Sum In Feature 5</w:t>
            </w:r>
          </w:p>
        </w:tc>
        <w:tc>
          <w:tcPr>
            <w:tcW w:w="2910" w:type="dxa"/>
            <w:tcBorders>
              <w:top w:val="nil"/>
              <w:left w:val="nil"/>
              <w:bottom w:val="single" w:color="000000" w:sz="4" w:space="0"/>
              <w:right w:val="nil"/>
            </w:tcBorders>
          </w:tcPr>
          <w:p>
            <w:pPr>
              <w:jc w:val="left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1.17</w:t>
            </w:r>
          </w:p>
        </w:tc>
      </w:tr>
    </w:tbl>
    <w:p>
      <w:pPr>
        <w:jc w:val="left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The major cellular fatty acids (</w:t>
      </w:r>
      <w:r>
        <w:rPr>
          <w:rFonts w:ascii="Times New Roman" w:hAnsi="Times New Roman" w:eastAsia="AdvPSMP4"/>
          <w:color w:val="000000"/>
          <w:kern w:val="0"/>
          <w:sz w:val="24"/>
          <w:lang w:bidi="ar"/>
        </w:rPr>
        <w:t>&gt;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5%) were identified as iso-C16:0(26.5%), 16:0 (21.4%), anteiso-C15:0 (9.8%), anteiso-C17:0 (9.7%), iso-C15:0 (6.7%)</w:t>
      </w:r>
      <w:r>
        <w:rPr>
          <w:rFonts w:hint="eastAsia" w:ascii="Times New Roman" w:hAnsi="Times New Roman"/>
          <w:color w:val="000000"/>
          <w:kern w:val="0"/>
          <w:sz w:val="24"/>
          <w:lang w:bidi="ar"/>
        </w:rPr>
        <w:t xml:space="preserve"> and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Sum In Feature 3 (5.7%) . Fatty acids present in smaller amounts (</w:t>
      </w:r>
      <w:r>
        <w:rPr>
          <w:rFonts w:ascii="Times New Roman" w:hAnsi="Times New Roman" w:eastAsia="AdvPSMP4"/>
          <w:color w:val="000000"/>
          <w:kern w:val="0"/>
          <w:sz w:val="24"/>
          <w:lang w:bidi="ar"/>
        </w:rPr>
        <w:t>&gt;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1%) were iso-C17:0 (4.3%), iso-C16:1 H (1.9%),  iso-C14:0 (1.9%), 18:1 w9c (1.6%), 15:0(1.4%), Sum In Feature 9 (1.4%), anteiso-C17:1 w9c (1.4%), 14:0 (1.2%)</w:t>
      </w:r>
      <w:r>
        <w:rPr>
          <w:rFonts w:hint="eastAsia" w:ascii="Times New Roman" w:hAnsi="Times New Roman"/>
          <w:color w:val="000000"/>
          <w:kern w:val="0"/>
          <w:sz w:val="24"/>
          <w:lang w:bidi="ar"/>
        </w:rPr>
        <w:t xml:space="preserve"> and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Sum In Feature 5 (1.7%) </w:t>
      </w:r>
    </w:p>
    <w:p>
      <w:pPr>
        <w:rPr>
          <w:rFonts w:ascii="Times New Roman" w:hAnsi="Times New Roman"/>
          <w:b/>
          <w:bCs/>
          <w:sz w:val="22"/>
        </w:rPr>
      </w:pPr>
    </w:p>
    <w:p>
      <w:pPr>
        <w:rPr>
          <w:rFonts w:ascii="Times New Roman" w:hAnsi="Times New Roman" w:eastAsia="黑体"/>
          <w:sz w:val="24"/>
          <w:vertAlign w:val="superscript"/>
        </w:rPr>
      </w:pPr>
      <w:r>
        <w:rPr>
          <w:rFonts w:hint="eastAsia" w:ascii="Times New Roman" w:hAnsi="Times New Roman"/>
          <w:b/>
          <w:bCs/>
          <w:sz w:val="22"/>
        </w:rPr>
        <w:t>Table</w:t>
      </w:r>
      <w:r>
        <w:rPr>
          <w:rFonts w:hint="eastAsia" w:ascii="Times New Roman" w:hAnsi="Times New Roman"/>
          <w:b/>
          <w:bCs/>
          <w:sz w:val="22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sz w:val="22"/>
        </w:rPr>
        <w:t>S2</w:t>
      </w:r>
      <w:r>
        <w:rPr>
          <w:rFonts w:hint="eastAsia" w:ascii="Times New Roman" w:hAnsi="Times New Roman"/>
          <w:sz w:val="22"/>
        </w:rPr>
        <w:t xml:space="preserve"> </w:t>
      </w:r>
      <w:r>
        <w:rPr>
          <w:rFonts w:ascii="Times New Roman" w:hAnsi="Times New Roman"/>
          <w:sz w:val="24"/>
        </w:rPr>
        <w:t xml:space="preserve">The </w:t>
      </w:r>
      <w:r>
        <w:rPr>
          <w:rFonts w:hint="eastAsia" w:ascii="Times New Roman" w:hAnsi="Times New Roman"/>
          <w:color w:val="000000"/>
          <w:kern w:val="0"/>
          <w:sz w:val="24"/>
          <w:lang w:bidi="ar"/>
        </w:rPr>
        <w:t>a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ntifungal and antibacterial activity</w:t>
      </w:r>
      <w:r>
        <w:rPr>
          <w:rFonts w:hint="eastAsia" w:ascii="Times New Roman" w:hAnsi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/>
          <w:sz w:val="24"/>
        </w:rPr>
        <w:t>of strain TRM63209</w:t>
      </w:r>
      <w:r>
        <w:rPr>
          <w:rFonts w:ascii="Times New Roman" w:hAnsi="Times New Roman"/>
          <w:sz w:val="24"/>
          <w:vertAlign w:val="superscript"/>
        </w:rPr>
        <w:t>T</w:t>
      </w:r>
    </w:p>
    <w:tbl>
      <w:tblPr>
        <w:tblStyle w:val="2"/>
        <w:tblpPr w:leftFromText="180" w:rightFromText="180" w:vertAnchor="text" w:horzAnchor="page" w:tblpX="139" w:tblpY="432"/>
        <w:tblOverlap w:val="never"/>
        <w:tblW w:w="11768" w:type="dxa"/>
        <w:tblInd w:w="0" w:type="dxa"/>
        <w:tblBorders>
          <w:top w:val="single" w:color="auto" w:sz="4" w:space="0"/>
          <w:left w:val="none" w:color="auto" w:sz="4" w:space="0"/>
          <w:bottom w:val="singl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71"/>
        <w:gridCol w:w="1471"/>
        <w:gridCol w:w="1471"/>
        <w:gridCol w:w="1471"/>
        <w:gridCol w:w="1471"/>
        <w:gridCol w:w="1471"/>
        <w:gridCol w:w="1471"/>
        <w:gridCol w:w="1471"/>
      </w:tblGrid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spacing w:line="480" w:lineRule="auto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471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mean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Treated OD</w:t>
            </w:r>
            <w:r>
              <w:rPr>
                <w:rStyle w:val="6"/>
                <w:lang w:bidi="ar"/>
              </w:rPr>
              <w:t>490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0.135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0.332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0.357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0.386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0.337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0.406</w:t>
            </w:r>
          </w:p>
        </w:tc>
        <w:tc>
          <w:tcPr>
            <w:tcW w:w="147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0.351</w:t>
            </w:r>
          </w:p>
        </w:tc>
      </w:tr>
      <w:tr>
        <w:tblPrEx>
          <w:tblBorders>
            <w:top w:val="single" w:color="auto" w:sz="4" w:space="0"/>
            <w:left w:val="none" w:color="auto" w:sz="4" w:space="0"/>
            <w:bottom w:val="singl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Untreated OD</w:t>
            </w:r>
            <w:r>
              <w:rPr>
                <w:rStyle w:val="6"/>
                <w:lang w:bidi="ar"/>
              </w:rPr>
              <w:t>490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0.612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0.614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0.685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0.578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0.29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0.614</w:t>
            </w:r>
          </w:p>
        </w:tc>
        <w:tc>
          <w:tcPr>
            <w:tcW w:w="14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lang w:bidi="ar"/>
              </w:rPr>
              <w:t>0.605</w:t>
            </w:r>
          </w:p>
        </w:tc>
      </w:tr>
    </w:tbl>
    <w:p>
      <w:pPr>
        <w:spacing w:line="480" w:lineRule="auto"/>
        <w:ind w:left="221" w:hanging="221" w:hangingChars="100"/>
        <w:rPr>
          <w:rFonts w:ascii="Times New Roman" w:hAnsi="Times New Roman"/>
          <w:b/>
          <w:bCs/>
          <w:sz w:val="22"/>
        </w:rPr>
      </w:pPr>
    </w:p>
    <w:p>
      <w:pPr>
        <w:spacing w:line="480" w:lineRule="auto"/>
        <w:ind w:left="221" w:hanging="221" w:hangingChars="100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/>
          <w:b/>
          <w:bCs/>
          <w:sz w:val="22"/>
        </w:rPr>
        <w:t>Table</w:t>
      </w:r>
      <w:r>
        <w:rPr>
          <w:rFonts w:hint="eastAsia" w:ascii="Times New Roman" w:hAnsi="Times New Roman"/>
          <w:b/>
          <w:bCs/>
          <w:sz w:val="22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sz w:val="22"/>
        </w:rPr>
        <w:t>S3</w:t>
      </w:r>
      <w:r>
        <w:rPr>
          <w:rFonts w:hint="eastAsia" w:ascii="Times New Roman" w:hAnsi="Times New Roman"/>
          <w:b/>
          <w:bCs/>
          <w:sz w:val="22"/>
          <w:lang w:val="en-US" w:eastAsia="zh-CN"/>
        </w:rPr>
        <w:t xml:space="preserve"> 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G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enotypic features of strain </w:t>
      </w:r>
      <w:r>
        <w:rPr>
          <w:rFonts w:ascii="Times New Roman" w:hAnsi="Times New Roman"/>
          <w:sz w:val="24"/>
        </w:rPr>
        <w:t>TRM63209</w:t>
      </w:r>
      <w:r>
        <w:rPr>
          <w:rFonts w:ascii="Times New Roman" w:hAnsi="Times New Roman"/>
          <w:sz w:val="24"/>
          <w:vertAlign w:val="superscript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compared to closely related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strains. The genome analysis is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based on GenBank accession numbers for strain </w:t>
      </w:r>
      <w:r>
        <w:rPr>
          <w:rFonts w:ascii="Times New Roman" w:hAnsi="Times New Roman"/>
          <w:sz w:val="24"/>
        </w:rPr>
        <w:t>TRM63209</w:t>
      </w:r>
      <w:r>
        <w:rPr>
          <w:rFonts w:ascii="Times New Roman" w:hAnsi="Times New Roman"/>
          <w:sz w:val="24"/>
          <w:vertAlign w:val="superscript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(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MK795724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),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i/>
          <w:iCs/>
          <w:color w:val="000000"/>
          <w:kern w:val="0"/>
          <w:sz w:val="24"/>
          <w:lang w:bidi="ar"/>
        </w:rPr>
        <w:t>Streptomyces bungoensis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DSM 4178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1</w:t>
      </w:r>
      <w:r>
        <w:rPr>
          <w:rFonts w:hint="eastAsia"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(KQ948892), </w:t>
      </w:r>
      <w:r>
        <w:rPr>
          <w:rFonts w:ascii="Times New Roman" w:hAnsi="Times New Roman" w:eastAsia="AdvPTimes"/>
          <w:i/>
          <w:iCs/>
          <w:color w:val="000000"/>
          <w:kern w:val="0"/>
          <w:sz w:val="24"/>
          <w:lang w:bidi="ar"/>
        </w:rPr>
        <w:t>Streptomyces phyllanthi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PA1-07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(LC125632), </w:t>
      </w:r>
      <w:r>
        <w:rPr>
          <w:rFonts w:ascii="Times New Roman" w:hAnsi="Times New Roman" w:eastAsia="AdvPTimes"/>
          <w:i/>
          <w:iCs/>
          <w:color w:val="000000"/>
          <w:kern w:val="0"/>
          <w:sz w:val="24"/>
          <w:lang w:bidi="ar"/>
        </w:rPr>
        <w:t>Streptomyces longwoodensis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DSM 41677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(KQ948572)and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i/>
          <w:iCs/>
          <w:color w:val="000000"/>
          <w:kern w:val="0"/>
          <w:sz w:val="24"/>
          <w:lang w:bidi="ar"/>
        </w:rPr>
        <w:t>Streptomyces caeruleatus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NRRL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B-24802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(KQ948975). </w:t>
      </w:r>
    </w:p>
    <w:p>
      <w:pPr>
        <w:spacing w:line="480" w:lineRule="auto"/>
        <w:ind w:left="240" w:hanging="240" w:hangingChars="100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</w:p>
    <w:tbl>
      <w:tblPr>
        <w:tblStyle w:val="3"/>
        <w:tblpPr w:leftFromText="180" w:rightFromText="180" w:vertAnchor="text" w:horzAnchor="page" w:tblpXSpec="center" w:tblpY="-15"/>
        <w:tblOverlap w:val="never"/>
        <w:tblW w:w="975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425"/>
        <w:gridCol w:w="1695"/>
        <w:gridCol w:w="1515"/>
        <w:gridCol w:w="1746"/>
        <w:gridCol w:w="193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  <w:tcBorders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I"/>
                <w:kern w:val="0"/>
                <w:sz w:val="20"/>
                <w:szCs w:val="20"/>
                <w:lang w:bidi="ar"/>
              </w:rPr>
              <w:t>Genomic characteristics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TRM63209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T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MK795724</w:t>
            </w:r>
          </w:p>
        </w:tc>
        <w:tc>
          <w:tcPr>
            <w:tcW w:w="1695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>Streptomyces bungoensis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 xml:space="preserve"> DSM 41781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KQ948892</w:t>
            </w:r>
          </w:p>
        </w:tc>
        <w:tc>
          <w:tcPr>
            <w:tcW w:w="1515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 xml:space="preserve">Streptomyces phyllanthi 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PA1-07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 xml:space="preserve"> LC125632</w:t>
            </w:r>
          </w:p>
        </w:tc>
        <w:tc>
          <w:tcPr>
            <w:tcW w:w="1746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 xml:space="preserve">Streptomyces longwoodensis 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DSM 41677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KQ948572</w:t>
            </w:r>
          </w:p>
        </w:tc>
        <w:tc>
          <w:tcPr>
            <w:tcW w:w="1930" w:type="dxa"/>
            <w:tcBorders>
              <w:bottom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 xml:space="preserve">Streptomyces caeruleatus 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NRRL B-24802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KQ948975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  <w:tcBorders>
              <w:top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Genome size (bp)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8,494,</w:t>
            </w:r>
            <w:r>
              <w:rPr>
                <w:rFonts w:hint="eastAsia" w:ascii="Times New Roman" w:hAnsi="Times New Roman"/>
                <w:sz w:val="20"/>
                <w:szCs w:val="20"/>
                <w:shd w:val="clear" w:color="auto" w:fill="FFFFFF"/>
              </w:rPr>
              <w:t>434</w:t>
            </w:r>
          </w:p>
        </w:tc>
        <w:tc>
          <w:tcPr>
            <w:tcW w:w="1695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8,</w:t>
            </w:r>
            <w:r>
              <w:rPr>
                <w:rFonts w:hint="eastAsia" w:ascii="Times New Roman" w:hAnsi="Times New Roman"/>
                <w:sz w:val="20"/>
                <w:szCs w:val="20"/>
                <w:shd w:val="clear" w:color="auto" w:fill="FFFFFF"/>
              </w:rPr>
              <w:t>408</w:t>
            </w:r>
            <w:r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  <w:t>,</w:t>
            </w:r>
            <w:r>
              <w:rPr>
                <w:rFonts w:hint="eastAsia" w:ascii="Times New Roman" w:hAnsi="Times New Roman"/>
                <w:sz w:val="20"/>
                <w:szCs w:val="20"/>
                <w:shd w:val="clear" w:color="auto" w:fill="FFFFFF"/>
              </w:rPr>
              <w:t>982</w:t>
            </w:r>
          </w:p>
        </w:tc>
        <w:tc>
          <w:tcPr>
            <w:tcW w:w="1515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10,267,250</w:t>
            </w:r>
          </w:p>
        </w:tc>
        <w:tc>
          <w:tcPr>
            <w:tcW w:w="1746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8,363,623</w:t>
            </w:r>
          </w:p>
        </w:tc>
        <w:tc>
          <w:tcPr>
            <w:tcW w:w="1930" w:type="dxa"/>
            <w:tcBorders>
              <w:top w:val="single" w:color="auto" w:sz="4" w:space="0"/>
            </w:tcBorders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10,290,495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Plasmids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G+C (%)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70.2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72.5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70.7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73.0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70.7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Coding density (%)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I"/>
                <w:color w:val="000000"/>
                <w:kern w:val="0"/>
                <w:sz w:val="20"/>
                <w:szCs w:val="20"/>
                <w:lang w:bidi="ar"/>
              </w:rPr>
              <w:t>n.d.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88.19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I"/>
                <w:color w:val="000000"/>
                <w:kern w:val="0"/>
                <w:sz w:val="20"/>
                <w:szCs w:val="20"/>
                <w:lang w:bidi="ar"/>
              </w:rPr>
              <w:t>n.d.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I"/>
                <w:color w:val="000000"/>
                <w:kern w:val="0"/>
                <w:sz w:val="20"/>
                <w:szCs w:val="20"/>
                <w:lang w:bidi="ar"/>
              </w:rPr>
              <w:t>n.d.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I"/>
                <w:color w:val="000000"/>
                <w:kern w:val="0"/>
                <w:sz w:val="20"/>
                <w:szCs w:val="20"/>
                <w:lang w:bidi="ar"/>
              </w:rPr>
              <w:t>n.d.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Completeness (%)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99.34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95.39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94.59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98.91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98.36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Total genes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7,804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7,469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9,134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7,355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9,034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Genes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7,284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7,125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8,640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7,275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8,886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Pseudogene</w:t>
            </w: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259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805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189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431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 xml:space="preserve">All protein-coding </w:t>
            </w:r>
          </w:p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genes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7,732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7,384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9,173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7,095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8,523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 xml:space="preserve">Protein-coding </w:t>
            </w:r>
          </w:p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genes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7,284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7,125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8,230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6,937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8,422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 xml:space="preserve">Hypothetical </w:t>
            </w:r>
          </w:p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proteins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2,367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3,887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Helvetica"/>
                <w:sz w:val="20"/>
                <w:szCs w:val="20"/>
                <w:shd w:val="clear" w:color="auto" w:fill="FFFFFF"/>
              </w:rPr>
              <w:t>4,395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3,785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4,696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tRNAs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8" w:type="dxa"/>
          </w:tcPr>
          <w:p>
            <w:pPr>
              <w:widowControl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16S rRNA genes</w:t>
            </w:r>
          </w:p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69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15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746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930" w:type="dxa"/>
          </w:tcPr>
          <w:p>
            <w:pPr>
              <w:spacing w:line="480" w:lineRule="auto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</w:tbl>
    <w:p>
      <w:pPr>
        <w:widowControl/>
        <w:jc w:val="lef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eastAsia="AdvPTimesI"/>
          <w:color w:val="000000"/>
          <w:kern w:val="0"/>
          <w:sz w:val="20"/>
          <w:szCs w:val="20"/>
          <w:lang w:bidi="ar"/>
        </w:rPr>
        <w:t xml:space="preserve">n.d. </w:t>
      </w:r>
      <w:r>
        <w:rPr>
          <w:rFonts w:ascii="Times New Roman" w:hAnsi="Times New Roman" w:eastAsia="AdvPTimes"/>
          <w:color w:val="000000"/>
          <w:kern w:val="0"/>
          <w:sz w:val="20"/>
          <w:szCs w:val="20"/>
          <w:lang w:bidi="ar"/>
        </w:rPr>
        <w:t>not determined</w:t>
      </w:r>
    </w:p>
    <w:p>
      <w:pPr>
        <w:widowControl/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rPr>
          <w:rFonts w:ascii="Times New Roman" w:hAnsi="Times New Roman"/>
          <w:b/>
          <w:bCs/>
          <w:sz w:val="24"/>
        </w:rPr>
      </w:pPr>
    </w:p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4"/>
        </w:rPr>
        <w:t>Table</w:t>
      </w:r>
      <w:r>
        <w:rPr>
          <w:rFonts w:hint="eastAsia" w:ascii="Times New Roman" w:hAnsi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/>
          <w:b/>
          <w:bCs/>
          <w:sz w:val="24"/>
        </w:rPr>
        <w:t>S4</w:t>
      </w:r>
      <w:r>
        <w:rPr>
          <w:rFonts w:hint="eastAsia" w:ascii="Times New Roman" w:hAnsi="Times New Roman"/>
          <w:b/>
          <w:bCs/>
          <w:sz w:val="24"/>
        </w:rPr>
        <w:t xml:space="preserve"> 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Numbers of secondary metabolite-associated gene clusters in </w:t>
      </w:r>
      <w:r>
        <w:rPr>
          <w:rFonts w:ascii="Times New Roman" w:hAnsi="Times New Roman"/>
          <w:sz w:val="24"/>
        </w:rPr>
        <w:t>TRM63209</w:t>
      </w:r>
      <w:r>
        <w:rPr>
          <w:rFonts w:ascii="Times New Roman" w:hAnsi="Times New Roman"/>
          <w:sz w:val="24"/>
          <w:vertAlign w:val="superscript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in comparison to other species in the family. The analysis is based on GenBank accession numbers for strain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TRM63209</w:t>
      </w:r>
      <w:r>
        <w:rPr>
          <w:rFonts w:ascii="Times New Roman" w:hAnsi="Times New Roman"/>
          <w:sz w:val="24"/>
          <w:vertAlign w:val="superscript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(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MK795724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),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i/>
          <w:color w:val="000000"/>
          <w:kern w:val="0"/>
          <w:sz w:val="24"/>
          <w:lang w:bidi="ar"/>
        </w:rPr>
        <w:t>Streptomyces bungoensis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DSM 4178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>1</w:t>
      </w:r>
      <w:r>
        <w:rPr>
          <w:rFonts w:hint="eastAsia"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(KQ948892), </w:t>
      </w:r>
      <w:r>
        <w:rPr>
          <w:rFonts w:ascii="Times New Roman" w:hAnsi="Times New Roman" w:eastAsia="AdvPTimes"/>
          <w:i/>
          <w:color w:val="000000"/>
          <w:kern w:val="0"/>
          <w:sz w:val="24"/>
          <w:lang w:bidi="ar"/>
        </w:rPr>
        <w:t>Streptomyces phyllanthi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PA1-07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(LC125632), </w:t>
      </w:r>
      <w:r>
        <w:rPr>
          <w:rFonts w:ascii="Times New Roman" w:hAnsi="Times New Roman" w:eastAsia="AdvPTimes"/>
          <w:i/>
          <w:color w:val="000000"/>
          <w:kern w:val="0"/>
          <w:sz w:val="24"/>
          <w:lang w:bidi="ar"/>
        </w:rPr>
        <w:t>Streptomyces longwoodensis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DSM 41677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(KQ948572)and</w:t>
      </w:r>
      <w:r>
        <w:rPr>
          <w:rFonts w:hint="eastAsia" w:ascii="Times New Roman" w:hAnsi="Times New Roman" w:eastAsia="AdvPTimes"/>
          <w:color w:val="000000"/>
          <w:kern w:val="0"/>
          <w:sz w:val="24"/>
          <w:lang w:bidi="ar"/>
        </w:rPr>
        <w:t xml:space="preserve"> </w:t>
      </w:r>
      <w:r>
        <w:rPr>
          <w:rFonts w:ascii="Times New Roman" w:hAnsi="Times New Roman" w:eastAsia="AdvPTimes"/>
          <w:i/>
          <w:color w:val="000000"/>
          <w:kern w:val="0"/>
          <w:sz w:val="24"/>
          <w:lang w:bidi="ar"/>
        </w:rPr>
        <w:t>Streptomyces caeruleatus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 xml:space="preserve"> NRRL B-24802</w:t>
      </w:r>
      <w:r>
        <w:rPr>
          <w:rFonts w:ascii="Times New Roman" w:hAnsi="Times New Roman" w:eastAsia="AdvPTimes"/>
          <w:color w:val="000000"/>
          <w:kern w:val="0"/>
          <w:sz w:val="24"/>
          <w:vertAlign w:val="superscript"/>
          <w:lang w:bidi="ar"/>
        </w:rPr>
        <w:t>T</w:t>
      </w:r>
      <w:r>
        <w:rPr>
          <w:rFonts w:ascii="Times New Roman" w:hAnsi="Times New Roman" w:eastAsia="AdvPTimes"/>
          <w:color w:val="000000"/>
          <w:kern w:val="0"/>
          <w:sz w:val="24"/>
          <w:lang w:bidi="ar"/>
        </w:rPr>
        <w:t>(KQ948975).</w:t>
      </w:r>
    </w:p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tbl>
      <w:tblPr>
        <w:tblStyle w:val="3"/>
        <w:tblpPr w:leftFromText="180" w:rightFromText="180" w:vertAnchor="text" w:horzAnchor="page" w:tblpXSpec="center" w:tblpY="-15"/>
        <w:tblOverlap w:val="never"/>
        <w:tblW w:w="10393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8"/>
        <w:gridCol w:w="1384"/>
        <w:gridCol w:w="191"/>
        <w:gridCol w:w="1235"/>
        <w:gridCol w:w="1416"/>
        <w:gridCol w:w="1369"/>
        <w:gridCol w:w="455"/>
        <w:gridCol w:w="16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Secondary metabolite-associated gene clusters</w:t>
            </w:r>
          </w:p>
        </w:tc>
        <w:tc>
          <w:tcPr>
            <w:tcW w:w="1384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TRM63209</w:t>
            </w:r>
            <w:r>
              <w:rPr>
                <w:rFonts w:ascii="Times New Roman" w:hAnsi="Times New Roman"/>
                <w:sz w:val="20"/>
                <w:szCs w:val="20"/>
                <w:vertAlign w:val="superscript"/>
              </w:rPr>
              <w:t>T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MK795724</w:t>
            </w:r>
          </w:p>
        </w:tc>
        <w:tc>
          <w:tcPr>
            <w:tcW w:w="1426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>Streptomyces bungoensis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 xml:space="preserve"> DSM 41781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KQ948892</w:t>
            </w:r>
          </w:p>
        </w:tc>
        <w:tc>
          <w:tcPr>
            <w:tcW w:w="1416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 xml:space="preserve">Streptomyces phyllanthi 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PA1-07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 xml:space="preserve"> LC125632</w:t>
            </w:r>
          </w:p>
        </w:tc>
        <w:tc>
          <w:tcPr>
            <w:tcW w:w="1824" w:type="dxa"/>
            <w:gridSpan w:val="2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>Streptomyces longwoodens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is DSM 41677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KQ948572</w:t>
            </w:r>
          </w:p>
        </w:tc>
        <w:tc>
          <w:tcPr>
            <w:tcW w:w="1665" w:type="dxa"/>
            <w:tcBorders>
              <w:bottom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</w:pPr>
            <w:r>
              <w:rPr>
                <w:rFonts w:ascii="Times New Roman" w:hAnsi="Times New Roman" w:eastAsia="AdvPTimes"/>
                <w:i/>
                <w:iCs/>
                <w:kern w:val="0"/>
                <w:sz w:val="20"/>
                <w:szCs w:val="20"/>
                <w:lang w:bidi="ar"/>
              </w:rPr>
              <w:t xml:space="preserve">Streptomyces caeruleatus 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NRRL B-24802</w:t>
            </w:r>
            <w:r>
              <w:rPr>
                <w:rFonts w:ascii="Times New Roman" w:hAnsi="Times New Roman" w:eastAsia="AdvPTimes"/>
                <w:kern w:val="0"/>
                <w:sz w:val="20"/>
                <w:szCs w:val="20"/>
                <w:vertAlign w:val="superscript"/>
                <w:lang w:bidi="ar"/>
              </w:rPr>
              <w:t>T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KQ948975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Genome size (Mb)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84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8.49</w:t>
            </w:r>
          </w:p>
        </w:tc>
        <w:tc>
          <w:tcPr>
            <w:tcW w:w="1426" w:type="dxa"/>
            <w:gridSpan w:val="2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8.41</w:t>
            </w:r>
          </w:p>
        </w:tc>
        <w:tc>
          <w:tcPr>
            <w:tcW w:w="1416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10.27</w:t>
            </w:r>
          </w:p>
        </w:tc>
        <w:tc>
          <w:tcPr>
            <w:tcW w:w="1824" w:type="dxa"/>
            <w:gridSpan w:val="2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8.36</w:t>
            </w:r>
          </w:p>
        </w:tc>
        <w:tc>
          <w:tcPr>
            <w:tcW w:w="1665" w:type="dxa"/>
            <w:tcBorders>
              <w:top w:val="single" w:color="auto" w:sz="4" w:space="0"/>
            </w:tcBorders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10.29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Terpene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微软雅黑"/>
                <w:sz w:val="20"/>
                <w:szCs w:val="20"/>
              </w:rPr>
              <w:t>Type I Polyketide synthase(T1PKS)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微软雅黑"/>
                <w:sz w:val="20"/>
                <w:szCs w:val="20"/>
              </w:rPr>
              <w:t>T2PKS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微软雅黑"/>
                <w:sz w:val="20"/>
                <w:szCs w:val="20"/>
              </w:rPr>
              <w:t>T3PKS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微软雅黑"/>
                <w:sz w:val="20"/>
                <w:szCs w:val="20"/>
              </w:rPr>
              <w:t>Other types of PKS cluster(PKS-like)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Trans-AT PKS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heterocyst glycolipid synthase-like PKS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eastAsia="Helvetica"/>
                <w:sz w:val="20"/>
                <w:szCs w:val="20"/>
              </w:rPr>
              <w:t>hglE-KS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Non-ribosomal peptide</w:t>
            </w:r>
          </w:p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synthetase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(NRPS)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华文细黑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华文细黑"/>
                <w:sz w:val="20"/>
                <w:szCs w:val="20"/>
              </w:rPr>
              <w:t>NRPS-like fragment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华文细黑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华文细黑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微软雅黑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华文细黑"/>
                <w:sz w:val="20"/>
                <w:szCs w:val="20"/>
              </w:rPr>
              <w:t xml:space="preserve">Ectoine 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华文细黑"/>
                <w:sz w:val="20"/>
                <w:szCs w:val="20"/>
              </w:rPr>
              <w:t>Siderophore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Melanin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微软雅黑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Indole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tbl>
            <w:tblPr>
              <w:tblStyle w:val="2"/>
              <w:tblW w:w="5771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771"/>
            </w:tblGrid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771" w:type="dxa"/>
                  <w:tcBorders>
                    <w:top w:val="single" w:color="E1E4E5" w:sz="2" w:space="0"/>
                    <w:left w:val="single" w:color="E1E4E5" w:sz="2" w:space="0"/>
                    <w:bottom w:val="single" w:color="E1E4E5" w:sz="2" w:space="0"/>
                    <w:right w:val="single" w:color="E1E4E5" w:sz="2" w:space="0"/>
                  </w:tcBorders>
                  <w:shd w:val="clear" w:color="auto" w:fill="auto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>
                  <w:pPr>
                    <w:widowControl/>
                    <w:jc w:val="left"/>
                    <w:textAlignment w:val="center"/>
                    <w:rPr>
                      <w:rFonts w:ascii="Times New Roman" w:hAnsi="Times New Roman" w:eastAsia="Arial"/>
                      <w:kern w:val="0"/>
                      <w:sz w:val="20"/>
                      <w:szCs w:val="20"/>
                      <w:lang w:bidi="ar"/>
                    </w:rPr>
                  </w:pPr>
                  <w:r>
                    <w:rPr>
                      <w:rFonts w:ascii="Times New Roman" w:hAnsi="Times New Roman" w:eastAsia="Arial"/>
                      <w:kern w:val="0"/>
                      <w:sz w:val="20"/>
                      <w:szCs w:val="20"/>
                      <w:lang w:bidi="ar"/>
                    </w:rPr>
                    <w:br w:type="textWrapping"/>
                  </w:r>
                  <w:r>
                    <w:rPr>
                      <w:rFonts w:ascii="Times New Roman" w:hAnsi="Times New Roman" w:eastAsia="Arial"/>
                      <w:kern w:val="0"/>
                      <w:sz w:val="20"/>
                      <w:szCs w:val="20"/>
                      <w:lang w:bidi="ar"/>
                    </w:rPr>
                    <w:t xml:space="preserve">Class I lanthipeptide </w:t>
                  </w:r>
                </w:p>
                <w:p>
                  <w:pPr>
                    <w:widowControl/>
                    <w:jc w:val="left"/>
                    <w:textAlignment w:val="center"/>
                    <w:rPr>
                      <w:rFonts w:ascii="Times New Roman" w:hAnsi="Times New Roman" w:eastAsia="Arial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Arial"/>
                      <w:kern w:val="0"/>
                      <w:sz w:val="20"/>
                      <w:szCs w:val="20"/>
                      <w:lang w:bidi="ar"/>
                    </w:rPr>
                    <w:t>clusters like nisin</w:t>
                  </w:r>
                </w:p>
              </w:tc>
            </w:tr>
          </w:tbl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Class II lanthipeptide clusters like mutacin II (U40620)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Class III lanthipeptide clusters like labyrinthopeptin (FN178622)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Class IV lanthipeptide clusters like venezuelin (HQ328852)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N</w:t>
            </w:r>
            <w:r>
              <w:rPr>
                <w:rFonts w:ascii="Times New Roman" w:hAnsi="Times New Roman" w:eastAsia="Arial"/>
                <w:sz w:val="20"/>
                <w:szCs w:val="20"/>
              </w:rPr>
              <w:t>on-alpha poly-amino acids like e-Polylysin</w:t>
            </w:r>
            <w:r>
              <w:rPr>
                <w:rFonts w:ascii="Times New Roman" w:hAnsi="Times New Roman"/>
                <w:sz w:val="20"/>
                <w:szCs w:val="20"/>
              </w:rPr>
              <w:t>(NAPAA)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</w:t>
            </w:r>
            <w:r>
              <w:rPr>
                <w:rFonts w:ascii="Times New Roman" w:hAnsi="Times New Roman" w:eastAsia="Arial"/>
                <w:sz w:val="20"/>
                <w:szCs w:val="20"/>
              </w:rPr>
              <w:t>rylpolyene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Other unspecified ribosomally synthesised and post-translationally modified peptide product (RiPP</w:t>
            </w:r>
            <w:r>
              <w:rPr>
                <w:rFonts w:ascii="Times New Roman" w:hAnsi="Times New Roman"/>
                <w:sz w:val="20"/>
                <w:szCs w:val="20"/>
              </w:rPr>
              <w:t>-like</w:t>
            </w:r>
            <w:r>
              <w:rPr>
                <w:rFonts w:ascii="Times New Roman" w:hAnsi="Times New Roman" w:eastAsia="Arial"/>
                <w:sz w:val="20"/>
                <w:szCs w:val="20"/>
              </w:rPr>
              <w:t>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Thioamide-containing non-ribosomal peptide</w:t>
            </w:r>
            <w:r>
              <w:rPr>
                <w:rFonts w:ascii="Times New Roman" w:hAnsi="Times New Roman"/>
                <w:sz w:val="20"/>
                <w:szCs w:val="20"/>
              </w:rPr>
              <w:t>（</w:t>
            </w:r>
            <w:r>
              <w:rPr>
                <w:rFonts w:ascii="Times New Roman" w:hAnsi="Times New Roman" w:eastAsia="Arial"/>
                <w:sz w:val="20"/>
                <w:szCs w:val="20"/>
              </w:rPr>
              <w:t>thioamide-NRP</w:t>
            </w:r>
            <w:r>
              <w:rPr>
                <w:rFonts w:ascii="Times New Roman" w:hAnsi="Times New Roman"/>
                <w:sz w:val="20"/>
                <w:szCs w:val="20"/>
              </w:rPr>
              <w:t>）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Redox-cofactors such as PQQ (NC_021985:1458906-1494876)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Oligosaccharide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Cys-rich peptides (aka. SCIFF: six Cys in fourty-five) like in CP001581:3481278-3502939</w:t>
            </w:r>
            <w:r>
              <w:rPr>
                <w:rFonts w:ascii="Times New Roman" w:hAnsi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eastAsia="Arial"/>
                <w:sz w:val="20"/>
                <w:szCs w:val="20"/>
              </w:rPr>
              <w:t>ranthipeptide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Thioamitide RiPPs as found in JOBF01000011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Linear azol(in)e-containing peptides</w:t>
            </w:r>
            <w:r>
              <w:rPr>
                <w:rFonts w:ascii="Times New Roman" w:hAnsi="Times New Roman"/>
                <w:sz w:val="20"/>
                <w:szCs w:val="20"/>
              </w:rPr>
              <w:t>(LAP)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tbl>
            <w:tblPr>
              <w:tblStyle w:val="2"/>
              <w:tblW w:w="5771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771"/>
            </w:tblGrid>
            <w:tr>
              <w:tc>
                <w:tcPr>
                  <w:tcW w:w="5771" w:type="dxa"/>
                  <w:tcBorders>
                    <w:top w:val="single" w:color="E1E4E5" w:sz="2" w:space="0"/>
                    <w:left w:val="single" w:color="E1E4E5" w:sz="2" w:space="0"/>
                    <w:bottom w:val="single" w:color="E1E4E5" w:sz="2" w:space="0"/>
                    <w:right w:val="single" w:color="E1E4E5" w:sz="2" w:space="0"/>
                  </w:tcBorders>
                  <w:shd w:val="clear" w:color="auto" w:fill="auto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>
                  <w:pPr>
                    <w:widowControl/>
                    <w:textAlignment w:val="center"/>
                    <w:rPr>
                      <w:rFonts w:ascii="Times New Roman" w:hAnsi="Times New Roman" w:eastAsia="Arial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Arial"/>
                      <w:kern w:val="0"/>
                      <w:sz w:val="20"/>
                      <w:szCs w:val="20"/>
                      <w:lang w:bidi="ar"/>
                    </w:rPr>
                    <w:t>RRE-element containing</w:t>
                  </w:r>
                </w:p>
              </w:tc>
            </w:tr>
          </w:tbl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fldChar w:fldCharType="begin"/>
            </w:r>
            <w:r>
              <w:instrText xml:space="preserve"> HYPERLINK "https://docs.antismash.secondarymetabolites.org/glossary/" \l "butyrolactone" \t "https://antismash.secondarymetabolites.org/upload/bacteria-a1cea126-a022-411c-b076-d9a5a11f02db/_blank" </w:instrText>
            </w:r>
            <w:r>
              <w:fldChar w:fldCharType="separate"/>
            </w:r>
            <w:r>
              <w:rPr>
                <w:rStyle w:val="5"/>
                <w:rFonts w:ascii="Times New Roman" w:hAnsi="Times New Roman" w:eastAsia="Helvetica"/>
                <w:color w:val="auto"/>
                <w:sz w:val="20"/>
                <w:szCs w:val="20"/>
                <w:u w:val="none"/>
              </w:rPr>
              <w:t>butyrolactone</w:t>
            </w:r>
            <w:r>
              <w:rPr>
                <w:rStyle w:val="5"/>
                <w:rFonts w:ascii="Times New Roman" w:hAnsi="Times New Roman" w:eastAsia="Helvetica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beta-lactone containing protease inhibitor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Phosphonate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rial"/>
                <w:sz w:val="20"/>
                <w:szCs w:val="20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Aminoglycoside/aminocyclitol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rial"/>
                <w:sz w:val="20"/>
                <w:szCs w:val="20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Lasso peptide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rial"/>
                <w:sz w:val="20"/>
                <w:szCs w:val="20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Nucleoside </w:t>
            </w:r>
          </w:p>
        </w:tc>
        <w:tc>
          <w:tcPr>
            <w:tcW w:w="1384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26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416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824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tbl>
            <w:tblPr>
              <w:tblStyle w:val="2"/>
              <w:tblW w:w="5771" w:type="dxa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5771"/>
            </w:tblGrid>
            <w:tr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c>
                <w:tcPr>
                  <w:tcW w:w="5771" w:type="dxa"/>
                  <w:tcBorders>
                    <w:top w:val="single" w:color="E1E4E5" w:sz="2" w:space="0"/>
                    <w:left w:val="single" w:color="E1E4E5" w:sz="2" w:space="0"/>
                    <w:bottom w:val="single" w:color="E1E4E5" w:sz="2" w:space="0"/>
                    <w:right w:val="single" w:color="E1E4E5" w:sz="2" w:space="0"/>
                  </w:tcBorders>
                  <w:shd w:val="clear" w:color="auto" w:fill="auto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  <w:vAlign w:val="center"/>
                </w:tcPr>
                <w:p>
                  <w:pPr>
                    <w:widowControl/>
                    <w:ind w:firstLine="800" w:firstLineChars="400"/>
                    <w:jc w:val="left"/>
                    <w:textAlignment w:val="center"/>
                    <w:rPr>
                      <w:rFonts w:ascii="Times New Roman" w:hAnsi="Times New Roman" w:eastAsia="Arial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eastAsia="Arial"/>
                      <w:kern w:val="0"/>
                      <w:sz w:val="20"/>
                      <w:szCs w:val="20"/>
                      <w:lang w:bidi="ar"/>
                    </w:rPr>
                    <w:t>Furan</w:t>
                  </w:r>
                </w:p>
              </w:tc>
            </w:tr>
          </w:tbl>
          <w:p>
            <w:pPr>
              <w:spacing w:line="480" w:lineRule="auto"/>
              <w:jc w:val="center"/>
              <w:rPr>
                <w:rFonts w:ascii="Times New Roman" w:hAnsi="Times New Roman" w:eastAsia="Arial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3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785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45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rial"/>
                <w:sz w:val="20"/>
                <w:szCs w:val="20"/>
              </w:rPr>
              <w:t>tRNA-dependent cyclodipeptide synthases</w:t>
            </w:r>
            <w:r>
              <w:rPr>
                <w:rFonts w:ascii="Times New Roman" w:hAnsi="Times New Roman"/>
                <w:sz w:val="20"/>
                <w:szCs w:val="20"/>
              </w:rPr>
              <w:t>（CDPS)</w:t>
            </w: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23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2785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45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78" w:type="dxa"/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Total number</w:t>
            </w:r>
          </w:p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5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23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2785" w:type="dxa"/>
            <w:gridSpan w:val="2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45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665" w:type="dxa"/>
            <w:shd w:val="clear" w:color="auto" w:fill="auto"/>
          </w:tcPr>
          <w:p>
            <w:pPr>
              <w:spacing w:line="480" w:lineRule="auto"/>
              <w:jc w:val="center"/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AdvPTimes"/>
                <w:kern w:val="0"/>
                <w:sz w:val="20"/>
                <w:szCs w:val="20"/>
                <w:lang w:bidi="ar"/>
              </w:rPr>
              <w:t>41</w:t>
            </w:r>
          </w:p>
        </w:tc>
      </w:tr>
    </w:tbl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spacing w:line="480" w:lineRule="auto"/>
        <w:ind w:left="240" w:hanging="240" w:hangingChars="100"/>
        <w:rPr>
          <w:rFonts w:ascii="Times New Roman" w:hAnsi="Times New Roman" w:eastAsia="AdvPTimes"/>
          <w:color w:val="000000"/>
          <w:kern w:val="0"/>
          <w:sz w:val="24"/>
          <w:highlight w:val="cyan"/>
          <w:lang w:bidi="ar"/>
        </w:rPr>
      </w:pP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>
      <w:pPr>
        <w:widowControl/>
        <w:spacing w:line="480" w:lineRule="auto"/>
        <w:rPr>
          <w:rFonts w:ascii="Times New Roman" w:hAnsi="Times New Roman" w:eastAsia="AdvPTimes"/>
          <w:color w:val="000000"/>
          <w:kern w:val="0"/>
          <w:sz w:val="24"/>
          <w:lang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PTimes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PTimesB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PSMPi6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PTimesI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PSMP4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E30"/>
    <w:rsid w:val="00705E30"/>
    <w:rsid w:val="009567D3"/>
    <w:rsid w:val="009B1ED6"/>
    <w:rsid w:val="030C1F99"/>
    <w:rsid w:val="07EB25BC"/>
    <w:rsid w:val="0D0F02DB"/>
    <w:rsid w:val="0E556B33"/>
    <w:rsid w:val="0EF32D02"/>
    <w:rsid w:val="0FF04849"/>
    <w:rsid w:val="120C5A29"/>
    <w:rsid w:val="15EF700D"/>
    <w:rsid w:val="17A0224D"/>
    <w:rsid w:val="1AF4269E"/>
    <w:rsid w:val="1AFE4FD6"/>
    <w:rsid w:val="1CDF448D"/>
    <w:rsid w:val="1D1C3FFA"/>
    <w:rsid w:val="214F1ADB"/>
    <w:rsid w:val="24E34E8E"/>
    <w:rsid w:val="268472EA"/>
    <w:rsid w:val="28803D09"/>
    <w:rsid w:val="2964597D"/>
    <w:rsid w:val="2BC31799"/>
    <w:rsid w:val="2E8B2D88"/>
    <w:rsid w:val="2F791E2B"/>
    <w:rsid w:val="2FC236FD"/>
    <w:rsid w:val="30CE35BA"/>
    <w:rsid w:val="32657D16"/>
    <w:rsid w:val="329D61A8"/>
    <w:rsid w:val="33F34F02"/>
    <w:rsid w:val="34567905"/>
    <w:rsid w:val="34FF3E57"/>
    <w:rsid w:val="3653490F"/>
    <w:rsid w:val="36641D2D"/>
    <w:rsid w:val="372469C6"/>
    <w:rsid w:val="38907BCE"/>
    <w:rsid w:val="39105671"/>
    <w:rsid w:val="39FA207B"/>
    <w:rsid w:val="42AC1BC2"/>
    <w:rsid w:val="433F0823"/>
    <w:rsid w:val="439C0E61"/>
    <w:rsid w:val="446F55D1"/>
    <w:rsid w:val="44AE25CA"/>
    <w:rsid w:val="46040D43"/>
    <w:rsid w:val="4ACC4D8E"/>
    <w:rsid w:val="4BB96F6C"/>
    <w:rsid w:val="4CDE0F01"/>
    <w:rsid w:val="503045B8"/>
    <w:rsid w:val="52CF5EDD"/>
    <w:rsid w:val="537C6FFD"/>
    <w:rsid w:val="53A3672B"/>
    <w:rsid w:val="54F65910"/>
    <w:rsid w:val="57205D6C"/>
    <w:rsid w:val="588B5F07"/>
    <w:rsid w:val="5C8408FA"/>
    <w:rsid w:val="658A15B5"/>
    <w:rsid w:val="65FD2896"/>
    <w:rsid w:val="660948F0"/>
    <w:rsid w:val="6A6E344B"/>
    <w:rsid w:val="6C6A62F6"/>
    <w:rsid w:val="7202152A"/>
    <w:rsid w:val="72052490"/>
    <w:rsid w:val="7BD51E2F"/>
    <w:rsid w:val="7C4D6C5F"/>
    <w:rsid w:val="7D0012C9"/>
    <w:rsid w:val="7EC65B7B"/>
    <w:rsid w:val="7ED93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iPriority w:val="0"/>
    <w:rPr>
      <w:color w:val="0000FF"/>
      <w:u w:val="single"/>
    </w:rPr>
  </w:style>
  <w:style w:type="character" w:customStyle="1" w:styleId="6">
    <w:name w:val="font2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b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943</Words>
  <Characters>5028</Characters>
  <Lines>44</Lines>
  <Paragraphs>12</Paragraphs>
  <TotalTime>3</TotalTime>
  <ScaleCrop>false</ScaleCrop>
  <LinksUpToDate>false</LinksUpToDate>
  <CharactersWithSpaces>5546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2021-06-01T10:01:00Z</dcterms:created>
  <dc:creator>刘桂敏666</dc:creator>
  <cp:lastModifiedBy>阿敏</cp:lastModifiedBy>
  <dcterms:modified xsi:type="dcterms:W3CDTF">2021-08-02T11:22:50Z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D5B42EAE377B4290ACDA4B1FA6A8ADC1</vt:lpwstr>
  </property>
</Properties>
</file>