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360" w:lineRule="auto"/>
        <w:jc w:val="center"/>
        <w:rPr>
          <w:rFonts w:ascii="Aptos" w:cs="Aptos" w:eastAsia="Aptos" w:hAnsi="Aptos"/>
          <w:b w:val="1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SUPPORTING INFORMATION</w:t>
      </w:r>
    </w:p>
    <w:p w:rsidR="00000000" w:rsidDel="00000000" w:rsidP="00000000" w:rsidRDefault="00000000" w:rsidRPr="00000000" w14:paraId="00000004">
      <w:pPr>
        <w:spacing w:after="0" w:line="360" w:lineRule="auto"/>
        <w:jc w:val="center"/>
        <w:rPr>
          <w:rFonts w:ascii="Aptos" w:cs="Aptos" w:eastAsia="Aptos" w:hAnsi="Aptos"/>
          <w:b w:val="1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Pt nanoparticles breathe and reversibly detach from Al</w:t>
      </w:r>
      <w:r w:rsidDel="00000000" w:rsidR="00000000" w:rsidRPr="00000000">
        <w:rPr>
          <w:rFonts w:ascii="Aptos" w:cs="Aptos" w:eastAsia="Aptos" w:hAnsi="Aptos"/>
          <w:b w:val="1"/>
          <w:sz w:val="28"/>
          <w:szCs w:val="28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b w:val="1"/>
          <w:sz w:val="28"/>
          <w:szCs w:val="28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 in hydrogen</w:t>
      </w:r>
    </w:p>
    <w:p w:rsidR="00000000" w:rsidDel="00000000" w:rsidP="00000000" w:rsidRDefault="00000000" w:rsidRPr="00000000" w14:paraId="00000005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Daniele Bonavia, Alberto Ricchebuono, Paolo Lazzarini, Eleonora Vottero, Riccardo Pellegrini, Andrea Piovano, Celine Chizallet, Pascal Raybaud, Catherine Dejoie, Ivo Alxneit, Stefano Checchia, Davide Ferri, Elena Groppo</w:t>
      </w:r>
    </w:p>
    <w:p w:rsidR="00000000" w:rsidDel="00000000" w:rsidP="00000000" w:rsidRDefault="00000000" w:rsidRPr="00000000" w14:paraId="00000007">
      <w:pPr>
        <w:spacing w:after="0" w:line="360" w:lineRule="auto"/>
        <w:jc w:val="both"/>
        <w:rPr>
          <w:rFonts w:ascii="Aptos" w:cs="Aptos" w:eastAsia="Aptos" w:hAnsi="Apto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1. Description of the cell used for in situ XRD and PDF measurements</w:t>
      </w:r>
    </w:p>
    <w:p w:rsidR="00000000" w:rsidDel="00000000" w:rsidP="00000000" w:rsidRDefault="00000000" w:rsidRPr="00000000" w14:paraId="0000000B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2. High-resolution XRD of the Al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support</w:t>
      </w:r>
    </w:p>
    <w:p w:rsidR="00000000" w:rsidDel="00000000" w:rsidP="00000000" w:rsidRDefault="00000000" w:rsidRPr="00000000" w14:paraId="0000000C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3. Construction and optimization of the Pt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34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/γ-Al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and Pt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55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/γ-Al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models</w:t>
      </w:r>
    </w:p>
    <w:p w:rsidR="00000000" w:rsidDel="00000000" w:rsidP="00000000" w:rsidRDefault="00000000" w:rsidRPr="00000000" w14:paraId="0000000D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4. Determination of the average Pt crystal size from PDF data</w:t>
      </w:r>
    </w:p>
    <w:p w:rsidR="00000000" w:rsidDel="00000000" w:rsidP="00000000" w:rsidRDefault="00000000" w:rsidRPr="00000000" w14:paraId="0000000E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5. Monitoring the reduction process: additional plots</w:t>
      </w:r>
    </w:p>
    <w:p w:rsidR="00000000" w:rsidDel="00000000" w:rsidP="00000000" w:rsidRDefault="00000000" w:rsidRPr="00000000" w14:paraId="0000000F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6. Comparison of the PDF patterns at the end of the reduction process in gas and liquid phase for both catalysts</w:t>
      </w:r>
    </w:p>
    <w:p w:rsidR="00000000" w:rsidDel="00000000" w:rsidP="00000000" w:rsidRDefault="00000000" w:rsidRPr="00000000" w14:paraId="00000010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7. Simulated PDF patterns for Pt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x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H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y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/Al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models in the two extreme hydrogenation states</w:t>
      </w:r>
    </w:p>
    <w:p w:rsidR="00000000" w:rsidDel="00000000" w:rsidP="00000000" w:rsidRDefault="00000000" w:rsidRPr="00000000" w14:paraId="00000011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360" w:lineRule="auto"/>
        <w:jc w:val="both"/>
        <w:rPr>
          <w:rFonts w:ascii="Aptos" w:cs="Aptos" w:eastAsia="Aptos" w:hAnsi="Aptos"/>
          <w:b w:val="1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1. Description of the cell used for in situ XRD and PDF measurements</w:t>
      </w:r>
    </w:p>
    <w:p w:rsidR="00000000" w:rsidDel="00000000" w:rsidP="00000000" w:rsidRDefault="00000000" w:rsidRPr="00000000" w14:paraId="00000017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The flow-through cell used in this work consists of a stainless-steel body coupled to two symmetric end plates (Figure S1). The central body hosts a 9 mm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per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sample compartment, where the catalyst powder is loaded between two quartz wool plugs; two 45 W heating resistors; and a thermocouple placed in contact with the sample compartment. The sample is sandwiched between two fluorinated rubber gaskets (Grenoble-Alpes Elastomers, France) and two glassy carbon windows (HTW, Germany). The cell can heat the sample up to 180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°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C while allowing leak-free flow of either liquid or gaseous feeds. The exit window allows a maximum 2θ angle of 60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°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between the centre of the sample volume and the steel rim of the window.   </w:t>
      </w:r>
    </w:p>
    <w:p w:rsidR="00000000" w:rsidDel="00000000" w:rsidP="00000000" w:rsidRDefault="00000000" w:rsidRPr="00000000" w14:paraId="00000018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/>
        <w:pict>
          <v:shape id="_x0000_i1025" style="width:451.65pt;height:255.25pt;mso-position-horizontal-relative:margin;mso-position-vertical:absolute;mso-position-vertical-relative:margin" o:allowoverlap="f" type="#_x0000_t75">
            <v:imagedata r:id="rId1" o:title="cell_schematic_v1"/>
          </v:shape>
        </w:pict>
      </w: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Figure S1.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Exploded schematic of the flow-through cell employed for in situ XRD and PDF measurements, either in gas or liquid phase.</w:t>
      </w:r>
    </w:p>
    <w:p w:rsidR="00000000" w:rsidDel="00000000" w:rsidP="00000000" w:rsidRDefault="00000000" w:rsidRPr="00000000" w14:paraId="00000019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360" w:lineRule="auto"/>
        <w:jc w:val="both"/>
        <w:rPr>
          <w:rFonts w:ascii="Aptos" w:cs="Aptos" w:eastAsia="Aptos" w:hAnsi="Aptos"/>
          <w:b w:val="1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2. High-resolution XRD of the Al</w:t>
      </w:r>
      <w:r w:rsidDel="00000000" w:rsidR="00000000" w:rsidRPr="00000000">
        <w:rPr>
          <w:rFonts w:ascii="Aptos" w:cs="Aptos" w:eastAsia="Aptos" w:hAnsi="Aptos"/>
          <w:b w:val="1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b w:val="1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 support</w:t>
      </w:r>
    </w:p>
    <w:p w:rsidR="00000000" w:rsidDel="00000000" w:rsidP="00000000" w:rsidRDefault="00000000" w:rsidRPr="00000000" w14:paraId="0000001C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High-resolution powder-diffraction was collected at the ID22 beamline of the ESRF using the 13-crystal multianalyzer stage.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Samples were the Pt/Al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sample studied in this work and four bare Al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samples (Figure S2), all supplied by Chimet S.p.A. (Viciomaggio, Italy). The bare Al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samples were the mixed-phase alumina used in Pt/Al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, and three samples containing predominantly θ, δ, or γ phases, respectively. </w:t>
      </w:r>
    </w:p>
    <w:p w:rsidR="00000000" w:rsidDel="00000000" w:rsidP="00000000" w:rsidRDefault="00000000" w:rsidRPr="00000000" w14:paraId="0000001D">
      <w:pPr>
        <w:spacing w:after="0" w:line="360" w:lineRule="auto"/>
        <w:ind w:firstLine="708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Fits were carried out in Topas v7.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The alumina phase was refined in a Le Bail-type fit using as initial model the phase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δ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1(s.g. </w:t>
      </w:r>
      <w:r w:rsidDel="00000000" w:rsidR="00000000" w:rsidRPr="00000000">
        <w:rPr>
          <w:rFonts w:ascii="Aptos" w:cs="Aptos" w:eastAsia="Aptos" w:hAnsi="Aptos"/>
          <w:i w:val="1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) reported by Kovarik et al.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per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The </w:t>
      </w:r>
      <w:r w:rsidDel="00000000" w:rsidR="00000000" w:rsidRPr="00000000">
        <w:rPr>
          <w:rFonts w:ascii="Aptos" w:cs="Aptos" w:eastAsia="Aptos" w:hAnsi="Aptos"/>
          <w:i w:val="1"/>
          <w:sz w:val="24"/>
          <w:szCs w:val="24"/>
          <w:rtl w:val="0"/>
        </w:rPr>
        <w:t xml:space="preserve">fcc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Pt phase was refined simultaneously varying lattice parameter, Pseudo-Voigt peak width, scale factor, and a Debye-Waller factor. Intrinsic line broadening due to instrumentation was first modelled on the pattern of a NIST standard powder (Cr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SRM-674b), collected in the same setup, and then deconvoluted during these fits. Crystallite sizes were calculated from the peak integral breadth using the Double-Voigt approach.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perscript"/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360" w:lineRule="auto"/>
        <w:ind w:firstLine="708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360" w:lineRule="auto"/>
        <w:ind w:firstLine="708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360" w:lineRule="auto"/>
        <w:ind w:firstLine="708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360" w:lineRule="auto"/>
        <w:ind w:firstLine="708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360" w:lineRule="auto"/>
        <w:jc w:val="center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273817" cy="6074484"/>
            <wp:effectExtent b="0" l="0" r="0" t="0"/>
            <wp:docPr id="197033582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2852" l="4855" r="2057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3817" cy="60744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Figure S2.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(a) Experimental high-resolution XRD patterns of the alumina support (mixed) compared to those of three Al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samples containing predominantly θ, δ, or γ phases, respectively. (b) Experimental high-resolution XRD pattern of as-received PtAl(R) (black dots), total fit (blue) and individual contributions of Pt (light blue) and Al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(grey) phases. The Al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contribution was modeled using the intergrowth structure proposed by Kovarik et al.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perscript"/>
          <w:rtl w:val="0"/>
        </w:rPr>
        <w:t xml:space="preserve">5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(P2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symmetry). Data are expressed in Q (=4πsin(θ)/λ; λ=0.1265 Å; θ is half of the Bragg angle). (c) PDF patterns of the alumina support (mixed) compared to those of three Al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samples containing predominantly θ, δ, or γ phases, respectively. </w:t>
      </w:r>
    </w:p>
    <w:p w:rsidR="00000000" w:rsidDel="00000000" w:rsidP="00000000" w:rsidRDefault="00000000" w:rsidRPr="00000000" w14:paraId="00000024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360" w:lineRule="auto"/>
        <w:jc w:val="both"/>
        <w:rPr>
          <w:rFonts w:ascii="Aptos" w:cs="Aptos" w:eastAsia="Aptos" w:hAnsi="Aptos"/>
          <w:b w:val="1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3. Construction and optimization of the Pt</w:t>
      </w:r>
      <w:r w:rsidDel="00000000" w:rsidR="00000000" w:rsidRPr="00000000">
        <w:rPr>
          <w:rFonts w:ascii="Aptos" w:cs="Aptos" w:eastAsia="Aptos" w:hAnsi="Aptos"/>
          <w:b w:val="1"/>
          <w:sz w:val="24"/>
          <w:szCs w:val="24"/>
          <w:vertAlign w:val="subscript"/>
          <w:rtl w:val="0"/>
        </w:rPr>
        <w:t xml:space="preserve">34</w:t>
      </w: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/γ-Al</w:t>
      </w:r>
      <w:r w:rsidDel="00000000" w:rsidR="00000000" w:rsidRPr="00000000">
        <w:rPr>
          <w:rFonts w:ascii="Aptos" w:cs="Aptos" w:eastAsia="Aptos" w:hAnsi="Aptos"/>
          <w:b w:val="1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b w:val="1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 and Pt</w:t>
      </w:r>
      <w:r w:rsidDel="00000000" w:rsidR="00000000" w:rsidRPr="00000000">
        <w:rPr>
          <w:rFonts w:ascii="Aptos" w:cs="Aptos" w:eastAsia="Aptos" w:hAnsi="Aptos"/>
          <w:b w:val="1"/>
          <w:sz w:val="24"/>
          <w:szCs w:val="24"/>
          <w:vertAlign w:val="subscript"/>
          <w:rtl w:val="0"/>
        </w:rPr>
        <w:t xml:space="preserve">55</w:t>
      </w: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/γ-Al</w:t>
      </w:r>
      <w:r w:rsidDel="00000000" w:rsidR="00000000" w:rsidRPr="00000000">
        <w:rPr>
          <w:rFonts w:ascii="Aptos" w:cs="Aptos" w:eastAsia="Aptos" w:hAnsi="Aptos"/>
          <w:b w:val="1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b w:val="1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 models</w:t>
      </w:r>
    </w:p>
    <w:p w:rsidR="00000000" w:rsidDel="00000000" w:rsidP="00000000" w:rsidRDefault="00000000" w:rsidRPr="00000000" w14:paraId="00000026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While the Pt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13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H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y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/γ-Al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, Pt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34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H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54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/γ-Al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and Pt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55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H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44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/γ-Al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models were described previously,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perscript"/>
          <w:rtl w:val="0"/>
        </w:rPr>
        <w:t xml:space="preserve">6, 7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the Pt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34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/γ-Al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and Pt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55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/γ-Al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models are reported herein for the first time. Pt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34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/γ-Al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was constructed starting from a truncated cuboctahedron deposited on alumina (100) surface (support model from refs.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perscript"/>
          <w:rtl w:val="0"/>
        </w:rPr>
        <w:t xml:space="preserve">8, 9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). Pt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55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/γ-Al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was constructed starting from a cuboctahedron deposited on the same alumina surface through the Pt(100) facet (this appeared to generate a more stable cluster than when depositing it through the Pt(111) facet of the cuboctahedron). A four-layer support model was used, the two top-ones being relaxed with the cluster, and the dimensions of the orthorhombic cell were 16.714 x 16.787 x 30 Å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per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. The VASP code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perscript"/>
          <w:rtl w:val="0"/>
        </w:rPr>
        <w:t xml:space="preserve">10, 11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was used for the geometry optimizations in the framework of the density functional theory, made with the PBE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perscript"/>
          <w:rtl w:val="0"/>
        </w:rPr>
        <w:t xml:space="preserve">12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exchange correlation functional and PAW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perscript"/>
          <w:rtl w:val="0"/>
        </w:rPr>
        <w:t xml:space="preserve">13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pseudopotentials, with a cutoff of 400 eV. A convergence criterion on the energy of the SCF cycles of 10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perscript"/>
          <w:rtl w:val="0"/>
        </w:rPr>
        <w:t xml:space="preserve">-6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eV and a convergence criterion on forces of 0.02 eV/Å were chosen. The calculations were made at the Γ point, and with a dipolar correction on the z-axis (perpendicular to the slabs).</w:t>
      </w:r>
    </w:p>
    <w:p w:rsidR="00000000" w:rsidDel="00000000" w:rsidP="00000000" w:rsidRDefault="00000000" w:rsidRPr="00000000" w14:paraId="00000027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360" w:lineRule="auto"/>
        <w:jc w:val="both"/>
        <w:rPr>
          <w:rFonts w:ascii="Aptos" w:cs="Aptos" w:eastAsia="Aptos" w:hAnsi="Aptos"/>
          <w:b w:val="1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4. Determination of the average Pt crystal size from PDF data</w:t>
      </w:r>
    </w:p>
    <w:p w:rsidR="00000000" w:rsidDel="00000000" w:rsidP="00000000" w:rsidRDefault="00000000" w:rsidRPr="00000000" w14:paraId="0000002B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The PDF of the as-received PtAl(R) and of the PtAl(R) and PtAl samples after reduction in either gas phase or liquid phase was fitted using an </w:t>
      </w:r>
      <w:r w:rsidDel="00000000" w:rsidR="00000000" w:rsidRPr="00000000">
        <w:rPr>
          <w:rFonts w:ascii="Aptos" w:cs="Aptos" w:eastAsia="Aptos" w:hAnsi="Aptos"/>
          <w:i w:val="1"/>
          <w:sz w:val="24"/>
          <w:szCs w:val="24"/>
          <w:rtl w:val="0"/>
        </w:rPr>
        <w:t xml:space="preserve">fcc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Pt phase using Topas Academic v7 (see Manuscript). The PDF was calculated after subtraction of the pattern of the undeposited mixed-phase Al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acquired at the same temperature and under the same chemical conditions. Fits on the PDF of a NIST Cr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standard were used to refine the parameters related to instrumental resolution and Q-termination, which were then fixed in the fit to the samples’ PDF.</w:t>
      </w:r>
    </w:p>
    <w:p w:rsidR="00000000" w:rsidDel="00000000" w:rsidP="00000000" w:rsidRDefault="00000000" w:rsidRPr="00000000" w14:paraId="0000002C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For the Pt phases we refined lattice parameter, scale factor, a Debye-Waller factor accounting for correlated nearest-neighbour displacements, and a factor accounting for dampening of the PDF intensity based on the size of a spherical nanoparticle:</w:t>
      </w:r>
    </w:p>
    <w:p w:rsidR="00000000" w:rsidDel="00000000" w:rsidP="00000000" w:rsidRDefault="00000000" w:rsidRPr="00000000" w14:paraId="0000002D">
      <w:pPr>
        <w:jc w:val="center"/>
        <w:rPr>
          <w:rFonts w:ascii="Cambria Math" w:cs="Cambria Math" w:eastAsia="Cambria Math" w:hAnsi="Cambria Math"/>
          <w:sz w:val="24"/>
          <w:szCs w:val="24"/>
        </w:rPr>
      </w:pP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Y=π </m:t>
        </m:r>
        <m:sSup>
          <m:sSup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R</m:t>
            </m:r>
          </m:e>
          <m:sup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sup>
        </m:sSup>
        <m:f>
          <m:f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fPr>
          <m:num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cs="Cambria Math" w:eastAsia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cs="Cambria Math" w:eastAsia="Cambria Math" w:hAnsi="Cambria Math"/>
                        <w:sz w:val="24"/>
                        <w:szCs w:val="24"/>
                      </w:rPr>
                      <m:t xml:space="preserve">1</m:t>
                    </m:r>
                  </m:num>
                  <m:den>
                    <m:r>
                      <w:rPr>
                        <w:rFonts w:ascii="Cambria Math" w:cs="Cambria Math" w:eastAsia="Cambria Math" w:hAnsi="Cambria Math"/>
                        <w:sz w:val="24"/>
                        <w:szCs w:val="24"/>
                      </w:rPr>
                      <m:t xml:space="preserve">4</m:t>
                    </m:r>
                  </m:den>
                </m:f>
                <m:f>
                  <m:fPr>
                    <m:ctrlPr>
                      <w:rPr>
                        <w:rFonts w:ascii="Cambria Math" w:cs="Cambria Math" w:eastAsia="Cambria Math" w:hAnsi="Cambria Math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cs="Cambria Math" w:eastAsia="Cambria Math" w:hAnsi="Cambria Math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cs="Cambria Math" w:eastAsia="Cambria Math" w:hAnsi="Cambria Math"/>
                            <w:sz w:val="24"/>
                            <w:szCs w:val="24"/>
                          </w:rPr>
                          <m:t xml:space="preserve">R</m:t>
                        </m:r>
                      </m:e>
                      <m:sup>
                        <m:r>
                          <w:rPr>
                            <w:rFonts w:ascii="Cambria Math" w:cs="Cambria Math" w:eastAsia="Cambria Math" w:hAnsi="Cambria Math"/>
                            <w:sz w:val="24"/>
                            <w:szCs w:val="24"/>
                          </w:rPr>
                          <m:t xml:space="preserve">3</m:t>
                        </m:r>
                      </m:sup>
                    </m:sSup>
                  </m:num>
                  <m:den>
                    <m:r>
                      <w:rPr>
                        <w:rFonts w:ascii="Cambria Math" w:cs="Cambria Math" w:eastAsia="Cambria Math" w:hAnsi="Cambria Math"/>
                        <w:sz w:val="24"/>
                        <w:szCs w:val="24"/>
                      </w:rPr>
                      <m:t xml:space="preserve">r</m:t>
                    </m:r>
                  </m:den>
                </m:f>
                <m:r>
                  <w:rPr>
                    <w:rFonts w:ascii="Cambria Math" w:cs="Cambria Math" w:eastAsia="Cambria Math" w:hAnsi="Cambria Math"/>
                    <w:sz w:val="24"/>
                    <w:szCs w:val="24"/>
                  </w:rPr>
                  <m:t xml:space="preserve">-3</m:t>
                </m:r>
                <m:f>
                  <m:fPr>
                    <m:ctrlPr>
                      <w:rPr>
                        <w:rFonts w:ascii="Cambria Math" w:cs="Cambria Math" w:eastAsia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cs="Cambria Math" w:eastAsia="Cambria Math" w:hAnsi="Cambria Math"/>
                        <w:sz w:val="24"/>
                        <w:szCs w:val="24"/>
                      </w:rPr>
                      <m:t xml:space="preserve">R</m:t>
                    </m:r>
                  </m:num>
                  <m:den>
                    <m:r>
                      <w:rPr>
                        <w:rFonts w:ascii="Cambria Math" w:cs="Cambria Math" w:eastAsia="Cambria Math" w:hAnsi="Cambria Math"/>
                        <w:sz w:val="24"/>
                        <w:szCs w:val="24"/>
                      </w:rPr>
                      <m:t xml:space="preserve">r</m:t>
                    </m:r>
                  </m:den>
                </m:f>
                <m:r>
                  <w:rPr>
                    <w:rFonts w:ascii="Cambria Math" w:cs="Cambria Math" w:eastAsia="Cambria Math" w:hAnsi="Cambria Math"/>
                    <w:sz w:val="24"/>
                    <w:szCs w:val="24"/>
                  </w:rPr>
                  <m:t xml:space="preserve">+4</m:t>
                </m:r>
              </m:e>
            </m:d>
          </m:num>
          <m:den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  <w:sz w:val="24"/>
                    <w:szCs w:val="24"/>
                  </w:rPr>
                  <m:t xml:space="preserve">4π</m:t>
                </m:r>
                <m:sSup>
                  <m:sSupPr>
                    <m:ctrlPr>
                      <w:rPr>
                        <w:rFonts w:ascii="Cambria Math" w:cs="Cambria Math" w:eastAsia="Cambria Math" w:hAnsi="Cambria Math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cs="Cambria Math" w:eastAsia="Cambria Math" w:hAnsi="Cambria Math"/>
                        <w:sz w:val="24"/>
                        <w:szCs w:val="24"/>
                      </w:rPr>
                      <m:t xml:space="preserve">R</m:t>
                    </m:r>
                  </m:e>
                  <m:sup>
                    <m:r>
                      <w:rPr>
                        <w:rFonts w:ascii="Cambria Math" w:cs="Cambria Math" w:eastAsia="Cambria Math" w:hAnsi="Cambria Math"/>
                        <w:sz w:val="24"/>
                        <w:szCs w:val="24"/>
                      </w:rPr>
                      <m:t xml:space="preserve">2</m:t>
                    </m:r>
                  </m:sup>
                </m:sSup>
              </m:e>
            </m:d>
          </m:den>
        </m:f>
        <m:r>
          <w:rPr>
            <w:rFonts w:ascii="Cambria Math" w:cs="Cambria Math" w:eastAsia="Cambria Math" w:hAnsi="Cambria Math"/>
            <w:sz w:val="24"/>
            <w:szCs w:val="24"/>
          </w:rPr>
          <m:t xml:space="preserve">       if R≤2r                Y=0       if R&gt;2r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where r is the radius of the nanoparticle, R is the real space axis in G(R), and Y is the multiplicative scale factor applied to the PDF.</w:t>
      </w:r>
    </w:p>
    <w:p w:rsidR="00000000" w:rsidDel="00000000" w:rsidP="00000000" w:rsidRDefault="00000000" w:rsidRPr="00000000" w14:paraId="0000002F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Table S1.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Lattice parameters and average crystal size for the Pt NPs before reduction (pristine), and after isothermal reduction at 120 °C, either in gas or in liquid phase, as determined by analyzing the experimental PDF patterns. </w:t>
      </w:r>
    </w:p>
    <w:tbl>
      <w:tblPr>
        <w:tblStyle w:val="Table1"/>
        <w:tblW w:w="9016.0" w:type="dxa"/>
        <w:jc w:val="left"/>
        <w:tblBorders>
          <w:top w:color="dbdbdb" w:space="0" w:sz="4" w:val="single"/>
          <w:left w:color="dbdbdb" w:space="0" w:sz="4" w:val="single"/>
          <w:bottom w:color="dbdbdb" w:space="0" w:sz="4" w:val="single"/>
          <w:right w:color="dbdbdb" w:space="0" w:sz="4" w:val="single"/>
          <w:insideH w:color="dbdbdb" w:space="0" w:sz="4" w:val="single"/>
          <w:insideV w:color="dbdbdb" w:space="0" w:sz="4" w:val="single"/>
        </w:tblBorders>
        <w:tblLayout w:type="fixed"/>
        <w:tblLook w:val="04A0"/>
      </w:tblPr>
      <w:tblGrid>
        <w:gridCol w:w="1882"/>
        <w:gridCol w:w="1908"/>
        <w:gridCol w:w="1659"/>
        <w:gridCol w:w="1908"/>
        <w:gridCol w:w="1659"/>
        <w:tblGridChange w:id="0">
          <w:tblGrid>
            <w:gridCol w:w="1882"/>
            <w:gridCol w:w="1908"/>
            <w:gridCol w:w="1659"/>
            <w:gridCol w:w="1908"/>
            <w:gridCol w:w="165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spacing w:line="276" w:lineRule="auto"/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3">
            <w:pPr>
              <w:spacing w:line="276" w:lineRule="auto"/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PtAl(R)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5">
            <w:pPr>
              <w:spacing w:line="276" w:lineRule="auto"/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PtAl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7">
            <w:pPr>
              <w:spacing w:line="276" w:lineRule="auto"/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line="276" w:lineRule="auto"/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Lattice pars.</w:t>
            </w:r>
          </w:p>
          <w:p w:rsidR="00000000" w:rsidDel="00000000" w:rsidP="00000000" w:rsidRDefault="00000000" w:rsidRPr="00000000" w14:paraId="00000039">
            <w:pPr>
              <w:spacing w:line="276" w:lineRule="auto"/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(Å)</w:t>
            </w:r>
          </w:p>
        </w:tc>
        <w:tc>
          <w:tcPr/>
          <w:p w:rsidR="00000000" w:rsidDel="00000000" w:rsidP="00000000" w:rsidRDefault="00000000" w:rsidRPr="00000000" w14:paraId="0000003A">
            <w:pPr>
              <w:spacing w:line="276" w:lineRule="auto"/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Cryst. size</w:t>
            </w:r>
          </w:p>
          <w:p w:rsidR="00000000" w:rsidDel="00000000" w:rsidP="00000000" w:rsidRDefault="00000000" w:rsidRPr="00000000" w14:paraId="0000003B">
            <w:pPr>
              <w:spacing w:line="276" w:lineRule="auto"/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(nm)</w:t>
            </w:r>
          </w:p>
        </w:tc>
        <w:tc>
          <w:tcPr/>
          <w:p w:rsidR="00000000" w:rsidDel="00000000" w:rsidP="00000000" w:rsidRDefault="00000000" w:rsidRPr="00000000" w14:paraId="0000003C">
            <w:pPr>
              <w:spacing w:line="276" w:lineRule="auto"/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Lattice pars.</w:t>
            </w:r>
          </w:p>
          <w:p w:rsidR="00000000" w:rsidDel="00000000" w:rsidP="00000000" w:rsidRDefault="00000000" w:rsidRPr="00000000" w14:paraId="0000003D">
            <w:pPr>
              <w:spacing w:line="276" w:lineRule="auto"/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(Å)</w:t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line="276" w:lineRule="auto"/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Cryst. size</w:t>
            </w:r>
          </w:p>
          <w:p w:rsidR="00000000" w:rsidDel="00000000" w:rsidP="00000000" w:rsidRDefault="00000000" w:rsidRPr="00000000" w14:paraId="0000003F">
            <w:pPr>
              <w:spacing w:line="276" w:lineRule="auto"/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(nm)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spacing w:line="276" w:lineRule="auto"/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As such</w:t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line="276" w:lineRule="auto"/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3.9149(2)</w:t>
            </w:r>
          </w:p>
        </w:tc>
        <w:tc>
          <w:tcPr/>
          <w:p w:rsidR="00000000" w:rsidDel="00000000" w:rsidP="00000000" w:rsidRDefault="00000000" w:rsidRPr="00000000" w14:paraId="00000042">
            <w:pPr>
              <w:spacing w:line="276" w:lineRule="auto"/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3.3(1)</w:t>
            </w:r>
            <w:r w:rsidDel="00000000" w:rsidR="00000000" w:rsidRPr="00000000">
              <w:rPr>
                <w:rFonts w:ascii="Aptos" w:cs="Aptos" w:eastAsia="Aptos" w:hAnsi="Aptos"/>
                <w:vertAlign w:val="superscript"/>
                <w:rtl w:val="0"/>
              </w:rPr>
              <w:t xml:space="preserve">(a)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spacing w:line="276" w:lineRule="auto"/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line="276" w:lineRule="auto"/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-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spacing w:line="276" w:lineRule="auto"/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H</w:t>
            </w:r>
            <w:r w:rsidDel="00000000" w:rsidR="00000000" w:rsidRPr="00000000">
              <w:rPr>
                <w:rFonts w:ascii="Aptos" w:cs="Aptos" w:eastAsia="Aptos" w:hAnsi="Aptos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-red (gas)</w:t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line="276" w:lineRule="auto"/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3.9147(2)</w:t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line="276" w:lineRule="auto"/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3.7(1)</w:t>
            </w:r>
          </w:p>
        </w:tc>
        <w:tc>
          <w:tcPr/>
          <w:p w:rsidR="00000000" w:rsidDel="00000000" w:rsidP="00000000" w:rsidRDefault="00000000" w:rsidRPr="00000000" w14:paraId="00000048">
            <w:pPr>
              <w:spacing w:line="276" w:lineRule="auto"/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3.9146(2)</w:t>
            </w:r>
          </w:p>
        </w:tc>
        <w:tc>
          <w:tcPr/>
          <w:p w:rsidR="00000000" w:rsidDel="00000000" w:rsidP="00000000" w:rsidRDefault="00000000" w:rsidRPr="00000000" w14:paraId="00000049">
            <w:pPr>
              <w:spacing w:line="276" w:lineRule="auto"/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2.3(1)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A">
            <w:pPr>
              <w:spacing w:line="276" w:lineRule="auto"/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H</w:t>
            </w:r>
            <w:r w:rsidDel="00000000" w:rsidR="00000000" w:rsidRPr="00000000">
              <w:rPr>
                <w:rFonts w:ascii="Aptos" w:cs="Aptos" w:eastAsia="Aptos" w:hAnsi="Aptos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-red (liquid)</w:t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line="276" w:lineRule="auto"/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3.9152(3)</w:t>
            </w:r>
          </w:p>
        </w:tc>
        <w:tc>
          <w:tcPr/>
          <w:p w:rsidR="00000000" w:rsidDel="00000000" w:rsidP="00000000" w:rsidRDefault="00000000" w:rsidRPr="00000000" w14:paraId="0000004C">
            <w:pPr>
              <w:spacing w:line="276" w:lineRule="auto"/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3.4(1)</w:t>
            </w:r>
          </w:p>
        </w:tc>
        <w:tc>
          <w:tcPr/>
          <w:p w:rsidR="00000000" w:rsidDel="00000000" w:rsidP="00000000" w:rsidRDefault="00000000" w:rsidRPr="00000000" w14:paraId="0000004D">
            <w:pPr>
              <w:spacing w:line="276" w:lineRule="auto"/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3.9152(7)</w:t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line="276" w:lineRule="auto"/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2.3(1)</w:t>
            </w:r>
          </w:p>
        </w:tc>
      </w:tr>
    </w:tbl>
    <w:p w:rsidR="00000000" w:rsidDel="00000000" w:rsidP="00000000" w:rsidRDefault="00000000" w:rsidRPr="00000000" w14:paraId="0000004F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0"/>
          <w:szCs w:val="20"/>
          <w:vertAlign w:val="superscript"/>
          <w:rtl w:val="0"/>
        </w:rPr>
        <w:t xml:space="preserve">(a)</w:t>
      </w:r>
      <w:r w:rsidDel="00000000" w:rsidR="00000000" w:rsidRPr="00000000">
        <w:rPr>
          <w:rFonts w:ascii="Aptos" w:cs="Aptos" w:eastAsia="Aptos" w:hAnsi="Aptos"/>
          <w:sz w:val="20"/>
          <w:szCs w:val="20"/>
          <w:rtl w:val="0"/>
        </w:rPr>
        <w:t xml:space="preserve"> 2.8 nm from analysis of XRD patterns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731510" cy="4168140"/>
            <wp:effectExtent b="0" l="0" r="0" t="0"/>
            <wp:docPr id="197033582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81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Figure S3.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Experimental full PDF patterns (grey dots) of (a) PtAl(R) and (b) PtAl  at ambient conditions, after reduction in H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/Ar at 150°C, and after reduction in H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/cyclohexane at 70°C, and their fit (lines) performed using a spherical-particle model for Pt NPs. Curves are offset for the sake of clarity. The fit of the pattern of PtAl was not performed because the signal is structureless.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360" w:lineRule="auto"/>
        <w:jc w:val="both"/>
        <w:rPr>
          <w:rFonts w:ascii="Aptos" w:cs="Aptos" w:eastAsia="Aptos" w:hAnsi="Aptos"/>
          <w:b w:val="1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5. Monitoring the reduction process: additional plots</w:t>
      </w:r>
    </w:p>
    <w:p w:rsidR="00000000" w:rsidDel="00000000" w:rsidP="00000000" w:rsidRDefault="00000000" w:rsidRPr="00000000" w14:paraId="00000055">
      <w:pPr>
        <w:spacing w:after="0" w:line="360" w:lineRule="auto"/>
        <w:jc w:val="center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044440" cy="3281680"/>
            <wp:effectExtent b="0" l="0" r="0" t="0"/>
            <wp:docPr id="197033582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12248" l="6470" r="5517" t="9019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32816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Figure S4.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Time-evolution of the (a) XRD and (b) PDF patterns of PtAl(R) during the isothermal reduction in H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/Ar at 150°C. Ti</w:t>
      </w:r>
      <w:r w:rsidDel="00000000" w:rsidR="00000000" w:rsidRPr="00000000">
        <w:rPr>
          <w:rFonts w:ascii="Aptos" w:cs="Aptos" w:eastAsia="Aptos" w:hAnsi="Aptos"/>
          <w:color w:val="000000"/>
          <w:sz w:val="24"/>
          <w:szCs w:val="24"/>
          <w:rtl w:val="0"/>
        </w:rPr>
        <w:t xml:space="preserve">me evolution (yellow to blue) of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differential (c) XRD and (d) PDF patterns obtained upon subtracting the last pattern before H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was admitted. 1 pattern/s collected during the first 60 s of reaction.</w:t>
      </w:r>
    </w:p>
    <w:p w:rsidR="00000000" w:rsidDel="00000000" w:rsidP="00000000" w:rsidRDefault="00000000" w:rsidRPr="00000000" w14:paraId="00000057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360" w:lineRule="auto"/>
        <w:jc w:val="center"/>
        <w:rPr>
          <w:rFonts w:ascii="Aptos" w:cs="Aptos" w:eastAsia="Aptos" w:hAnsi="Aptos"/>
          <w:sz w:val="20"/>
          <w:szCs w:val="20"/>
        </w:rPr>
      </w:pPr>
      <w:r w:rsidDel="00000000" w:rsidR="00000000" w:rsidRPr="00000000">
        <w:rPr/>
        <w:drawing>
          <wp:inline distB="0" distT="0" distL="0" distR="0">
            <wp:extent cx="5044440" cy="3342640"/>
            <wp:effectExtent b="0" l="0" r="0" t="0"/>
            <wp:docPr id="197033582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12127" l="6027" r="5961" t="7678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3342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Figure S5.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Time-evolution of the (a) XRD and (b) PDF patterns of PtAl(R) during the isothermal reduction in H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/cyclohexane at 70°C. Ti</w:t>
      </w:r>
      <w:r w:rsidDel="00000000" w:rsidR="00000000" w:rsidRPr="00000000">
        <w:rPr>
          <w:rFonts w:ascii="Aptos" w:cs="Aptos" w:eastAsia="Aptos" w:hAnsi="Aptos"/>
          <w:color w:val="000000"/>
          <w:sz w:val="24"/>
          <w:szCs w:val="24"/>
          <w:rtl w:val="0"/>
        </w:rPr>
        <w:t xml:space="preserve">me evolution (yellow to blue) of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difference (c) XRD and (d) PDF patterns obtained upon subtracting the last pattern before H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was admitted. 1 pattern/s collected during the first 60 s of reaction.</w:t>
      </w:r>
    </w:p>
    <w:p w:rsidR="00000000" w:rsidDel="00000000" w:rsidP="00000000" w:rsidRDefault="00000000" w:rsidRPr="00000000" w14:paraId="0000005B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360" w:lineRule="auto"/>
        <w:jc w:val="center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731510" cy="3667760"/>
            <wp:effectExtent b="0" l="0" r="0" t="0"/>
            <wp:docPr id="197033581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1200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77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Figure S6.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Time-evolution of the (a) XRD and (b) PDF patterns of PtAl during the isothermal reduction in H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/cyclohexane at 70°C. Ti</w:t>
      </w:r>
      <w:r w:rsidDel="00000000" w:rsidR="00000000" w:rsidRPr="00000000">
        <w:rPr>
          <w:rFonts w:ascii="Aptos" w:cs="Aptos" w:eastAsia="Aptos" w:hAnsi="Aptos"/>
          <w:color w:val="000000"/>
          <w:sz w:val="24"/>
          <w:szCs w:val="24"/>
          <w:rtl w:val="0"/>
        </w:rPr>
        <w:t xml:space="preserve">me evolution (yellow to blue) of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difference (c) XRD and (d) PDF patterns obtained upon subtracting the last pattern before H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was admitted. 1 pattern/s collected during the first 10 min of reaction.</w:t>
      </w:r>
    </w:p>
    <w:p w:rsidR="00000000" w:rsidDel="00000000" w:rsidP="00000000" w:rsidRDefault="00000000" w:rsidRPr="00000000" w14:paraId="00000060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360" w:lineRule="auto"/>
        <w:jc w:val="both"/>
        <w:rPr>
          <w:rFonts w:ascii="Aptos" w:cs="Aptos" w:eastAsia="Aptos" w:hAnsi="Aptos"/>
          <w:b w:val="1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6. Comparison of the PDF patterns at the end of the reduction process in gas and liquid phase for both catalysts</w:t>
      </w:r>
    </w:p>
    <w:p w:rsidR="00000000" w:rsidDel="00000000" w:rsidP="00000000" w:rsidRDefault="00000000" w:rsidRPr="00000000" w14:paraId="00000063">
      <w:pPr>
        <w:spacing w:after="0" w:line="360" w:lineRule="auto"/>
        <w:jc w:val="center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129939" cy="4585335"/>
            <wp:effectExtent b="0" l="0" r="0" t="0"/>
            <wp:docPr id="197033581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1049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9939" cy="45853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Figure S7.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PDF patterns (a) of PtAl(R) (blue) and PtAl (red) catalysts at the end of the isothermal reduction, in H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/Ar flow at 150 °C (gas, full lines) and in H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-saturated cyclohexane at 70°C (liquid, dotted lines), and Al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background subtracted counterparts (b).</w:t>
      </w:r>
    </w:p>
    <w:p w:rsidR="00000000" w:rsidDel="00000000" w:rsidP="00000000" w:rsidRDefault="00000000" w:rsidRPr="00000000" w14:paraId="00000065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360" w:lineRule="auto"/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360" w:lineRule="auto"/>
        <w:jc w:val="both"/>
        <w:rPr>
          <w:rFonts w:ascii="Aptos" w:cs="Aptos" w:eastAsia="Aptos" w:hAnsi="Aptos"/>
          <w:b w:val="1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7. Simulated PDF patterns </w:t>
      </w:r>
    </w:p>
    <w:p w:rsidR="00000000" w:rsidDel="00000000" w:rsidP="00000000" w:rsidRDefault="00000000" w:rsidRPr="00000000" w14:paraId="00000068">
      <w:pPr>
        <w:spacing w:after="0" w:line="3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4632471" cy="3796201"/>
            <wp:effectExtent b="0" l="0" r="0" t="0"/>
            <wp:docPr id="197033581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8924" l="9482" r="969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2471" cy="37962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Figure S8.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(a) Simulated PDF patterns for the Pt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55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/Al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i w:val="1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Pt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34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/Al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and Pt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13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/Al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models and their hydrogenated counterparts and (b) their difference (offset for clarity). </w:t>
      </w:r>
    </w:p>
    <w:p w:rsidR="00000000" w:rsidDel="00000000" w:rsidP="00000000" w:rsidRDefault="00000000" w:rsidRPr="00000000" w14:paraId="0000006A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3657600" cy="2581275"/>
            <wp:effectExtent b="0" l="0" r="0" t="0"/>
            <wp:docPr id="197033581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15705" l="19111" r="17072" t="1223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81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Figure S9.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Simulated PDF pattern for the Al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slab adopted in the models (black) and single Al-Al, Al-O and O-O contributions.  reported in part (a) and (c) their difference (offset for clarity). </w:t>
      </w:r>
    </w:p>
    <w:p w:rsidR="00000000" w:rsidDel="00000000" w:rsidP="00000000" w:rsidRDefault="00000000" w:rsidRPr="00000000" w14:paraId="0000006F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center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544000" cy="6027059"/>
            <wp:effectExtent b="0" l="0" r="0" t="0"/>
            <wp:docPr id="197033581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4973" r="14088" t="-1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60270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Figure S10.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Pt-support contributions to the simulated PDF patterns for (a) the Pt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55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/Al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i w:val="1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Pt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34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/Al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and Pt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13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/Al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models and (b) their hydrogenated counterparts (blue: Pt, white: H, red: O, grey: Al). </w:t>
      </w:r>
    </w:p>
    <w:p w:rsidR="00000000" w:rsidDel="00000000" w:rsidP="00000000" w:rsidRDefault="00000000" w:rsidRPr="00000000" w14:paraId="00000073">
      <w:pPr>
        <w:spacing w:after="0" w:line="36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360" w:lineRule="auto"/>
        <w:jc w:val="both"/>
        <w:rPr>
          <w:rFonts w:ascii="Aptos" w:cs="Aptos" w:eastAsia="Aptos" w:hAnsi="Aptos"/>
          <w:b w:val="1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References </w:t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1.</w:t>
        <w:tab/>
        <w:t xml:space="preserve">Fitch A.</w:t>
      </w:r>
      <w:r w:rsidDel="00000000" w:rsidR="00000000" w:rsidRPr="00000000">
        <w:rPr>
          <w:i w:val="1"/>
          <w:color w:val="000000"/>
          <w:rtl w:val="0"/>
        </w:rPr>
        <w:t xml:space="preserve">, et al.</w:t>
      </w:r>
      <w:r w:rsidDel="00000000" w:rsidR="00000000" w:rsidRPr="00000000">
        <w:rPr>
          <w:color w:val="000000"/>
          <w:rtl w:val="0"/>
        </w:rPr>
        <w:t xml:space="preserve"> ID22 - the high-resolution powder-diffraction beamline at ESRF. </w:t>
      </w:r>
      <w:r w:rsidDel="00000000" w:rsidR="00000000" w:rsidRPr="00000000">
        <w:rPr>
          <w:i w:val="1"/>
          <w:color w:val="000000"/>
          <w:rtl w:val="0"/>
        </w:rPr>
        <w:t xml:space="preserve">J. Synchrotron Radiat.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b w:val="1"/>
          <w:color w:val="000000"/>
          <w:rtl w:val="0"/>
        </w:rPr>
        <w:t xml:space="preserve">30</w:t>
      </w:r>
      <w:r w:rsidDel="00000000" w:rsidR="00000000" w:rsidRPr="00000000">
        <w:rPr>
          <w:color w:val="000000"/>
          <w:rtl w:val="0"/>
        </w:rPr>
        <w:t xml:space="preserve">, 1003-1012 (2023).</w:t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2.</w:t>
        <w:tab/>
        <w:t xml:space="preserve">Coelho A. TOPAS and TOPAS-Academic: an optimization program integrating computer algebra and crystallographic objects written in C++. </w:t>
      </w:r>
      <w:r w:rsidDel="00000000" w:rsidR="00000000" w:rsidRPr="00000000">
        <w:rPr>
          <w:i w:val="1"/>
          <w:color w:val="000000"/>
          <w:rtl w:val="0"/>
        </w:rPr>
        <w:t xml:space="preserve">J. Appl. Crystallogr.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b w:val="1"/>
          <w:color w:val="000000"/>
          <w:rtl w:val="0"/>
        </w:rPr>
        <w:t xml:space="preserve">51</w:t>
      </w:r>
      <w:r w:rsidDel="00000000" w:rsidR="00000000" w:rsidRPr="00000000">
        <w:rPr>
          <w:color w:val="000000"/>
          <w:rtl w:val="0"/>
        </w:rPr>
        <w:t xml:space="preserve">, 210-218 (2018).</w:t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3.</w:t>
        <w:tab/>
        <w:t xml:space="preserve">Kovarik L., Bowden M., Andersen A., Jaegers N. R., Washton N., Szanyi J. Quantification of High-Temperature Transition Al2O3 and Their Phase Transformations. </w:t>
      </w:r>
      <w:r w:rsidDel="00000000" w:rsidR="00000000" w:rsidRPr="00000000">
        <w:rPr>
          <w:i w:val="1"/>
          <w:color w:val="000000"/>
          <w:rtl w:val="0"/>
        </w:rPr>
        <w:t xml:space="preserve">Angew. Chem. Int. Ed.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b w:val="1"/>
          <w:color w:val="000000"/>
          <w:rtl w:val="0"/>
        </w:rPr>
        <w:t xml:space="preserve">59</w:t>
      </w:r>
      <w:r w:rsidDel="00000000" w:rsidR="00000000" w:rsidRPr="00000000">
        <w:rPr>
          <w:color w:val="000000"/>
          <w:rtl w:val="0"/>
        </w:rPr>
        <w:t xml:space="preserve">, 21719-21727 (2020).</w:t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4.</w:t>
        <w:tab/>
        <w:t xml:space="preserve">Balzar D., Ledbetter H. Voigt-function modeling in Fourier analysis of size- and strain-broadened X-ray diffraction peaks. </w:t>
      </w:r>
      <w:r w:rsidDel="00000000" w:rsidR="00000000" w:rsidRPr="00000000">
        <w:rPr>
          <w:i w:val="1"/>
          <w:color w:val="000000"/>
          <w:rtl w:val="0"/>
        </w:rPr>
        <w:t xml:space="preserve">J. Appl. Crystallogr.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b w:val="1"/>
          <w:color w:val="000000"/>
          <w:rtl w:val="0"/>
        </w:rPr>
        <w:t xml:space="preserve">26</w:t>
      </w:r>
      <w:r w:rsidDel="00000000" w:rsidR="00000000" w:rsidRPr="00000000">
        <w:rPr>
          <w:color w:val="000000"/>
          <w:rtl w:val="0"/>
        </w:rPr>
        <w:t xml:space="preserve">, 97-103 (1993).</w:t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5.</w:t>
        <w:tab/>
        <w:t xml:space="preserve">Kovarik L., Bowden M., Andersen A., Jaegers N. R., Washton N., Szanyi J. Quantification of High-Temperature Transition Al2O3 and Their Phase Transformations. </w:t>
      </w:r>
      <w:r w:rsidDel="00000000" w:rsidR="00000000" w:rsidRPr="00000000">
        <w:rPr>
          <w:i w:val="1"/>
          <w:color w:val="000000"/>
          <w:rtl w:val="0"/>
        </w:rPr>
        <w:t xml:space="preserve">Quantification of High-Temperature Transition Al2O3 and Their Phase Transformations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b w:val="1"/>
          <w:color w:val="000000"/>
          <w:rtl w:val="0"/>
        </w:rPr>
        <w:t xml:space="preserve">59</w:t>
      </w:r>
      <w:r w:rsidDel="00000000" w:rsidR="00000000" w:rsidRPr="00000000">
        <w:rPr>
          <w:color w:val="000000"/>
          <w:rtl w:val="0"/>
        </w:rPr>
        <w:t xml:space="preserve">, 21719-21727 (2020).</w:t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6.</w:t>
        <w:tab/>
        <w:t xml:space="preserve">Mager-Maury C., Bonnard G., Chizallet C., Sautet P., Raybaud P. H2-Induced Reconstruction of Supported Pt Clusters: Metal–Support Interaction versus Surface Hydride. </w:t>
      </w:r>
      <w:r w:rsidDel="00000000" w:rsidR="00000000" w:rsidRPr="00000000">
        <w:rPr>
          <w:i w:val="1"/>
          <w:color w:val="000000"/>
          <w:rtl w:val="0"/>
        </w:rPr>
        <w:t xml:space="preserve">ChemCatChem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b w:val="1"/>
          <w:color w:val="000000"/>
          <w:rtl w:val="0"/>
        </w:rPr>
        <w:t xml:space="preserve">3</w:t>
      </w:r>
      <w:r w:rsidDel="00000000" w:rsidR="00000000" w:rsidRPr="00000000">
        <w:rPr>
          <w:color w:val="000000"/>
          <w:rtl w:val="0"/>
        </w:rPr>
        <w:t xml:space="preserve">, 200-207 (2011).</w:t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7.</w:t>
        <w:tab/>
        <w:t xml:space="preserve">Vottero E.</w:t>
      </w:r>
      <w:r w:rsidDel="00000000" w:rsidR="00000000" w:rsidRPr="00000000">
        <w:rPr>
          <w:i w:val="1"/>
          <w:color w:val="000000"/>
          <w:rtl w:val="0"/>
        </w:rPr>
        <w:t xml:space="preserve">, et al.</w:t>
      </w:r>
      <w:r w:rsidDel="00000000" w:rsidR="00000000" w:rsidRPr="00000000">
        <w:rPr>
          <w:color w:val="000000"/>
          <w:rtl w:val="0"/>
        </w:rPr>
        <w:t xml:space="preserve"> Evidence for H2-Induced Ductility in a Pt/Al2O3 Catalyst. </w:t>
      </w:r>
      <w:r w:rsidDel="00000000" w:rsidR="00000000" w:rsidRPr="00000000">
        <w:rPr>
          <w:i w:val="1"/>
          <w:color w:val="000000"/>
          <w:rtl w:val="0"/>
        </w:rPr>
        <w:t xml:space="preserve">ACS Catal.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b w:val="1"/>
          <w:color w:val="000000"/>
          <w:rtl w:val="0"/>
        </w:rPr>
        <w:t xml:space="preserve">12</w:t>
      </w:r>
      <w:r w:rsidDel="00000000" w:rsidR="00000000" w:rsidRPr="00000000">
        <w:rPr>
          <w:color w:val="000000"/>
          <w:rtl w:val="0"/>
        </w:rPr>
        <w:t xml:space="preserve">, 5979-5989 (2022).</w:t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8.</w:t>
        <w:tab/>
        <w:t xml:space="preserve">Digne M., Sautet P., Raybaud P., Euzen P., Toulhoat H. Hydroxyl Groups on γ-Alumina Surfaces: A DFT Study. </w:t>
      </w:r>
      <w:r w:rsidDel="00000000" w:rsidR="00000000" w:rsidRPr="00000000">
        <w:rPr>
          <w:i w:val="1"/>
          <w:color w:val="000000"/>
          <w:rtl w:val="0"/>
        </w:rPr>
        <w:t xml:space="preserve">J. Catal.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b w:val="1"/>
          <w:color w:val="000000"/>
          <w:rtl w:val="0"/>
        </w:rPr>
        <w:t xml:space="preserve">211</w:t>
      </w:r>
      <w:r w:rsidDel="00000000" w:rsidR="00000000" w:rsidRPr="00000000">
        <w:rPr>
          <w:color w:val="000000"/>
          <w:rtl w:val="0"/>
        </w:rPr>
        <w:t xml:space="preserve">, 1-5 (2002).</w:t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9.</w:t>
        <w:tab/>
        <w:t xml:space="preserve">Digne M., Sautet P., Raybaud P., Euzen P., Toulhoat H. Use of DFT to achieve a rational understanding of acid–basic properties of γ-alumina surfaces. </w:t>
      </w:r>
      <w:r w:rsidDel="00000000" w:rsidR="00000000" w:rsidRPr="00000000">
        <w:rPr>
          <w:i w:val="1"/>
          <w:color w:val="000000"/>
          <w:rtl w:val="0"/>
        </w:rPr>
        <w:t xml:space="preserve">J. Catal.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b w:val="1"/>
          <w:color w:val="000000"/>
          <w:rtl w:val="0"/>
        </w:rPr>
        <w:t xml:space="preserve">226</w:t>
      </w:r>
      <w:r w:rsidDel="00000000" w:rsidR="00000000" w:rsidRPr="00000000">
        <w:rPr>
          <w:color w:val="000000"/>
          <w:rtl w:val="0"/>
        </w:rPr>
        <w:t xml:space="preserve">, 54-68 (2004).</w:t>
      </w:r>
    </w:p>
    <w:p w:rsidR="00000000" w:rsidDel="00000000" w:rsidP="00000000" w:rsidRDefault="00000000" w:rsidRPr="00000000" w14:paraId="000000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10.</w:t>
        <w:tab/>
        <w:t xml:space="preserve">Kresse G., Furthmüller J. Efficiency of ab-initio total energy calculations for metals and semiconductors using a plane-wave basis set. </w:t>
      </w:r>
      <w:r w:rsidDel="00000000" w:rsidR="00000000" w:rsidRPr="00000000">
        <w:rPr>
          <w:i w:val="1"/>
          <w:color w:val="000000"/>
          <w:rtl w:val="0"/>
        </w:rPr>
        <w:t xml:space="preserve">Comput. Mater. Sci.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b w:val="1"/>
          <w:color w:val="000000"/>
          <w:rtl w:val="0"/>
        </w:rPr>
        <w:t xml:space="preserve">6</w:t>
      </w:r>
      <w:r w:rsidDel="00000000" w:rsidR="00000000" w:rsidRPr="00000000">
        <w:rPr>
          <w:color w:val="000000"/>
          <w:rtl w:val="0"/>
        </w:rPr>
        <w:t xml:space="preserve">, 15-50 (1996).</w:t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11.</w:t>
        <w:tab/>
        <w:t xml:space="preserve">Kresse G., Hafner J. Ab initio molecular-dynamics simulation of the liquid-metal--amorphous-semiconductor transition in germanium. </w:t>
      </w:r>
      <w:r w:rsidDel="00000000" w:rsidR="00000000" w:rsidRPr="00000000">
        <w:rPr>
          <w:i w:val="1"/>
          <w:color w:val="000000"/>
          <w:rtl w:val="0"/>
        </w:rPr>
        <w:t xml:space="preserve">Ab initio molecular-dynamics simulation of the liquid-metal--amorphous-semiconductor transition in germanium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b w:val="1"/>
          <w:color w:val="000000"/>
          <w:rtl w:val="0"/>
        </w:rPr>
        <w:t xml:space="preserve">49</w:t>
      </w:r>
      <w:r w:rsidDel="00000000" w:rsidR="00000000" w:rsidRPr="00000000">
        <w:rPr>
          <w:color w:val="000000"/>
          <w:rtl w:val="0"/>
        </w:rPr>
        <w:t xml:space="preserve">, 14251-14269 (1994).</w:t>
      </w:r>
    </w:p>
    <w:p w:rsidR="00000000" w:rsidDel="00000000" w:rsidP="00000000" w:rsidRDefault="00000000" w:rsidRPr="00000000" w14:paraId="000000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12.</w:t>
        <w:tab/>
        <w:t xml:space="preserve">Perdew J. P., Burke K., Ernzerhof M. Generalized Gradient Approximation Made Simple. </w:t>
      </w:r>
      <w:r w:rsidDel="00000000" w:rsidR="00000000" w:rsidRPr="00000000">
        <w:rPr>
          <w:i w:val="1"/>
          <w:color w:val="000000"/>
          <w:rtl w:val="0"/>
        </w:rPr>
        <w:t xml:space="preserve">Phys. Rev. Lett.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b w:val="1"/>
          <w:color w:val="000000"/>
          <w:rtl w:val="0"/>
        </w:rPr>
        <w:t xml:space="preserve">77</w:t>
      </w:r>
      <w:r w:rsidDel="00000000" w:rsidR="00000000" w:rsidRPr="00000000">
        <w:rPr>
          <w:color w:val="000000"/>
          <w:rtl w:val="0"/>
        </w:rPr>
        <w:t xml:space="preserve">, 3865-3868 (1996).</w:t>
      </w:r>
    </w:p>
    <w:p w:rsidR="00000000" w:rsidDel="00000000" w:rsidP="00000000" w:rsidRDefault="00000000" w:rsidRPr="00000000" w14:paraId="000000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13.</w:t>
        <w:tab/>
        <w:t xml:space="preserve">Kresse G., Joubert D. From ultrasoft pseudopotentials to the projector augmented-wave method. </w:t>
      </w:r>
      <w:r w:rsidDel="00000000" w:rsidR="00000000" w:rsidRPr="00000000">
        <w:rPr>
          <w:i w:val="1"/>
          <w:color w:val="000000"/>
          <w:rtl w:val="0"/>
        </w:rPr>
        <w:t xml:space="preserve">Phys. Rev. B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b w:val="1"/>
          <w:color w:val="000000"/>
          <w:rtl w:val="0"/>
        </w:rPr>
        <w:t xml:space="preserve">59</w:t>
      </w:r>
      <w:r w:rsidDel="00000000" w:rsidR="00000000" w:rsidRPr="00000000">
        <w:rPr>
          <w:color w:val="000000"/>
          <w:rtl w:val="0"/>
        </w:rPr>
        <w:t xml:space="preserve">, 1758-1775 (1999).</w:t>
      </w:r>
    </w:p>
    <w:p w:rsidR="00000000" w:rsidDel="00000000" w:rsidP="00000000" w:rsidRDefault="00000000" w:rsidRPr="00000000" w14:paraId="00000084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sectPr>
      <w:footerReference r:id="rId17" w:type="default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ambria"/>
  <w:font w:name="Aptos"/>
  <w:font w:name="Cambria Math">
    <w:embedRegular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8B3EF6"/>
  </w:style>
  <w:style w:type="paragraph" w:styleId="Titolo1">
    <w:name w:val="heading 1"/>
    <w:basedOn w:val="Normale"/>
    <w:next w:val="Normale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idipagina">
    <w:name w:val="footer"/>
    <w:basedOn w:val="Normale"/>
    <w:link w:val="PidipaginaCarattere"/>
    <w:uiPriority w:val="99"/>
    <w:unhideWhenUsed w:val="1"/>
    <w:rsid w:val="00874CC3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874CC3"/>
  </w:style>
  <w:style w:type="table" w:styleId="Grigliatabella">
    <w:name w:val="Table Grid"/>
    <w:basedOn w:val="Tabellanormale"/>
    <w:uiPriority w:val="39"/>
    <w:rsid w:val="00A7737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ellagriglia1chiara-colore3">
    <w:name w:val="Grid Table 1 Light Accent 3"/>
    <w:basedOn w:val="Tabellanormale"/>
    <w:uiPriority w:val="46"/>
    <w:rsid w:val="00A7737F"/>
    <w:pPr>
      <w:spacing w:after="0" w:line="240" w:lineRule="auto"/>
    </w:pPr>
    <w:tblPr>
      <w:tblStyleRowBandSize w:val="1"/>
      <w:tblStyleColBandSize w:val="1"/>
      <w:tblBorders>
        <w:top w:color="dbdbdb" w:space="0" w:sz="4" w:themeColor="accent3" w:themeTint="000066" w:val="single"/>
        <w:left w:color="dbdbdb" w:space="0" w:sz="4" w:themeColor="accent3" w:themeTint="000066" w:val="single"/>
        <w:bottom w:color="dbdbdb" w:space="0" w:sz="4" w:themeColor="accent3" w:themeTint="000066" w:val="single"/>
        <w:right w:color="dbdbdb" w:space="0" w:sz="4" w:themeColor="accent3" w:themeTint="000066" w:val="single"/>
        <w:insideH w:color="dbdbdb" w:space="0" w:sz="4" w:themeColor="accent3" w:themeTint="000066" w:val="single"/>
        <w:insideV w:color="dbdbdb" w:space="0" w:sz="4" w:themeColor="accent3" w:themeTint="000066" w:val="single"/>
      </w:tblBorders>
    </w:tblPr>
    <w:tblStylePr w:type="firstRow">
      <w:rPr>
        <w:b w:val="1"/>
        <w:bCs w:val="1"/>
      </w:rPr>
      <w:tblPr/>
      <w:tcPr>
        <w:tcBorders>
          <w:bottom w:color="c9c9c9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9c9c9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character" w:styleId="Rimandocommento">
    <w:name w:val="annotation reference"/>
    <w:basedOn w:val="Carpredefinitoparagrafo"/>
    <w:uiPriority w:val="99"/>
    <w:semiHidden w:val="1"/>
    <w:unhideWhenUsed w:val="1"/>
    <w:rsid w:val="00D031B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 w:val="1"/>
    <w:rsid w:val="00D031BB"/>
    <w:pPr>
      <w:spacing w:line="240" w:lineRule="auto"/>
    </w:pPr>
    <w:rPr>
      <w:sz w:val="20"/>
      <w:szCs w:val="20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rsid w:val="00D031B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 w:val="1"/>
    <w:unhideWhenUsed w:val="1"/>
    <w:rsid w:val="00FA4E8C"/>
    <w:rPr>
      <w:b w:val="1"/>
      <w:bCs w:val="1"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 w:val="1"/>
    <w:rsid w:val="00FA4E8C"/>
    <w:rPr>
      <w:b w:val="1"/>
      <w:bCs w:val="1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C51EC2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C51EC2"/>
    <w:rPr>
      <w:rFonts w:ascii="Segoe UI" w:cs="Segoe UI" w:hAnsi="Segoe UI"/>
      <w:sz w:val="18"/>
      <w:szCs w:val="18"/>
    </w:rPr>
  </w:style>
  <w:style w:type="paragraph" w:styleId="Revisione">
    <w:name w:val="Revision"/>
    <w:hidden w:val="1"/>
    <w:uiPriority w:val="99"/>
    <w:semiHidden w:val="1"/>
    <w:rsid w:val="00C06EDE"/>
    <w:pPr>
      <w:spacing w:after="0" w:line="240" w:lineRule="auto"/>
    </w:pPr>
  </w:style>
  <w:style w:type="character" w:styleId="Testosegnaposto">
    <w:name w:val="Placeholder Text"/>
    <w:basedOn w:val="Carpredefinitoparagrafo"/>
    <w:uiPriority w:val="99"/>
    <w:semiHidden w:val="1"/>
    <w:rsid w:val="007D5F99"/>
    <w:rPr>
      <w:color w:val="808080"/>
    </w:rPr>
  </w:style>
  <w:style w:type="paragraph" w:styleId="EndNoteBibliographyTitle" w:customStyle="1">
    <w:name w:val="EndNote Bibliography Title"/>
    <w:basedOn w:val="Normale"/>
    <w:link w:val="EndNoteBibliographyTitleCarattere"/>
    <w:rsid w:val="00A7599C"/>
    <w:pPr>
      <w:spacing w:after="0"/>
      <w:jc w:val="center"/>
    </w:pPr>
    <w:rPr>
      <w:noProof w:val="1"/>
      <w:lang w:val="en-US"/>
    </w:rPr>
  </w:style>
  <w:style w:type="character" w:styleId="EndNoteBibliographyTitleCarattere" w:customStyle="1">
    <w:name w:val="EndNote Bibliography Title Carattere"/>
    <w:basedOn w:val="Carpredefinitoparagrafo"/>
    <w:link w:val="EndNoteBibliographyTitle"/>
    <w:rsid w:val="00A7599C"/>
    <w:rPr>
      <w:rFonts w:ascii="Calibri" w:cs="Calibri" w:hAnsi="Calibri"/>
      <w:noProof w:val="1"/>
      <w:lang w:val="en-US"/>
    </w:rPr>
  </w:style>
  <w:style w:type="paragraph" w:styleId="EndNoteBibliography" w:customStyle="1">
    <w:name w:val="EndNote Bibliography"/>
    <w:basedOn w:val="Normale"/>
    <w:link w:val="EndNoteBibliographyCarattere"/>
    <w:rsid w:val="00A7599C"/>
    <w:pPr>
      <w:spacing w:line="240" w:lineRule="auto"/>
      <w:jc w:val="both"/>
    </w:pPr>
    <w:rPr>
      <w:noProof w:val="1"/>
      <w:lang w:val="en-US"/>
    </w:rPr>
  </w:style>
  <w:style w:type="character" w:styleId="EndNoteBibliographyCarattere" w:customStyle="1">
    <w:name w:val="EndNote Bibliography Carattere"/>
    <w:basedOn w:val="Carpredefinitoparagrafo"/>
    <w:link w:val="EndNoteBibliography"/>
    <w:rsid w:val="00A7599C"/>
    <w:rPr>
      <w:rFonts w:ascii="Calibri" w:cs="Calibri" w:hAnsi="Calibri"/>
      <w:noProof w:val="1"/>
      <w:lang w:val="en-US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  <w:tblStylePr w:type="firstRow">
      <w:rPr>
        <w:b w:val="1"/>
      </w:rPr>
      <w:tblPr/>
      <w:tcPr>
        <w:tcBorders>
          <w:bottom w:color="c9c9c9" w:space="0" w:sz="12" w:val="single"/>
        </w:tcBorders>
      </w:tcPr>
    </w:tblStylePr>
    <w:tblStylePr w:type="lastRow">
      <w:rPr>
        <w:b w:val="1"/>
      </w:rPr>
      <w:tblPr/>
      <w:tcPr>
        <w:tcBorders>
          <w:top w:color="c9c9c9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Col">
      <w:rPr>
        <w:b w:val="1"/>
      </w:rPr>
    </w:tblStylePr>
    <w:tblStylePr w:type="firstRow">
      <w:rPr>
        <w:b w:val="1"/>
      </w:rPr>
      <w:tcPr>
        <w:tcBorders>
          <w:bottom w:color="c9c9c9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c9c9c9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5.png"/><Relationship Id="rId13" Type="http://schemas.openxmlformats.org/officeDocument/2006/relationships/image" Target="media/image6.png"/><Relationship Id="rId12" Type="http://schemas.openxmlformats.org/officeDocument/2006/relationships/image" Target="media/image8.png"/><Relationship Id="rId1" Type="http://schemas.openxmlformats.org/officeDocument/2006/relationships/image" Target="media/image1.pn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4.png"/><Relationship Id="rId15" Type="http://schemas.openxmlformats.org/officeDocument/2006/relationships/image" Target="media/image9.png"/><Relationship Id="rId14" Type="http://schemas.openxmlformats.org/officeDocument/2006/relationships/image" Target="media/image10.png"/><Relationship Id="rId17" Type="http://schemas.openxmlformats.org/officeDocument/2006/relationships/footer" Target="footer1.xml"/><Relationship Id="rId16" Type="http://schemas.openxmlformats.org/officeDocument/2006/relationships/image" Target="media/image3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6edASY8kiPY96GYbXVEEKC4Ppg==">CgMxLjA4AHIhMTBRSUl6c0xxQmtIcGVIZmE2S3B5S3hVZUFBOFdEZS1S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2024-12-19T16:02:00Z</dcterms:created>
  <dc:creator>Ferri Davide</dc:creator>
</cp:coreProperties>
</file>