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2AB" w:rsidRPr="001210DD" w:rsidRDefault="001210DD">
      <w:pPr>
        <w:rPr>
          <w:rFonts w:ascii="Times New Roman" w:hAnsi="Times New Roman" w:cs="Times New Roman"/>
          <w:sz w:val="22"/>
        </w:rPr>
      </w:pPr>
      <w:r w:rsidRPr="00737023">
        <w:rPr>
          <w:rFonts w:ascii="Times New Roman" w:hAnsi="Times New Roman" w:cs="Times New Roman"/>
          <w:b/>
          <w:sz w:val="22"/>
        </w:rPr>
        <w:t>Table S3</w:t>
      </w:r>
      <w:r w:rsidRPr="001210DD">
        <w:rPr>
          <w:rFonts w:ascii="Times New Roman" w:hAnsi="Times New Roman" w:cs="Times New Roman"/>
          <w:sz w:val="22"/>
        </w:rPr>
        <w:t xml:space="preserve"> Relationship between pulmonary embolism and preoperative comorbidities</w:t>
      </w:r>
    </w:p>
    <w:p w:rsidR="001210DD" w:rsidRPr="001210DD" w:rsidRDefault="001210DD">
      <w:pPr>
        <w:rPr>
          <w:rFonts w:ascii="Times New Roman" w:hAnsi="Times New Roman" w:cs="Times New Roman"/>
          <w:sz w:val="22"/>
        </w:rPr>
      </w:pPr>
    </w:p>
    <w:tbl>
      <w:tblPr>
        <w:tblStyle w:val="21"/>
        <w:tblW w:w="10780" w:type="dxa"/>
        <w:tblInd w:w="-802" w:type="dxa"/>
        <w:tblLayout w:type="fixed"/>
        <w:tblLook w:val="04A0" w:firstRow="1" w:lastRow="0" w:firstColumn="1" w:lastColumn="0" w:noHBand="0" w:noVBand="1"/>
      </w:tblPr>
      <w:tblGrid>
        <w:gridCol w:w="315"/>
        <w:gridCol w:w="2505"/>
        <w:gridCol w:w="2025"/>
        <w:gridCol w:w="1740"/>
        <w:gridCol w:w="712"/>
        <w:gridCol w:w="284"/>
        <w:gridCol w:w="804"/>
        <w:gridCol w:w="1119"/>
        <w:gridCol w:w="1276"/>
      </w:tblGrid>
      <w:tr w:rsidR="001210DD" w:rsidRPr="001210DD" w:rsidTr="00121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gridSpan w:val="2"/>
            <w:vMerge w:val="restart"/>
            <w:tcBorders>
              <w:top w:val="single" w:sz="8" w:space="0" w:color="7F7F7F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sz w:val="22"/>
                <w:szCs w:val="22"/>
              </w:rPr>
              <w:t>Comorbidities</w:t>
            </w:r>
          </w:p>
        </w:tc>
        <w:tc>
          <w:tcPr>
            <w:tcW w:w="4477" w:type="dxa"/>
            <w:gridSpan w:val="3"/>
            <w:tcBorders>
              <w:top w:val="single" w:sz="8" w:space="0" w:color="7F7F7F"/>
              <w:bottom w:val="single" w:sz="8" w:space="0" w:color="7F7F7F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sz w:val="22"/>
                <w:szCs w:val="22"/>
              </w:rPr>
              <w:t>Univariate Analysis</w:t>
            </w:r>
          </w:p>
        </w:tc>
        <w:tc>
          <w:tcPr>
            <w:tcW w:w="3483" w:type="dxa"/>
            <w:gridSpan w:val="4"/>
            <w:tcBorders>
              <w:top w:val="single" w:sz="8" w:space="0" w:color="7F7F7F"/>
              <w:bottom w:val="single" w:sz="8" w:space="0" w:color="7F7F7F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sz w:val="22"/>
                <w:szCs w:val="22"/>
              </w:rPr>
              <w:t>Multivariate Logistic Regression</w:t>
            </w:r>
          </w:p>
        </w:tc>
      </w:tr>
      <w:tr w:rsidR="001210DD" w:rsidRPr="001210DD" w:rsidTr="001210D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gridSpan w:val="2"/>
            <w:vMerge/>
            <w:tcBorders>
              <w:top w:val="single" w:sz="4" w:space="0" w:color="7F7F7F"/>
              <w:bottom w:val="single" w:sz="8" w:space="0" w:color="7F7F7F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7F7F7F"/>
              <w:bottom w:val="single" w:sz="8" w:space="0" w:color="7F7F7F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No PE</w:t>
            </w:r>
          </w:p>
        </w:tc>
        <w:tc>
          <w:tcPr>
            <w:tcW w:w="1740" w:type="dxa"/>
            <w:tcBorders>
              <w:top w:val="single" w:sz="8" w:space="0" w:color="7F7F7F"/>
              <w:bottom w:val="single" w:sz="8" w:space="0" w:color="7F7F7F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996" w:type="dxa"/>
            <w:gridSpan w:val="2"/>
            <w:tcBorders>
              <w:top w:val="single" w:sz="8" w:space="0" w:color="7F7F7F"/>
              <w:bottom w:val="single" w:sz="8" w:space="0" w:color="7F7F7F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804" w:type="dxa"/>
            <w:tcBorders>
              <w:top w:val="single" w:sz="8" w:space="0" w:color="7F7F7F"/>
              <w:bottom w:val="single" w:sz="8" w:space="0" w:color="7F7F7F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OR</w:t>
            </w:r>
          </w:p>
        </w:tc>
        <w:tc>
          <w:tcPr>
            <w:tcW w:w="1119" w:type="dxa"/>
            <w:tcBorders>
              <w:top w:val="single" w:sz="8" w:space="0" w:color="7F7F7F"/>
              <w:bottom w:val="single" w:sz="8" w:space="0" w:color="7F7F7F"/>
              <w:right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95% CI</w:t>
            </w:r>
          </w:p>
        </w:tc>
        <w:tc>
          <w:tcPr>
            <w:tcW w:w="1276" w:type="dxa"/>
            <w:tcBorders>
              <w:top w:val="single" w:sz="8" w:space="0" w:color="7F7F7F"/>
              <w:left w:val="nil"/>
              <w:bottom w:val="single" w:sz="8" w:space="0" w:color="7F7F7F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gridSpan w:val="2"/>
            <w:tcBorders>
              <w:top w:val="single" w:sz="8" w:space="0" w:color="7F7F7F"/>
              <w:bottom w:val="nil"/>
            </w:tcBorders>
            <w:shd w:val="clear" w:color="auto" w:fill="F2F2F2"/>
            <w:vAlign w:val="bottom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sz w:val="22"/>
                <w:szCs w:val="22"/>
              </w:rPr>
              <w:t>Preoperative comorbidities</w:t>
            </w:r>
          </w:p>
        </w:tc>
        <w:tc>
          <w:tcPr>
            <w:tcW w:w="2025" w:type="dxa"/>
            <w:tcBorders>
              <w:top w:val="single" w:sz="8" w:space="0" w:color="7F7F7F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8" w:space="0" w:color="7F7F7F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7F7F7F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8" w:space="0" w:color="7F7F7F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8" w:space="0" w:color="7F7F7F"/>
              <w:bottom w:val="nil"/>
              <w:right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7F7F7F"/>
              <w:left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210DD" w:rsidRPr="001210DD" w:rsidTr="001210DD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bookmarkStart w:id="0" w:name="_Hlk140580742"/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Acquired immune deficiency syndrome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13261(0.4%)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389 (0.8%)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0.853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0.768-0.946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0.003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bookmarkStart w:id="1" w:name="_Hlk140589782"/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Alcohol abuse</w:t>
            </w:r>
            <w:bookmarkEnd w:id="1"/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129339 (4.2%)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2305 (4.9%)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0.626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0.599-0.655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Chronic blood loss anemia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29733 (1.0%)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841 (1.8%)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1.254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1.168-1.347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Rheumatoid arthritis/collagen vascular diseases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84124 (2.7%)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1356 (2.9%)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0.026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0.890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0.841-0.940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Deficiency anemia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350951(11.4%)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5494 (11.8%)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0.016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0.951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0.924-0.980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Drug abuse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105692(3.4%)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5158 (11.0%)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2.018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1.951-2.088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bookmarkStart w:id="2" w:name="_Hlk140589831"/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Chronic pulmonary disease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709292(23.1%)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11724 (25.1%)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0.855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0.836-0.875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bookmarkEnd w:id="2"/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Coagulopathy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361149 (11.7%)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10707 (22.9%)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1.362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1.329-1.395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bookmarkStart w:id="3" w:name="_Hlk140589854"/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Depression</w:t>
            </w:r>
            <w:bookmarkEnd w:id="3"/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322725(10.5%)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5437(11.6%)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0.844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0.819-0.870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Diabetes, uncomplicated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716888 (23.3%)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6860 (14.7%)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0.621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0.604-0.638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Diabetes with chronic complications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438580(14.3%)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6234(13.4%)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0.710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0.689-0.731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Congestive heart failure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451163 (14.7%)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11680 (25%)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1.001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0.975-1.027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0.948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Hypertension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2169608(70.5%)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26989 (57.8%)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0.638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0.624-0.651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Hypothyroidism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397182 (12.9%)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5076 (10.9%)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0.762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0.739-0.786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bookmarkStart w:id="4" w:name="_Hlk140589880"/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Liver disease</w:t>
            </w:r>
            <w:bookmarkEnd w:id="4"/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160927 (5.2%)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4942 (10.6%)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0.989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0.958-1.022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0.526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Lymphoma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37458 (1.2%)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818 (1.8%)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1.046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0.974-1.123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0.221</w:t>
            </w:r>
          </w:p>
        </w:tc>
      </w:tr>
      <w:tr w:rsidR="001210DD" w:rsidRPr="001210DD" w:rsidTr="001210DD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Fluid and electrolyte disorders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1016055(33%)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24602 (52.7%)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1.271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1.245-1.298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Metastatic cancer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66594 (2.2%)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4180(9.0%)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2.293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2.203-2.387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Other neurological disorders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307821 (10.0%)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7631 (16.3%)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1.123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1.094-1.153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Obesity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581371 (18.9%)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11074 (23.7%)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1.225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1.196-1.254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Renal failure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653075(21.2%)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7844(16.8%)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0.606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0.590-0.623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Peripheral vascular disorders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351259(11.4%)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4375(9.4%)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0.819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0.793-0.846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Psychoses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101137 (3.3%)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2179 (4.7%)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0.932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0.891-0.975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0.002</w:t>
            </w:r>
          </w:p>
        </w:tc>
      </w:tr>
      <w:tr w:rsidR="001210DD" w:rsidRPr="001210DD" w:rsidTr="001210DD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Pulmonary circulation disorders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111343(3.6%)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8714 (18.7%)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4.339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4.216-4.465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Paralysis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89156 (2.9%)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2003 (4.3%)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0.986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0.941-1.033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0.551</w:t>
            </w:r>
          </w:p>
        </w:tc>
      </w:tr>
      <w:tr w:rsidR="001210DD" w:rsidRPr="001210DD" w:rsidTr="001210DD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bookmarkStart w:id="5" w:name="_Hlk140589896"/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Solid tumor without metastasis</w:t>
            </w:r>
            <w:bookmarkEnd w:id="5"/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110221(3.6%)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4631 (9.9%)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1.543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1.486-1.603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Peptic ulcer disease excluding bleeding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14644(0.5%)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372(0.8%)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1.008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0.908-1.120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0.879</w:t>
            </w:r>
          </w:p>
        </w:tc>
      </w:tr>
      <w:tr w:rsidR="001210DD" w:rsidRPr="001210DD" w:rsidTr="001210DD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Valvular disease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204472 (6.6%)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7944(17.0%)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1.556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1.512-1.600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1210DD" w:rsidRPr="001210DD" w:rsidTr="001210DD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Weight loss</w:t>
            </w: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260092 (8.5%)</w:t>
            </w:r>
          </w:p>
        </w:tc>
        <w:tc>
          <w:tcPr>
            <w:tcW w:w="1740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8970 (19.2%)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80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1.290</w:t>
            </w:r>
          </w:p>
        </w:tc>
        <w:tc>
          <w:tcPr>
            <w:tcW w:w="1119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1.258-1.324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</w:tcPr>
          <w:p w:rsidR="001210DD" w:rsidRPr="001210DD" w:rsidRDefault="001210DD" w:rsidP="001210D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1210DD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</w:tbl>
    <w:bookmarkEnd w:id="0"/>
    <w:p w:rsidR="001210DD" w:rsidRPr="001210DD" w:rsidRDefault="00A96E3C">
      <w:pPr>
        <w:rPr>
          <w:rFonts w:ascii="Times New Roman" w:hAnsi="Times New Roman" w:cs="Times New Roman"/>
          <w:sz w:val="22"/>
        </w:rPr>
      </w:pPr>
      <w:r w:rsidRPr="005E5704">
        <w:rPr>
          <w:rFonts w:ascii="Times New Roman" w:hAnsi="Times New Roman" w:cs="Times New Roman"/>
          <w:sz w:val="22"/>
        </w:rPr>
        <w:t xml:space="preserve">AIDS: Acquired immunodeficiency syndrome, </w:t>
      </w:r>
      <w:bookmarkStart w:id="6" w:name="_GoBack"/>
      <w:bookmarkEnd w:id="6"/>
      <w:r w:rsidR="006E5EB1" w:rsidRPr="006E5EB1">
        <w:rPr>
          <w:rFonts w:ascii="Times New Roman" w:hAnsi="Times New Roman" w:cs="Times New Roman"/>
          <w:sz w:val="22"/>
        </w:rPr>
        <w:t>OR: Odds ratio, CI: Confidence interval</w:t>
      </w:r>
    </w:p>
    <w:sectPr w:rsidR="001210DD" w:rsidRPr="00121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4D1" w:rsidRDefault="00F644D1" w:rsidP="001210DD">
      <w:r>
        <w:separator/>
      </w:r>
    </w:p>
  </w:endnote>
  <w:endnote w:type="continuationSeparator" w:id="0">
    <w:p w:rsidR="00F644D1" w:rsidRDefault="00F644D1" w:rsidP="0012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4D1" w:rsidRDefault="00F644D1" w:rsidP="001210DD">
      <w:r>
        <w:separator/>
      </w:r>
    </w:p>
  </w:footnote>
  <w:footnote w:type="continuationSeparator" w:id="0">
    <w:p w:rsidR="00F644D1" w:rsidRDefault="00F644D1" w:rsidP="00121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AB"/>
    <w:rsid w:val="001210DD"/>
    <w:rsid w:val="004B72AB"/>
    <w:rsid w:val="006202AB"/>
    <w:rsid w:val="006E5EB1"/>
    <w:rsid w:val="00737023"/>
    <w:rsid w:val="00A96E3C"/>
    <w:rsid w:val="00C30E69"/>
    <w:rsid w:val="00F644D1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EB4B5C-F5F5-4AB2-98AA-FF34E0E2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0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0DD"/>
    <w:rPr>
      <w:sz w:val="18"/>
      <w:szCs w:val="18"/>
    </w:rPr>
  </w:style>
  <w:style w:type="table" w:customStyle="1" w:styleId="21">
    <w:name w:val="无格式表格 21"/>
    <w:basedOn w:val="a1"/>
    <w:uiPriority w:val="42"/>
    <w:qFormat/>
    <w:rsid w:val="001210DD"/>
    <w:rPr>
      <w:kern w:val="0"/>
      <w:sz w:val="20"/>
      <w:szCs w:val="20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2025-01-26T12:22:00Z</dcterms:created>
  <dcterms:modified xsi:type="dcterms:W3CDTF">2025-01-26T17:44:00Z</dcterms:modified>
</cp:coreProperties>
</file>