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12812" w14:textId="77777777" w:rsidR="00121C71" w:rsidRPr="004520B6" w:rsidRDefault="00121C71" w:rsidP="00121C71">
      <w:r w:rsidRPr="008C7EA2">
        <w:rPr>
          <w:rFonts w:ascii="Times New Roman" w:hAnsi="Times New Roman" w:cs="Times New Roman"/>
          <w:b/>
          <w:bCs/>
        </w:rPr>
        <w:t>Table 1.</w:t>
      </w:r>
      <w:r w:rsidRPr="008C7EA2">
        <w:rPr>
          <w:rFonts w:ascii="Times New Roman" w:hAnsi="Times New Roman" w:cs="Times New Roman"/>
        </w:rPr>
        <w:t xml:space="preserve"> </w:t>
      </w:r>
      <w:r w:rsidRPr="008C7EA2">
        <w:rPr>
          <w:rFonts w:ascii="Times New Roman" w:hAnsi="Times New Roman" w:cs="Times New Roman"/>
          <w:i/>
          <w:iCs/>
        </w:rPr>
        <w:t>Multicultural Guidelines,</w:t>
      </w:r>
      <w:r w:rsidRPr="008D490D">
        <w:rPr>
          <w:rFonts w:ascii="Times New Roman" w:hAnsi="Times New Roman" w:cs="Times New Roman"/>
        </w:rPr>
        <w:t xml:space="preserve"> Presented by the American Psychological Association (APA)</w:t>
      </w:r>
    </w:p>
    <w:tbl>
      <w:tblPr>
        <w:tblStyle w:val="TableGrid"/>
        <w:tblW w:w="0" w:type="auto"/>
        <w:tblLayout w:type="fixed"/>
        <w:tblLook w:val="04A0" w:firstRow="1" w:lastRow="0" w:firstColumn="1" w:lastColumn="0" w:noHBand="0" w:noVBand="1"/>
      </w:tblPr>
      <w:tblGrid>
        <w:gridCol w:w="535"/>
        <w:gridCol w:w="720"/>
        <w:gridCol w:w="990"/>
        <w:gridCol w:w="990"/>
        <w:gridCol w:w="450"/>
        <w:gridCol w:w="990"/>
        <w:gridCol w:w="450"/>
        <w:gridCol w:w="720"/>
        <w:gridCol w:w="720"/>
        <w:gridCol w:w="720"/>
        <w:gridCol w:w="720"/>
      </w:tblGrid>
      <w:tr w:rsidR="00121C71" w:rsidRPr="00B13D95" w14:paraId="705AC20A" w14:textId="77777777" w:rsidTr="008C4197">
        <w:trPr>
          <w:cantSplit/>
          <w:trHeight w:val="12230"/>
        </w:trPr>
        <w:tc>
          <w:tcPr>
            <w:tcW w:w="535" w:type="dxa"/>
            <w:vMerge w:val="restart"/>
            <w:shd w:val="clear" w:color="auto" w:fill="auto"/>
            <w:textDirection w:val="btLr"/>
            <w:vAlign w:val="center"/>
          </w:tcPr>
          <w:p w14:paraId="35BB065E" w14:textId="77777777" w:rsidR="00121C71" w:rsidRPr="00F3770A" w:rsidRDefault="00121C71" w:rsidP="008C4197">
            <w:pPr>
              <w:ind w:left="113" w:right="113"/>
              <w:rPr>
                <w:rFonts w:ascii="Times New Roman" w:hAnsi="Times New Roman" w:cs="Times New Roman"/>
                <w:b/>
                <w:bCs/>
                <w:i/>
                <w:iCs/>
                <w:color w:val="000000" w:themeColor="text1"/>
                <w:sz w:val="18"/>
                <w:szCs w:val="18"/>
              </w:rPr>
            </w:pPr>
            <w:r w:rsidRPr="00F3770A">
              <w:rPr>
                <w:rFonts w:ascii="Times New Roman" w:hAnsi="Times New Roman" w:cs="Times New Roman"/>
                <w:b/>
                <w:bCs/>
                <w:color w:val="000000" w:themeColor="text1"/>
                <w:sz w:val="18"/>
                <w:szCs w:val="18"/>
              </w:rPr>
              <w:t>Multicultural Guidelines for Therapists, Presented by the American Psychological Association (APA)</w:t>
            </w:r>
          </w:p>
        </w:tc>
        <w:tc>
          <w:tcPr>
            <w:tcW w:w="720" w:type="dxa"/>
            <w:shd w:val="clear" w:color="auto" w:fill="auto"/>
            <w:textDirection w:val="btLr"/>
          </w:tcPr>
          <w:p w14:paraId="62F01718"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seek to recognize and understand that identity and self-definition are fluid and complex and that the interaction between the two is dynamic. To this end, psychologists appreciate that intersectionality is shaped by the multiplicity of the individual’s social contexts.</w:t>
            </w:r>
          </w:p>
        </w:tc>
        <w:tc>
          <w:tcPr>
            <w:tcW w:w="990" w:type="dxa"/>
            <w:shd w:val="clear" w:color="auto" w:fill="auto"/>
            <w:textDirection w:val="btLr"/>
          </w:tcPr>
          <w:p w14:paraId="2FB2D07B"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aspire to recognize and understand that as cultural beings, they hold attitudes and beliefs that can influence their perceptions of and interactions with others as well as their clinical and empirical conceptualizations. As such, psychologists strive to move beyond conceptualizations rooted in categorical assumptions, biases, and/or formulations based on limited knowledge about individuals and communities.</w:t>
            </w:r>
          </w:p>
        </w:tc>
        <w:tc>
          <w:tcPr>
            <w:tcW w:w="990" w:type="dxa"/>
            <w:shd w:val="clear" w:color="auto" w:fill="auto"/>
            <w:textDirection w:val="btLr"/>
          </w:tcPr>
          <w:p w14:paraId="79F4D393"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strive to recognize and understand the role of language and communication through engagement that is sensitive to the lived experience of the individual, couple, family, group, community, and/or organizations with whom they interact. Psychologists also seek to understand how they bring their own language and communication to these interactions.</w:t>
            </w:r>
          </w:p>
        </w:tc>
        <w:tc>
          <w:tcPr>
            <w:tcW w:w="450" w:type="dxa"/>
            <w:shd w:val="clear" w:color="auto" w:fill="auto"/>
            <w:textDirection w:val="btLr"/>
          </w:tcPr>
          <w:p w14:paraId="4065A6E3"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endeavor to be aware of the role of the social and physical environment in the lives of clients, students, research participants, and/or consultees.</w:t>
            </w:r>
          </w:p>
        </w:tc>
        <w:tc>
          <w:tcPr>
            <w:tcW w:w="990" w:type="dxa"/>
            <w:shd w:val="clear" w:color="auto" w:fill="auto"/>
            <w:textDirection w:val="btLr"/>
          </w:tcPr>
          <w:p w14:paraId="16C02F4E"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aspire to recognize and understand historical and contemporary experiences with power, privilege, and oppression. As such, they seek to address institutional barriers and related inequities, disproportionalities, and disparities of law enforcement, administration of criminal justice, educational, mental health, and other systems as they seek to promote justice, human rights, and access to quality and equitable mental and behavioral health services.</w:t>
            </w:r>
          </w:p>
        </w:tc>
        <w:tc>
          <w:tcPr>
            <w:tcW w:w="450" w:type="dxa"/>
            <w:shd w:val="clear" w:color="auto" w:fill="auto"/>
            <w:textDirection w:val="btLr"/>
          </w:tcPr>
          <w:p w14:paraId="65E378D5"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seek to promote culturally adaptive interventions and advocacy within and across systems, including prevention, early intervention, and recovery.</w:t>
            </w:r>
          </w:p>
        </w:tc>
        <w:tc>
          <w:tcPr>
            <w:tcW w:w="720" w:type="dxa"/>
            <w:shd w:val="clear" w:color="auto" w:fill="auto"/>
            <w:textDirection w:val="btLr"/>
          </w:tcPr>
          <w:p w14:paraId="629F77BE"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endeavor to examine the profession’s assumptions and practices within an international context, whether domestically or internationally based, and consider how this globalization has an impact on the psychologist’s self-definition, purpose, role, and function.</w:t>
            </w:r>
          </w:p>
        </w:tc>
        <w:tc>
          <w:tcPr>
            <w:tcW w:w="720" w:type="dxa"/>
            <w:shd w:val="clear" w:color="auto" w:fill="auto"/>
            <w:textDirection w:val="btLr"/>
          </w:tcPr>
          <w:p w14:paraId="1AC1913D"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seek awareness and understanding of how developmental stages and life transitions intersect with the larger biosociocultural context, how identity evolves as a function of such intersections, and how these different socialization and maturation experiences influence worldview and identity.</w:t>
            </w:r>
          </w:p>
        </w:tc>
        <w:tc>
          <w:tcPr>
            <w:tcW w:w="720" w:type="dxa"/>
            <w:shd w:val="clear" w:color="auto" w:fill="auto"/>
            <w:textDirection w:val="btLr"/>
          </w:tcPr>
          <w:p w14:paraId="0EED8324"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strive to conduct culturally appropriate and informed research, teaching, supervision, consultation, assessment, interpretation, diagnosis, dissemination, and evaluation of efficacy as they address the first four levels of the Layered Ecological Model of the Multicultural Guidelines.</w:t>
            </w:r>
          </w:p>
        </w:tc>
        <w:tc>
          <w:tcPr>
            <w:tcW w:w="720" w:type="dxa"/>
            <w:shd w:val="clear" w:color="auto" w:fill="auto"/>
            <w:textDirection w:val="btLr"/>
          </w:tcPr>
          <w:p w14:paraId="48CCB579" w14:textId="77777777" w:rsidR="00121C71" w:rsidRPr="00B13D95" w:rsidRDefault="00121C71" w:rsidP="008C4197">
            <w:pPr>
              <w:ind w:left="113" w:right="113"/>
              <w:rPr>
                <w:rFonts w:ascii="Times New Roman" w:hAnsi="Times New Roman" w:cs="Times New Roman"/>
                <w:sz w:val="18"/>
                <w:szCs w:val="18"/>
              </w:rPr>
            </w:pPr>
            <w:r w:rsidRPr="00B13D95">
              <w:rPr>
                <w:rFonts w:ascii="Times New Roman" w:hAnsi="Times New Roman" w:cs="Times New Roman"/>
                <w:sz w:val="18"/>
                <w:szCs w:val="18"/>
              </w:rPr>
              <w:t>Psychologists actively strive to take a strength-based approach when working with individuals, families, groups, communities, and organizations that seeks to build resilience and decrease trauma within the sociocultural context.</w:t>
            </w:r>
          </w:p>
        </w:tc>
      </w:tr>
      <w:tr w:rsidR="00121C71" w:rsidRPr="00B13D95" w14:paraId="500E5E4D" w14:textId="77777777" w:rsidTr="008C4197">
        <w:trPr>
          <w:cantSplit/>
          <w:trHeight w:val="530"/>
        </w:trPr>
        <w:tc>
          <w:tcPr>
            <w:tcW w:w="535" w:type="dxa"/>
            <w:vMerge/>
            <w:shd w:val="clear" w:color="auto" w:fill="auto"/>
            <w:textDirection w:val="btLr"/>
            <w:vAlign w:val="center"/>
          </w:tcPr>
          <w:p w14:paraId="64D2E6BA" w14:textId="77777777" w:rsidR="00121C71" w:rsidRPr="00B13D95" w:rsidRDefault="00121C71" w:rsidP="008C4197">
            <w:pPr>
              <w:ind w:left="113" w:right="113"/>
              <w:rPr>
                <w:rFonts w:ascii="Times New Roman" w:hAnsi="Times New Roman" w:cs="Times New Roman"/>
                <w:sz w:val="18"/>
                <w:szCs w:val="18"/>
              </w:rPr>
            </w:pPr>
          </w:p>
        </w:tc>
        <w:tc>
          <w:tcPr>
            <w:tcW w:w="720" w:type="dxa"/>
            <w:shd w:val="clear" w:color="auto" w:fill="auto"/>
            <w:textDirection w:val="btLr"/>
          </w:tcPr>
          <w:p w14:paraId="09EA5965"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1</w:t>
            </w:r>
          </w:p>
        </w:tc>
        <w:tc>
          <w:tcPr>
            <w:tcW w:w="990" w:type="dxa"/>
            <w:shd w:val="clear" w:color="auto" w:fill="auto"/>
            <w:textDirection w:val="btLr"/>
          </w:tcPr>
          <w:p w14:paraId="7E7439C6"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2</w:t>
            </w:r>
          </w:p>
        </w:tc>
        <w:tc>
          <w:tcPr>
            <w:tcW w:w="990" w:type="dxa"/>
            <w:shd w:val="clear" w:color="auto" w:fill="auto"/>
            <w:textDirection w:val="btLr"/>
          </w:tcPr>
          <w:p w14:paraId="4BD96913"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3</w:t>
            </w:r>
          </w:p>
        </w:tc>
        <w:tc>
          <w:tcPr>
            <w:tcW w:w="450" w:type="dxa"/>
            <w:shd w:val="clear" w:color="auto" w:fill="auto"/>
            <w:textDirection w:val="btLr"/>
          </w:tcPr>
          <w:p w14:paraId="6EA0D963"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4</w:t>
            </w:r>
          </w:p>
        </w:tc>
        <w:tc>
          <w:tcPr>
            <w:tcW w:w="990" w:type="dxa"/>
            <w:shd w:val="clear" w:color="auto" w:fill="auto"/>
            <w:textDirection w:val="btLr"/>
          </w:tcPr>
          <w:p w14:paraId="2BC0A2DA"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5</w:t>
            </w:r>
          </w:p>
        </w:tc>
        <w:tc>
          <w:tcPr>
            <w:tcW w:w="450" w:type="dxa"/>
            <w:shd w:val="clear" w:color="auto" w:fill="auto"/>
            <w:textDirection w:val="btLr"/>
          </w:tcPr>
          <w:p w14:paraId="183450A7"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6</w:t>
            </w:r>
          </w:p>
        </w:tc>
        <w:tc>
          <w:tcPr>
            <w:tcW w:w="720" w:type="dxa"/>
            <w:shd w:val="clear" w:color="auto" w:fill="auto"/>
            <w:textDirection w:val="btLr"/>
          </w:tcPr>
          <w:p w14:paraId="2A06C6C6"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7</w:t>
            </w:r>
          </w:p>
        </w:tc>
        <w:tc>
          <w:tcPr>
            <w:tcW w:w="720" w:type="dxa"/>
            <w:shd w:val="clear" w:color="auto" w:fill="auto"/>
            <w:textDirection w:val="btLr"/>
          </w:tcPr>
          <w:p w14:paraId="610464EE"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8</w:t>
            </w:r>
          </w:p>
        </w:tc>
        <w:tc>
          <w:tcPr>
            <w:tcW w:w="720" w:type="dxa"/>
            <w:shd w:val="clear" w:color="auto" w:fill="auto"/>
            <w:textDirection w:val="btLr"/>
          </w:tcPr>
          <w:p w14:paraId="00A0F7D9"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9</w:t>
            </w:r>
          </w:p>
        </w:tc>
        <w:tc>
          <w:tcPr>
            <w:tcW w:w="720" w:type="dxa"/>
            <w:shd w:val="clear" w:color="auto" w:fill="auto"/>
            <w:textDirection w:val="btLr"/>
          </w:tcPr>
          <w:p w14:paraId="3A50FD33" w14:textId="77777777" w:rsidR="00121C71" w:rsidRPr="00B13D95" w:rsidRDefault="00121C71" w:rsidP="008C4197">
            <w:pPr>
              <w:ind w:left="113" w:right="113"/>
              <w:rPr>
                <w:rFonts w:ascii="Times New Roman" w:hAnsi="Times New Roman" w:cs="Times New Roman"/>
                <w:sz w:val="18"/>
                <w:szCs w:val="18"/>
              </w:rPr>
            </w:pPr>
            <w:r>
              <w:rPr>
                <w:rFonts w:ascii="Times New Roman" w:hAnsi="Times New Roman" w:cs="Times New Roman"/>
                <w:sz w:val="18"/>
                <w:szCs w:val="18"/>
              </w:rPr>
              <w:t>10</w:t>
            </w:r>
          </w:p>
        </w:tc>
      </w:tr>
    </w:tbl>
    <w:p w14:paraId="52448DEF" w14:textId="77777777" w:rsidR="00121C71" w:rsidRDefault="00121C71" w:rsidP="00121C71">
      <w:pPr>
        <w:rPr>
          <w:rFonts w:ascii="Times New Roman" w:hAnsi="Times New Roman" w:cs="Times New Roman"/>
          <w:b/>
          <w:bCs/>
        </w:rPr>
      </w:pPr>
    </w:p>
    <w:p w14:paraId="2B05DB1F" w14:textId="279CF709" w:rsidR="00121C71" w:rsidRDefault="00121C71" w:rsidP="00121C71">
      <w:pPr>
        <w:spacing w:line="278" w:lineRule="auto"/>
        <w:rPr>
          <w:rFonts w:ascii="Times New Roman" w:hAnsi="Times New Roman" w:cs="Times New Roman"/>
          <w:b/>
          <w:bCs/>
        </w:rPr>
      </w:pPr>
    </w:p>
    <w:sectPr w:rsidR="00121C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C71"/>
    <w:rsid w:val="00121C71"/>
    <w:rsid w:val="00235F39"/>
    <w:rsid w:val="0038214D"/>
    <w:rsid w:val="00623708"/>
    <w:rsid w:val="00AD7A41"/>
    <w:rsid w:val="00AE732B"/>
    <w:rsid w:val="00CF3EC8"/>
    <w:rsid w:val="00D76C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8A6DE"/>
  <w15:chartTrackingRefBased/>
  <w15:docId w15:val="{35F27908-8FB4-4A5E-93A3-2356A9C87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C71"/>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121C7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21C7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21C71"/>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21C71"/>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21C71"/>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21C71"/>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21C71"/>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21C71"/>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21C71"/>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1C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1C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1C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1C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1C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1C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1C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1C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1C71"/>
    <w:rPr>
      <w:rFonts w:eastAsiaTheme="majorEastAsia" w:cstheme="majorBidi"/>
      <w:color w:val="272727" w:themeColor="text1" w:themeTint="D8"/>
    </w:rPr>
  </w:style>
  <w:style w:type="paragraph" w:styleId="Title">
    <w:name w:val="Title"/>
    <w:basedOn w:val="Normal"/>
    <w:next w:val="Normal"/>
    <w:link w:val="TitleChar"/>
    <w:uiPriority w:val="10"/>
    <w:qFormat/>
    <w:rsid w:val="00121C71"/>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21C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1C71"/>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21C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1C71"/>
    <w:pPr>
      <w:spacing w:before="160" w:line="278" w:lineRule="auto"/>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21C71"/>
    <w:rPr>
      <w:i/>
      <w:iCs/>
      <w:color w:val="404040" w:themeColor="text1" w:themeTint="BF"/>
    </w:rPr>
  </w:style>
  <w:style w:type="paragraph" w:styleId="ListParagraph">
    <w:name w:val="List Paragraph"/>
    <w:basedOn w:val="Normal"/>
    <w:uiPriority w:val="34"/>
    <w:qFormat/>
    <w:rsid w:val="00121C71"/>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121C71"/>
    <w:rPr>
      <w:i/>
      <w:iCs/>
      <w:color w:val="0F4761" w:themeColor="accent1" w:themeShade="BF"/>
    </w:rPr>
  </w:style>
  <w:style w:type="paragraph" w:styleId="IntenseQuote">
    <w:name w:val="Intense Quote"/>
    <w:basedOn w:val="Normal"/>
    <w:next w:val="Normal"/>
    <w:link w:val="IntenseQuoteChar"/>
    <w:uiPriority w:val="30"/>
    <w:qFormat/>
    <w:rsid w:val="00121C7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21C71"/>
    <w:rPr>
      <w:i/>
      <w:iCs/>
      <w:color w:val="0F4761" w:themeColor="accent1" w:themeShade="BF"/>
    </w:rPr>
  </w:style>
  <w:style w:type="character" w:styleId="IntenseReference">
    <w:name w:val="Intense Reference"/>
    <w:basedOn w:val="DefaultParagraphFont"/>
    <w:uiPriority w:val="32"/>
    <w:qFormat/>
    <w:rsid w:val="00121C71"/>
    <w:rPr>
      <w:b/>
      <w:bCs/>
      <w:smallCaps/>
      <w:color w:val="0F4761" w:themeColor="accent1" w:themeShade="BF"/>
      <w:spacing w:val="5"/>
    </w:rPr>
  </w:style>
  <w:style w:type="table" w:styleId="TableGrid">
    <w:name w:val="Table Grid"/>
    <w:basedOn w:val="TableNormal"/>
    <w:uiPriority w:val="59"/>
    <w:rsid w:val="00121C71"/>
    <w:pPr>
      <w:spacing w:after="0" w:line="240" w:lineRule="auto"/>
    </w:pPr>
    <w:rPr>
      <w:rFonts w:eastAsiaTheme="minorEastAs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121C71"/>
    <w:pPr>
      <w:spacing w:after="0" w:line="240" w:lineRule="auto"/>
    </w:pPr>
    <w:rPr>
      <w:rFonts w:eastAsiaTheme="minorEastAsia"/>
      <w:lang w:eastAsia="ja-JP"/>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475</Words>
  <Characters>2710</Characters>
  <Application>Microsoft Office Word</Application>
  <DocSecurity>0</DocSecurity>
  <Lines>22</Lines>
  <Paragraphs>6</Paragraphs>
  <ScaleCrop>false</ScaleCrop>
  <Company>Springer Nature</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2</cp:revision>
  <dcterms:created xsi:type="dcterms:W3CDTF">2025-02-13T05:41:00Z</dcterms:created>
  <dcterms:modified xsi:type="dcterms:W3CDTF">2025-02-13T05:46:00Z</dcterms:modified>
</cp:coreProperties>
</file>