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91D2F" w14:textId="1F810B13" w:rsidR="006527E7" w:rsidRDefault="006527E7" w:rsidP="008909DE">
      <w:pPr>
        <w:spacing w:after="0" w:line="480" w:lineRule="auto"/>
        <w:jc w:val="both"/>
        <w:rPr>
          <w:rFonts w:ascii="Times New Roman" w:hAnsi="Times New Roman" w:cs="Times New Roman"/>
          <w:b/>
          <w:sz w:val="24"/>
          <w:szCs w:val="24"/>
        </w:rPr>
      </w:pPr>
      <w:bookmarkStart w:id="0" w:name="_Hlk181340939"/>
      <w:bookmarkStart w:id="1" w:name="_Hlk181013724"/>
      <w:r>
        <w:rPr>
          <w:rFonts w:ascii="Times New Roman" w:hAnsi="Times New Roman" w:cs="Times New Roman"/>
          <w:b/>
          <w:sz w:val="24"/>
          <w:szCs w:val="24"/>
        </w:rPr>
        <w:t>Supplementary Information:</w:t>
      </w:r>
    </w:p>
    <w:p w14:paraId="3946115D" w14:textId="543FA77C" w:rsidR="008909DE" w:rsidRPr="0056126F" w:rsidRDefault="008909DE" w:rsidP="008909DE">
      <w:pPr>
        <w:spacing w:after="0" w:line="480" w:lineRule="auto"/>
        <w:jc w:val="both"/>
        <w:rPr>
          <w:rFonts w:ascii="Times New Roman" w:hAnsi="Times New Roman" w:cs="Times New Roman"/>
          <w:b/>
          <w:sz w:val="24"/>
          <w:szCs w:val="24"/>
        </w:rPr>
      </w:pPr>
      <w:r w:rsidRPr="0056126F">
        <w:rPr>
          <w:rFonts w:ascii="Times New Roman" w:hAnsi="Times New Roman" w:cs="Times New Roman"/>
          <w:b/>
          <w:sz w:val="24"/>
          <w:szCs w:val="24"/>
        </w:rPr>
        <w:t>Towards a Food Secure Future under Changing Climate in Ghana: The Role of Opportunity Crops</w:t>
      </w:r>
    </w:p>
    <w:p w14:paraId="5014FF3E" w14:textId="17222A05" w:rsidR="008909DE" w:rsidRPr="0056126F" w:rsidRDefault="008909DE" w:rsidP="008909DE">
      <w:pPr>
        <w:spacing w:after="0" w:line="480" w:lineRule="auto"/>
        <w:rPr>
          <w:rFonts w:ascii="Times New Roman" w:eastAsia="Times New Roman" w:hAnsi="Times New Roman" w:cs="Times New Roman"/>
          <w:color w:val="000000"/>
          <w:kern w:val="0"/>
          <w:sz w:val="24"/>
          <w:szCs w:val="24"/>
          <w:lang w:val="en-GB" w:eastAsia="en-GB"/>
          <w14:ligatures w14:val="none"/>
        </w:rPr>
      </w:pPr>
      <w:bookmarkStart w:id="2" w:name="_Hlk168870777"/>
      <w:r w:rsidRPr="0056126F">
        <w:rPr>
          <w:rFonts w:ascii="Times New Roman" w:eastAsia="Times New Roman" w:hAnsi="Times New Roman" w:cs="Times New Roman"/>
          <w:color w:val="000000"/>
          <w:kern w:val="0"/>
          <w:sz w:val="24"/>
          <w:szCs w:val="24"/>
          <w:lang w:val="en-GB" w:eastAsia="en-GB"/>
          <w14:ligatures w14:val="none"/>
        </w:rPr>
        <w:t>Dilys S. MacCarthy</w:t>
      </w:r>
      <w:r w:rsidRPr="0056126F">
        <w:rPr>
          <w:rFonts w:ascii="Times New Roman" w:eastAsia="Times New Roman" w:hAnsi="Times New Roman" w:cs="Times New Roman"/>
          <w:color w:val="000000"/>
          <w:kern w:val="0"/>
          <w:sz w:val="24"/>
          <w:szCs w:val="24"/>
          <w:vertAlign w:val="superscript"/>
          <w:lang w:val="en-GB" w:eastAsia="en-GB"/>
          <w14:ligatures w14:val="none"/>
        </w:rPr>
        <w:t>1*</w:t>
      </w:r>
      <w:r w:rsidRPr="0056126F">
        <w:rPr>
          <w:rFonts w:ascii="Times New Roman" w:eastAsia="Times New Roman" w:hAnsi="Times New Roman" w:cs="Times New Roman"/>
          <w:color w:val="000000"/>
          <w:kern w:val="0"/>
          <w:sz w:val="24"/>
          <w:szCs w:val="24"/>
          <w:lang w:val="en-GB" w:eastAsia="en-GB"/>
          <w14:ligatures w14:val="none"/>
        </w:rPr>
        <w:t>, Samuel G. Adiku</w:t>
      </w:r>
      <w:r w:rsidRPr="0056126F">
        <w:rPr>
          <w:rFonts w:ascii="Times New Roman" w:eastAsia="Times New Roman" w:hAnsi="Times New Roman" w:cs="Times New Roman"/>
          <w:color w:val="000000"/>
          <w:kern w:val="0"/>
          <w:sz w:val="24"/>
          <w:szCs w:val="24"/>
          <w:vertAlign w:val="superscript"/>
          <w:lang w:val="en-GB" w:eastAsia="en-GB"/>
          <w14:ligatures w14:val="none"/>
        </w:rPr>
        <w:t>2</w:t>
      </w:r>
      <w:r w:rsidRPr="0056126F">
        <w:rPr>
          <w:rFonts w:ascii="Times New Roman" w:eastAsia="Times New Roman" w:hAnsi="Times New Roman" w:cs="Times New Roman"/>
          <w:color w:val="000000"/>
          <w:kern w:val="0"/>
          <w:sz w:val="24"/>
          <w:szCs w:val="24"/>
          <w:lang w:val="en-GB" w:eastAsia="en-GB"/>
          <w14:ligatures w14:val="none"/>
        </w:rPr>
        <w:t>,</w:t>
      </w:r>
      <w:r w:rsidRPr="0056126F">
        <w:rPr>
          <w:rFonts w:ascii="Times New Roman" w:eastAsia="Times New Roman" w:hAnsi="Times New Roman" w:cs="Times New Roman"/>
          <w:color w:val="000000"/>
          <w:kern w:val="0"/>
          <w:sz w:val="24"/>
          <w:szCs w:val="24"/>
          <w:vertAlign w:val="superscript"/>
          <w:lang w:val="en-GB" w:eastAsia="en-GB"/>
          <w14:ligatures w14:val="none"/>
        </w:rPr>
        <w:t xml:space="preserve"> </w:t>
      </w:r>
      <w:r w:rsidRPr="0056126F">
        <w:rPr>
          <w:rFonts w:ascii="Times New Roman" w:eastAsia="Times New Roman" w:hAnsi="Times New Roman" w:cs="Times New Roman"/>
          <w:color w:val="000000"/>
          <w:kern w:val="0"/>
          <w:sz w:val="24"/>
          <w:szCs w:val="24"/>
          <w:lang w:val="en-GB" w:eastAsia="en-GB"/>
          <w14:ligatures w14:val="none"/>
        </w:rPr>
        <w:t>Roberto Valdivia</w:t>
      </w:r>
      <w:r w:rsidRPr="0056126F">
        <w:rPr>
          <w:rFonts w:ascii="Times New Roman" w:eastAsia="Times New Roman" w:hAnsi="Times New Roman" w:cs="Times New Roman"/>
          <w:color w:val="000000"/>
          <w:kern w:val="0"/>
          <w:sz w:val="24"/>
          <w:szCs w:val="24"/>
          <w:vertAlign w:val="superscript"/>
          <w:lang w:val="en-GB" w:eastAsia="en-GB"/>
          <w14:ligatures w14:val="none"/>
        </w:rPr>
        <w:t>3</w:t>
      </w:r>
      <w:r w:rsidRPr="0056126F">
        <w:rPr>
          <w:rFonts w:ascii="Times New Roman" w:eastAsia="Times New Roman" w:hAnsi="Times New Roman" w:cs="Times New Roman"/>
          <w:color w:val="000000"/>
          <w:kern w:val="0"/>
          <w:sz w:val="24"/>
          <w:szCs w:val="24"/>
          <w:lang w:val="en-GB" w:eastAsia="en-GB"/>
          <w14:ligatures w14:val="none"/>
        </w:rPr>
        <w:t>, Bright S. Freduah</w:t>
      </w:r>
      <w:r w:rsidRPr="0056126F">
        <w:rPr>
          <w:rFonts w:ascii="Times New Roman" w:eastAsia="Times New Roman" w:hAnsi="Times New Roman" w:cs="Times New Roman"/>
          <w:color w:val="000000"/>
          <w:kern w:val="0"/>
          <w:sz w:val="24"/>
          <w:szCs w:val="24"/>
          <w:vertAlign w:val="superscript"/>
          <w:lang w:val="en-GB" w:eastAsia="en-GB"/>
          <w14:ligatures w14:val="none"/>
        </w:rPr>
        <w:t>1</w:t>
      </w:r>
      <w:r w:rsidRPr="0056126F">
        <w:rPr>
          <w:rFonts w:ascii="Times New Roman" w:eastAsia="Times New Roman" w:hAnsi="Times New Roman" w:cs="Times New Roman"/>
          <w:color w:val="000000"/>
          <w:kern w:val="0"/>
          <w:sz w:val="24"/>
          <w:szCs w:val="24"/>
          <w:lang w:val="en-GB" w:eastAsia="en-GB"/>
          <w14:ligatures w14:val="none"/>
        </w:rPr>
        <w:t>, Kevin Karl</w:t>
      </w:r>
      <w:r w:rsidRPr="0056126F">
        <w:rPr>
          <w:rFonts w:ascii="Times New Roman" w:eastAsia="Times New Roman" w:hAnsi="Times New Roman" w:cs="Times New Roman"/>
          <w:color w:val="000000"/>
          <w:kern w:val="0"/>
          <w:sz w:val="24"/>
          <w:szCs w:val="24"/>
          <w:vertAlign w:val="superscript"/>
          <w:lang w:val="en-GB" w:eastAsia="en-GB"/>
          <w14:ligatures w14:val="none"/>
        </w:rPr>
        <w:t>4,5</w:t>
      </w:r>
      <w:r w:rsidRPr="0056126F">
        <w:rPr>
          <w:rFonts w:ascii="Times New Roman" w:eastAsia="Times New Roman" w:hAnsi="Times New Roman" w:cs="Times New Roman"/>
          <w:color w:val="000000"/>
          <w:kern w:val="0"/>
          <w:sz w:val="24"/>
          <w:szCs w:val="24"/>
          <w:lang w:val="en-GB" w:eastAsia="en-GB"/>
          <w14:ligatures w14:val="none"/>
        </w:rPr>
        <w:t>,</w:t>
      </w:r>
      <w:r w:rsidRPr="0056126F">
        <w:rPr>
          <w:rFonts w:ascii="Times New Roman" w:eastAsia="Times New Roman" w:hAnsi="Times New Roman" w:cs="Times New Roman"/>
          <w:color w:val="000000"/>
          <w:kern w:val="0"/>
          <w:sz w:val="24"/>
          <w:szCs w:val="24"/>
          <w:vertAlign w:val="superscript"/>
          <w:lang w:val="en-GB" w:eastAsia="en-GB"/>
          <w14:ligatures w14:val="none"/>
        </w:rPr>
        <w:t xml:space="preserve"> </w:t>
      </w:r>
      <w:r w:rsidRPr="0056126F">
        <w:rPr>
          <w:rFonts w:ascii="Times New Roman" w:eastAsia="Times New Roman" w:hAnsi="Times New Roman" w:cs="Times New Roman"/>
          <w:color w:val="000000"/>
          <w:kern w:val="0"/>
          <w:sz w:val="24"/>
          <w:szCs w:val="24"/>
          <w:lang w:val="en-GB" w:eastAsia="en-GB"/>
          <w14:ligatures w14:val="none"/>
        </w:rPr>
        <w:t>Gershom O. Wesley</w:t>
      </w:r>
      <w:r w:rsidRPr="0056126F">
        <w:rPr>
          <w:rFonts w:ascii="Times New Roman" w:eastAsia="Times New Roman" w:hAnsi="Times New Roman" w:cs="Times New Roman"/>
          <w:color w:val="000000"/>
          <w:kern w:val="0"/>
          <w:sz w:val="24"/>
          <w:szCs w:val="24"/>
          <w:vertAlign w:val="superscript"/>
          <w:lang w:val="en-GB" w:eastAsia="en-GB"/>
          <w14:ligatures w14:val="none"/>
        </w:rPr>
        <w:t>1</w:t>
      </w:r>
      <w:r w:rsidRPr="0056126F">
        <w:rPr>
          <w:rFonts w:ascii="Times New Roman" w:eastAsia="Times New Roman" w:hAnsi="Times New Roman" w:cs="Times New Roman"/>
          <w:color w:val="000000"/>
          <w:kern w:val="0"/>
          <w:sz w:val="24"/>
          <w:szCs w:val="24"/>
          <w:lang w:val="en-GB" w:eastAsia="en-GB"/>
          <w14:ligatures w14:val="none"/>
        </w:rPr>
        <w:t>, Jose R. Guarin</w:t>
      </w:r>
      <w:r w:rsidRPr="0056126F">
        <w:rPr>
          <w:rFonts w:ascii="Times New Roman" w:eastAsia="Times New Roman" w:hAnsi="Times New Roman" w:cs="Times New Roman"/>
          <w:color w:val="000000"/>
          <w:kern w:val="0"/>
          <w:sz w:val="24"/>
          <w:szCs w:val="24"/>
          <w:vertAlign w:val="superscript"/>
          <w:lang w:val="en-GB" w:eastAsia="en-GB"/>
          <w14:ligatures w14:val="none"/>
        </w:rPr>
        <w:t>4,5,6</w:t>
      </w:r>
      <w:r w:rsidRPr="0056126F">
        <w:rPr>
          <w:rFonts w:ascii="Times New Roman" w:eastAsia="Times New Roman" w:hAnsi="Times New Roman" w:cs="Times New Roman"/>
          <w:color w:val="000000"/>
          <w:kern w:val="0"/>
          <w:sz w:val="24"/>
          <w:szCs w:val="24"/>
          <w:lang w:val="en-GB" w:eastAsia="en-GB"/>
          <w14:ligatures w14:val="none"/>
        </w:rPr>
        <w:t xml:space="preserve">, </w:t>
      </w:r>
      <w:r w:rsidRPr="0056126F">
        <w:rPr>
          <w:rFonts w:ascii="Times New Roman" w:eastAsia="Times New Roman" w:hAnsi="Times New Roman" w:cs="Times New Roman"/>
          <w:sz w:val="24"/>
          <w:szCs w:val="24"/>
        </w:rPr>
        <w:t>Meijian Yang</w:t>
      </w:r>
      <w:r w:rsidRPr="0056126F">
        <w:rPr>
          <w:rFonts w:ascii="Times New Roman" w:eastAsia="Times New Roman" w:hAnsi="Times New Roman" w:cs="Times New Roman"/>
          <w:color w:val="000000"/>
          <w:kern w:val="0"/>
          <w:sz w:val="24"/>
          <w:szCs w:val="24"/>
          <w:vertAlign w:val="superscript"/>
          <w:lang w:val="en-GB" w:eastAsia="en-GB"/>
          <w14:ligatures w14:val="none"/>
        </w:rPr>
        <w:t>4,5</w:t>
      </w:r>
      <w:r w:rsidRPr="0056126F">
        <w:rPr>
          <w:rFonts w:ascii="Times New Roman" w:eastAsia="Times New Roman" w:hAnsi="Times New Roman" w:cs="Times New Roman"/>
          <w:color w:val="000000"/>
          <w:kern w:val="0"/>
          <w:sz w:val="24"/>
          <w:szCs w:val="24"/>
          <w:lang w:val="en-GB" w:eastAsia="en-GB"/>
          <w14:ligatures w14:val="none"/>
        </w:rPr>
        <w:t>, Comfort Freeman</w:t>
      </w:r>
      <w:r w:rsidRPr="0056126F">
        <w:rPr>
          <w:rFonts w:ascii="Times New Roman" w:eastAsia="Times New Roman" w:hAnsi="Times New Roman" w:cs="Times New Roman"/>
          <w:color w:val="000000"/>
          <w:kern w:val="0"/>
          <w:sz w:val="24"/>
          <w:szCs w:val="24"/>
          <w:vertAlign w:val="superscript"/>
          <w:lang w:val="en-GB" w:eastAsia="en-GB"/>
          <w14:ligatures w14:val="none"/>
        </w:rPr>
        <w:t>7</w:t>
      </w:r>
      <w:r w:rsidRPr="0056126F">
        <w:rPr>
          <w:rFonts w:ascii="Times New Roman" w:eastAsia="Times New Roman" w:hAnsi="Times New Roman" w:cs="Times New Roman"/>
          <w:color w:val="000000"/>
          <w:kern w:val="0"/>
          <w:sz w:val="24"/>
          <w:szCs w:val="24"/>
          <w:lang w:val="en-GB" w:eastAsia="en-GB"/>
          <w14:ligatures w14:val="none"/>
        </w:rPr>
        <w:t>, Justina S. Owusu</w:t>
      </w:r>
      <w:r w:rsidRPr="0056126F">
        <w:rPr>
          <w:rFonts w:ascii="Times New Roman" w:eastAsia="Times New Roman" w:hAnsi="Times New Roman" w:cs="Times New Roman"/>
          <w:color w:val="000000"/>
          <w:kern w:val="0"/>
          <w:sz w:val="24"/>
          <w:szCs w:val="24"/>
          <w:vertAlign w:val="superscript"/>
          <w:lang w:val="en-GB" w:eastAsia="en-GB"/>
          <w14:ligatures w14:val="none"/>
        </w:rPr>
        <w:t>8</w:t>
      </w:r>
      <w:r w:rsidRPr="0056126F">
        <w:rPr>
          <w:rFonts w:ascii="Times New Roman" w:eastAsia="Times New Roman" w:hAnsi="Times New Roman" w:cs="Times New Roman"/>
          <w:color w:val="000000"/>
          <w:kern w:val="0"/>
          <w:sz w:val="24"/>
          <w:szCs w:val="24"/>
          <w:lang w:val="en-GB" w:eastAsia="en-GB"/>
          <w14:ligatures w14:val="none"/>
        </w:rPr>
        <w:t>, Andres A. Castellano</w:t>
      </w:r>
      <w:r w:rsidRPr="0056126F">
        <w:rPr>
          <w:rFonts w:ascii="Times New Roman" w:eastAsia="Times New Roman" w:hAnsi="Times New Roman" w:cs="Times New Roman"/>
          <w:color w:val="000000"/>
          <w:kern w:val="0"/>
          <w:sz w:val="24"/>
          <w:szCs w:val="24"/>
          <w:vertAlign w:val="superscript"/>
          <w:lang w:val="en-GB" w:eastAsia="en-GB"/>
          <w14:ligatures w14:val="none"/>
        </w:rPr>
        <w:t>5,6</w:t>
      </w:r>
      <w:r w:rsidRPr="0056126F">
        <w:rPr>
          <w:rFonts w:ascii="Times New Roman" w:eastAsia="Times New Roman" w:hAnsi="Times New Roman" w:cs="Times New Roman"/>
          <w:color w:val="000000"/>
          <w:kern w:val="0"/>
          <w:sz w:val="24"/>
          <w:szCs w:val="24"/>
          <w:lang w:val="en-GB" w:eastAsia="en-GB"/>
          <w14:ligatures w14:val="none"/>
        </w:rPr>
        <w:t>, Joseph K. Clottey</w:t>
      </w:r>
      <w:r w:rsidRPr="0056126F">
        <w:rPr>
          <w:rFonts w:ascii="Times New Roman" w:eastAsia="Times New Roman" w:hAnsi="Times New Roman" w:cs="Times New Roman"/>
          <w:color w:val="000000"/>
          <w:kern w:val="0"/>
          <w:sz w:val="24"/>
          <w:szCs w:val="24"/>
          <w:vertAlign w:val="superscript"/>
          <w:lang w:val="en-GB" w:eastAsia="en-GB"/>
          <w14:ligatures w14:val="none"/>
        </w:rPr>
        <w:t>9</w:t>
      </w:r>
      <w:r w:rsidRPr="0056126F">
        <w:rPr>
          <w:rFonts w:ascii="Times New Roman" w:eastAsia="Times New Roman" w:hAnsi="Times New Roman" w:cs="Times New Roman"/>
          <w:color w:val="000000"/>
          <w:kern w:val="0"/>
          <w:sz w:val="24"/>
          <w:szCs w:val="24"/>
          <w:lang w:val="en-GB" w:eastAsia="en-GB"/>
          <w14:ligatures w14:val="none"/>
        </w:rPr>
        <w:t>,</w:t>
      </w:r>
      <w:r w:rsidRPr="0056126F">
        <w:rPr>
          <w:rFonts w:ascii="Times New Roman" w:eastAsia="Times New Roman" w:hAnsi="Times New Roman" w:cs="Times New Roman"/>
          <w:color w:val="000000"/>
          <w:kern w:val="0"/>
          <w:sz w:val="24"/>
          <w:szCs w:val="24"/>
          <w:vertAlign w:val="superscript"/>
          <w:lang w:val="en-GB" w:eastAsia="en-GB"/>
          <w14:ligatures w14:val="none"/>
        </w:rPr>
        <w:t xml:space="preserve"> </w:t>
      </w:r>
      <w:r w:rsidRPr="0056126F">
        <w:rPr>
          <w:rFonts w:ascii="Times New Roman" w:eastAsia="Times New Roman" w:hAnsi="Times New Roman" w:cs="Times New Roman"/>
          <w:color w:val="000000"/>
          <w:kern w:val="0"/>
          <w:sz w:val="24"/>
          <w:szCs w:val="24"/>
          <w:lang w:val="en-GB" w:eastAsia="en-GB"/>
          <w14:ligatures w14:val="none"/>
        </w:rPr>
        <w:t>Stephen Narh</w:t>
      </w:r>
      <w:r w:rsidRPr="0056126F">
        <w:rPr>
          <w:rFonts w:ascii="Times New Roman" w:eastAsia="Times New Roman" w:hAnsi="Times New Roman" w:cs="Times New Roman"/>
          <w:color w:val="000000"/>
          <w:kern w:val="0"/>
          <w:sz w:val="24"/>
          <w:szCs w:val="24"/>
          <w:vertAlign w:val="superscript"/>
          <w:lang w:val="en-GB" w:eastAsia="en-GB"/>
          <w14:ligatures w14:val="none"/>
        </w:rPr>
        <w:t>1</w:t>
      </w:r>
      <w:r w:rsidRPr="0056126F">
        <w:rPr>
          <w:rFonts w:ascii="Times New Roman" w:eastAsia="Times New Roman" w:hAnsi="Times New Roman" w:cs="Times New Roman"/>
          <w:color w:val="000000"/>
          <w:kern w:val="0"/>
          <w:sz w:val="24"/>
          <w:szCs w:val="24"/>
          <w:lang w:val="en-GB" w:eastAsia="en-GB"/>
          <w14:ligatures w14:val="none"/>
        </w:rPr>
        <w:t>, Alex C. Ruane</w:t>
      </w:r>
      <w:r w:rsidRPr="0056126F">
        <w:rPr>
          <w:rFonts w:ascii="Times New Roman" w:eastAsia="Times New Roman" w:hAnsi="Times New Roman" w:cs="Times New Roman"/>
          <w:color w:val="000000"/>
          <w:kern w:val="0"/>
          <w:sz w:val="24"/>
          <w:szCs w:val="24"/>
          <w:vertAlign w:val="superscript"/>
          <w:lang w:val="en-GB" w:eastAsia="en-GB"/>
          <w14:ligatures w14:val="none"/>
        </w:rPr>
        <w:t>5</w:t>
      </w:r>
      <w:r w:rsidRPr="0056126F">
        <w:rPr>
          <w:rFonts w:ascii="Times New Roman" w:eastAsia="Times New Roman" w:hAnsi="Times New Roman" w:cs="Times New Roman"/>
          <w:color w:val="000000"/>
          <w:kern w:val="0"/>
          <w:sz w:val="24"/>
          <w:szCs w:val="24"/>
          <w:lang w:val="en-GB" w:eastAsia="en-GB"/>
          <w14:ligatures w14:val="none"/>
        </w:rPr>
        <w:t>,</w:t>
      </w:r>
      <w:r w:rsidRPr="0056126F">
        <w:rPr>
          <w:rFonts w:ascii="Times New Roman" w:eastAsia="Times New Roman" w:hAnsi="Times New Roman" w:cs="Times New Roman"/>
          <w:color w:val="000000"/>
          <w:kern w:val="0"/>
          <w:sz w:val="24"/>
          <w:szCs w:val="24"/>
          <w:vertAlign w:val="superscript"/>
          <w:lang w:val="en-GB" w:eastAsia="en-GB"/>
          <w14:ligatures w14:val="none"/>
        </w:rPr>
        <w:t xml:space="preserve"> </w:t>
      </w:r>
      <w:r w:rsidRPr="0056126F">
        <w:rPr>
          <w:rFonts w:ascii="Times New Roman" w:eastAsia="Times New Roman" w:hAnsi="Times New Roman" w:cs="Times New Roman"/>
          <w:color w:val="000000"/>
          <w:kern w:val="0"/>
          <w:sz w:val="24"/>
          <w:szCs w:val="24"/>
          <w:lang w:val="en-GB" w:eastAsia="en-GB"/>
          <w14:ligatures w14:val="none"/>
        </w:rPr>
        <w:t xml:space="preserve">Jonas </w:t>
      </w:r>
      <w:r w:rsidRPr="0056126F">
        <w:rPr>
          <w:rFonts w:ascii="Times New Roman" w:eastAsia="Times New Roman" w:hAnsi="Times New Roman" w:cs="Times New Roman"/>
          <w:sz w:val="24"/>
          <w:szCs w:val="24"/>
        </w:rPr>
        <w:t>Jägermeyr</w:t>
      </w:r>
      <w:r w:rsidRPr="0056126F">
        <w:rPr>
          <w:rFonts w:ascii="Times New Roman" w:eastAsia="Times New Roman" w:hAnsi="Times New Roman" w:cs="Times New Roman"/>
          <w:color w:val="000000"/>
          <w:kern w:val="0"/>
          <w:sz w:val="24"/>
          <w:szCs w:val="24"/>
          <w:vertAlign w:val="superscript"/>
          <w:lang w:val="en-GB" w:eastAsia="en-GB"/>
          <w14:ligatures w14:val="none"/>
        </w:rPr>
        <w:t>4,5,</w:t>
      </w:r>
      <w:r w:rsidR="00D42B8A" w:rsidRPr="0056126F">
        <w:rPr>
          <w:rFonts w:ascii="Times New Roman" w:eastAsia="Times New Roman" w:hAnsi="Times New Roman" w:cs="Times New Roman"/>
          <w:color w:val="000000"/>
          <w:kern w:val="0"/>
          <w:sz w:val="24"/>
          <w:szCs w:val="24"/>
          <w:vertAlign w:val="superscript"/>
          <w:lang w:val="en-GB" w:eastAsia="en-GB"/>
          <w14:ligatures w14:val="none"/>
        </w:rPr>
        <w:t>1</w:t>
      </w:r>
      <w:r w:rsidR="00110350" w:rsidRPr="0056126F">
        <w:rPr>
          <w:rFonts w:ascii="Times New Roman" w:eastAsia="Times New Roman" w:hAnsi="Times New Roman" w:cs="Times New Roman"/>
          <w:color w:val="000000"/>
          <w:kern w:val="0"/>
          <w:sz w:val="24"/>
          <w:szCs w:val="24"/>
          <w:vertAlign w:val="superscript"/>
          <w:lang w:val="en-GB" w:eastAsia="en-GB"/>
          <w14:ligatures w14:val="none"/>
        </w:rPr>
        <w:t>0</w:t>
      </w:r>
      <w:r w:rsidRPr="0056126F">
        <w:rPr>
          <w:rFonts w:ascii="Times New Roman" w:eastAsia="Times New Roman" w:hAnsi="Times New Roman" w:cs="Times New Roman"/>
          <w:sz w:val="24"/>
          <w:szCs w:val="24"/>
        </w:rPr>
        <w:t>,</w:t>
      </w:r>
      <w:r w:rsidRPr="0056126F">
        <w:rPr>
          <w:rFonts w:ascii="Times New Roman" w:eastAsia="Times New Roman" w:hAnsi="Times New Roman" w:cs="Times New Roman"/>
          <w:color w:val="000000"/>
          <w:kern w:val="0"/>
          <w:sz w:val="24"/>
          <w:szCs w:val="24"/>
          <w:lang w:val="en-GB" w:eastAsia="en-GB"/>
          <w14:ligatures w14:val="none"/>
        </w:rPr>
        <w:t xml:space="preserve"> </w:t>
      </w:r>
      <w:r w:rsidRPr="0056126F">
        <w:rPr>
          <w:rFonts w:ascii="Times New Roman" w:eastAsia="Times New Roman" w:hAnsi="Times New Roman" w:cs="Times New Roman"/>
          <w:sz w:val="24"/>
          <w:szCs w:val="24"/>
        </w:rPr>
        <w:t>Erik Mencos Contreras</w:t>
      </w:r>
      <w:r w:rsidRPr="0056126F">
        <w:rPr>
          <w:rFonts w:ascii="Times New Roman" w:eastAsia="Times New Roman" w:hAnsi="Times New Roman" w:cs="Times New Roman"/>
          <w:color w:val="000000"/>
          <w:kern w:val="0"/>
          <w:sz w:val="24"/>
          <w:szCs w:val="24"/>
          <w:vertAlign w:val="superscript"/>
          <w:lang w:val="en-GB" w:eastAsia="en-GB"/>
          <w14:ligatures w14:val="none"/>
        </w:rPr>
        <w:t>4,5</w:t>
      </w:r>
      <w:r w:rsidRPr="0056126F">
        <w:rPr>
          <w:rFonts w:ascii="Times New Roman" w:eastAsia="Times New Roman" w:hAnsi="Times New Roman" w:cs="Times New Roman"/>
          <w:color w:val="000000"/>
          <w:kern w:val="0"/>
          <w:sz w:val="24"/>
          <w:szCs w:val="24"/>
          <w:lang w:val="en-GB" w:eastAsia="en-GB"/>
          <w14:ligatures w14:val="none"/>
        </w:rPr>
        <w:t>,</w:t>
      </w:r>
      <w:r w:rsidRPr="0056126F">
        <w:rPr>
          <w:rFonts w:ascii="Times New Roman" w:eastAsia="Times New Roman" w:hAnsi="Times New Roman" w:cs="Times New Roman"/>
          <w:sz w:val="24"/>
          <w:szCs w:val="24"/>
          <w:vertAlign w:val="superscript"/>
        </w:rPr>
        <w:t xml:space="preserve"> </w:t>
      </w:r>
      <w:r w:rsidRPr="0056126F">
        <w:rPr>
          <w:rFonts w:ascii="Times New Roman" w:eastAsia="Times New Roman" w:hAnsi="Times New Roman" w:cs="Times New Roman"/>
          <w:sz w:val="24"/>
          <w:szCs w:val="24"/>
        </w:rPr>
        <w:t>Kingsley K. Amoaku</w:t>
      </w:r>
      <w:r w:rsidRPr="0056126F">
        <w:rPr>
          <w:rFonts w:ascii="Times New Roman" w:eastAsia="Times New Roman" w:hAnsi="Times New Roman" w:cs="Times New Roman"/>
          <w:sz w:val="24"/>
          <w:szCs w:val="24"/>
          <w:vertAlign w:val="superscript"/>
        </w:rPr>
        <w:t>1</w:t>
      </w:r>
      <w:r w:rsidR="00110350" w:rsidRPr="0056126F">
        <w:rPr>
          <w:rFonts w:ascii="Times New Roman" w:eastAsia="Times New Roman" w:hAnsi="Times New Roman" w:cs="Times New Roman"/>
          <w:sz w:val="24"/>
          <w:szCs w:val="24"/>
          <w:vertAlign w:val="superscript"/>
        </w:rPr>
        <w:t>1</w:t>
      </w:r>
      <w:r w:rsidR="00577941">
        <w:rPr>
          <w:rFonts w:ascii="Times New Roman" w:eastAsia="Times New Roman" w:hAnsi="Times New Roman" w:cs="Times New Roman"/>
          <w:color w:val="000000"/>
          <w:kern w:val="0"/>
          <w:sz w:val="24"/>
          <w:szCs w:val="24"/>
          <w:lang w:val="en-GB" w:eastAsia="en-GB"/>
          <w14:ligatures w14:val="none"/>
        </w:rPr>
        <w:t>, C</w:t>
      </w:r>
      <w:r w:rsidR="00577941" w:rsidRPr="0056126F">
        <w:rPr>
          <w:rFonts w:ascii="Times New Roman" w:eastAsia="Times New Roman" w:hAnsi="Times New Roman" w:cs="Times New Roman"/>
          <w:color w:val="000000"/>
          <w:kern w:val="0"/>
          <w:sz w:val="24"/>
          <w:szCs w:val="24"/>
          <w:lang w:val="en-GB" w:eastAsia="en-GB"/>
          <w14:ligatures w14:val="none"/>
        </w:rPr>
        <w:t xml:space="preserve">ynthia E. </w:t>
      </w:r>
      <w:r w:rsidR="00577941" w:rsidRPr="0056126F">
        <w:rPr>
          <w:rFonts w:ascii="Times New Roman" w:eastAsia="Times New Roman" w:hAnsi="Times New Roman" w:cs="Times New Roman"/>
          <w:sz w:val="24"/>
          <w:szCs w:val="24"/>
        </w:rPr>
        <w:t>Rosenzweig</w:t>
      </w:r>
      <w:r w:rsidR="00577941" w:rsidRPr="0056126F">
        <w:rPr>
          <w:rFonts w:ascii="Times New Roman" w:eastAsia="Times New Roman" w:hAnsi="Times New Roman" w:cs="Times New Roman"/>
          <w:color w:val="000000"/>
          <w:kern w:val="0"/>
          <w:sz w:val="24"/>
          <w:szCs w:val="24"/>
          <w:vertAlign w:val="superscript"/>
          <w:lang w:val="en-GB" w:eastAsia="en-GB"/>
          <w14:ligatures w14:val="none"/>
        </w:rPr>
        <w:t>5</w:t>
      </w:r>
    </w:p>
    <w:p w14:paraId="5090BAEC" w14:textId="77777777" w:rsidR="008909DE" w:rsidRPr="0056126F" w:rsidRDefault="008909DE" w:rsidP="008909DE">
      <w:pPr>
        <w:spacing w:after="0" w:line="480" w:lineRule="auto"/>
        <w:rPr>
          <w:rFonts w:ascii="Times New Roman" w:eastAsia="Times New Roman" w:hAnsi="Times New Roman" w:cs="Times New Roman"/>
          <w:color w:val="000000"/>
          <w:kern w:val="0"/>
          <w:sz w:val="24"/>
          <w:szCs w:val="24"/>
          <w:lang w:val="en-GB" w:eastAsia="en-GB"/>
          <w14:ligatures w14:val="none"/>
        </w:rPr>
      </w:pPr>
      <w:r w:rsidRPr="0056126F">
        <w:rPr>
          <w:rFonts w:ascii="Times New Roman" w:eastAsia="Times New Roman" w:hAnsi="Times New Roman" w:cs="Times New Roman"/>
          <w:color w:val="000000"/>
          <w:kern w:val="0"/>
          <w:sz w:val="24"/>
          <w:szCs w:val="24"/>
          <w:vertAlign w:val="superscript"/>
          <w:lang w:val="en-GB" w:eastAsia="en-GB"/>
          <w14:ligatures w14:val="none"/>
        </w:rPr>
        <w:t>1</w:t>
      </w:r>
      <w:r w:rsidRPr="0056126F">
        <w:rPr>
          <w:rFonts w:ascii="Times New Roman" w:eastAsia="Times New Roman" w:hAnsi="Times New Roman" w:cs="Times New Roman"/>
          <w:color w:val="000000"/>
          <w:kern w:val="0"/>
          <w:sz w:val="24"/>
          <w:szCs w:val="24"/>
          <w:lang w:val="en-GB" w:eastAsia="en-GB"/>
          <w14:ligatures w14:val="none"/>
        </w:rPr>
        <w:t>Soil and Irrigation Research Centre, School of Agriculture, College of Basic and Applied Sciences, University of Ghana, Kpong, Ghana</w:t>
      </w:r>
    </w:p>
    <w:p w14:paraId="5B5FE1EC" w14:textId="77777777" w:rsidR="008909DE" w:rsidRPr="0056126F" w:rsidRDefault="008909DE" w:rsidP="008909DE">
      <w:pPr>
        <w:spacing w:after="0" w:line="480" w:lineRule="auto"/>
        <w:rPr>
          <w:rFonts w:ascii="Times New Roman" w:eastAsia="Times New Roman" w:hAnsi="Times New Roman" w:cs="Times New Roman"/>
          <w:sz w:val="24"/>
          <w:szCs w:val="24"/>
        </w:rPr>
      </w:pPr>
      <w:r w:rsidRPr="0056126F">
        <w:rPr>
          <w:rFonts w:ascii="Times New Roman" w:eastAsia="Times New Roman" w:hAnsi="Times New Roman" w:cs="Times New Roman"/>
          <w:sz w:val="24"/>
          <w:szCs w:val="24"/>
          <w:vertAlign w:val="superscript"/>
        </w:rPr>
        <w:t>2</w:t>
      </w:r>
      <w:r w:rsidRPr="0056126F">
        <w:rPr>
          <w:rFonts w:ascii="Times New Roman" w:eastAsia="Times New Roman" w:hAnsi="Times New Roman" w:cs="Times New Roman"/>
          <w:sz w:val="24"/>
          <w:szCs w:val="24"/>
        </w:rPr>
        <w:t xml:space="preserve">Department of Soil Science, School of Agriculture, College of Basic and Applied Sciences, </w:t>
      </w:r>
      <w:r w:rsidRPr="0056126F">
        <w:rPr>
          <w:rFonts w:ascii="Times New Roman" w:eastAsia="Times New Roman" w:hAnsi="Times New Roman" w:cs="Times New Roman"/>
          <w:color w:val="000000"/>
          <w:kern w:val="0"/>
          <w:sz w:val="24"/>
          <w:szCs w:val="24"/>
          <w:lang w:val="en-GB" w:eastAsia="en-GB"/>
          <w14:ligatures w14:val="none"/>
        </w:rPr>
        <w:t>University of Ghana, Legon, Accra, Ghana</w:t>
      </w:r>
      <w:r w:rsidRPr="0056126F">
        <w:rPr>
          <w:rFonts w:ascii="Times New Roman" w:eastAsia="Times New Roman" w:hAnsi="Times New Roman" w:cs="Times New Roman"/>
          <w:sz w:val="24"/>
          <w:szCs w:val="24"/>
        </w:rPr>
        <w:t xml:space="preserve"> </w:t>
      </w:r>
    </w:p>
    <w:p w14:paraId="086B140C" w14:textId="77777777" w:rsidR="008909DE" w:rsidRPr="0056126F" w:rsidRDefault="008909DE" w:rsidP="008909DE">
      <w:pPr>
        <w:spacing w:after="0" w:line="480" w:lineRule="auto"/>
        <w:rPr>
          <w:rFonts w:ascii="Times New Roman" w:eastAsia="Times New Roman" w:hAnsi="Times New Roman" w:cs="Times New Roman"/>
          <w:color w:val="000000"/>
          <w:kern w:val="0"/>
          <w:sz w:val="24"/>
          <w:szCs w:val="24"/>
          <w:lang w:val="en-GB" w:eastAsia="en-GB"/>
          <w14:ligatures w14:val="none"/>
        </w:rPr>
      </w:pPr>
      <w:r w:rsidRPr="0056126F">
        <w:rPr>
          <w:rFonts w:ascii="Times New Roman" w:eastAsia="Times New Roman" w:hAnsi="Times New Roman" w:cs="Times New Roman"/>
          <w:color w:val="000000"/>
          <w:kern w:val="0"/>
          <w:sz w:val="24"/>
          <w:szCs w:val="24"/>
          <w:vertAlign w:val="superscript"/>
          <w:lang w:val="en-GB" w:eastAsia="en-GB"/>
          <w14:ligatures w14:val="none"/>
        </w:rPr>
        <w:t>3</w:t>
      </w:r>
      <w:r w:rsidRPr="0056126F">
        <w:rPr>
          <w:rFonts w:ascii="Times New Roman" w:eastAsia="Times New Roman" w:hAnsi="Times New Roman" w:cs="Times New Roman"/>
          <w:color w:val="000000"/>
          <w:kern w:val="0"/>
          <w:sz w:val="24"/>
          <w:szCs w:val="24"/>
          <w:lang w:val="en-GB" w:eastAsia="en-GB"/>
          <w14:ligatures w14:val="none"/>
        </w:rPr>
        <w:t>Department of Applied Economics, Oregon State University, Corvallis, 97331, OR, USA</w:t>
      </w:r>
    </w:p>
    <w:p w14:paraId="0EECC6C3" w14:textId="77777777" w:rsidR="008909DE" w:rsidRPr="0056126F" w:rsidRDefault="008909DE" w:rsidP="008909DE">
      <w:pPr>
        <w:spacing w:after="0" w:line="480" w:lineRule="auto"/>
        <w:rPr>
          <w:rFonts w:ascii="Times New Roman" w:eastAsia="Times New Roman" w:hAnsi="Times New Roman" w:cs="Times New Roman"/>
          <w:sz w:val="24"/>
          <w:szCs w:val="24"/>
        </w:rPr>
      </w:pPr>
      <w:r w:rsidRPr="0056126F">
        <w:rPr>
          <w:rFonts w:ascii="Times New Roman" w:eastAsia="Times New Roman" w:hAnsi="Times New Roman" w:cs="Times New Roman"/>
          <w:sz w:val="24"/>
          <w:szCs w:val="24"/>
          <w:vertAlign w:val="superscript"/>
        </w:rPr>
        <w:t>4</w:t>
      </w:r>
      <w:r w:rsidRPr="0056126F">
        <w:rPr>
          <w:rFonts w:ascii="Times New Roman" w:eastAsia="Times New Roman" w:hAnsi="Times New Roman" w:cs="Times New Roman"/>
          <w:sz w:val="24"/>
          <w:szCs w:val="24"/>
        </w:rPr>
        <w:t>Columbia Climate School, Columbia University, New York, NY 10025 USA</w:t>
      </w:r>
    </w:p>
    <w:p w14:paraId="2C91D55F" w14:textId="77777777" w:rsidR="008909DE" w:rsidRPr="0056126F" w:rsidRDefault="008909DE" w:rsidP="008909DE">
      <w:pPr>
        <w:spacing w:after="0" w:line="480" w:lineRule="auto"/>
        <w:rPr>
          <w:rFonts w:ascii="Times New Roman" w:eastAsia="Times New Roman" w:hAnsi="Times New Roman" w:cs="Times New Roman"/>
          <w:sz w:val="24"/>
          <w:szCs w:val="24"/>
        </w:rPr>
      </w:pPr>
      <w:r w:rsidRPr="0056126F">
        <w:rPr>
          <w:rFonts w:ascii="Times New Roman" w:eastAsia="Times New Roman" w:hAnsi="Times New Roman" w:cs="Times New Roman"/>
          <w:sz w:val="24"/>
          <w:szCs w:val="24"/>
          <w:vertAlign w:val="superscript"/>
        </w:rPr>
        <w:t>5</w:t>
      </w:r>
      <w:r w:rsidRPr="0056126F">
        <w:rPr>
          <w:rFonts w:ascii="Times New Roman" w:eastAsia="Times New Roman" w:hAnsi="Times New Roman" w:cs="Times New Roman"/>
          <w:sz w:val="24"/>
          <w:szCs w:val="24"/>
        </w:rPr>
        <w:t>NASA Goddard Institute for Space Studies, New York, NY 10025 USA</w:t>
      </w:r>
    </w:p>
    <w:p w14:paraId="71B36FA1" w14:textId="77777777" w:rsidR="008909DE" w:rsidRPr="0056126F" w:rsidRDefault="008909DE" w:rsidP="008909DE">
      <w:pPr>
        <w:spacing w:after="0" w:line="480" w:lineRule="auto"/>
        <w:rPr>
          <w:rFonts w:ascii="Times New Roman" w:eastAsia="Times New Roman" w:hAnsi="Times New Roman" w:cs="Times New Roman"/>
          <w:color w:val="000000"/>
          <w:kern w:val="0"/>
          <w:sz w:val="24"/>
          <w:szCs w:val="24"/>
          <w:vertAlign w:val="superscript"/>
          <w14:ligatures w14:val="none"/>
        </w:rPr>
      </w:pPr>
      <w:r w:rsidRPr="0056126F">
        <w:rPr>
          <w:rFonts w:ascii="Times New Roman" w:eastAsia="Times New Roman" w:hAnsi="Times New Roman" w:cs="Times New Roman"/>
          <w:sz w:val="24"/>
          <w:szCs w:val="24"/>
          <w:vertAlign w:val="superscript"/>
        </w:rPr>
        <w:t>6</w:t>
      </w:r>
      <w:r w:rsidRPr="0056126F">
        <w:rPr>
          <w:rFonts w:ascii="Times New Roman" w:eastAsia="Times New Roman" w:hAnsi="Times New Roman" w:cs="Times New Roman"/>
          <w:color w:val="000000"/>
          <w:kern w:val="0"/>
          <w:sz w:val="24"/>
          <w:szCs w:val="24"/>
          <w14:ligatures w14:val="none"/>
        </w:rPr>
        <w:t>Autonomic Integra, Bethesda, MD</w:t>
      </w:r>
      <w:r w:rsidRPr="0056126F">
        <w:rPr>
          <w:rFonts w:ascii="Times New Roman" w:eastAsia="Times New Roman" w:hAnsi="Times New Roman" w:cs="Times New Roman"/>
          <w:sz w:val="24"/>
          <w:szCs w:val="24"/>
        </w:rPr>
        <w:t xml:space="preserve"> 20817 USA</w:t>
      </w:r>
    </w:p>
    <w:p w14:paraId="0BCE76B1" w14:textId="77777777" w:rsidR="008909DE" w:rsidRPr="0056126F" w:rsidRDefault="008909DE" w:rsidP="008909DE">
      <w:pPr>
        <w:spacing w:after="0" w:line="480" w:lineRule="auto"/>
        <w:rPr>
          <w:rFonts w:ascii="Times New Roman" w:eastAsia="Times New Roman" w:hAnsi="Times New Roman" w:cs="Times New Roman"/>
          <w:kern w:val="0"/>
          <w:sz w:val="24"/>
          <w:szCs w:val="24"/>
          <w:lang w:val="en-GB" w:eastAsia="en-GB"/>
          <w14:ligatures w14:val="none"/>
        </w:rPr>
      </w:pPr>
      <w:r w:rsidRPr="0056126F">
        <w:rPr>
          <w:rFonts w:ascii="Times New Roman" w:eastAsia="Times New Roman" w:hAnsi="Times New Roman" w:cs="Times New Roman"/>
          <w:sz w:val="24"/>
          <w:szCs w:val="24"/>
          <w:vertAlign w:val="superscript"/>
        </w:rPr>
        <w:t>7</w:t>
      </w:r>
      <w:r w:rsidRPr="0056126F">
        <w:rPr>
          <w:rFonts w:ascii="Times New Roman" w:eastAsia="Times New Roman" w:hAnsi="Times New Roman" w:cs="Times New Roman"/>
          <w:sz w:val="24"/>
          <w:szCs w:val="24"/>
        </w:rPr>
        <w:t xml:space="preserve">Department of Agricultural Extension, School of Agriculture, College of Basic and Applied Sciences, </w:t>
      </w:r>
      <w:r w:rsidRPr="0056126F">
        <w:rPr>
          <w:rFonts w:ascii="Times New Roman" w:eastAsia="Times New Roman" w:hAnsi="Times New Roman" w:cs="Times New Roman"/>
          <w:color w:val="000000"/>
          <w:kern w:val="0"/>
          <w:sz w:val="24"/>
          <w:szCs w:val="24"/>
          <w:lang w:val="en-GB" w:eastAsia="en-GB"/>
          <w14:ligatures w14:val="none"/>
        </w:rPr>
        <w:t>University of Ghana, Legon, Accra, Ghana</w:t>
      </w:r>
    </w:p>
    <w:p w14:paraId="0AAC19E1" w14:textId="77777777" w:rsidR="008909DE" w:rsidRPr="0056126F" w:rsidRDefault="008909DE" w:rsidP="008909DE">
      <w:pPr>
        <w:spacing w:after="0" w:line="480" w:lineRule="auto"/>
        <w:rPr>
          <w:rFonts w:ascii="Times New Roman" w:eastAsia="Times New Roman" w:hAnsi="Times New Roman" w:cs="Times New Roman"/>
          <w:color w:val="000000"/>
          <w:kern w:val="0"/>
          <w:sz w:val="24"/>
          <w:szCs w:val="24"/>
          <w:lang w:val="en-GB" w:eastAsia="en-GB"/>
          <w14:ligatures w14:val="none"/>
        </w:rPr>
      </w:pPr>
      <w:r w:rsidRPr="0056126F">
        <w:rPr>
          <w:rFonts w:ascii="Times New Roman" w:eastAsia="Times New Roman" w:hAnsi="Times New Roman" w:cs="Times New Roman"/>
          <w:sz w:val="24"/>
          <w:szCs w:val="24"/>
          <w:vertAlign w:val="superscript"/>
        </w:rPr>
        <w:t>8</w:t>
      </w:r>
      <w:r w:rsidRPr="0056126F">
        <w:rPr>
          <w:rFonts w:ascii="Times New Roman" w:eastAsia="Times New Roman" w:hAnsi="Times New Roman" w:cs="Times New Roman"/>
          <w:sz w:val="24"/>
          <w:szCs w:val="24"/>
        </w:rPr>
        <w:t xml:space="preserve">Department of Food Science and Nutrition, School of Biological Sciences, College of Basic and Applied Sciences, </w:t>
      </w:r>
      <w:r w:rsidRPr="0056126F">
        <w:rPr>
          <w:rFonts w:ascii="Times New Roman" w:eastAsia="Times New Roman" w:hAnsi="Times New Roman" w:cs="Times New Roman"/>
          <w:color w:val="000000"/>
          <w:kern w:val="0"/>
          <w:sz w:val="24"/>
          <w:szCs w:val="24"/>
          <w:lang w:val="en-GB" w:eastAsia="en-GB"/>
          <w14:ligatures w14:val="none"/>
        </w:rPr>
        <w:t>University of Ghana, Legon, Accra, Ghana</w:t>
      </w:r>
    </w:p>
    <w:p w14:paraId="07697B59" w14:textId="77777777" w:rsidR="008909DE" w:rsidRPr="0056126F" w:rsidRDefault="008909DE" w:rsidP="008909DE">
      <w:pPr>
        <w:spacing w:after="0" w:line="480" w:lineRule="auto"/>
        <w:rPr>
          <w:rFonts w:ascii="Times New Roman" w:eastAsia="Times New Roman" w:hAnsi="Times New Roman" w:cs="Times New Roman"/>
          <w:kern w:val="0"/>
          <w:sz w:val="24"/>
          <w:szCs w:val="24"/>
          <w14:ligatures w14:val="none"/>
        </w:rPr>
      </w:pPr>
      <w:r w:rsidRPr="0056126F">
        <w:rPr>
          <w:rFonts w:ascii="Times New Roman" w:eastAsia="Times New Roman" w:hAnsi="Times New Roman" w:cs="Times New Roman"/>
          <w:color w:val="000000"/>
          <w:kern w:val="0"/>
          <w:sz w:val="24"/>
          <w:szCs w:val="24"/>
          <w:vertAlign w:val="superscript"/>
          <w14:ligatures w14:val="none"/>
        </w:rPr>
        <w:t>9</w:t>
      </w:r>
      <w:r w:rsidRPr="0056126F">
        <w:rPr>
          <w:rFonts w:ascii="Times New Roman" w:eastAsia="Times New Roman" w:hAnsi="Times New Roman" w:cs="Times New Roman"/>
          <w:sz w:val="24"/>
          <w:szCs w:val="24"/>
        </w:rPr>
        <w:t>International Centre for Evaluation and Development, Sakumono, Ghana</w:t>
      </w:r>
    </w:p>
    <w:p w14:paraId="401B680D" w14:textId="785EF500" w:rsidR="00110350" w:rsidRPr="0056126F" w:rsidRDefault="008909DE" w:rsidP="00110350">
      <w:pPr>
        <w:spacing w:after="0" w:line="480" w:lineRule="auto"/>
        <w:rPr>
          <w:rFonts w:ascii="Times New Roman" w:eastAsia="Times New Roman" w:hAnsi="Times New Roman" w:cs="Times New Roman"/>
          <w:color w:val="000000"/>
          <w:kern w:val="0"/>
          <w:sz w:val="24"/>
          <w:szCs w:val="24"/>
          <w:lang w:val="en-GB" w:eastAsia="en-GB"/>
          <w14:ligatures w14:val="none"/>
        </w:rPr>
      </w:pPr>
      <w:r w:rsidRPr="0056126F">
        <w:rPr>
          <w:rFonts w:ascii="Times New Roman" w:eastAsia="Times New Roman" w:hAnsi="Times New Roman" w:cs="Times New Roman"/>
          <w:color w:val="000000"/>
          <w:kern w:val="0"/>
          <w:sz w:val="24"/>
          <w:szCs w:val="24"/>
          <w:vertAlign w:val="superscript"/>
          <w:lang w:val="en-GB" w:eastAsia="en-GB"/>
          <w14:ligatures w14:val="none"/>
        </w:rPr>
        <w:t>1</w:t>
      </w:r>
      <w:r w:rsidR="00110350" w:rsidRPr="0056126F">
        <w:rPr>
          <w:rFonts w:ascii="Times New Roman" w:eastAsia="Times New Roman" w:hAnsi="Times New Roman" w:cs="Times New Roman"/>
          <w:color w:val="000000"/>
          <w:kern w:val="0"/>
          <w:sz w:val="24"/>
          <w:szCs w:val="24"/>
          <w:vertAlign w:val="superscript"/>
          <w:lang w:val="en-GB" w:eastAsia="en-GB"/>
          <w14:ligatures w14:val="none"/>
        </w:rPr>
        <w:t>0</w:t>
      </w:r>
      <w:r w:rsidRPr="0056126F">
        <w:rPr>
          <w:rFonts w:ascii="Times New Roman" w:eastAsia="Times New Roman" w:hAnsi="Times New Roman" w:cs="Times New Roman"/>
          <w:color w:val="000000"/>
          <w:kern w:val="0"/>
          <w:sz w:val="24"/>
          <w:szCs w:val="24"/>
          <w:lang w:val="en-GB" w:eastAsia="en-GB"/>
          <w14:ligatures w14:val="none"/>
        </w:rPr>
        <w:t xml:space="preserve"> Potsdam Institute for Climate Impact Research (PIK), Member of the Leibniz Association, 14412, Potsdam, Germany</w:t>
      </w:r>
    </w:p>
    <w:p w14:paraId="4D5A8C5F" w14:textId="6DE9FAE8" w:rsidR="00110350" w:rsidRPr="0056126F" w:rsidRDefault="00110350" w:rsidP="00110350">
      <w:pPr>
        <w:spacing w:after="0" w:line="480" w:lineRule="auto"/>
        <w:rPr>
          <w:rFonts w:ascii="Times New Roman" w:eastAsia="Times New Roman" w:hAnsi="Times New Roman" w:cs="Times New Roman"/>
          <w:color w:val="000000"/>
          <w:kern w:val="0"/>
          <w:sz w:val="24"/>
          <w:szCs w:val="24"/>
          <w:vertAlign w:val="superscript"/>
          <w:lang w:val="en-GB" w:eastAsia="en-GB"/>
          <w14:ligatures w14:val="none"/>
        </w:rPr>
      </w:pPr>
      <w:r w:rsidRPr="0056126F">
        <w:rPr>
          <w:rFonts w:ascii="Times New Roman" w:eastAsia="Times New Roman" w:hAnsi="Times New Roman" w:cs="Times New Roman"/>
          <w:color w:val="000000"/>
          <w:kern w:val="0"/>
          <w:sz w:val="24"/>
          <w:szCs w:val="24"/>
          <w:vertAlign w:val="superscript"/>
          <w:lang w:val="en-GB" w:eastAsia="en-GB"/>
          <w14:ligatures w14:val="none"/>
        </w:rPr>
        <w:t>11</w:t>
      </w:r>
      <w:r w:rsidRPr="0056126F">
        <w:rPr>
          <w:rFonts w:ascii="Times New Roman" w:eastAsia="Times New Roman" w:hAnsi="Times New Roman" w:cs="Times New Roman"/>
          <w:color w:val="000000"/>
          <w:kern w:val="0"/>
          <w:sz w:val="24"/>
          <w:szCs w:val="24"/>
          <w:lang w:val="en-GB" w:eastAsia="en-GB"/>
          <w14:ligatures w14:val="none"/>
        </w:rPr>
        <w:t>Ministry of Food and Agriculture, Department of Crops Services, Accra, Ghana</w:t>
      </w:r>
    </w:p>
    <w:bookmarkEnd w:id="0"/>
    <w:p w14:paraId="12004581" w14:textId="20882C61" w:rsidR="008A2AFE" w:rsidRPr="0056126F" w:rsidRDefault="008909DE" w:rsidP="00591367">
      <w:pPr>
        <w:spacing w:after="0" w:line="480" w:lineRule="auto"/>
        <w:rPr>
          <w:rFonts w:ascii="Times New Roman" w:eastAsia="Times New Roman" w:hAnsi="Times New Roman" w:cs="Times New Roman"/>
          <w:kern w:val="0"/>
          <w:lang w:val="en-GB" w:eastAsia="en-GB"/>
          <w14:ligatures w14:val="none"/>
        </w:rPr>
      </w:pPr>
      <w:r w:rsidRPr="0056126F">
        <w:rPr>
          <w:rFonts w:ascii="Times New Roman" w:eastAsia="Times New Roman" w:hAnsi="Times New Roman" w:cs="Times New Roman"/>
          <w:b/>
          <w:bCs/>
          <w:color w:val="000000"/>
          <w:kern w:val="0"/>
          <w:vertAlign w:val="superscript"/>
          <w:lang w:val="en-GB" w:eastAsia="en-GB"/>
          <w14:ligatures w14:val="none"/>
        </w:rPr>
        <w:t>*</w:t>
      </w:r>
      <w:r w:rsidRPr="0056126F">
        <w:rPr>
          <w:rFonts w:ascii="Times New Roman" w:eastAsia="Times New Roman" w:hAnsi="Times New Roman" w:cs="Times New Roman"/>
          <w:b/>
          <w:bCs/>
          <w:color w:val="000000"/>
          <w:kern w:val="0"/>
          <w:lang w:val="en-GB" w:eastAsia="en-GB"/>
          <w14:ligatures w14:val="none"/>
        </w:rPr>
        <w:t>Corresponding author:</w:t>
      </w:r>
      <w:r w:rsidRPr="0056126F">
        <w:rPr>
          <w:rFonts w:ascii="Times New Roman" w:eastAsia="Times New Roman" w:hAnsi="Times New Roman" w:cs="Times New Roman"/>
          <w:color w:val="000000"/>
          <w:kern w:val="0"/>
          <w:lang w:val="en-GB" w:eastAsia="en-GB"/>
          <w14:ligatures w14:val="none"/>
        </w:rPr>
        <w:t xml:space="preserve"> Dilys S. MacCarthy (dmaccarthy@ug.edu.gh)</w:t>
      </w:r>
      <w:bookmarkEnd w:id="1"/>
      <w:bookmarkEnd w:id="2"/>
    </w:p>
    <w:p w14:paraId="6F077475" w14:textId="353631C5" w:rsidR="00920A6F" w:rsidRPr="00797D66" w:rsidRDefault="00D733B4" w:rsidP="00920A6F">
      <w:pPr>
        <w:rPr>
          <w:rFonts w:ascii="Times New Roman" w:hAnsi="Times New Roman" w:cs="Times New Roman"/>
          <w:sz w:val="24"/>
          <w:szCs w:val="24"/>
        </w:rPr>
      </w:pPr>
      <w:r w:rsidRPr="005A73C3">
        <w:rPr>
          <w:noProof/>
        </w:rPr>
        <w:lastRenderedPageBreak/>
        <w:drawing>
          <wp:inline distT="0" distB="0" distL="0" distR="0" wp14:anchorId="7B203265" wp14:editId="1D3A591C">
            <wp:extent cx="2359760" cy="2396543"/>
            <wp:effectExtent l="0" t="0" r="2540" b="3810"/>
            <wp:docPr id="2" name="Picture 1">
              <a:extLst xmlns:a="http://schemas.openxmlformats.org/drawingml/2006/main">
                <a:ext uri="{FF2B5EF4-FFF2-40B4-BE49-F238E27FC236}">
                  <a16:creationId xmlns:a16="http://schemas.microsoft.com/office/drawing/2014/main" id="{1DC8449B-B632-DC80-357C-6A1E4B927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1DC8449B-B632-DC80-357C-6A1E4B927328}"/>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9760" cy="2396543"/>
                    </a:xfrm>
                    <a:prstGeom prst="rect">
                      <a:avLst/>
                    </a:prstGeom>
                  </pic:spPr>
                </pic:pic>
              </a:graphicData>
            </a:graphic>
          </wp:inline>
        </w:drawing>
      </w:r>
      <w:r w:rsidRPr="005A73C3">
        <w:rPr>
          <w:noProof/>
        </w:rPr>
        <w:drawing>
          <wp:inline distT="0" distB="0" distL="0" distR="0" wp14:anchorId="627949EE" wp14:editId="62162998">
            <wp:extent cx="2429155" cy="2395220"/>
            <wp:effectExtent l="0" t="0" r="0" b="5080"/>
            <wp:docPr id="12" name="Picture 1">
              <a:extLst xmlns:a="http://schemas.openxmlformats.org/drawingml/2006/main">
                <a:ext uri="{FF2B5EF4-FFF2-40B4-BE49-F238E27FC236}">
                  <a16:creationId xmlns:a16="http://schemas.microsoft.com/office/drawing/2014/main" id="{1DC8449B-B632-DC80-357C-6A1E4B927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
                      <a:extLst>
                        <a:ext uri="{FF2B5EF4-FFF2-40B4-BE49-F238E27FC236}">
                          <a16:creationId xmlns:a16="http://schemas.microsoft.com/office/drawing/2014/main" id="{1DC8449B-B632-DC80-357C-6A1E4B927328}"/>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51228" cy="2416984"/>
                    </a:xfrm>
                    <a:prstGeom prst="rect">
                      <a:avLst/>
                    </a:prstGeom>
                  </pic:spPr>
                </pic:pic>
              </a:graphicData>
            </a:graphic>
          </wp:inline>
        </w:drawing>
      </w:r>
      <w:r w:rsidRPr="005A73C3">
        <w:rPr>
          <w:noProof/>
        </w:rPr>
        <w:drawing>
          <wp:inline distT="0" distB="0" distL="0" distR="0" wp14:anchorId="074688E9" wp14:editId="37FEFA35">
            <wp:extent cx="2350350" cy="2347576"/>
            <wp:effectExtent l="0" t="0" r="0" b="2540"/>
            <wp:docPr id="13" name="Picture 1">
              <a:extLst xmlns:a="http://schemas.openxmlformats.org/drawingml/2006/main">
                <a:ext uri="{FF2B5EF4-FFF2-40B4-BE49-F238E27FC236}">
                  <a16:creationId xmlns:a16="http://schemas.microsoft.com/office/drawing/2014/main" id="{1DC8449B-B632-DC80-357C-6A1E4B927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a:extLst>
                        <a:ext uri="{FF2B5EF4-FFF2-40B4-BE49-F238E27FC236}">
                          <a16:creationId xmlns:a16="http://schemas.microsoft.com/office/drawing/2014/main" id="{1DC8449B-B632-DC80-357C-6A1E4B927328}"/>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50350" cy="2347576"/>
                    </a:xfrm>
                    <a:prstGeom prst="rect">
                      <a:avLst/>
                    </a:prstGeom>
                  </pic:spPr>
                </pic:pic>
              </a:graphicData>
            </a:graphic>
          </wp:inline>
        </w:drawing>
      </w:r>
      <w:r w:rsidRPr="005A73C3">
        <w:rPr>
          <w:noProof/>
        </w:rPr>
        <w:drawing>
          <wp:inline distT="0" distB="0" distL="0" distR="0" wp14:anchorId="4BD1997F" wp14:editId="42FA7999">
            <wp:extent cx="2346060" cy="2391286"/>
            <wp:effectExtent l="0" t="0" r="3810" b="0"/>
            <wp:docPr id="14" name="Picture 1">
              <a:extLst xmlns:a="http://schemas.openxmlformats.org/drawingml/2006/main">
                <a:ext uri="{FF2B5EF4-FFF2-40B4-BE49-F238E27FC236}">
                  <a16:creationId xmlns:a16="http://schemas.microsoft.com/office/drawing/2014/main" id="{1DC8449B-B632-DC80-357C-6A1E4B927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
                      <a:extLst>
                        <a:ext uri="{FF2B5EF4-FFF2-40B4-BE49-F238E27FC236}">
                          <a16:creationId xmlns:a16="http://schemas.microsoft.com/office/drawing/2014/main" id="{1DC8449B-B632-DC80-357C-6A1E4B927328}"/>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346060" cy="2391286"/>
                    </a:xfrm>
                    <a:prstGeom prst="rect">
                      <a:avLst/>
                    </a:prstGeom>
                  </pic:spPr>
                </pic:pic>
              </a:graphicData>
            </a:graphic>
          </wp:inline>
        </w:drawing>
      </w:r>
      <w:r w:rsidRPr="00363451">
        <w:rPr>
          <w:noProof/>
        </w:rPr>
        <w:drawing>
          <wp:inline distT="0" distB="0" distL="0" distR="0" wp14:anchorId="1E17C1F8" wp14:editId="10790357">
            <wp:extent cx="2320391" cy="2317652"/>
            <wp:effectExtent l="0" t="0" r="3810" b="0"/>
            <wp:docPr id="15" name="Picture 1">
              <a:extLst xmlns:a="http://schemas.openxmlformats.org/drawingml/2006/main">
                <a:ext uri="{FF2B5EF4-FFF2-40B4-BE49-F238E27FC236}">
                  <a16:creationId xmlns:a16="http://schemas.microsoft.com/office/drawing/2014/main" id="{1DC8449B-B632-DC80-357C-6A1E4B927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
                      <a:extLst>
                        <a:ext uri="{FF2B5EF4-FFF2-40B4-BE49-F238E27FC236}">
                          <a16:creationId xmlns:a16="http://schemas.microsoft.com/office/drawing/2014/main" id="{1DC8449B-B632-DC80-357C-6A1E4B927328}"/>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20391" cy="2317652"/>
                    </a:xfrm>
                    <a:prstGeom prst="rect">
                      <a:avLst/>
                    </a:prstGeom>
                  </pic:spPr>
                </pic:pic>
              </a:graphicData>
            </a:graphic>
          </wp:inline>
        </w:drawing>
      </w:r>
      <w:r w:rsidRPr="00363451">
        <w:rPr>
          <w:noProof/>
        </w:rPr>
        <w:drawing>
          <wp:inline distT="0" distB="0" distL="0" distR="0" wp14:anchorId="0D81D595" wp14:editId="48EB78B7">
            <wp:extent cx="2259538" cy="2303096"/>
            <wp:effectExtent l="0" t="0" r="1270" b="0"/>
            <wp:docPr id="16" name="Picture 1">
              <a:extLst xmlns:a="http://schemas.openxmlformats.org/drawingml/2006/main">
                <a:ext uri="{FF2B5EF4-FFF2-40B4-BE49-F238E27FC236}">
                  <a16:creationId xmlns:a16="http://schemas.microsoft.com/office/drawing/2014/main" id="{1DC8449B-B632-DC80-357C-6A1E4B927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
                      <a:extLst>
                        <a:ext uri="{FF2B5EF4-FFF2-40B4-BE49-F238E27FC236}">
                          <a16:creationId xmlns:a16="http://schemas.microsoft.com/office/drawing/2014/main" id="{1DC8449B-B632-DC80-357C-6A1E4B927328}"/>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59538" cy="2303096"/>
                    </a:xfrm>
                    <a:prstGeom prst="rect">
                      <a:avLst/>
                    </a:prstGeom>
                  </pic:spPr>
                </pic:pic>
              </a:graphicData>
            </a:graphic>
          </wp:inline>
        </w:drawing>
      </w:r>
    </w:p>
    <w:p w14:paraId="2EC75FB3" w14:textId="3EBC703E" w:rsidR="00920A6F" w:rsidRPr="00925990" w:rsidRDefault="00920A6F" w:rsidP="008A2AFE">
      <w:pPr>
        <w:autoSpaceDE w:val="0"/>
        <w:autoSpaceDN w:val="0"/>
        <w:adjustRightInd w:val="0"/>
        <w:spacing w:after="0" w:line="360" w:lineRule="auto"/>
        <w:jc w:val="both"/>
        <w:rPr>
          <w:rFonts w:ascii="Times New Roman" w:hAnsi="Times New Roman" w:cs="Times New Roman"/>
          <w:sz w:val="24"/>
          <w:szCs w:val="24"/>
        </w:rPr>
      </w:pPr>
      <w:r w:rsidRPr="00797D66">
        <w:rPr>
          <w:rFonts w:ascii="Times New Roman" w:hAnsi="Times New Roman" w:cs="Times New Roman"/>
          <w:b/>
          <w:bCs/>
          <w:sz w:val="24"/>
          <w:szCs w:val="24"/>
        </w:rPr>
        <w:t>Figure S1 | Ghana climate.</w:t>
      </w:r>
      <w:r w:rsidRPr="00797D66">
        <w:rPr>
          <w:rFonts w:ascii="Times New Roman" w:hAnsi="Times New Roman" w:cs="Times New Roman"/>
          <w:sz w:val="24"/>
          <w:szCs w:val="24"/>
        </w:rPr>
        <w:t xml:space="preserve"> Mean temperature (left) and daily rainfall amount (right) under the recent past (1990</w:t>
      </w:r>
      <w:r w:rsidR="00D63E9B">
        <w:rPr>
          <w:rFonts w:ascii="Times New Roman" w:hAnsi="Times New Roman" w:cs="Times New Roman"/>
          <w:sz w:val="24"/>
          <w:szCs w:val="24"/>
        </w:rPr>
        <w:t>-</w:t>
      </w:r>
      <w:r w:rsidRPr="00797D66">
        <w:rPr>
          <w:rFonts w:ascii="Times New Roman" w:hAnsi="Times New Roman" w:cs="Times New Roman"/>
          <w:sz w:val="24"/>
          <w:szCs w:val="24"/>
        </w:rPr>
        <w:t>2019) and the Inter-Sectoral Impact Model Intercomparison Project (ISMIP) ensembled future projected changes (2035</w:t>
      </w:r>
      <w:r w:rsidR="00D63E9B">
        <w:rPr>
          <w:rFonts w:ascii="Times New Roman" w:hAnsi="Times New Roman" w:cs="Times New Roman"/>
          <w:sz w:val="24"/>
          <w:szCs w:val="24"/>
        </w:rPr>
        <w:t>-</w:t>
      </w:r>
      <w:r w:rsidRPr="00797D66">
        <w:rPr>
          <w:rFonts w:ascii="Times New Roman" w:hAnsi="Times New Roman" w:cs="Times New Roman"/>
          <w:sz w:val="24"/>
          <w:szCs w:val="24"/>
        </w:rPr>
        <w:t>2064) for Ghana under low (SSP1</w:t>
      </w:r>
      <w:r w:rsidR="00D63E9B">
        <w:rPr>
          <w:rFonts w:ascii="Times New Roman" w:hAnsi="Times New Roman" w:cs="Times New Roman"/>
          <w:sz w:val="24"/>
          <w:szCs w:val="24"/>
        </w:rPr>
        <w:t>-</w:t>
      </w:r>
      <w:r w:rsidRPr="00797D66">
        <w:rPr>
          <w:rFonts w:ascii="Times New Roman" w:hAnsi="Times New Roman" w:cs="Times New Roman"/>
          <w:sz w:val="24"/>
          <w:szCs w:val="24"/>
        </w:rPr>
        <w:t>2</w:t>
      </w:r>
      <w:r w:rsidR="00D63E9B">
        <w:rPr>
          <w:rFonts w:ascii="Times New Roman" w:hAnsi="Times New Roman" w:cs="Times New Roman"/>
          <w:sz w:val="24"/>
          <w:szCs w:val="24"/>
        </w:rPr>
        <w:t>.</w:t>
      </w:r>
      <w:r w:rsidRPr="00797D66">
        <w:rPr>
          <w:rFonts w:ascii="Times New Roman" w:hAnsi="Times New Roman" w:cs="Times New Roman"/>
          <w:sz w:val="24"/>
          <w:szCs w:val="24"/>
        </w:rPr>
        <w:t>6) and high (SSP3</w:t>
      </w:r>
      <w:r w:rsidR="00D63E9B">
        <w:rPr>
          <w:rFonts w:ascii="Times New Roman" w:hAnsi="Times New Roman" w:cs="Times New Roman"/>
          <w:sz w:val="24"/>
          <w:szCs w:val="24"/>
        </w:rPr>
        <w:t>-</w:t>
      </w:r>
      <w:r w:rsidRPr="00797D66">
        <w:rPr>
          <w:rFonts w:ascii="Times New Roman" w:hAnsi="Times New Roman" w:cs="Times New Roman"/>
          <w:sz w:val="24"/>
          <w:szCs w:val="24"/>
        </w:rPr>
        <w:t>7</w:t>
      </w:r>
      <w:r w:rsidR="00D63E9B">
        <w:rPr>
          <w:rFonts w:ascii="Times New Roman" w:hAnsi="Times New Roman" w:cs="Times New Roman"/>
          <w:sz w:val="24"/>
          <w:szCs w:val="24"/>
        </w:rPr>
        <w:t>.</w:t>
      </w:r>
      <w:r w:rsidRPr="00797D66">
        <w:rPr>
          <w:rFonts w:ascii="Times New Roman" w:hAnsi="Times New Roman" w:cs="Times New Roman"/>
          <w:sz w:val="24"/>
          <w:szCs w:val="24"/>
        </w:rPr>
        <w:t>0) emission scenarios.</w:t>
      </w:r>
    </w:p>
    <w:p w14:paraId="44388CF1" w14:textId="77777777" w:rsidR="00920A6F" w:rsidRPr="00925990" w:rsidRDefault="00920A6F" w:rsidP="008A2AFE">
      <w:pPr>
        <w:autoSpaceDE w:val="0"/>
        <w:autoSpaceDN w:val="0"/>
        <w:adjustRightInd w:val="0"/>
        <w:spacing w:after="0" w:line="360" w:lineRule="auto"/>
        <w:jc w:val="both"/>
        <w:rPr>
          <w:rFonts w:ascii="Times New Roman" w:hAnsi="Times New Roman" w:cs="Times New Roman"/>
          <w:sz w:val="24"/>
          <w:szCs w:val="24"/>
        </w:rPr>
        <w:sectPr w:rsidR="00920A6F" w:rsidRPr="00925990" w:rsidSect="0036683D">
          <w:footerReference w:type="default" r:id="rId16"/>
          <w:pgSz w:w="12240" w:h="15840"/>
          <w:pgMar w:top="1440" w:right="1440" w:bottom="1440" w:left="1440" w:header="720" w:footer="720" w:gutter="0"/>
          <w:cols w:space="720"/>
          <w:docGrid w:linePitch="360"/>
        </w:sectPr>
      </w:pPr>
    </w:p>
    <w:p w14:paraId="7C4C5CD6" w14:textId="21177C48" w:rsidR="00EB1587" w:rsidRDefault="00EB1587" w:rsidP="00EB1587">
      <w:pPr>
        <w:spacing w:line="278" w:lineRule="auto"/>
        <w:rPr>
          <w:rFonts w:ascii="Times New Roman" w:hAnsi="Times New Roman" w:cs="Times New Roman"/>
          <w:sz w:val="24"/>
          <w:szCs w:val="24"/>
        </w:rPr>
      </w:pPr>
      <w:r w:rsidRPr="00797D66">
        <w:rPr>
          <w:rFonts w:ascii="Times New Roman" w:hAnsi="Times New Roman" w:cs="Times New Roman"/>
          <w:b/>
          <w:bCs/>
          <w:sz w:val="24"/>
          <w:szCs w:val="24"/>
        </w:rPr>
        <w:lastRenderedPageBreak/>
        <w:t>Tab</w:t>
      </w:r>
      <w:r w:rsidR="00B33DA6">
        <w:rPr>
          <w:rFonts w:ascii="Times New Roman" w:hAnsi="Times New Roman" w:cs="Times New Roman"/>
          <w:b/>
          <w:bCs/>
          <w:sz w:val="24"/>
          <w:szCs w:val="24"/>
        </w:rPr>
        <w:t>le</w:t>
      </w:r>
      <w:r w:rsidRPr="00797D66">
        <w:rPr>
          <w:rFonts w:ascii="Times New Roman" w:hAnsi="Times New Roman" w:cs="Times New Roman"/>
          <w:b/>
          <w:bCs/>
          <w:sz w:val="24"/>
          <w:szCs w:val="24"/>
        </w:rPr>
        <w:t xml:space="preserve"> S1</w:t>
      </w:r>
      <w:r w:rsidR="00B33DA6">
        <w:rPr>
          <w:rFonts w:ascii="Times New Roman" w:hAnsi="Times New Roman" w:cs="Times New Roman"/>
          <w:b/>
          <w:bCs/>
          <w:sz w:val="24"/>
          <w:szCs w:val="24"/>
        </w:rPr>
        <w:t xml:space="preserve"> |</w:t>
      </w:r>
      <w:r w:rsidRPr="00797D66">
        <w:rPr>
          <w:rFonts w:ascii="Times New Roman" w:hAnsi="Times New Roman" w:cs="Times New Roman"/>
          <w:b/>
          <w:bCs/>
          <w:sz w:val="24"/>
          <w:szCs w:val="24"/>
        </w:rPr>
        <w:t xml:space="preserve"> </w:t>
      </w:r>
      <w:r w:rsidR="009D2AE4" w:rsidRPr="00797D66">
        <w:rPr>
          <w:rFonts w:ascii="Times New Roman" w:hAnsi="Times New Roman" w:cs="Times New Roman"/>
          <w:b/>
          <w:bCs/>
          <w:sz w:val="24"/>
          <w:szCs w:val="24"/>
        </w:rPr>
        <w:t>Cultivar and species parameters.</w:t>
      </w:r>
      <w:r w:rsidR="009D2AE4" w:rsidRPr="00797D66">
        <w:rPr>
          <w:rFonts w:ascii="Times New Roman" w:hAnsi="Times New Roman" w:cs="Times New Roman"/>
          <w:sz w:val="24"/>
          <w:szCs w:val="24"/>
        </w:rPr>
        <w:t xml:space="preserve"> </w:t>
      </w:r>
      <w:r w:rsidRPr="00797D66">
        <w:rPr>
          <w:rFonts w:ascii="Times New Roman" w:hAnsi="Times New Roman" w:cs="Times New Roman"/>
          <w:sz w:val="24"/>
          <w:szCs w:val="24"/>
        </w:rPr>
        <w:t>List of cultivar and species parameters used in calibrating and evaluating SIMPLE in Ghana.</w:t>
      </w:r>
      <w:r w:rsidR="00F16F73">
        <w:rPr>
          <w:rFonts w:ascii="Times New Roman" w:hAnsi="Times New Roman" w:cs="Times New Roman"/>
          <w:sz w:val="24"/>
          <w:szCs w:val="24"/>
        </w:rPr>
        <w:t xml:space="preserve"> </w:t>
      </w:r>
      <w:r w:rsidR="00F16F73" w:rsidRPr="00F16F73">
        <w:rPr>
          <w:rFonts w:ascii="Times New Roman" w:hAnsi="Times New Roman" w:cs="Times New Roman"/>
          <w:sz w:val="24"/>
          <w:szCs w:val="24"/>
        </w:rPr>
        <w:t>T</w:t>
      </w:r>
      <w:r w:rsidR="00F16F73" w:rsidRPr="00591367">
        <w:rPr>
          <w:rFonts w:ascii="Times New Roman" w:hAnsi="Times New Roman" w:cs="Times New Roman"/>
          <w:sz w:val="24"/>
          <w:szCs w:val="24"/>
          <w:vertAlign w:val="subscript"/>
        </w:rPr>
        <w:t>sum</w:t>
      </w:r>
      <w:r w:rsidR="00F16F73" w:rsidRPr="00F16F73">
        <w:rPr>
          <w:rFonts w:ascii="Times New Roman" w:hAnsi="Times New Roman" w:cs="Times New Roman"/>
          <w:sz w:val="24"/>
          <w:szCs w:val="24"/>
        </w:rPr>
        <w:t>: Cumulative temperature requirement from sowing to maturity (°C d). HI: Harvest index. I</w:t>
      </w:r>
      <w:r w:rsidR="00F16F73" w:rsidRPr="00591367">
        <w:rPr>
          <w:rFonts w:ascii="Times New Roman" w:hAnsi="Times New Roman" w:cs="Times New Roman"/>
          <w:sz w:val="24"/>
          <w:szCs w:val="24"/>
          <w:vertAlign w:val="subscript"/>
        </w:rPr>
        <w:t>50A</w:t>
      </w:r>
      <w:r w:rsidR="00F16F73" w:rsidRPr="00F16F73">
        <w:rPr>
          <w:rFonts w:ascii="Times New Roman" w:hAnsi="Times New Roman" w:cs="Times New Roman"/>
          <w:sz w:val="24"/>
          <w:szCs w:val="24"/>
        </w:rPr>
        <w:t>: Cumulative temperature requirement for leaf area development to intercept 50% of radiation (°C d). I</w:t>
      </w:r>
      <w:r w:rsidR="00F16F73" w:rsidRPr="00591367">
        <w:rPr>
          <w:rFonts w:ascii="Times New Roman" w:hAnsi="Times New Roman" w:cs="Times New Roman"/>
          <w:sz w:val="24"/>
          <w:szCs w:val="24"/>
          <w:vertAlign w:val="subscript"/>
        </w:rPr>
        <w:t>50B</w:t>
      </w:r>
      <w:r w:rsidR="00F16F73" w:rsidRPr="00F16F73">
        <w:rPr>
          <w:rFonts w:ascii="Times New Roman" w:hAnsi="Times New Roman" w:cs="Times New Roman"/>
          <w:sz w:val="24"/>
          <w:szCs w:val="24"/>
        </w:rPr>
        <w:t>: Cumulative temperature for maturity to reach 50% radiation interception due to leaf senescence (°C d). T</w:t>
      </w:r>
      <w:r w:rsidR="00F16F73" w:rsidRPr="00591367">
        <w:rPr>
          <w:rFonts w:ascii="Times New Roman" w:hAnsi="Times New Roman" w:cs="Times New Roman"/>
          <w:sz w:val="24"/>
          <w:szCs w:val="24"/>
          <w:vertAlign w:val="subscript"/>
        </w:rPr>
        <w:t>base</w:t>
      </w:r>
      <w:r w:rsidR="00F16F73" w:rsidRPr="00F16F73">
        <w:rPr>
          <w:rFonts w:ascii="Times New Roman" w:hAnsi="Times New Roman" w:cs="Times New Roman"/>
          <w:sz w:val="24"/>
          <w:szCs w:val="24"/>
        </w:rPr>
        <w:t>: Base temperature for phenology development and growth (°C). T</w:t>
      </w:r>
      <w:r w:rsidR="00F16F73" w:rsidRPr="00591367">
        <w:rPr>
          <w:rFonts w:ascii="Times New Roman" w:hAnsi="Times New Roman" w:cs="Times New Roman"/>
          <w:sz w:val="24"/>
          <w:szCs w:val="24"/>
          <w:vertAlign w:val="subscript"/>
        </w:rPr>
        <w:t>opt</w:t>
      </w:r>
      <w:r w:rsidR="00F16F73" w:rsidRPr="00F16F73">
        <w:rPr>
          <w:rFonts w:ascii="Times New Roman" w:hAnsi="Times New Roman" w:cs="Times New Roman"/>
          <w:sz w:val="24"/>
          <w:szCs w:val="24"/>
        </w:rPr>
        <w:t>: Optimal temperature for biomass growth (°C). RUE: Radiation use eﬃciency (above ground only and without respiration) (g MJ</w:t>
      </w:r>
      <w:r w:rsidR="00F16F73" w:rsidRPr="00591367">
        <w:rPr>
          <w:rFonts w:ascii="Times New Roman" w:hAnsi="Times New Roman" w:cs="Times New Roman"/>
          <w:sz w:val="24"/>
          <w:szCs w:val="24"/>
          <w:vertAlign w:val="superscript"/>
        </w:rPr>
        <w:t>-1</w:t>
      </w:r>
      <w:r w:rsidR="00F16F73" w:rsidRPr="00F16F73">
        <w:rPr>
          <w:rFonts w:ascii="Times New Roman" w:hAnsi="Times New Roman" w:cs="Times New Roman"/>
          <w:sz w:val="24"/>
          <w:szCs w:val="24"/>
        </w:rPr>
        <w:t xml:space="preserve"> m</w:t>
      </w:r>
      <w:r w:rsidR="00F16F73" w:rsidRPr="00591367">
        <w:rPr>
          <w:rFonts w:ascii="Times New Roman" w:hAnsi="Times New Roman" w:cs="Times New Roman"/>
          <w:sz w:val="24"/>
          <w:szCs w:val="24"/>
          <w:vertAlign w:val="superscript"/>
        </w:rPr>
        <w:t>-2</w:t>
      </w:r>
      <w:r w:rsidR="00F16F73" w:rsidRPr="00F16F73">
        <w:rPr>
          <w:rFonts w:ascii="Times New Roman" w:hAnsi="Times New Roman" w:cs="Times New Roman"/>
          <w:sz w:val="24"/>
          <w:szCs w:val="24"/>
        </w:rPr>
        <w:t>). I</w:t>
      </w:r>
      <w:r w:rsidR="00F16F73" w:rsidRPr="00591367">
        <w:rPr>
          <w:rFonts w:ascii="Times New Roman" w:hAnsi="Times New Roman" w:cs="Times New Roman"/>
          <w:sz w:val="24"/>
          <w:szCs w:val="24"/>
          <w:vertAlign w:val="subscript"/>
        </w:rPr>
        <w:t>50maxH</w:t>
      </w:r>
      <w:r w:rsidR="00F16F73" w:rsidRPr="00F16F73">
        <w:rPr>
          <w:rFonts w:ascii="Times New Roman" w:hAnsi="Times New Roman" w:cs="Times New Roman"/>
          <w:sz w:val="24"/>
          <w:szCs w:val="24"/>
        </w:rPr>
        <w:t>: The maximum daily reduction in I</w:t>
      </w:r>
      <w:r w:rsidR="00F16F73" w:rsidRPr="00591367">
        <w:rPr>
          <w:rFonts w:ascii="Times New Roman" w:hAnsi="Times New Roman" w:cs="Times New Roman"/>
          <w:sz w:val="24"/>
          <w:szCs w:val="24"/>
          <w:vertAlign w:val="subscript"/>
        </w:rPr>
        <w:t>50B</w:t>
      </w:r>
      <w:r w:rsidR="00F16F73" w:rsidRPr="00F16F73">
        <w:rPr>
          <w:rFonts w:ascii="Times New Roman" w:hAnsi="Times New Roman" w:cs="Times New Roman"/>
          <w:sz w:val="24"/>
          <w:szCs w:val="24"/>
        </w:rPr>
        <w:t xml:space="preserve"> due to heat stress (°C d). I</w:t>
      </w:r>
      <w:r w:rsidR="00F16F73" w:rsidRPr="00591367">
        <w:rPr>
          <w:rFonts w:ascii="Times New Roman" w:hAnsi="Times New Roman" w:cs="Times New Roman"/>
          <w:sz w:val="24"/>
          <w:szCs w:val="24"/>
          <w:vertAlign w:val="subscript"/>
        </w:rPr>
        <w:t>50maxW</w:t>
      </w:r>
      <w:r w:rsidR="00F16F73" w:rsidRPr="00F16F73">
        <w:rPr>
          <w:rFonts w:ascii="Times New Roman" w:hAnsi="Times New Roman" w:cs="Times New Roman"/>
          <w:sz w:val="24"/>
          <w:szCs w:val="24"/>
        </w:rPr>
        <w:t>: The maximum daily reduction in I</w:t>
      </w:r>
      <w:r w:rsidR="00F16F73" w:rsidRPr="00591367">
        <w:rPr>
          <w:rFonts w:ascii="Times New Roman" w:hAnsi="Times New Roman" w:cs="Times New Roman"/>
          <w:sz w:val="24"/>
          <w:szCs w:val="24"/>
          <w:vertAlign w:val="subscript"/>
        </w:rPr>
        <w:t>50B</w:t>
      </w:r>
      <w:r w:rsidR="00F16F73" w:rsidRPr="00F16F73">
        <w:rPr>
          <w:rFonts w:ascii="Times New Roman" w:hAnsi="Times New Roman" w:cs="Times New Roman"/>
          <w:sz w:val="24"/>
          <w:szCs w:val="24"/>
        </w:rPr>
        <w:t xml:space="preserve"> due to drought stress (°C d). T</w:t>
      </w:r>
      <w:r w:rsidR="00F16F73" w:rsidRPr="00591367">
        <w:rPr>
          <w:rFonts w:ascii="Times New Roman" w:hAnsi="Times New Roman" w:cs="Times New Roman"/>
          <w:sz w:val="24"/>
          <w:szCs w:val="24"/>
          <w:vertAlign w:val="subscript"/>
        </w:rPr>
        <w:t>max</w:t>
      </w:r>
      <w:r w:rsidR="00F16F73" w:rsidRPr="00F16F73">
        <w:rPr>
          <w:rFonts w:ascii="Times New Roman" w:hAnsi="Times New Roman" w:cs="Times New Roman"/>
          <w:sz w:val="24"/>
          <w:szCs w:val="24"/>
        </w:rPr>
        <w:t>: Threshold temperature to start accelerating senescence from heat stress (°C). T</w:t>
      </w:r>
      <w:r w:rsidR="00F16F73" w:rsidRPr="00591367">
        <w:rPr>
          <w:rFonts w:ascii="Times New Roman" w:hAnsi="Times New Roman" w:cs="Times New Roman"/>
          <w:sz w:val="24"/>
          <w:szCs w:val="24"/>
          <w:vertAlign w:val="subscript"/>
        </w:rPr>
        <w:t>extreme</w:t>
      </w:r>
      <w:r w:rsidR="00F16F73" w:rsidRPr="00F16F73">
        <w:rPr>
          <w:rFonts w:ascii="Times New Roman" w:hAnsi="Times New Roman" w:cs="Times New Roman"/>
          <w:sz w:val="24"/>
          <w:szCs w:val="24"/>
        </w:rPr>
        <w:t>: The extreme temperature threshold when RUE becomes 0 due to heat stress (°C). S</w:t>
      </w:r>
      <w:r w:rsidR="00F16F73" w:rsidRPr="00591367">
        <w:rPr>
          <w:rFonts w:ascii="Times New Roman" w:hAnsi="Times New Roman" w:cs="Times New Roman"/>
          <w:sz w:val="24"/>
          <w:szCs w:val="24"/>
          <w:vertAlign w:val="subscript"/>
        </w:rPr>
        <w:t>CO2</w:t>
      </w:r>
      <w:r w:rsidR="00F16F73" w:rsidRPr="00F16F73">
        <w:rPr>
          <w:rFonts w:ascii="Times New Roman" w:hAnsi="Times New Roman" w:cs="Times New Roman"/>
          <w:sz w:val="24"/>
          <w:szCs w:val="24"/>
        </w:rPr>
        <w:t>: Relative increase in RUE per ppm elevated CO</w:t>
      </w:r>
      <w:r w:rsidR="00F16F73" w:rsidRPr="00591367">
        <w:rPr>
          <w:rFonts w:ascii="Times New Roman" w:hAnsi="Times New Roman" w:cs="Times New Roman"/>
          <w:sz w:val="24"/>
          <w:szCs w:val="24"/>
          <w:vertAlign w:val="subscript"/>
        </w:rPr>
        <w:t>2</w:t>
      </w:r>
      <w:r w:rsidR="00F16F73" w:rsidRPr="00F16F73">
        <w:rPr>
          <w:rFonts w:ascii="Times New Roman" w:hAnsi="Times New Roman" w:cs="Times New Roman"/>
          <w:sz w:val="24"/>
          <w:szCs w:val="24"/>
        </w:rPr>
        <w:t xml:space="preserve"> above 350 ppm. S</w:t>
      </w:r>
      <w:r w:rsidR="00F16F73" w:rsidRPr="00591367">
        <w:rPr>
          <w:rFonts w:ascii="Times New Roman" w:hAnsi="Times New Roman" w:cs="Times New Roman"/>
          <w:sz w:val="24"/>
          <w:szCs w:val="24"/>
          <w:vertAlign w:val="subscript"/>
        </w:rPr>
        <w:t>water</w:t>
      </w:r>
      <w:r w:rsidR="00F16F73" w:rsidRPr="00F16F73">
        <w:rPr>
          <w:rFonts w:ascii="Times New Roman" w:hAnsi="Times New Roman" w:cs="Times New Roman"/>
          <w:sz w:val="24"/>
          <w:szCs w:val="24"/>
        </w:rPr>
        <w:t>: Sensitivity of RUE to drought stress.</w:t>
      </w:r>
      <w:r w:rsidR="00AF1177">
        <w:rPr>
          <w:rFonts w:ascii="Times New Roman" w:hAnsi="Times New Roman" w:cs="Times New Roman"/>
          <w:sz w:val="24"/>
          <w:szCs w:val="24"/>
        </w:rPr>
        <w:t xml:space="preserve"> </w:t>
      </w:r>
    </w:p>
    <w:tbl>
      <w:tblPr>
        <w:tblStyle w:val="TableGrid"/>
        <w:tblW w:w="12409" w:type="dxa"/>
        <w:jc w:val="center"/>
        <w:tblLook w:val="04A0" w:firstRow="1" w:lastRow="0" w:firstColumn="1" w:lastColumn="0" w:noHBand="0" w:noVBand="1"/>
      </w:tblPr>
      <w:tblGrid>
        <w:gridCol w:w="1402"/>
        <w:gridCol w:w="1121"/>
        <w:gridCol w:w="796"/>
        <w:gridCol w:w="781"/>
        <w:gridCol w:w="720"/>
        <w:gridCol w:w="720"/>
        <w:gridCol w:w="222"/>
        <w:gridCol w:w="720"/>
        <w:gridCol w:w="720"/>
        <w:gridCol w:w="741"/>
        <w:gridCol w:w="772"/>
        <w:gridCol w:w="803"/>
        <w:gridCol w:w="720"/>
        <w:gridCol w:w="720"/>
        <w:gridCol w:w="731"/>
        <w:gridCol w:w="720"/>
      </w:tblGrid>
      <w:tr w:rsidR="00EF2D7F" w:rsidRPr="00925990" w14:paraId="55F2D332" w14:textId="77777777" w:rsidTr="00F61362">
        <w:trPr>
          <w:trHeight w:val="513"/>
          <w:jc w:val="center"/>
        </w:trPr>
        <w:tc>
          <w:tcPr>
            <w:tcW w:w="1402" w:type="dxa"/>
            <w:vMerge w:val="restart"/>
            <w:tcBorders>
              <w:top w:val="single" w:sz="4" w:space="0" w:color="auto"/>
              <w:left w:val="nil"/>
              <w:right w:val="nil"/>
            </w:tcBorders>
            <w:noWrap/>
            <w:vAlign w:val="center"/>
          </w:tcPr>
          <w:p w14:paraId="0FBC62B5" w14:textId="77777777" w:rsidR="004F4FA8" w:rsidRPr="00797D66" w:rsidRDefault="004F4FA8" w:rsidP="0010678E">
            <w:pPr>
              <w:jc w:val="center"/>
              <w:rPr>
                <w:rFonts w:ascii="Times New Roman" w:hAnsi="Times New Roman" w:cs="Times New Roman"/>
                <w:color w:val="000000"/>
              </w:rPr>
            </w:pPr>
            <w:r w:rsidRPr="00797D66">
              <w:rPr>
                <w:rFonts w:ascii="Times New Roman" w:hAnsi="Times New Roman" w:cs="Times New Roman"/>
                <w:color w:val="000000"/>
                <w:sz w:val="22"/>
                <w:szCs w:val="22"/>
              </w:rPr>
              <w:t>Crop type</w:t>
            </w:r>
          </w:p>
        </w:tc>
        <w:tc>
          <w:tcPr>
            <w:tcW w:w="1121" w:type="dxa"/>
            <w:vMerge w:val="restart"/>
            <w:tcBorders>
              <w:top w:val="single" w:sz="4" w:space="0" w:color="auto"/>
              <w:left w:val="nil"/>
              <w:right w:val="nil"/>
            </w:tcBorders>
            <w:vAlign w:val="center"/>
          </w:tcPr>
          <w:p w14:paraId="49236463" w14:textId="77777777" w:rsidR="004F4FA8" w:rsidRPr="00797D66" w:rsidRDefault="004F4FA8" w:rsidP="0010678E">
            <w:pPr>
              <w:jc w:val="center"/>
              <w:rPr>
                <w:rFonts w:ascii="Times New Roman" w:hAnsi="Times New Roman" w:cs="Times New Roman"/>
                <w:color w:val="000000"/>
              </w:rPr>
            </w:pPr>
            <w:r w:rsidRPr="00797D66">
              <w:rPr>
                <w:rFonts w:ascii="Times New Roman" w:hAnsi="Times New Roman" w:cs="Times New Roman"/>
                <w:color w:val="000000"/>
                <w:sz w:val="22"/>
                <w:szCs w:val="22"/>
              </w:rPr>
              <w:t>Species</w:t>
            </w:r>
          </w:p>
        </w:tc>
        <w:tc>
          <w:tcPr>
            <w:tcW w:w="3017" w:type="dxa"/>
            <w:gridSpan w:val="4"/>
            <w:tcBorders>
              <w:left w:val="nil"/>
              <w:bottom w:val="single" w:sz="12" w:space="0" w:color="000000"/>
              <w:right w:val="nil"/>
            </w:tcBorders>
            <w:noWrap/>
            <w:vAlign w:val="center"/>
          </w:tcPr>
          <w:p w14:paraId="6DCF115D" w14:textId="77777777" w:rsidR="004F4FA8" w:rsidRPr="00797D66" w:rsidRDefault="004F4FA8" w:rsidP="0010678E">
            <w:pPr>
              <w:jc w:val="center"/>
              <w:rPr>
                <w:rFonts w:ascii="Times New Roman" w:hAnsi="Times New Roman" w:cs="Times New Roman"/>
                <w:color w:val="000000"/>
              </w:rPr>
            </w:pPr>
            <w:r w:rsidRPr="00797D66">
              <w:rPr>
                <w:rFonts w:ascii="Times New Roman" w:hAnsi="Times New Roman" w:cs="Times New Roman"/>
                <w:color w:val="000000"/>
                <w:sz w:val="22"/>
                <w:szCs w:val="22"/>
              </w:rPr>
              <w:t>Cultivar parameters</w:t>
            </w:r>
          </w:p>
        </w:tc>
        <w:tc>
          <w:tcPr>
            <w:tcW w:w="222" w:type="dxa"/>
            <w:tcBorders>
              <w:left w:val="nil"/>
              <w:bottom w:val="nil"/>
              <w:right w:val="nil"/>
            </w:tcBorders>
          </w:tcPr>
          <w:p w14:paraId="3BDA101A" w14:textId="77777777" w:rsidR="004F4FA8" w:rsidRPr="00797D66" w:rsidRDefault="004F4FA8" w:rsidP="0010678E">
            <w:pPr>
              <w:jc w:val="center"/>
              <w:rPr>
                <w:rFonts w:ascii="Times New Roman" w:hAnsi="Times New Roman" w:cs="Times New Roman"/>
                <w:color w:val="000000"/>
              </w:rPr>
            </w:pPr>
          </w:p>
        </w:tc>
        <w:tc>
          <w:tcPr>
            <w:tcW w:w="6647" w:type="dxa"/>
            <w:gridSpan w:val="9"/>
            <w:tcBorders>
              <w:left w:val="nil"/>
              <w:bottom w:val="single" w:sz="12" w:space="0" w:color="000000"/>
              <w:right w:val="nil"/>
            </w:tcBorders>
            <w:noWrap/>
            <w:vAlign w:val="center"/>
          </w:tcPr>
          <w:p w14:paraId="37A87DE7" w14:textId="77777777" w:rsidR="004F4FA8" w:rsidRPr="00797D66" w:rsidRDefault="004F4FA8" w:rsidP="0010678E">
            <w:pPr>
              <w:jc w:val="center"/>
              <w:rPr>
                <w:rFonts w:ascii="Times New Roman" w:hAnsi="Times New Roman" w:cs="Times New Roman"/>
                <w:color w:val="000000"/>
              </w:rPr>
            </w:pPr>
            <w:r w:rsidRPr="00797D66">
              <w:rPr>
                <w:rFonts w:ascii="Times New Roman" w:hAnsi="Times New Roman" w:cs="Times New Roman"/>
                <w:color w:val="000000"/>
                <w:sz w:val="22"/>
                <w:szCs w:val="22"/>
              </w:rPr>
              <w:t>Species parameters</w:t>
            </w:r>
          </w:p>
        </w:tc>
      </w:tr>
      <w:tr w:rsidR="00EF2D7F" w:rsidRPr="00925990" w14:paraId="560E41F7" w14:textId="77777777" w:rsidTr="00F61362">
        <w:trPr>
          <w:trHeight w:val="513"/>
          <w:jc w:val="center"/>
        </w:trPr>
        <w:tc>
          <w:tcPr>
            <w:tcW w:w="1402" w:type="dxa"/>
            <w:vMerge/>
            <w:tcBorders>
              <w:left w:val="nil"/>
              <w:bottom w:val="single" w:sz="4" w:space="0" w:color="auto"/>
              <w:right w:val="nil"/>
            </w:tcBorders>
            <w:noWrap/>
            <w:vAlign w:val="center"/>
          </w:tcPr>
          <w:p w14:paraId="5F9CFB8E"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1121" w:type="dxa"/>
            <w:vMerge/>
            <w:tcBorders>
              <w:left w:val="nil"/>
              <w:bottom w:val="single" w:sz="4" w:space="0" w:color="auto"/>
              <w:right w:val="nil"/>
            </w:tcBorders>
            <w:vAlign w:val="center"/>
          </w:tcPr>
          <w:p w14:paraId="246B60FC" w14:textId="77777777" w:rsidR="004F4FA8" w:rsidRPr="00797D66" w:rsidRDefault="004F4FA8" w:rsidP="0010678E">
            <w:pPr>
              <w:jc w:val="center"/>
              <w:rPr>
                <w:rFonts w:ascii="Times New Roman" w:hAnsi="Times New Roman" w:cs="Times New Roman"/>
                <w:color w:val="000000"/>
              </w:rPr>
            </w:pPr>
          </w:p>
        </w:tc>
        <w:tc>
          <w:tcPr>
            <w:tcW w:w="796" w:type="dxa"/>
            <w:tcBorders>
              <w:top w:val="single" w:sz="12" w:space="0" w:color="000000"/>
              <w:left w:val="nil"/>
              <w:bottom w:val="single" w:sz="4" w:space="0" w:color="auto"/>
              <w:right w:val="nil"/>
            </w:tcBorders>
            <w:noWrap/>
            <w:vAlign w:val="center"/>
          </w:tcPr>
          <w:p w14:paraId="46747AB0"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T</w:t>
            </w:r>
            <w:r w:rsidRPr="00797D66">
              <w:rPr>
                <w:rFonts w:ascii="Times New Roman" w:hAnsi="Times New Roman" w:cs="Times New Roman"/>
                <w:color w:val="000000"/>
                <w:sz w:val="22"/>
                <w:szCs w:val="22"/>
                <w:vertAlign w:val="subscript"/>
              </w:rPr>
              <w:t>sum</w:t>
            </w:r>
          </w:p>
        </w:tc>
        <w:tc>
          <w:tcPr>
            <w:tcW w:w="781" w:type="dxa"/>
            <w:tcBorders>
              <w:top w:val="single" w:sz="12" w:space="0" w:color="000000"/>
              <w:left w:val="nil"/>
              <w:bottom w:val="single" w:sz="4" w:space="0" w:color="auto"/>
              <w:right w:val="nil"/>
            </w:tcBorders>
            <w:noWrap/>
            <w:vAlign w:val="center"/>
          </w:tcPr>
          <w:p w14:paraId="7D93954A"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HI</w:t>
            </w:r>
          </w:p>
        </w:tc>
        <w:tc>
          <w:tcPr>
            <w:tcW w:w="720" w:type="dxa"/>
            <w:tcBorders>
              <w:top w:val="single" w:sz="12" w:space="0" w:color="000000"/>
              <w:left w:val="nil"/>
              <w:bottom w:val="single" w:sz="4" w:space="0" w:color="auto"/>
              <w:right w:val="nil"/>
            </w:tcBorders>
            <w:noWrap/>
            <w:vAlign w:val="center"/>
          </w:tcPr>
          <w:p w14:paraId="21D3328B"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I</w:t>
            </w:r>
            <w:r w:rsidRPr="00797D66">
              <w:rPr>
                <w:rFonts w:ascii="Times New Roman" w:hAnsi="Times New Roman" w:cs="Times New Roman"/>
                <w:color w:val="000000"/>
                <w:sz w:val="22"/>
                <w:szCs w:val="22"/>
                <w:vertAlign w:val="subscript"/>
              </w:rPr>
              <w:t>50A</w:t>
            </w:r>
          </w:p>
        </w:tc>
        <w:tc>
          <w:tcPr>
            <w:tcW w:w="720" w:type="dxa"/>
            <w:tcBorders>
              <w:top w:val="single" w:sz="12" w:space="0" w:color="000000"/>
              <w:left w:val="nil"/>
              <w:bottom w:val="single" w:sz="4" w:space="0" w:color="auto"/>
              <w:right w:val="nil"/>
            </w:tcBorders>
            <w:noWrap/>
            <w:vAlign w:val="center"/>
          </w:tcPr>
          <w:p w14:paraId="3E46BF4F"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I</w:t>
            </w:r>
            <w:r w:rsidRPr="00797D66">
              <w:rPr>
                <w:rFonts w:ascii="Times New Roman" w:hAnsi="Times New Roman" w:cs="Times New Roman"/>
                <w:color w:val="000000"/>
                <w:sz w:val="22"/>
                <w:szCs w:val="22"/>
                <w:vertAlign w:val="subscript"/>
              </w:rPr>
              <w:t>50B</w:t>
            </w:r>
          </w:p>
        </w:tc>
        <w:tc>
          <w:tcPr>
            <w:tcW w:w="222" w:type="dxa"/>
            <w:tcBorders>
              <w:top w:val="nil"/>
              <w:left w:val="nil"/>
              <w:bottom w:val="single" w:sz="4" w:space="0" w:color="auto"/>
              <w:right w:val="nil"/>
            </w:tcBorders>
          </w:tcPr>
          <w:p w14:paraId="3B26181C" w14:textId="77777777" w:rsidR="004F4FA8" w:rsidRPr="00797D66" w:rsidRDefault="004F4FA8" w:rsidP="0010678E">
            <w:pPr>
              <w:jc w:val="center"/>
              <w:rPr>
                <w:rFonts w:ascii="Times New Roman" w:hAnsi="Times New Roman" w:cs="Times New Roman"/>
                <w:color w:val="000000"/>
              </w:rPr>
            </w:pPr>
          </w:p>
        </w:tc>
        <w:tc>
          <w:tcPr>
            <w:tcW w:w="720" w:type="dxa"/>
            <w:tcBorders>
              <w:top w:val="single" w:sz="12" w:space="0" w:color="000000"/>
              <w:left w:val="nil"/>
              <w:bottom w:val="single" w:sz="4" w:space="0" w:color="auto"/>
              <w:right w:val="nil"/>
            </w:tcBorders>
            <w:noWrap/>
            <w:vAlign w:val="center"/>
          </w:tcPr>
          <w:p w14:paraId="3F77BEEB"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T</w:t>
            </w:r>
            <w:r w:rsidRPr="00797D66">
              <w:rPr>
                <w:rFonts w:ascii="Times New Roman" w:hAnsi="Times New Roman" w:cs="Times New Roman"/>
                <w:color w:val="000000"/>
                <w:sz w:val="22"/>
                <w:szCs w:val="22"/>
                <w:vertAlign w:val="subscript"/>
              </w:rPr>
              <w:t>base</w:t>
            </w:r>
          </w:p>
        </w:tc>
        <w:tc>
          <w:tcPr>
            <w:tcW w:w="720" w:type="dxa"/>
            <w:tcBorders>
              <w:top w:val="single" w:sz="12" w:space="0" w:color="000000"/>
              <w:left w:val="nil"/>
              <w:bottom w:val="single" w:sz="4" w:space="0" w:color="auto"/>
              <w:right w:val="nil"/>
            </w:tcBorders>
            <w:noWrap/>
            <w:vAlign w:val="center"/>
          </w:tcPr>
          <w:p w14:paraId="6FE4018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T</w:t>
            </w:r>
            <w:r w:rsidRPr="00797D66">
              <w:rPr>
                <w:rFonts w:ascii="Times New Roman" w:hAnsi="Times New Roman" w:cs="Times New Roman"/>
                <w:color w:val="000000"/>
                <w:sz w:val="22"/>
                <w:szCs w:val="22"/>
                <w:vertAlign w:val="subscript"/>
              </w:rPr>
              <w:t>opt</w:t>
            </w:r>
          </w:p>
        </w:tc>
        <w:tc>
          <w:tcPr>
            <w:tcW w:w="741" w:type="dxa"/>
            <w:tcBorders>
              <w:top w:val="single" w:sz="12" w:space="0" w:color="000000"/>
              <w:left w:val="nil"/>
              <w:bottom w:val="single" w:sz="4" w:space="0" w:color="auto"/>
              <w:right w:val="nil"/>
            </w:tcBorders>
            <w:noWrap/>
            <w:vAlign w:val="center"/>
          </w:tcPr>
          <w:p w14:paraId="191C89AB"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RUE</w:t>
            </w:r>
          </w:p>
        </w:tc>
        <w:tc>
          <w:tcPr>
            <w:tcW w:w="772" w:type="dxa"/>
            <w:tcBorders>
              <w:top w:val="single" w:sz="12" w:space="0" w:color="000000"/>
              <w:left w:val="nil"/>
              <w:bottom w:val="single" w:sz="4" w:space="0" w:color="auto"/>
              <w:right w:val="nil"/>
            </w:tcBorders>
            <w:noWrap/>
            <w:vAlign w:val="center"/>
          </w:tcPr>
          <w:p w14:paraId="76DA19F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I</w:t>
            </w:r>
            <w:r w:rsidRPr="00797D66">
              <w:rPr>
                <w:rFonts w:ascii="Times New Roman" w:hAnsi="Times New Roman" w:cs="Times New Roman"/>
                <w:color w:val="000000"/>
                <w:sz w:val="22"/>
                <w:szCs w:val="22"/>
                <w:vertAlign w:val="subscript"/>
              </w:rPr>
              <w:t>50maxH</w:t>
            </w:r>
          </w:p>
        </w:tc>
        <w:tc>
          <w:tcPr>
            <w:tcW w:w="803" w:type="dxa"/>
            <w:tcBorders>
              <w:top w:val="single" w:sz="12" w:space="0" w:color="000000"/>
              <w:left w:val="nil"/>
              <w:bottom w:val="single" w:sz="4" w:space="0" w:color="auto"/>
              <w:right w:val="nil"/>
            </w:tcBorders>
            <w:noWrap/>
            <w:vAlign w:val="center"/>
          </w:tcPr>
          <w:p w14:paraId="282234E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I</w:t>
            </w:r>
            <w:r w:rsidRPr="00797D66">
              <w:rPr>
                <w:rFonts w:ascii="Times New Roman" w:hAnsi="Times New Roman" w:cs="Times New Roman"/>
                <w:color w:val="000000"/>
                <w:sz w:val="22"/>
                <w:szCs w:val="22"/>
                <w:vertAlign w:val="subscript"/>
              </w:rPr>
              <w:t>50maxW</w:t>
            </w:r>
          </w:p>
        </w:tc>
        <w:tc>
          <w:tcPr>
            <w:tcW w:w="720" w:type="dxa"/>
            <w:tcBorders>
              <w:top w:val="single" w:sz="12" w:space="0" w:color="000000"/>
              <w:left w:val="nil"/>
              <w:bottom w:val="single" w:sz="4" w:space="0" w:color="auto"/>
              <w:right w:val="nil"/>
            </w:tcBorders>
            <w:noWrap/>
            <w:vAlign w:val="center"/>
          </w:tcPr>
          <w:p w14:paraId="4355440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T</w:t>
            </w:r>
            <w:r w:rsidRPr="00797D66">
              <w:rPr>
                <w:rFonts w:ascii="Times New Roman" w:hAnsi="Times New Roman" w:cs="Times New Roman"/>
                <w:color w:val="000000"/>
                <w:sz w:val="22"/>
                <w:szCs w:val="22"/>
                <w:vertAlign w:val="subscript"/>
              </w:rPr>
              <w:t>max</w:t>
            </w:r>
          </w:p>
        </w:tc>
        <w:tc>
          <w:tcPr>
            <w:tcW w:w="720" w:type="dxa"/>
            <w:tcBorders>
              <w:top w:val="single" w:sz="12" w:space="0" w:color="000000"/>
              <w:left w:val="nil"/>
              <w:bottom w:val="single" w:sz="4" w:space="0" w:color="auto"/>
              <w:right w:val="nil"/>
            </w:tcBorders>
            <w:noWrap/>
            <w:vAlign w:val="center"/>
          </w:tcPr>
          <w:p w14:paraId="391FE23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T</w:t>
            </w:r>
            <w:r w:rsidRPr="00797D66">
              <w:rPr>
                <w:rFonts w:ascii="Times New Roman" w:hAnsi="Times New Roman" w:cs="Times New Roman"/>
                <w:color w:val="000000"/>
                <w:sz w:val="22"/>
                <w:szCs w:val="22"/>
                <w:vertAlign w:val="subscript"/>
              </w:rPr>
              <w:t>ext</w:t>
            </w:r>
          </w:p>
        </w:tc>
        <w:tc>
          <w:tcPr>
            <w:tcW w:w="731" w:type="dxa"/>
            <w:tcBorders>
              <w:top w:val="single" w:sz="12" w:space="0" w:color="000000"/>
              <w:left w:val="nil"/>
              <w:bottom w:val="single" w:sz="4" w:space="0" w:color="auto"/>
              <w:right w:val="nil"/>
            </w:tcBorders>
            <w:noWrap/>
            <w:vAlign w:val="center"/>
          </w:tcPr>
          <w:p w14:paraId="1737174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S</w:t>
            </w:r>
            <w:r w:rsidRPr="00797D66">
              <w:rPr>
                <w:rFonts w:ascii="Times New Roman" w:hAnsi="Times New Roman" w:cs="Times New Roman"/>
                <w:color w:val="000000"/>
                <w:sz w:val="22"/>
                <w:szCs w:val="22"/>
                <w:vertAlign w:val="subscript"/>
              </w:rPr>
              <w:t>CO2</w:t>
            </w:r>
          </w:p>
        </w:tc>
        <w:tc>
          <w:tcPr>
            <w:tcW w:w="720" w:type="dxa"/>
            <w:tcBorders>
              <w:top w:val="single" w:sz="12" w:space="0" w:color="000000"/>
              <w:left w:val="nil"/>
              <w:bottom w:val="single" w:sz="4" w:space="0" w:color="auto"/>
              <w:right w:val="nil"/>
            </w:tcBorders>
            <w:noWrap/>
            <w:vAlign w:val="center"/>
          </w:tcPr>
          <w:p w14:paraId="3783CAF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hAnsi="Times New Roman" w:cs="Times New Roman"/>
                <w:color w:val="000000"/>
                <w:sz w:val="22"/>
                <w:szCs w:val="22"/>
              </w:rPr>
              <w:t>S</w:t>
            </w:r>
            <w:r w:rsidRPr="00797D66">
              <w:rPr>
                <w:rFonts w:ascii="Times New Roman" w:hAnsi="Times New Roman" w:cs="Times New Roman"/>
                <w:color w:val="000000"/>
                <w:sz w:val="22"/>
                <w:szCs w:val="22"/>
                <w:vertAlign w:val="subscript"/>
              </w:rPr>
              <w:t>Water</w:t>
            </w:r>
          </w:p>
        </w:tc>
      </w:tr>
      <w:tr w:rsidR="00EF2D7F" w:rsidRPr="00925990" w14:paraId="7708FBA3" w14:textId="77777777" w:rsidTr="00F61362">
        <w:trPr>
          <w:trHeight w:val="513"/>
          <w:jc w:val="center"/>
        </w:trPr>
        <w:tc>
          <w:tcPr>
            <w:tcW w:w="1402" w:type="dxa"/>
            <w:vMerge w:val="restart"/>
            <w:tcBorders>
              <w:left w:val="nil"/>
              <w:right w:val="nil"/>
            </w:tcBorders>
            <w:noWrap/>
            <w:vAlign w:val="center"/>
            <w:hideMark/>
          </w:tcPr>
          <w:p w14:paraId="7C059192"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Cereals</w:t>
            </w:r>
          </w:p>
        </w:tc>
        <w:tc>
          <w:tcPr>
            <w:tcW w:w="1121" w:type="dxa"/>
            <w:tcBorders>
              <w:left w:val="nil"/>
              <w:bottom w:val="nil"/>
              <w:right w:val="nil"/>
            </w:tcBorders>
            <w:vAlign w:val="center"/>
          </w:tcPr>
          <w:p w14:paraId="7CAE7D0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Maize</w:t>
            </w:r>
          </w:p>
        </w:tc>
        <w:tc>
          <w:tcPr>
            <w:tcW w:w="796" w:type="dxa"/>
            <w:tcBorders>
              <w:left w:val="nil"/>
              <w:bottom w:val="nil"/>
              <w:right w:val="nil"/>
            </w:tcBorders>
            <w:noWrap/>
            <w:vAlign w:val="center"/>
            <w:hideMark/>
          </w:tcPr>
          <w:p w14:paraId="4CFE9004"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1550</w:t>
            </w:r>
          </w:p>
        </w:tc>
        <w:tc>
          <w:tcPr>
            <w:tcW w:w="781" w:type="dxa"/>
            <w:tcBorders>
              <w:left w:val="nil"/>
              <w:bottom w:val="nil"/>
              <w:right w:val="nil"/>
            </w:tcBorders>
            <w:noWrap/>
            <w:vAlign w:val="center"/>
            <w:hideMark/>
          </w:tcPr>
          <w:p w14:paraId="5CE7BEA5" w14:textId="782E7344"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0.25</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{"citationID":"ympfB9fi","properties":{"formattedCitation":"\\super 1\\nosupersub{}","plainCitation":"1","noteIndex":0},"citationItems":[{"id":"mqSqq5TW/SFX9wRgd","uris":["http://zotero.org/users/local/gSqrXGmY/items/3KMST39L"],"itemData":{"id":614,"type":"thesis","title":"Response of maize grain and stover yields to tillage and different soil fertility management practices in the semi-deciduous forest zone of Ghana","author":[{"family":"Amegashie","given":"Kofi Bright"}],"issued":{"date-parts":[["2015"]]}}}],"schema":"https://github.com/citation-style-language/schema/raw/master/csl-citation.json"}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Pr="00797D66">
              <w:rPr>
                <w:rFonts w:ascii="Times New Roman" w:hAnsi="Times New Roman" w:cs="Times New Roman"/>
                <w:sz w:val="22"/>
                <w:vertAlign w:val="superscript"/>
              </w:rPr>
              <w:t>1</w:t>
            </w:r>
            <w:r w:rsidRPr="00797D66">
              <w:rPr>
                <w:rFonts w:ascii="Times New Roman" w:eastAsia="Times New Roman" w:hAnsi="Times New Roman" w:cs="Times New Roman"/>
                <w:color w:val="000000"/>
                <w:kern w:val="0"/>
                <w14:ligatures w14:val="none"/>
              </w:rPr>
              <w:fldChar w:fldCharType="end"/>
            </w:r>
            <w:r w:rsidRPr="00797D66">
              <w:rPr>
                <w:rFonts w:ascii="Times New Roman" w:eastAsia="Times New Roman" w:hAnsi="Times New Roman" w:cs="Times New Roman"/>
                <w:color w:val="000000"/>
                <w:kern w:val="0"/>
                <w:sz w:val="22"/>
                <w:szCs w:val="22"/>
                <w14:ligatures w14:val="none"/>
              </w:rPr>
              <w:t>*</w:t>
            </w:r>
          </w:p>
        </w:tc>
        <w:tc>
          <w:tcPr>
            <w:tcW w:w="720" w:type="dxa"/>
            <w:tcBorders>
              <w:left w:val="nil"/>
              <w:bottom w:val="nil"/>
              <w:right w:val="nil"/>
            </w:tcBorders>
            <w:noWrap/>
            <w:vAlign w:val="center"/>
            <w:hideMark/>
          </w:tcPr>
          <w:p w14:paraId="4189ADF0"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600</w:t>
            </w:r>
          </w:p>
        </w:tc>
        <w:tc>
          <w:tcPr>
            <w:tcW w:w="720" w:type="dxa"/>
            <w:tcBorders>
              <w:left w:val="nil"/>
              <w:bottom w:val="nil"/>
              <w:right w:val="nil"/>
            </w:tcBorders>
            <w:noWrap/>
            <w:vAlign w:val="center"/>
            <w:hideMark/>
          </w:tcPr>
          <w:p w14:paraId="59E29C8A"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250</w:t>
            </w:r>
          </w:p>
        </w:tc>
        <w:tc>
          <w:tcPr>
            <w:tcW w:w="222" w:type="dxa"/>
            <w:tcBorders>
              <w:left w:val="nil"/>
              <w:bottom w:val="nil"/>
              <w:right w:val="nil"/>
            </w:tcBorders>
          </w:tcPr>
          <w:p w14:paraId="659C377E"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left w:val="nil"/>
              <w:bottom w:val="nil"/>
              <w:right w:val="nil"/>
            </w:tcBorders>
            <w:noWrap/>
            <w:vAlign w:val="center"/>
            <w:hideMark/>
          </w:tcPr>
          <w:p w14:paraId="3509C30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8</w:t>
            </w:r>
          </w:p>
        </w:tc>
        <w:tc>
          <w:tcPr>
            <w:tcW w:w="720" w:type="dxa"/>
            <w:tcBorders>
              <w:left w:val="nil"/>
              <w:bottom w:val="nil"/>
              <w:right w:val="nil"/>
            </w:tcBorders>
            <w:noWrap/>
            <w:vAlign w:val="center"/>
            <w:hideMark/>
          </w:tcPr>
          <w:p w14:paraId="528CA13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28</w:t>
            </w:r>
          </w:p>
        </w:tc>
        <w:tc>
          <w:tcPr>
            <w:tcW w:w="741" w:type="dxa"/>
            <w:tcBorders>
              <w:left w:val="nil"/>
              <w:bottom w:val="nil"/>
              <w:right w:val="nil"/>
            </w:tcBorders>
            <w:noWrap/>
            <w:vAlign w:val="center"/>
            <w:hideMark/>
          </w:tcPr>
          <w:p w14:paraId="781280FE" w14:textId="30FE95F2"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w:t>
            </w:r>
            <w:r w:rsidR="00D57B97">
              <w:rPr>
                <w:rFonts w:ascii="Times New Roman" w:eastAsia="Times New Roman" w:hAnsi="Times New Roman" w:cs="Times New Roman"/>
                <w:color w:val="000000"/>
                <w:kern w:val="0"/>
                <w:sz w:val="22"/>
                <w:szCs w:val="22"/>
                <w14:ligatures w14:val="none"/>
              </w:rPr>
              <w:t>.00</w:t>
            </w:r>
          </w:p>
        </w:tc>
        <w:tc>
          <w:tcPr>
            <w:tcW w:w="772" w:type="dxa"/>
            <w:tcBorders>
              <w:left w:val="nil"/>
              <w:bottom w:val="nil"/>
              <w:right w:val="nil"/>
            </w:tcBorders>
            <w:noWrap/>
            <w:vAlign w:val="center"/>
            <w:hideMark/>
          </w:tcPr>
          <w:p w14:paraId="78EB7653"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100</w:t>
            </w:r>
          </w:p>
        </w:tc>
        <w:tc>
          <w:tcPr>
            <w:tcW w:w="803" w:type="dxa"/>
            <w:tcBorders>
              <w:left w:val="nil"/>
              <w:bottom w:val="nil"/>
              <w:right w:val="nil"/>
            </w:tcBorders>
            <w:noWrap/>
            <w:vAlign w:val="center"/>
            <w:hideMark/>
          </w:tcPr>
          <w:p w14:paraId="7C273746"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w:t>
            </w:r>
          </w:p>
        </w:tc>
        <w:tc>
          <w:tcPr>
            <w:tcW w:w="720" w:type="dxa"/>
            <w:tcBorders>
              <w:left w:val="nil"/>
              <w:bottom w:val="nil"/>
              <w:right w:val="nil"/>
            </w:tcBorders>
            <w:noWrap/>
            <w:vAlign w:val="center"/>
            <w:hideMark/>
          </w:tcPr>
          <w:p w14:paraId="078072A4"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34</w:t>
            </w:r>
          </w:p>
        </w:tc>
        <w:tc>
          <w:tcPr>
            <w:tcW w:w="720" w:type="dxa"/>
            <w:tcBorders>
              <w:left w:val="nil"/>
              <w:bottom w:val="nil"/>
              <w:right w:val="nil"/>
            </w:tcBorders>
            <w:noWrap/>
            <w:vAlign w:val="center"/>
            <w:hideMark/>
          </w:tcPr>
          <w:p w14:paraId="65BABAF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50</w:t>
            </w:r>
          </w:p>
        </w:tc>
        <w:tc>
          <w:tcPr>
            <w:tcW w:w="731" w:type="dxa"/>
            <w:tcBorders>
              <w:left w:val="nil"/>
              <w:bottom w:val="nil"/>
              <w:right w:val="nil"/>
            </w:tcBorders>
            <w:noWrap/>
            <w:vAlign w:val="center"/>
            <w:hideMark/>
          </w:tcPr>
          <w:p w14:paraId="47A2A6B0"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0.01</w:t>
            </w:r>
          </w:p>
        </w:tc>
        <w:tc>
          <w:tcPr>
            <w:tcW w:w="720" w:type="dxa"/>
            <w:tcBorders>
              <w:left w:val="nil"/>
              <w:bottom w:val="nil"/>
              <w:right w:val="nil"/>
            </w:tcBorders>
            <w:noWrap/>
            <w:vAlign w:val="center"/>
            <w:hideMark/>
          </w:tcPr>
          <w:p w14:paraId="45E1806F"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1.5</w:t>
            </w:r>
          </w:p>
        </w:tc>
      </w:tr>
      <w:tr w:rsidR="00EF2D7F" w:rsidRPr="00925990" w14:paraId="7536C59B" w14:textId="77777777" w:rsidTr="00F61362">
        <w:trPr>
          <w:trHeight w:val="513"/>
          <w:jc w:val="center"/>
        </w:trPr>
        <w:tc>
          <w:tcPr>
            <w:tcW w:w="1402" w:type="dxa"/>
            <w:vMerge/>
            <w:tcBorders>
              <w:left w:val="nil"/>
              <w:right w:val="nil"/>
            </w:tcBorders>
            <w:noWrap/>
            <w:vAlign w:val="center"/>
            <w:hideMark/>
          </w:tcPr>
          <w:p w14:paraId="2EAA89D6"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1121" w:type="dxa"/>
            <w:tcBorders>
              <w:top w:val="nil"/>
              <w:left w:val="nil"/>
              <w:bottom w:val="nil"/>
              <w:right w:val="nil"/>
            </w:tcBorders>
            <w:vAlign w:val="center"/>
          </w:tcPr>
          <w:p w14:paraId="5F76A6B0"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Fonio</w:t>
            </w:r>
          </w:p>
        </w:tc>
        <w:tc>
          <w:tcPr>
            <w:tcW w:w="796" w:type="dxa"/>
            <w:tcBorders>
              <w:top w:val="nil"/>
              <w:left w:val="nil"/>
              <w:bottom w:val="nil"/>
              <w:right w:val="nil"/>
            </w:tcBorders>
            <w:noWrap/>
            <w:vAlign w:val="center"/>
            <w:hideMark/>
          </w:tcPr>
          <w:p w14:paraId="65E5A6DF" w14:textId="270F6978"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1320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{"citationID":"roauDBll","properties":{"formattedCitation":"\\super 2\\nosupersub{}","plainCitation":"2","noteIndex":0},"citationItems":[{"id":"mqSqq5TW/ZBDVUZ0S","uris":["http://zotero.org/users/local/LoCbdFly/items/9KXG85BE"],"itemData":{"id":82,"type":"article-journal","abstract":"A field experiment was carried out during the rainy cropping seasons of 2010 and 2011 in Southeastern Senegal. The study aimed at investigating the effects of sowing dates on plant growth and grain yield of fonio millet (Digitaria exilis Stapf). Seven planting times (from early July to mid August with 7-day interval) were laid out in a randomized complete block design. In general, plant growth and grain yield were significantly better for the early July sowing dates compared to other sowing dates. However, tillering capacity and grain size were not influenced by the sowing date. Highest grain yields were obtained on 15-July planting date with an average of 1,111 kg ha-1 in 2010 and 1,269 kg ha-1 in 2011. Compared to this planting date, the delay in sowing reduced grain yield by 50% in 2010 and 87% in 2011. Detrimental high rains to seedling vigor, decreasing sunshine during the plant growth, and rain deficit during the reproductive phase were among the main limiting factors for late sowings. Hence, the first fortnight of July could be recommended as optimal sowing period for early maturing cultivars of fonio in Southeastern Senegal.","container-title":"International Journal of Biological and Chemical Sciences","DOI":"10.4314/ijbcs.v9i2.1","ISSN":"1997-342X, 1991-8631","issue":"2","journalAbbreviation":"Int. J. Bio. Chem. Sci","language":"en","page":"581","source":"DOI.org (Crossref)","title":"Effect of planting date on growth and grain yield of fonio millet (&lt;i&gt;Digitaria exilis&lt;/i&gt; Stapf) in the Southeast of Senegal","volume":"9","author":[{"family":"Gueye","given":"M"},{"family":"Kanfany","given":"G"},{"family":"Fofana","given":"A"},{"family":"Gueye","given":"M"},{"family":"Noba","given":"K"},{"family":"Grove","given":"Jh"}],"issued":{"date-parts":[["2015",7,22]]}}}],"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Pr="00797D66">
              <w:rPr>
                <w:rFonts w:ascii="Times New Roman" w:hAnsi="Times New Roman" w:cs="Times New Roman"/>
                <w:sz w:val="22"/>
                <w:vertAlign w:val="superscript"/>
              </w:rPr>
              <w:t>2</w:t>
            </w:r>
            <w:r w:rsidRPr="00797D66">
              <w:rPr>
                <w:rFonts w:ascii="Times New Roman" w:eastAsia="Times New Roman" w:hAnsi="Times New Roman" w:cs="Times New Roman"/>
                <w:color w:val="000000"/>
                <w:kern w:val="0"/>
                <w14:ligatures w14:val="none"/>
              </w:rPr>
              <w:fldChar w:fldCharType="end"/>
            </w:r>
          </w:p>
        </w:tc>
        <w:tc>
          <w:tcPr>
            <w:tcW w:w="781" w:type="dxa"/>
            <w:tcBorders>
              <w:top w:val="nil"/>
              <w:left w:val="nil"/>
              <w:bottom w:val="nil"/>
              <w:right w:val="nil"/>
            </w:tcBorders>
            <w:noWrap/>
            <w:vAlign w:val="center"/>
            <w:hideMark/>
          </w:tcPr>
          <w:p w14:paraId="363F994C" w14:textId="5FC9ED38"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0.24</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{"citationID":"wJRuSooE","properties":{"formattedCitation":"\\super 3\\nosupersub{}","plainCitation":"3","noteIndex":0},"citationItems":[{"id":"mqSqq5TW/lMCrwEeP","uris":["http://zotero.org/users/local/LoCbdFly/items/NT5NXK4Z"],"itemData":{"id":83,"type":"article-journal","abstract":"Fonio is an ancient orphan cereal, cultivated by resource-poor farmers in arid and semi-arid regions of West Africa, who conserved and used the cereal for nutrition and income generation. However, the extent and patterns of phenotypic variation within the fonio germplasm remain scarcely evaluated to inform breeding decisions. In this study, we used alpha lattice design to assess the phenotypic variability of 180 fonio accessions using 20 agro morphological descriptors, including both qualitative and quantitative traits at Bengou research station in 2018 and 2019. Descriptive statistics, combined analysis and multivariate analyses, including principal components analysis (PCA), hierarchical clustering, and multiple factor analysis (MFA) were performed. As results, we found significant differences among fonio accessions and among agro ecological zones of provenance for most of the quantitative traits. Furthermore, highly significant positive correlations were found between grain yield and other yield-related attributes such as harvest index and thousand seeds weight, whereas significant negative correlations were found between grain yield and flowering and maturity times. Clusters analysis revealed three phenotypic groups. Group 1 was characterized by early maturing fonio accessions with higher grain yield. Groups 2 and 3 were characterized by late maturing accessions with intermediate to moderate grain yield. The accessions from Group 1 are candidate for yield improvement and development of fonio lines with enhanced lodging resistance. Accessions from Group 2 and 3 can be improved for yield through marker-assisted selection of best thousand seed weight. This study highlights how traits are correlated within the major phenotypic groups of fonio in West Africa, and we discussed how these groups could be further exploited for improving traits of economic importance. Furthermore, this study exhibited agro morphological descriptors that discriminate fonio accessions and provide useful information for parental selection with economically important agronomic traits.","container-title":"Agronomy","DOI":"10.3390/agronomy10111653","ISSN":"2073-4395","issue":"11","language":"en","license":"http://creativecommons.org/licenses/by/3.0/","note":"number: 11\npublisher: Multidisciplinary Digital Publishing Institute","page":"1653","source":"www.mdpi.com","title":"Agromorphological Characterization Revealed Three Phenotypic Groups in a Region-Wide Germplasm of Fonio (Digitaria exilis (Kippist) Stapf) from West Africa","volume":"10","author":[{"family":"Ibrahim Bio Yerima","given":"Abdou R."},{"family":"Achigan-Dako","given":"Enoch G."},{"family":"Aissata","given":"Mamadou"},{"family":"Sekloka","given":"Emmanuel"},{"family":"Billot","given":"Claire"},{"family":"Adje","given":"Charlotte O. A."},{"family":"Barnaud","given":"Adeline"},{"family":"Bakasso","given":"Yacoubou"}],"issued":{"date-parts":[["2020",11]]}}}],"schema":"https://github.com/citation-style-language/schema/raw/master/csl-citation.json"}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Pr="00797D66">
              <w:rPr>
                <w:rFonts w:ascii="Times New Roman" w:hAnsi="Times New Roman" w:cs="Times New Roman"/>
                <w:sz w:val="22"/>
                <w:vertAlign w:val="superscript"/>
              </w:rPr>
              <w:t>3</w:t>
            </w:r>
            <w:r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nil"/>
              <w:right w:val="nil"/>
            </w:tcBorders>
            <w:noWrap/>
            <w:vAlign w:val="center"/>
            <w:hideMark/>
          </w:tcPr>
          <w:p w14:paraId="40E8BBBF"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700</w:t>
            </w:r>
          </w:p>
        </w:tc>
        <w:tc>
          <w:tcPr>
            <w:tcW w:w="720" w:type="dxa"/>
            <w:tcBorders>
              <w:top w:val="nil"/>
              <w:left w:val="nil"/>
              <w:bottom w:val="nil"/>
              <w:right w:val="nil"/>
            </w:tcBorders>
            <w:noWrap/>
            <w:vAlign w:val="center"/>
            <w:hideMark/>
          </w:tcPr>
          <w:p w14:paraId="3B775EA3"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400</w:t>
            </w:r>
          </w:p>
        </w:tc>
        <w:tc>
          <w:tcPr>
            <w:tcW w:w="222" w:type="dxa"/>
            <w:tcBorders>
              <w:top w:val="nil"/>
              <w:left w:val="nil"/>
              <w:bottom w:val="nil"/>
              <w:right w:val="nil"/>
            </w:tcBorders>
          </w:tcPr>
          <w:p w14:paraId="6D765B4B"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top w:val="nil"/>
              <w:left w:val="nil"/>
              <w:bottom w:val="nil"/>
              <w:right w:val="nil"/>
            </w:tcBorders>
            <w:noWrap/>
            <w:vAlign w:val="center"/>
            <w:hideMark/>
          </w:tcPr>
          <w:p w14:paraId="70994268"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w:t>
            </w:r>
          </w:p>
        </w:tc>
        <w:tc>
          <w:tcPr>
            <w:tcW w:w="720" w:type="dxa"/>
            <w:tcBorders>
              <w:top w:val="nil"/>
              <w:left w:val="nil"/>
              <w:bottom w:val="nil"/>
              <w:right w:val="nil"/>
            </w:tcBorders>
            <w:noWrap/>
            <w:vAlign w:val="center"/>
            <w:hideMark/>
          </w:tcPr>
          <w:p w14:paraId="42957ADB" w14:textId="53488439"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33</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{"citationID":"FQsb6KHW","properties":{"formattedCitation":"\\super 4\\nosupersub{}","plainCitation":"4","noteIndex":0},"citationItems":[{"id":"mqSqq5TW/XabuabNN","uris":["http://zotero.org/users/local/LoCbdFly/items/R7Q3XEW2"],"itemData":{"id":85,"type":"thesis","abstract":"Frequent droughts and sub-optimal crop management have been identified as the principal constraints on agricultural intensifcation in the Sahel. A new model, the Crop Model for Sahelian Adaptation Studies (CROMSAS), was developed to examine the influence of climatic variability, climate change and crop management strategies on millet yields. To improve the simulation of environmental stresses, several\noriginal features were implemented including a new leaf expansion methodology, semi-independent tillers, stress-dependent partitioning, and intercropping. CROMSAS was designed in a structured, accessible way to facilitate the use of the model by other researchers who want to examine climate change impacts in Africa.\n\nThe influences of rainfall and crop management decisions over the period 1950{2009 were assessed for six locations in Senegal with average rainfall from 200mm to 1200 mm. Poor rainfall severely restricted yields in the north of the country in most years while having little impact in the more humid south. In the highly-populated groundnut basin, rainfall variability reduced the effectiveness and hence the profitability of fertiliser application. Current planting densities were found to lie within the optimal range but higher grain yields could have been produced, with lower risk of crop failure, by delaying planting by 2-3 weeks.\n\nThe benefits of adapting crop management strategies according to the conditions in previous years were assessed. Using a fixed long-term strategy produced higher long-term yields and profits, at lower risk of crop failure, than frequently changing strategies.\n\nProjections from three GCMs for the period 2000-2100 were converted to daily weather data using a novel methodology and used to examine the impact of climate change on millet cultivation across Senegal. Grain yields were projected to be relatively unchanged for the SRES A2 and B1 scenarios, with losses due to temperature increases and higher vapour pressure deficits being balanced by CO2 fertilisation.","genre":"phd","language":"en","license":"cc_by_nc_sa","note":"ISBN: 9780857310262","publisher":"University of Leeds","source":"etheses.whiterose.ac.uk","title":"Development of a crop model to examine crop management and climate change in Senegal","URL":"https://etheses.whiterose.ac.uk/1121/","author":[{"family":"Dodds","given":"Paul Edward"}],"accessed":{"date-parts":[["2024",5,11]]},"issued":{"date-parts":[["2010",3]]}}}],"schema":"https://github.com/citation-style-language/schema/raw/master/csl-citation.json"}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Pr="00797D66">
              <w:rPr>
                <w:rFonts w:ascii="Times New Roman" w:hAnsi="Times New Roman" w:cs="Times New Roman"/>
                <w:sz w:val="22"/>
                <w:vertAlign w:val="superscript"/>
              </w:rPr>
              <w:t>4</w:t>
            </w:r>
            <w:r w:rsidRPr="00797D66">
              <w:rPr>
                <w:rFonts w:ascii="Times New Roman" w:eastAsia="Times New Roman" w:hAnsi="Times New Roman" w:cs="Times New Roman"/>
                <w:color w:val="000000"/>
                <w:kern w:val="0"/>
                <w14:ligatures w14:val="none"/>
              </w:rPr>
              <w:fldChar w:fldCharType="end"/>
            </w:r>
          </w:p>
        </w:tc>
        <w:tc>
          <w:tcPr>
            <w:tcW w:w="741" w:type="dxa"/>
            <w:tcBorders>
              <w:top w:val="nil"/>
              <w:left w:val="nil"/>
              <w:bottom w:val="nil"/>
              <w:right w:val="nil"/>
            </w:tcBorders>
            <w:noWrap/>
            <w:vAlign w:val="center"/>
            <w:hideMark/>
          </w:tcPr>
          <w:p w14:paraId="7B96ECC3" w14:textId="2EC40FCB"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1.90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{"citationID":"j6cha18h","properties":{"formattedCitation":"\\super 4\\nosupersub{}","plainCitation":"4","noteIndex":0},"citationItems":[{"id":"mqSqq5TW/XabuabNN","uris":["http://zotero.org/users/local/LoCbdFly/items/R7Q3XEW2"],"itemData":{"id":85,"type":"thesis","abstract":"Frequent droughts and sub-optimal crop management have been identified as the principal constraints on agricultural intensifcation in the Sahel. A new model, the Crop Model for Sahelian Adaptation Studies (CROMSAS), was developed to examine the influence of climatic variability, climate change and crop management strategies on millet yields. To improve the simulation of environmental stresses, several\noriginal features were implemented including a new leaf expansion methodology, semi-independent tillers, stress-dependent partitioning, and intercropping. CROMSAS was designed in a structured, accessible way to facilitate the use of the model by other researchers who want to examine climate change impacts in Africa.\n\nThe influences of rainfall and crop management decisions over the period 1950{2009 were assessed for six locations in Senegal with average rainfall from 200mm to 1200 mm. Poor rainfall severely restricted yields in the north of the country in most years while having little impact in the more humid south. In the highly-populated groundnut basin, rainfall variability reduced the effectiveness and hence the profitability of fertiliser application. Current planting densities were found to lie within the optimal range but higher grain yields could have been produced, with lower risk of crop failure, by delaying planting by 2-3 weeks.\n\nThe benefits of adapting crop management strategies according to the conditions in previous years were assessed. Using a fixed long-term strategy produced higher long-term yields and profits, at lower risk of crop failure, than frequently changing strategies.\n\nProjections from three GCMs for the period 2000-2100 were converted to daily weather data using a novel methodology and used to examine the impact of climate change on millet cultivation across Senegal. Grain yields were projected to be relatively unchanged for the SRES A2 and B1 scenarios, with losses due to temperature increases and higher vapour pressure deficits being balanced by CO2 fertilisation.","genre":"phd","language":"en","license":"cc_by_nc_sa","note":"ISBN: 9780857310262","publisher":"University of Leeds","source":"etheses.whiterose.ac.uk","title":"Development of a crop model to examine crop management and climate change in Senegal","URL":"https://etheses.whiterose.ac.uk/1121/","author":[{"family":"Dodds","given":"Paul Edward"}],"accessed":{"date-parts":[["2024",5,11]]},"issued":{"date-parts":[["2010",3]]}}}],"schema":"https://github.com/citation-style-language/schema/raw/master/csl-citation.json"}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Pr="00797D66">
              <w:rPr>
                <w:rFonts w:ascii="Times New Roman" w:hAnsi="Times New Roman" w:cs="Times New Roman"/>
                <w:sz w:val="22"/>
                <w:vertAlign w:val="superscript"/>
              </w:rPr>
              <w:t>4</w:t>
            </w:r>
            <w:r w:rsidRPr="00797D66">
              <w:rPr>
                <w:rFonts w:ascii="Times New Roman" w:eastAsia="Times New Roman" w:hAnsi="Times New Roman" w:cs="Times New Roman"/>
                <w:color w:val="000000"/>
                <w:kern w:val="0"/>
                <w14:ligatures w14:val="none"/>
              </w:rPr>
              <w:fldChar w:fldCharType="end"/>
            </w:r>
          </w:p>
        </w:tc>
        <w:tc>
          <w:tcPr>
            <w:tcW w:w="772" w:type="dxa"/>
            <w:tcBorders>
              <w:top w:val="nil"/>
              <w:left w:val="nil"/>
              <w:bottom w:val="nil"/>
              <w:right w:val="nil"/>
            </w:tcBorders>
            <w:noWrap/>
            <w:vAlign w:val="center"/>
            <w:hideMark/>
          </w:tcPr>
          <w:p w14:paraId="6805E06F"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100</w:t>
            </w:r>
          </w:p>
        </w:tc>
        <w:tc>
          <w:tcPr>
            <w:tcW w:w="803" w:type="dxa"/>
            <w:tcBorders>
              <w:top w:val="nil"/>
              <w:left w:val="nil"/>
              <w:bottom w:val="nil"/>
              <w:right w:val="nil"/>
            </w:tcBorders>
            <w:noWrap/>
            <w:vAlign w:val="center"/>
            <w:hideMark/>
          </w:tcPr>
          <w:p w14:paraId="447FFC3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w:t>
            </w:r>
          </w:p>
        </w:tc>
        <w:tc>
          <w:tcPr>
            <w:tcW w:w="720" w:type="dxa"/>
            <w:tcBorders>
              <w:top w:val="nil"/>
              <w:left w:val="nil"/>
              <w:bottom w:val="nil"/>
              <w:right w:val="nil"/>
            </w:tcBorders>
            <w:noWrap/>
            <w:vAlign w:val="center"/>
            <w:hideMark/>
          </w:tcPr>
          <w:p w14:paraId="7CFC5193" w14:textId="5921E44A"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46</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{"citationID":"9c4FT9Up","properties":{"formattedCitation":"\\super 4\\nosupersub{}","plainCitation":"4","noteIndex":0},"citationItems":[{"id":"mqSqq5TW/XabuabNN","uris":["http://zotero.org/users/local/LoCbdFly/items/R7Q3XEW2"],"itemData":{"id":85,"type":"thesis","abstract":"Frequent droughts and sub-optimal crop management have been identified as the principal constraints on agricultural intensifcation in the Sahel. A new model, the Crop Model for Sahelian Adaptation Studies (CROMSAS), was developed to examine the influence of climatic variability, climate change and crop management strategies on millet yields. To improve the simulation of environmental stresses, several\noriginal features were implemented including a new leaf expansion methodology, semi-independent tillers, stress-dependent partitioning, and intercropping. CROMSAS was designed in a structured, accessible way to facilitate the use of the model by other researchers who want to examine climate change impacts in Africa.\n\nThe influences of rainfall and crop management decisions over the period 1950{2009 were assessed for six locations in Senegal with average rainfall from 200mm to 1200 mm. Poor rainfall severely restricted yields in the north of the country in most years while having little impact in the more humid south. In the highly-populated groundnut basin, rainfall variability reduced the effectiveness and hence the profitability of fertiliser application. Current planting densities were found to lie within the optimal range but higher grain yields could have been produced, with lower risk of crop failure, by delaying planting by 2-3 weeks.\n\nThe benefits of adapting crop management strategies according to the conditions in previous years were assessed. Using a fixed long-term strategy produced higher long-term yields and profits, at lower risk of crop failure, than frequently changing strategies.\n\nProjections from three GCMs for the period 2000-2100 were converted to daily weather data using a novel methodology and used to examine the impact of climate change on millet cultivation across Senegal. Grain yields were projected to be relatively unchanged for the SRES A2 and B1 scenarios, with losses due to temperature increases and higher vapour pressure deficits being balanced by CO2 fertilisation.","genre":"phd","language":"en","license":"cc_by_nc_sa","note":"ISBN: 9780857310262","publisher":"University of Leeds","source":"etheses.whiterose.ac.uk","title":"Development of a crop model to examine crop management and climate change in Senegal","URL":"https://etheses.whiterose.ac.uk/1121/","author":[{"family":"Dodds","given":"Paul Edward"}],"accessed":{"date-parts":[["2024",5,11]]},"issued":{"date-parts":[["2010",3]]}}}],"schema":"https://github.com/citation-style-language/schema/raw/master/csl-citation.json"}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Pr="00797D66">
              <w:rPr>
                <w:rFonts w:ascii="Times New Roman" w:hAnsi="Times New Roman" w:cs="Times New Roman"/>
                <w:sz w:val="22"/>
                <w:vertAlign w:val="superscript"/>
              </w:rPr>
              <w:t>4</w:t>
            </w:r>
            <w:r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nil"/>
              <w:right w:val="nil"/>
            </w:tcBorders>
            <w:noWrap/>
            <w:vAlign w:val="center"/>
            <w:hideMark/>
          </w:tcPr>
          <w:p w14:paraId="76D2750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50</w:t>
            </w:r>
          </w:p>
        </w:tc>
        <w:tc>
          <w:tcPr>
            <w:tcW w:w="731" w:type="dxa"/>
            <w:tcBorders>
              <w:top w:val="nil"/>
              <w:left w:val="nil"/>
              <w:bottom w:val="nil"/>
              <w:right w:val="nil"/>
            </w:tcBorders>
            <w:noWrap/>
            <w:vAlign w:val="center"/>
            <w:hideMark/>
          </w:tcPr>
          <w:p w14:paraId="02E16F4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0.03</w:t>
            </w:r>
          </w:p>
        </w:tc>
        <w:tc>
          <w:tcPr>
            <w:tcW w:w="720" w:type="dxa"/>
            <w:tcBorders>
              <w:top w:val="nil"/>
              <w:left w:val="nil"/>
              <w:bottom w:val="nil"/>
              <w:right w:val="nil"/>
            </w:tcBorders>
            <w:noWrap/>
            <w:vAlign w:val="center"/>
            <w:hideMark/>
          </w:tcPr>
          <w:p w14:paraId="1D76E4D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0.9</w:t>
            </w:r>
          </w:p>
        </w:tc>
      </w:tr>
      <w:tr w:rsidR="00EF2D7F" w:rsidRPr="00925990" w14:paraId="4D976C46" w14:textId="77777777" w:rsidTr="00F61362">
        <w:trPr>
          <w:trHeight w:val="513"/>
          <w:jc w:val="center"/>
        </w:trPr>
        <w:tc>
          <w:tcPr>
            <w:tcW w:w="1402" w:type="dxa"/>
            <w:vMerge/>
            <w:tcBorders>
              <w:left w:val="nil"/>
              <w:right w:val="nil"/>
            </w:tcBorders>
            <w:noWrap/>
            <w:vAlign w:val="center"/>
            <w:hideMark/>
          </w:tcPr>
          <w:p w14:paraId="5147BB8D"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1121" w:type="dxa"/>
            <w:tcBorders>
              <w:top w:val="nil"/>
              <w:left w:val="nil"/>
              <w:bottom w:val="nil"/>
              <w:right w:val="nil"/>
            </w:tcBorders>
            <w:vAlign w:val="center"/>
          </w:tcPr>
          <w:p w14:paraId="47F2EDF5"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Sorghum</w:t>
            </w:r>
          </w:p>
        </w:tc>
        <w:tc>
          <w:tcPr>
            <w:tcW w:w="796" w:type="dxa"/>
            <w:tcBorders>
              <w:top w:val="nil"/>
              <w:left w:val="nil"/>
              <w:bottom w:val="nil"/>
              <w:right w:val="nil"/>
            </w:tcBorders>
            <w:noWrap/>
            <w:vAlign w:val="center"/>
          </w:tcPr>
          <w:p w14:paraId="4D9FB2C2"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2000</w:t>
            </w:r>
          </w:p>
        </w:tc>
        <w:tc>
          <w:tcPr>
            <w:tcW w:w="781" w:type="dxa"/>
            <w:tcBorders>
              <w:top w:val="nil"/>
              <w:left w:val="nil"/>
              <w:bottom w:val="nil"/>
              <w:right w:val="nil"/>
            </w:tcBorders>
            <w:noWrap/>
            <w:vAlign w:val="center"/>
          </w:tcPr>
          <w:p w14:paraId="0299A5C1" w14:textId="31A4AF8C"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0.19</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{"citationID":"eQ9L2Bt7","properties":{"formattedCitation":"\\super 5\\nosupersub{}","plainCitation":"5","noteIndex":0},"citationItems":[{"id":"mqSqq5TW/qqKSyhdO","uris":["http://zotero.org/users/local/gSqrXGmY/items/RFUEGXWM"],"itemData":{"id":423,"type":"article-journal","container-title":"Earth System Science Data","issue":"12","note":"ISBN: 1866-3516\npublisher: Copernicus GmbH","page":"5387-5410","title":"Location, biophysical and agronomic parameters for croplands in northern Ghana","volume":"14","author":[{"family":"Gómez-Dans","given":"Jose Luis"},{"family":"Lewis","given":"Philip Edward"},{"family":"Yin","given":"Feng"},{"family":"Asare","given":"Kofi"},{"family":"Lamptey","given":"Patrick"},{"family":"Aidoo","given":"Kenneth Kobina Yedu"},{"family":"MacCarthy","given":"Dilys Sefakor"},{"family":"Ma","given":"Hongyuan"},{"family":"Wu","given":"Qingling"},{"family":"Addi","given":"Martin"}],"issued":{"date-parts":[["2022"]]}}}],"schema":"https://github.com/citation-style-language/schema/raw/master/csl-citation.json"}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Pr="00797D66">
              <w:rPr>
                <w:rFonts w:ascii="Times New Roman" w:hAnsi="Times New Roman" w:cs="Times New Roman"/>
                <w:sz w:val="22"/>
                <w:vertAlign w:val="superscript"/>
              </w:rPr>
              <w:t>5</w:t>
            </w:r>
            <w:r w:rsidRPr="00797D66">
              <w:rPr>
                <w:rFonts w:ascii="Times New Roman" w:eastAsia="Times New Roman" w:hAnsi="Times New Roman" w:cs="Times New Roman"/>
                <w:color w:val="000000"/>
                <w:kern w:val="0"/>
                <w14:ligatures w14:val="none"/>
              </w:rPr>
              <w:fldChar w:fldCharType="end"/>
            </w:r>
            <w:r w:rsidRPr="00797D66">
              <w:rPr>
                <w:rFonts w:ascii="Times New Roman" w:eastAsia="Times New Roman" w:hAnsi="Times New Roman" w:cs="Times New Roman"/>
                <w:color w:val="000000"/>
                <w:kern w:val="0"/>
                <w:sz w:val="22"/>
                <w:szCs w:val="22"/>
                <w14:ligatures w14:val="none"/>
              </w:rPr>
              <w:t>*</w:t>
            </w:r>
          </w:p>
        </w:tc>
        <w:tc>
          <w:tcPr>
            <w:tcW w:w="720" w:type="dxa"/>
            <w:tcBorders>
              <w:top w:val="nil"/>
              <w:left w:val="nil"/>
              <w:bottom w:val="nil"/>
              <w:right w:val="nil"/>
            </w:tcBorders>
            <w:noWrap/>
            <w:vAlign w:val="center"/>
          </w:tcPr>
          <w:p w14:paraId="5B789875"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570</w:t>
            </w:r>
          </w:p>
        </w:tc>
        <w:tc>
          <w:tcPr>
            <w:tcW w:w="720" w:type="dxa"/>
            <w:tcBorders>
              <w:top w:val="nil"/>
              <w:left w:val="nil"/>
              <w:bottom w:val="nil"/>
              <w:right w:val="nil"/>
            </w:tcBorders>
            <w:noWrap/>
            <w:vAlign w:val="center"/>
          </w:tcPr>
          <w:p w14:paraId="3C7D94F3"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450</w:t>
            </w:r>
          </w:p>
        </w:tc>
        <w:tc>
          <w:tcPr>
            <w:tcW w:w="222" w:type="dxa"/>
            <w:tcBorders>
              <w:top w:val="nil"/>
              <w:left w:val="nil"/>
              <w:bottom w:val="nil"/>
              <w:right w:val="nil"/>
            </w:tcBorders>
          </w:tcPr>
          <w:p w14:paraId="38C813F5"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top w:val="nil"/>
              <w:left w:val="nil"/>
              <w:bottom w:val="nil"/>
              <w:right w:val="nil"/>
            </w:tcBorders>
            <w:noWrap/>
            <w:vAlign w:val="center"/>
          </w:tcPr>
          <w:p w14:paraId="6EB26422" w14:textId="323E934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w:t>
            </w:r>
            <w:r w:rsidR="00EF2D7F" w:rsidRPr="00797D66">
              <w:rPr>
                <w:rFonts w:ascii="Times New Roman" w:eastAsia="Times New Roman" w:hAnsi="Times New Roman" w:cs="Times New Roman"/>
                <w:color w:val="000000"/>
                <w:kern w:val="0"/>
                <w14:ligatures w14:val="none"/>
              </w:rPr>
              <w:fldChar w:fldCharType="begin"/>
            </w:r>
            <w:r w:rsidR="00EF2D7F" w:rsidRPr="00797D66">
              <w:rPr>
                <w:rFonts w:ascii="Times New Roman" w:eastAsia="Times New Roman" w:hAnsi="Times New Roman" w:cs="Times New Roman"/>
                <w:color w:val="000000"/>
                <w:kern w:val="0"/>
                <w:sz w:val="22"/>
                <w:szCs w:val="22"/>
                <w14:ligatures w14:val="none"/>
              </w:rPr>
              <w:instrText xml:space="preserve"> ADDIN ZOTERO_ITEM CSL_CITATION {"citationID":"swiFbXbT","properties":{"formattedCitation":"\\super 6\\nosupersub{}","plainCitation":"6","noteIndex":0},"citationItems":[{"id":216,"uris":["http://zotero.org/users/local/SwwyMfAk/items/T8EJVR9A"],"itemData":{"id":216,"type":"article-journal","note":"publisher: Texas A&amp;M AgriLife Extension Service","source":"Google Scholar","title":"Sorghum growth and development","URL":"https://oaktrust.library.tamu.edu/bitstream/handle/1969.1/201013/SorghumGrowthDevelopment.pdf?sequence=1","author":[{"family":"Gerik","given":"Thomas"},{"family":"Bean","given":"Brent"},{"family":"Vanderlip","given":"Richard"}],"accessed":{"date-parts":[["2024",6,19]]},"issued":{"date-parts":[["2024"]]}}}],"schema":"https://github.com/citation-style-language/schema/raw/master/csl-citation.json"} </w:instrText>
            </w:r>
            <w:r w:rsidR="00EF2D7F"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6</w:t>
            </w:r>
            <w:r w:rsidR="00EF2D7F"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nil"/>
              <w:right w:val="nil"/>
            </w:tcBorders>
            <w:noWrap/>
            <w:vAlign w:val="center"/>
          </w:tcPr>
          <w:p w14:paraId="4CB86D27" w14:textId="2646828C"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32</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{"citationID":"EKKH4ijw","properties":{"formattedCitation":"\\super 7\\nosupersub{}","plainCitation":"7","noteIndex":0},"citationItems":[{"id":"mqSqq5TW/YURorG7c","uris":["http://zotero.org/users/local/LoCbdFly/items/IRDVQBKK"],"itemData":{"id":100,"type":"article-journal","abstract":"Oxidative stress is commonly induced when plants are grown under high temperature (HT) stress conditions. Selenium often acts as an antioxidant in plants; however, its role under HT-induced oxidative stress is not definite. We hypothesize that selenium application can partly alleviate HT-induced oxidative stress and negative impacts of HT on physiology, growth and yield of grain sorghum [Sorghum bicolor (L.) Moench]. Objectives of this study were to investigate the effects of selenium on (a) leaf photosynthesis, membrane stability and antioxidant enzymes activity and (b) grain yield and yield components of grain sorghum plants grown under HT stress in controlled environments. Plants were grown under optimal temperature (OT; 32/22°C daytime maximum/nighttime minimum) from sowing to 63 days after sowing (DAS). All plants were foliar sprayed with sodium selenate (75mgL−1) at 63 DAS, and HT stress (40/30°C) was imposed from 65 DAS through maturity. Data on physiological, biochemical and yield traits were measured. High temperature stress decreased chlorophyll content, chlorophyll a fluorescence, photosynthetic rate and antioxidant enzyme activities and increased oxidant production and membrane damage. Decreased antioxidant defense under HT stress resulted in lower grain yield compared with OT. Application of selenium decreased membrane damage by enhancing antioxidant defense resulting in higher grain yield. The increase in antioxidant enzyme activities and decrease in reactive oxygen species (ROS) content by selenium was greater in HT than in OT. The present study suggests that selenium can play a protective role during HT stress by enhancing the antioxidant defense system.","container-title":"Plant Physiology and Biochemistry","DOI":"10.1016/j.plaphy.2010.09.009","ISSN":"0981-9428","issue":"12","journalAbbreviation":"Plant Physiology and Biochemistry","page":"999-1007","source":"ScienceDirect","title":"Selenium protects sorghum leaves from oxidative damage under high temperature stress by enhancing antioxidant defense system","volume":"48","author":[{"family":"Djanaguiraman","given":"M."},{"family":"Prasad","given":"P. V. V."},{"family":"Seppanen","given":"M."}],"issued":{"date-parts":[["2010",12,1]]}}}],"schema":"https://github.com/citation-style-language/schema/raw/master/csl-citation.json"}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7</w:t>
            </w:r>
            <w:r w:rsidRPr="00797D66">
              <w:rPr>
                <w:rFonts w:ascii="Times New Roman" w:eastAsia="Times New Roman" w:hAnsi="Times New Roman" w:cs="Times New Roman"/>
                <w:color w:val="000000"/>
                <w:kern w:val="0"/>
                <w14:ligatures w14:val="none"/>
              </w:rPr>
              <w:fldChar w:fldCharType="end"/>
            </w:r>
          </w:p>
        </w:tc>
        <w:tc>
          <w:tcPr>
            <w:tcW w:w="741" w:type="dxa"/>
            <w:tcBorders>
              <w:top w:val="nil"/>
              <w:left w:val="nil"/>
              <w:bottom w:val="nil"/>
              <w:right w:val="nil"/>
            </w:tcBorders>
            <w:noWrap/>
            <w:vAlign w:val="center"/>
          </w:tcPr>
          <w:p w14:paraId="5A40544C" w14:textId="142DEBEE"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1.30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{"citationID":"6f0VW96B","properties":{"formattedCitation":"\\super 8\\nosupersub{}","plainCitation":"8","noteIndex":0},"citationItems":[{"id":"mqSqq5TW/d1C7kv2d","uris":["http://zotero.org/users/local/LoCbdFly/items/6KW4BVJX"],"itemData":{"id":102,"type":"article-journal","abstract":"The grain yielding capability of maize (Zea mays L.) and sorghum [Sorghum bicolor (L.) Moench] is dependent on the capacity of the crop to assimilate CO2. Carbon dioxide assimilation can be measured directly at the leaf level (CA) and indirectly at the canopy levels by determining radiation use efficiency (RUE). Since leaf N content per unit leaf area (LN) was expected to influence both of these measures of CO2 assimilation, the primary objective of this study was to obtain field data on CA and RUE in response to differing LN induced by varying the amount of applied N fertilizer. The CA was most responsive to LN at low values of LN, but there was no difference between the species in the hyperbolic relationship between CA and LN. Similarly, RUE increased with LN, but maximum RUE and LN values were higher in maize than in sorghum. In maize maximum RUE was 1.7 g MJ-1 and maximum canopy LN was about 1.8 g N m-2, while in sorghum the maximum RUE values were less than 1.3 g MJ-1 and the maximum canopy LN was less than 1.3 g N m-2. The experimental increase in RUE with increasing LN, however, was less than expected from published theoretical analyses. It was hypothesized that leaf quantum efficiency per unit incident radiation may also depend on LN such that at low LN, quantum efficiency is decreased and RUE is decreased to less than expected levels.","container-title":"Crop Science","DOI":"10.2135/cropsci1994.0011183X003400030022x","ISSN":"1435-0653","issue":"3","language":"en","license":"Copyright © 1994 Crop Science Society of America","note":"_eprint: https://onlinelibrary.wiley.com/doi/pdf/10.2135/cropsci1994.0011183X003400030022x","page":"cropsci1994.0011183X003400030022x","source":"Wiley Online Library","title":"Nitrogen Response of Leaf Photosynthesis and Canopy Radiation Use Efficiency in Field-Grown Maize and Sorghum","volume":"34","author":[{"family":"Muchow","given":"R. C."},{"family":"Sinclair","given":"T. R."}],"issued":{"date-parts":[["1994"]]}}}],"schema":"https://github.com/citation-style-language/schema/raw/master/csl-citation.json"}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8</w:t>
            </w:r>
            <w:r w:rsidRPr="00797D66">
              <w:rPr>
                <w:rFonts w:ascii="Times New Roman" w:eastAsia="Times New Roman" w:hAnsi="Times New Roman" w:cs="Times New Roman"/>
                <w:color w:val="000000"/>
                <w:kern w:val="0"/>
                <w14:ligatures w14:val="none"/>
              </w:rPr>
              <w:fldChar w:fldCharType="end"/>
            </w:r>
          </w:p>
        </w:tc>
        <w:tc>
          <w:tcPr>
            <w:tcW w:w="772" w:type="dxa"/>
            <w:tcBorders>
              <w:top w:val="nil"/>
              <w:left w:val="nil"/>
              <w:bottom w:val="nil"/>
              <w:right w:val="nil"/>
            </w:tcBorders>
            <w:noWrap/>
            <w:vAlign w:val="center"/>
          </w:tcPr>
          <w:p w14:paraId="70EECD5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100</w:t>
            </w:r>
          </w:p>
        </w:tc>
        <w:tc>
          <w:tcPr>
            <w:tcW w:w="803" w:type="dxa"/>
            <w:tcBorders>
              <w:top w:val="nil"/>
              <w:left w:val="nil"/>
              <w:bottom w:val="nil"/>
              <w:right w:val="nil"/>
            </w:tcBorders>
            <w:noWrap/>
            <w:vAlign w:val="center"/>
          </w:tcPr>
          <w:p w14:paraId="144935E4"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w:t>
            </w:r>
          </w:p>
        </w:tc>
        <w:tc>
          <w:tcPr>
            <w:tcW w:w="720" w:type="dxa"/>
            <w:tcBorders>
              <w:top w:val="nil"/>
              <w:left w:val="nil"/>
              <w:bottom w:val="nil"/>
              <w:right w:val="nil"/>
            </w:tcBorders>
            <w:noWrap/>
            <w:vAlign w:val="center"/>
          </w:tcPr>
          <w:p w14:paraId="57A51BDB" w14:textId="59ABA670"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38</w:t>
            </w:r>
            <w:r w:rsidR="00EF2D7F" w:rsidRPr="00797D66">
              <w:rPr>
                <w:rFonts w:ascii="Times New Roman" w:eastAsia="Times New Roman" w:hAnsi="Times New Roman" w:cs="Times New Roman"/>
                <w:color w:val="000000"/>
                <w:kern w:val="0"/>
                <w14:ligatures w14:val="none"/>
              </w:rPr>
              <w:fldChar w:fldCharType="begin"/>
            </w:r>
            <w:r w:rsidR="00422FB2" w:rsidRPr="00797D66">
              <w:rPr>
                <w:rFonts w:ascii="Times New Roman" w:eastAsia="Times New Roman" w:hAnsi="Times New Roman" w:cs="Times New Roman"/>
                <w:color w:val="000000"/>
                <w:kern w:val="0"/>
                <w:sz w:val="22"/>
                <w:szCs w:val="22"/>
                <w14:ligatures w14:val="none"/>
              </w:rPr>
              <w:instrText xml:space="preserve"> ADDIN ZOTERO_ITEM CSL_CITATION {"citationID":"pdclh1Yo","properties":{"formattedCitation":"\\super 6\\nosupersub{}","plainCitation":"6","noteIndex":0},"citationItems":[{"id":216,"uris":["http://zotero.org/users/local/SwwyMfAk/items/T8EJVR9A"],"itemData":{"id":216,"type":"article-journal","note":"publisher: Texas A&amp;M AgriLife Extension Service","source":"Google Scholar","title":"Sorghum growth and development","URL":"https://oaktrust.library.tamu.edu/bitstream/handle/1969.1/201013/SorghumGrowthDevelopment.pdf?sequence=1","author":[{"family":"Gerik","given":"Thomas"},{"family":"Bean","given":"Brent"},{"family":"Vanderlip","given":"Richard"}],"accessed":{"date-parts":[["2024",6,19]]},"issued":{"date-parts":[["2024"]]}}}],"schema":"https://github.com/citation-style-language/schema/raw/master/csl-citation.json"} </w:instrText>
            </w:r>
            <w:r w:rsidR="00EF2D7F" w:rsidRPr="00797D66">
              <w:rPr>
                <w:rFonts w:ascii="Times New Roman" w:eastAsia="Times New Roman" w:hAnsi="Times New Roman" w:cs="Times New Roman"/>
                <w:color w:val="000000"/>
                <w:kern w:val="0"/>
                <w14:ligatures w14:val="none"/>
              </w:rPr>
              <w:fldChar w:fldCharType="separate"/>
            </w:r>
            <w:r w:rsidR="00422FB2" w:rsidRPr="00797D66">
              <w:rPr>
                <w:rFonts w:ascii="Times New Roman" w:hAnsi="Times New Roman" w:cs="Times New Roman"/>
                <w:kern w:val="0"/>
                <w:sz w:val="22"/>
                <w:vertAlign w:val="superscript"/>
              </w:rPr>
              <w:t>6</w:t>
            </w:r>
            <w:r w:rsidR="00EF2D7F"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nil"/>
              <w:right w:val="nil"/>
            </w:tcBorders>
            <w:noWrap/>
            <w:vAlign w:val="center"/>
          </w:tcPr>
          <w:p w14:paraId="742A8AF4" w14:textId="77777777" w:rsidR="004F4FA8" w:rsidRPr="00797D66" w:rsidRDefault="004F4FA8" w:rsidP="0010678E">
            <w:pPr>
              <w:jc w:val="center"/>
              <w:rPr>
                <w:rFonts w:ascii="Times New Roman" w:eastAsia="Times New Roman" w:hAnsi="Times New Roman" w:cs="Times New Roman"/>
                <w:color w:val="000000"/>
                <w:kern w:val="0"/>
                <w:vertAlign w:val="superscript"/>
                <w14:ligatures w14:val="none"/>
              </w:rPr>
            </w:pPr>
            <w:r w:rsidRPr="00797D66">
              <w:rPr>
                <w:rFonts w:ascii="Times New Roman" w:eastAsia="Times New Roman" w:hAnsi="Times New Roman" w:cs="Times New Roman"/>
                <w:color w:val="000000"/>
                <w:kern w:val="0"/>
                <w:sz w:val="22"/>
                <w:szCs w:val="22"/>
                <w14:ligatures w14:val="none"/>
              </w:rPr>
              <w:t>50</w:t>
            </w:r>
          </w:p>
        </w:tc>
        <w:tc>
          <w:tcPr>
            <w:tcW w:w="731" w:type="dxa"/>
            <w:tcBorders>
              <w:top w:val="nil"/>
              <w:left w:val="nil"/>
              <w:bottom w:val="nil"/>
              <w:right w:val="nil"/>
            </w:tcBorders>
            <w:noWrap/>
            <w:vAlign w:val="center"/>
          </w:tcPr>
          <w:p w14:paraId="1F21B026"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0.03</w:t>
            </w:r>
          </w:p>
        </w:tc>
        <w:tc>
          <w:tcPr>
            <w:tcW w:w="720" w:type="dxa"/>
            <w:tcBorders>
              <w:top w:val="nil"/>
              <w:left w:val="nil"/>
              <w:bottom w:val="nil"/>
              <w:right w:val="nil"/>
            </w:tcBorders>
            <w:noWrap/>
            <w:vAlign w:val="center"/>
          </w:tcPr>
          <w:p w14:paraId="6A6F5ED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1.4</w:t>
            </w:r>
          </w:p>
        </w:tc>
      </w:tr>
      <w:tr w:rsidR="00EF2D7F" w:rsidRPr="00925990" w14:paraId="5824BCCE" w14:textId="77777777" w:rsidTr="00F61362">
        <w:trPr>
          <w:trHeight w:val="513"/>
          <w:jc w:val="center"/>
        </w:trPr>
        <w:tc>
          <w:tcPr>
            <w:tcW w:w="1402" w:type="dxa"/>
            <w:vMerge w:val="restart"/>
            <w:tcBorders>
              <w:left w:val="nil"/>
              <w:right w:val="nil"/>
            </w:tcBorders>
            <w:noWrap/>
            <w:vAlign w:val="center"/>
            <w:hideMark/>
          </w:tcPr>
          <w:p w14:paraId="45219C6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Legumes</w:t>
            </w:r>
          </w:p>
        </w:tc>
        <w:tc>
          <w:tcPr>
            <w:tcW w:w="1121" w:type="dxa"/>
            <w:tcBorders>
              <w:left w:val="nil"/>
              <w:bottom w:val="nil"/>
              <w:right w:val="nil"/>
            </w:tcBorders>
            <w:vAlign w:val="center"/>
          </w:tcPr>
          <w:p w14:paraId="357A3FF6"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Soybean</w:t>
            </w:r>
          </w:p>
        </w:tc>
        <w:tc>
          <w:tcPr>
            <w:tcW w:w="796" w:type="dxa"/>
            <w:tcBorders>
              <w:left w:val="nil"/>
              <w:bottom w:val="nil"/>
              <w:right w:val="nil"/>
            </w:tcBorders>
            <w:noWrap/>
            <w:vAlign w:val="center"/>
            <w:hideMark/>
          </w:tcPr>
          <w:p w14:paraId="2DF495B6"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2250</w:t>
            </w:r>
          </w:p>
        </w:tc>
        <w:tc>
          <w:tcPr>
            <w:tcW w:w="781" w:type="dxa"/>
            <w:tcBorders>
              <w:left w:val="nil"/>
              <w:bottom w:val="nil"/>
              <w:right w:val="nil"/>
            </w:tcBorders>
            <w:noWrap/>
            <w:vAlign w:val="center"/>
            <w:hideMark/>
          </w:tcPr>
          <w:p w14:paraId="1B203CB0"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0.28</w:t>
            </w:r>
          </w:p>
        </w:tc>
        <w:tc>
          <w:tcPr>
            <w:tcW w:w="720" w:type="dxa"/>
            <w:tcBorders>
              <w:left w:val="nil"/>
              <w:bottom w:val="nil"/>
              <w:right w:val="nil"/>
            </w:tcBorders>
            <w:noWrap/>
            <w:vAlign w:val="center"/>
            <w:hideMark/>
          </w:tcPr>
          <w:p w14:paraId="3EC4F00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490</w:t>
            </w:r>
          </w:p>
        </w:tc>
        <w:tc>
          <w:tcPr>
            <w:tcW w:w="720" w:type="dxa"/>
            <w:tcBorders>
              <w:left w:val="nil"/>
              <w:bottom w:val="nil"/>
              <w:right w:val="nil"/>
            </w:tcBorders>
            <w:noWrap/>
            <w:vAlign w:val="center"/>
            <w:hideMark/>
          </w:tcPr>
          <w:p w14:paraId="2439DA7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370</w:t>
            </w:r>
          </w:p>
        </w:tc>
        <w:tc>
          <w:tcPr>
            <w:tcW w:w="222" w:type="dxa"/>
            <w:tcBorders>
              <w:left w:val="nil"/>
              <w:bottom w:val="nil"/>
              <w:right w:val="nil"/>
            </w:tcBorders>
          </w:tcPr>
          <w:p w14:paraId="5A7F0CD4"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left w:val="nil"/>
              <w:bottom w:val="nil"/>
              <w:right w:val="nil"/>
            </w:tcBorders>
            <w:noWrap/>
            <w:vAlign w:val="center"/>
            <w:hideMark/>
          </w:tcPr>
          <w:p w14:paraId="571BF5AF" w14:textId="271E48A1"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6</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{"citationID":"3W4xP1rp","properties":{"formattedCitation":"\\super 9\\nosupersub{}","plainCitation":"9","noteIndex":0},"citationItems":[{"id":"mqSqq5TW/p3kmGgc8","uris":["http://zotero.org/users/local/LoCbdFly/items/6SY2DK5E"],"itemData":{"id":106,"type":"chapter","abstract":"Long-term climate change and inter-annual climate variability are events of concern to farmers and humanity. Global warming could affect agriculture in various ways and it is anticipated that agricultural systems will face great pressure from the variability of climate factors and their extreme events, which in most cases are difficult to predict, particularly extreme events of rainfall, higher dry season, hot and cold waves and their interactions. Global warming could also have some positive effects for plants such as increasing the temperature of current cold regions and increasing carbon dioxide with its positive effect on photosynthesis, growth rates, the use of water and production. Meanwhile, there are still many questions that remain about this possible future. This chapter, brings the response of plants to future conditions through specifics alterations in its components of yield on environmental conditions with enrichment of CO2 and elevated temperature, two climatic factors, which is understood to be the factors of climatic change of greater global extent. The study of the components of yield and their alterations, can guide diverse sectors of the sciences and decision makers, in order to structure strategies of resilience in the cultivation of soybean.","container-title":"Soybean - Biomass, Yield and Productivity","ISBN":"978-1-78985-374-2","language":"en","note":"DOI: 10.5772/intechopen.81627","publisher":"IntechOpen","source":"www.intechopen.com","title":"Yield Components and Biomass Partition in Soybean: Climate Change Vision","title-short":"Yield Components and Biomass Partition in Soybean","URL":"https://www.intechopen.com/chapters/64022","author":[{"family":"Pereira-Flores","given":"Milton E."},{"family":"Justino","given":"Flávio B."},{"family":"Pereira-Flores","given":"Milton E."},{"family":"Justino","given":"Flávio B."}],"accessed":{"date-parts":[["2024",5,16]]},"issued":{"date-parts":[["2019",2,20]]}}}],"schema":"https://github.com/citation-style-language/schema/raw/master/csl-citation.json"}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9</w:t>
            </w:r>
            <w:r w:rsidRPr="00797D66">
              <w:rPr>
                <w:rFonts w:ascii="Times New Roman" w:eastAsia="Times New Roman" w:hAnsi="Times New Roman" w:cs="Times New Roman"/>
                <w:color w:val="000000"/>
                <w:kern w:val="0"/>
                <w14:ligatures w14:val="none"/>
              </w:rPr>
              <w:fldChar w:fldCharType="end"/>
            </w:r>
          </w:p>
        </w:tc>
        <w:tc>
          <w:tcPr>
            <w:tcW w:w="720" w:type="dxa"/>
            <w:tcBorders>
              <w:left w:val="nil"/>
              <w:bottom w:val="nil"/>
              <w:right w:val="nil"/>
            </w:tcBorders>
            <w:noWrap/>
            <w:vAlign w:val="center"/>
            <w:hideMark/>
          </w:tcPr>
          <w:p w14:paraId="66AD1E2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22</w:t>
            </w:r>
          </w:p>
        </w:tc>
        <w:tc>
          <w:tcPr>
            <w:tcW w:w="741" w:type="dxa"/>
            <w:tcBorders>
              <w:left w:val="nil"/>
              <w:bottom w:val="nil"/>
              <w:right w:val="nil"/>
            </w:tcBorders>
            <w:noWrap/>
            <w:vAlign w:val="center"/>
            <w:hideMark/>
          </w:tcPr>
          <w:p w14:paraId="1A6AA75F" w14:textId="75CFA1FE"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0.86</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{"citationID":"ikPYwFQz","properties":{"formattedCitation":"\\super 10\\nosupersub{}","plainCitation":"10","noteIndex":0},"citationItems":[{"id":"mqSqq5TW/g735GTJB","uris":["http://zotero.org/users/local/LoCbdFly/items/9XZL5DRT"],"itemData":{"id":104,"type":"article-journal","abstract":"Radiation-use efficiency (RUE), defined as the amount of biomass accumulated per unit radiation intercepted, is a key measure of the photosynthetic performance of crops growing in different environments. The RUE of soybean (Glycine max L.), mungbean (Vigna radiata) and cowpea (Vigna unguiculata) growing under well-watered field conditions in tropical and subtropical environments was determined from frequent biomass samplings and continuous logging of intercepted radiation throughout growth. The slope of the relationship between net biomass accumulation and intercepted radiation was linear throughout most of growth, almost until the end of pod-filling in all species and all environments. The decrease in RUE just prior to maturity was associated with losses of biomass due to leaf shedding, and also with a decline in specific leaf nitrogen. The RUE during the linear phase was slightly higher in cowpea than in mungbean and soybean. For each species, the RUE was similar in different environments despite large differences in air temperature, water vapour saturation deficit and incident radiation. It was concluded that RUE under well-watered conditions is constant througout most of growth and unaffected by the aerial environment. Baseline values of RUE were 0.88 g MJ−1 for soybean, 0.94 g MJ−1 for mungbean, and 1.05 g MJ−1 for cowpea.","container-title":"Field Crops Research","DOI":"10.1016/0378-4290(93)90017-H","ISSN":"0378-4290","issue":"1","journalAbbreviation":"Field Crops Research","page":"1-16","source":"ScienceDirect","title":"Radiation-use efficiency of soybean, mugbean and cowpea under different environmental conditions","volume":"32","author":[{"family":"Muchow","given":"R. C."},{"family":"Robertson","given":"M. J."},{"family":"Pengelly","given":"B. C."}],"issued":{"date-parts":[["1993",2,1]]}}}],"schema":"https://github.com/citation-style-language/schema/raw/master/csl-citation.json"}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10</w:t>
            </w:r>
            <w:r w:rsidRPr="00797D66">
              <w:rPr>
                <w:rFonts w:ascii="Times New Roman" w:eastAsia="Times New Roman" w:hAnsi="Times New Roman" w:cs="Times New Roman"/>
                <w:color w:val="000000"/>
                <w:kern w:val="0"/>
                <w14:ligatures w14:val="none"/>
              </w:rPr>
              <w:fldChar w:fldCharType="end"/>
            </w:r>
          </w:p>
        </w:tc>
        <w:tc>
          <w:tcPr>
            <w:tcW w:w="772" w:type="dxa"/>
            <w:tcBorders>
              <w:left w:val="nil"/>
              <w:bottom w:val="nil"/>
              <w:right w:val="nil"/>
            </w:tcBorders>
            <w:noWrap/>
            <w:vAlign w:val="center"/>
            <w:hideMark/>
          </w:tcPr>
          <w:p w14:paraId="08A39BE4"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120</w:t>
            </w:r>
          </w:p>
        </w:tc>
        <w:tc>
          <w:tcPr>
            <w:tcW w:w="803" w:type="dxa"/>
            <w:tcBorders>
              <w:left w:val="nil"/>
              <w:bottom w:val="nil"/>
              <w:right w:val="nil"/>
            </w:tcBorders>
            <w:noWrap/>
            <w:vAlign w:val="center"/>
            <w:hideMark/>
          </w:tcPr>
          <w:p w14:paraId="07A02C0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20</w:t>
            </w:r>
          </w:p>
        </w:tc>
        <w:tc>
          <w:tcPr>
            <w:tcW w:w="720" w:type="dxa"/>
            <w:tcBorders>
              <w:left w:val="nil"/>
              <w:bottom w:val="nil"/>
              <w:right w:val="nil"/>
            </w:tcBorders>
            <w:noWrap/>
            <w:vAlign w:val="center"/>
            <w:hideMark/>
          </w:tcPr>
          <w:p w14:paraId="26C5FD35"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34</w:t>
            </w:r>
          </w:p>
        </w:tc>
        <w:tc>
          <w:tcPr>
            <w:tcW w:w="720" w:type="dxa"/>
            <w:tcBorders>
              <w:left w:val="nil"/>
              <w:bottom w:val="nil"/>
              <w:right w:val="nil"/>
            </w:tcBorders>
            <w:noWrap/>
            <w:vAlign w:val="center"/>
            <w:hideMark/>
          </w:tcPr>
          <w:p w14:paraId="148FACFA"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45</w:t>
            </w:r>
          </w:p>
        </w:tc>
        <w:tc>
          <w:tcPr>
            <w:tcW w:w="731" w:type="dxa"/>
            <w:tcBorders>
              <w:left w:val="nil"/>
              <w:bottom w:val="nil"/>
              <w:right w:val="nil"/>
            </w:tcBorders>
            <w:noWrap/>
            <w:vAlign w:val="center"/>
            <w:hideMark/>
          </w:tcPr>
          <w:p w14:paraId="66EBBAA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0.07</w:t>
            </w:r>
          </w:p>
        </w:tc>
        <w:tc>
          <w:tcPr>
            <w:tcW w:w="720" w:type="dxa"/>
            <w:tcBorders>
              <w:left w:val="nil"/>
              <w:bottom w:val="nil"/>
              <w:right w:val="nil"/>
            </w:tcBorders>
            <w:noWrap/>
            <w:vAlign w:val="center"/>
            <w:hideMark/>
          </w:tcPr>
          <w:p w14:paraId="7C65601A"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0.9</w:t>
            </w:r>
          </w:p>
        </w:tc>
      </w:tr>
      <w:tr w:rsidR="00EF2D7F" w:rsidRPr="00925990" w14:paraId="247B7A9E" w14:textId="77777777" w:rsidTr="00F61362">
        <w:trPr>
          <w:trHeight w:val="513"/>
          <w:jc w:val="center"/>
        </w:trPr>
        <w:tc>
          <w:tcPr>
            <w:tcW w:w="1402" w:type="dxa"/>
            <w:vMerge/>
            <w:tcBorders>
              <w:left w:val="nil"/>
              <w:right w:val="nil"/>
            </w:tcBorders>
            <w:noWrap/>
            <w:vAlign w:val="center"/>
            <w:hideMark/>
          </w:tcPr>
          <w:p w14:paraId="146C1251"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1121" w:type="dxa"/>
            <w:tcBorders>
              <w:top w:val="nil"/>
              <w:left w:val="nil"/>
              <w:bottom w:val="nil"/>
              <w:right w:val="nil"/>
            </w:tcBorders>
            <w:vAlign w:val="center"/>
          </w:tcPr>
          <w:p w14:paraId="11075AF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Cowpea</w:t>
            </w:r>
          </w:p>
        </w:tc>
        <w:tc>
          <w:tcPr>
            <w:tcW w:w="796" w:type="dxa"/>
            <w:tcBorders>
              <w:top w:val="nil"/>
              <w:left w:val="nil"/>
              <w:bottom w:val="nil"/>
              <w:right w:val="nil"/>
            </w:tcBorders>
            <w:noWrap/>
            <w:vAlign w:val="center"/>
            <w:hideMark/>
          </w:tcPr>
          <w:p w14:paraId="623A39C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1800</w:t>
            </w:r>
          </w:p>
        </w:tc>
        <w:tc>
          <w:tcPr>
            <w:tcW w:w="781" w:type="dxa"/>
            <w:tcBorders>
              <w:top w:val="nil"/>
              <w:left w:val="nil"/>
              <w:bottom w:val="nil"/>
              <w:right w:val="nil"/>
            </w:tcBorders>
            <w:noWrap/>
            <w:vAlign w:val="center"/>
            <w:hideMark/>
          </w:tcPr>
          <w:p w14:paraId="6EC87FE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0.50</w:t>
            </w:r>
          </w:p>
        </w:tc>
        <w:tc>
          <w:tcPr>
            <w:tcW w:w="720" w:type="dxa"/>
            <w:tcBorders>
              <w:top w:val="nil"/>
              <w:left w:val="nil"/>
              <w:bottom w:val="nil"/>
              <w:right w:val="nil"/>
            </w:tcBorders>
            <w:noWrap/>
            <w:vAlign w:val="center"/>
            <w:hideMark/>
          </w:tcPr>
          <w:p w14:paraId="1CDED81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700</w:t>
            </w:r>
          </w:p>
        </w:tc>
        <w:tc>
          <w:tcPr>
            <w:tcW w:w="720" w:type="dxa"/>
            <w:tcBorders>
              <w:top w:val="nil"/>
              <w:left w:val="nil"/>
              <w:bottom w:val="nil"/>
              <w:right w:val="nil"/>
            </w:tcBorders>
            <w:noWrap/>
            <w:vAlign w:val="center"/>
            <w:hideMark/>
          </w:tcPr>
          <w:p w14:paraId="2C14E63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600</w:t>
            </w:r>
          </w:p>
        </w:tc>
        <w:tc>
          <w:tcPr>
            <w:tcW w:w="222" w:type="dxa"/>
            <w:tcBorders>
              <w:top w:val="nil"/>
              <w:left w:val="nil"/>
              <w:bottom w:val="nil"/>
              <w:right w:val="nil"/>
            </w:tcBorders>
          </w:tcPr>
          <w:p w14:paraId="38D0891F"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top w:val="nil"/>
              <w:left w:val="nil"/>
              <w:bottom w:val="nil"/>
              <w:right w:val="nil"/>
            </w:tcBorders>
            <w:noWrap/>
            <w:vAlign w:val="center"/>
            <w:hideMark/>
          </w:tcPr>
          <w:p w14:paraId="33294C7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w:t>
            </w:r>
          </w:p>
        </w:tc>
        <w:tc>
          <w:tcPr>
            <w:tcW w:w="720" w:type="dxa"/>
            <w:tcBorders>
              <w:top w:val="nil"/>
              <w:left w:val="nil"/>
              <w:bottom w:val="nil"/>
              <w:right w:val="nil"/>
            </w:tcBorders>
            <w:noWrap/>
            <w:vAlign w:val="center"/>
            <w:hideMark/>
          </w:tcPr>
          <w:p w14:paraId="52685CA2"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30</w:t>
            </w:r>
          </w:p>
        </w:tc>
        <w:tc>
          <w:tcPr>
            <w:tcW w:w="741" w:type="dxa"/>
            <w:tcBorders>
              <w:top w:val="nil"/>
              <w:left w:val="nil"/>
              <w:bottom w:val="nil"/>
              <w:right w:val="nil"/>
            </w:tcBorders>
            <w:noWrap/>
            <w:vAlign w:val="center"/>
            <w:hideMark/>
          </w:tcPr>
          <w:p w14:paraId="08B68B0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1.00</w:t>
            </w:r>
          </w:p>
        </w:tc>
        <w:tc>
          <w:tcPr>
            <w:tcW w:w="772" w:type="dxa"/>
            <w:tcBorders>
              <w:top w:val="nil"/>
              <w:left w:val="nil"/>
              <w:bottom w:val="nil"/>
              <w:right w:val="nil"/>
            </w:tcBorders>
            <w:noWrap/>
            <w:vAlign w:val="center"/>
            <w:hideMark/>
          </w:tcPr>
          <w:p w14:paraId="5E00F6D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100</w:t>
            </w:r>
          </w:p>
        </w:tc>
        <w:tc>
          <w:tcPr>
            <w:tcW w:w="803" w:type="dxa"/>
            <w:tcBorders>
              <w:top w:val="nil"/>
              <w:left w:val="nil"/>
              <w:bottom w:val="nil"/>
              <w:right w:val="nil"/>
            </w:tcBorders>
            <w:noWrap/>
            <w:vAlign w:val="center"/>
            <w:hideMark/>
          </w:tcPr>
          <w:p w14:paraId="66099740"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20</w:t>
            </w:r>
          </w:p>
        </w:tc>
        <w:tc>
          <w:tcPr>
            <w:tcW w:w="720" w:type="dxa"/>
            <w:tcBorders>
              <w:top w:val="nil"/>
              <w:left w:val="nil"/>
              <w:bottom w:val="nil"/>
              <w:right w:val="nil"/>
            </w:tcBorders>
            <w:noWrap/>
            <w:vAlign w:val="center"/>
            <w:hideMark/>
          </w:tcPr>
          <w:p w14:paraId="18FC5E9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36</w:t>
            </w:r>
          </w:p>
        </w:tc>
        <w:tc>
          <w:tcPr>
            <w:tcW w:w="720" w:type="dxa"/>
            <w:tcBorders>
              <w:top w:val="nil"/>
              <w:left w:val="nil"/>
              <w:bottom w:val="nil"/>
              <w:right w:val="nil"/>
            </w:tcBorders>
            <w:noWrap/>
            <w:vAlign w:val="center"/>
            <w:hideMark/>
          </w:tcPr>
          <w:p w14:paraId="24C5E016"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45</w:t>
            </w:r>
          </w:p>
        </w:tc>
        <w:tc>
          <w:tcPr>
            <w:tcW w:w="731" w:type="dxa"/>
            <w:tcBorders>
              <w:top w:val="nil"/>
              <w:left w:val="nil"/>
              <w:bottom w:val="nil"/>
              <w:right w:val="nil"/>
            </w:tcBorders>
            <w:noWrap/>
            <w:vAlign w:val="center"/>
            <w:hideMark/>
          </w:tcPr>
          <w:p w14:paraId="563270E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0.14</w:t>
            </w:r>
          </w:p>
        </w:tc>
        <w:tc>
          <w:tcPr>
            <w:tcW w:w="720" w:type="dxa"/>
            <w:tcBorders>
              <w:top w:val="nil"/>
              <w:left w:val="nil"/>
              <w:bottom w:val="nil"/>
              <w:right w:val="nil"/>
            </w:tcBorders>
            <w:noWrap/>
            <w:vAlign w:val="center"/>
            <w:hideMark/>
          </w:tcPr>
          <w:p w14:paraId="6823122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0.8</w:t>
            </w:r>
          </w:p>
        </w:tc>
      </w:tr>
      <w:tr w:rsidR="00EF2D7F" w:rsidRPr="00925990" w14:paraId="6F776A53" w14:textId="77777777" w:rsidTr="00F61362">
        <w:trPr>
          <w:trHeight w:val="513"/>
          <w:jc w:val="center"/>
        </w:trPr>
        <w:tc>
          <w:tcPr>
            <w:tcW w:w="1402" w:type="dxa"/>
            <w:vMerge/>
            <w:tcBorders>
              <w:left w:val="nil"/>
              <w:bottom w:val="single" w:sz="4" w:space="0" w:color="auto"/>
              <w:right w:val="nil"/>
            </w:tcBorders>
            <w:noWrap/>
            <w:vAlign w:val="center"/>
            <w:hideMark/>
          </w:tcPr>
          <w:p w14:paraId="301BD831"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1121" w:type="dxa"/>
            <w:tcBorders>
              <w:top w:val="nil"/>
              <w:left w:val="nil"/>
              <w:bottom w:val="single" w:sz="4" w:space="0" w:color="auto"/>
              <w:right w:val="nil"/>
            </w:tcBorders>
            <w:vAlign w:val="center"/>
          </w:tcPr>
          <w:p w14:paraId="37418CA5"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Bambara groundnut</w:t>
            </w:r>
          </w:p>
        </w:tc>
        <w:tc>
          <w:tcPr>
            <w:tcW w:w="796" w:type="dxa"/>
            <w:tcBorders>
              <w:top w:val="nil"/>
              <w:left w:val="nil"/>
              <w:bottom w:val="single" w:sz="4" w:space="0" w:color="auto"/>
              <w:right w:val="nil"/>
            </w:tcBorders>
            <w:noWrap/>
            <w:vAlign w:val="center"/>
            <w:hideMark/>
          </w:tcPr>
          <w:p w14:paraId="68BD5C4C" w14:textId="2101D9AD"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2500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{"citationID":"MLH6AMF4","properties":{"formattedCitation":"\\super 11\\nosupersub{}","plainCitation":"11","noteIndex":0},"citationItems":[{"id":"mqSqq5TW/KqWw3GaW","uris":["http://zotero.org/users/local/LoCbdFly/items/GKJ7ZSM4"],"itemData":{"id":125,"type":"article-journal","abstract":"Bambara groundnut (Vigna subterranea [L.] Verdc.) is a nutritionally rich grain legume crop indigenous to Africa. It is tolerant to drought stress and has become adapted to grow under low input and marginal agricultural production systems in Africa and Asia. Bambara groundnut is an orphan crop, and represents a neglected and under researched plant genetic resource. Modern crop management, production technologies, and value chains are yet to be developed in Africa to achieve the potential economic gains from Bambara groundnut production and marketing. In sub-Saharan Africa (SSA) the production and productivity of Bambara groundnut is low and stagnant because of diverse abiotic and biotic stresses and socio-economic constraints. Improved crop management and post handling technologies, modern varieties with high yield and nutritional quality, value addition, and market access are among the key considerations in current and future Bambara groundnut research and development programs. This paper presents progress on Bambara groundnut production, utilization, and genetic improvement in SSA. It presents the key production constraints, genetic resources and analysis, breeding methods and genetic gains on yield, and nutritional quality and outlook. The information presented will guide the sustainable production and effective breeding of the crop in order to pursue food and nutrition security, and improve livelihoods through Bambara groundnut enterprises.","container-title":"Agronomy","DOI":"10.3390/agronomy11071345","ISSN":"2073-4395","issue":"7","language":"en","license":"http://creativecommons.org/licenses/by/3.0/","note":"number: 7\npublisher: Multidisciplinary Digital Publishing Institute","page":"1345","source":"www.mdpi.com","title":"Bambara Groundnut (Vigna subterranea [L.] Verdc.) Production, Utilisation and Genetic Improvement in Sub-Saharan Africa","volume":"11","author":[{"family":"Majola","given":"Nomathemba Gloria"},{"family":"Gerrano","given":"Abe Shegro"},{"family":"Shimelis","given":"Hussein"}],"issued":{"date-parts":[["2021",7]]}}}],"schema":"https://github.com/citation-style-language/schema/raw/master/csl-citation.json"}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11</w:t>
            </w:r>
            <w:r w:rsidRPr="00797D66">
              <w:rPr>
                <w:rFonts w:ascii="Times New Roman" w:eastAsia="Times New Roman" w:hAnsi="Times New Roman" w:cs="Times New Roman"/>
                <w:color w:val="000000"/>
                <w:kern w:val="0"/>
                <w14:ligatures w14:val="none"/>
              </w:rPr>
              <w:fldChar w:fldCharType="end"/>
            </w:r>
          </w:p>
        </w:tc>
        <w:tc>
          <w:tcPr>
            <w:tcW w:w="781" w:type="dxa"/>
            <w:tcBorders>
              <w:top w:val="nil"/>
              <w:left w:val="nil"/>
              <w:bottom w:val="single" w:sz="4" w:space="0" w:color="auto"/>
              <w:right w:val="nil"/>
            </w:tcBorders>
            <w:noWrap/>
            <w:vAlign w:val="center"/>
            <w:hideMark/>
          </w:tcPr>
          <w:p w14:paraId="438ABEF4" w14:textId="7FCC9196"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0.20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{"citationID":"1b8FzNgz","properties":{"formattedCitation":"\\super 12\\nosupersub{}","plainCitation":"12","noteIndex":0},"citationItems":[{"id":"mqSqq5TW/SfjF5Jzc","uris":["http://zotero.org/users/local/LoCbdFly/items/ISCA9KV3"],"itemData":{"id":127,"type":"article-journal","abstract":"Bambara groundnut (Vigna subterranea (L.) Verdc.) is an underutilised species with potential to contribute nutritional and food security in marginal areas. Growth, phenology and yield of a local bambara groundnut landrace from Jozini, KwaZulu-Natal, characterised into three selections according to seed coat colour, namely Brown, Red and Light Brown, were evaluated under irrigated and rain-fed field conditions at Roodeplaat, Pretoria, over two seasons (2010/11 and 2011/12). Trials with three replicates were planted under rain-fed and irrigated conditions with seed colour as a subfactor. Emergence (up to 35 d after planting), plant height, leaf number, leaf area index, chlorophyll content index and stomatal conductance were measured in situ. Yield and components of yield were determined at harvest. The Red, Brown and Light Brown landrace selections emerged well (84%, 81% and 51%, respectively). Plant physiological and growth parameters of stomatal conductance, chlorophyll content index, plant height, leaf number, leaf area index and biomass accumulation were lower under rain-fed relative to irrigated conditions. Adaptations were landrace selection-specific, with the Brown and Red landrace selections showing better adaptation to rain-fed conditions. Under rain-fed conditions, bambara groundnut landrace selections flowered, senesced and matured earlier relative to irrigated conditions. Consequently, there were lower yields under rain-fed compared with irrigated conditions. The Red and Brown landrace selections may have drought-avoidance mechanisms. Seed colour may be used as a selection criterion for drought tolerance in bambara groundnut landraces.","container-title":"South African Journal of Plant and Soil","DOI":"10.1080/02571862.2013.790492","ISSN":"0257-1862","issue":"2","note":"publisher: Taylor &amp; Francis\n_eprint: https://doi.org/10.1080/02571862.2013.790492","page":"69–79","source":"Taylor and Francis+NEJM","title":"Growth, phenological and yield responses of a bambara groundnut (Vigna subterranea (L.) Verdc.) landrace to imposed water stress under field conditions","volume":"30","author":[{"family":"Mabhaudhi","given":"Tafadzwanashe"},{"family":"Modi","given":"Albert T"}],"issued":{"date-parts":[["2013",6,1]]}}}],"schema":"https://github.com/citation-style-language/schema/raw/master/csl-citation.json"}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12</w:t>
            </w:r>
            <w:r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single" w:sz="4" w:space="0" w:color="auto"/>
              <w:right w:val="nil"/>
            </w:tcBorders>
            <w:noWrap/>
            <w:vAlign w:val="center"/>
            <w:hideMark/>
          </w:tcPr>
          <w:p w14:paraId="3CCC6D55"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680</w:t>
            </w:r>
          </w:p>
        </w:tc>
        <w:tc>
          <w:tcPr>
            <w:tcW w:w="720" w:type="dxa"/>
            <w:tcBorders>
              <w:top w:val="nil"/>
              <w:left w:val="nil"/>
              <w:bottom w:val="single" w:sz="4" w:space="0" w:color="auto"/>
              <w:right w:val="nil"/>
            </w:tcBorders>
            <w:noWrap/>
            <w:vAlign w:val="center"/>
            <w:hideMark/>
          </w:tcPr>
          <w:p w14:paraId="098B35CA"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540</w:t>
            </w:r>
          </w:p>
        </w:tc>
        <w:tc>
          <w:tcPr>
            <w:tcW w:w="222" w:type="dxa"/>
            <w:tcBorders>
              <w:top w:val="nil"/>
              <w:left w:val="nil"/>
              <w:bottom w:val="single" w:sz="4" w:space="0" w:color="auto"/>
              <w:right w:val="nil"/>
            </w:tcBorders>
          </w:tcPr>
          <w:p w14:paraId="3C9B4D0A"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top w:val="nil"/>
              <w:left w:val="nil"/>
              <w:bottom w:val="single" w:sz="4" w:space="0" w:color="auto"/>
              <w:right w:val="nil"/>
            </w:tcBorders>
            <w:noWrap/>
            <w:vAlign w:val="center"/>
            <w:hideMark/>
          </w:tcPr>
          <w:p w14:paraId="2CE75D7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6</w:t>
            </w:r>
          </w:p>
        </w:tc>
        <w:tc>
          <w:tcPr>
            <w:tcW w:w="720" w:type="dxa"/>
            <w:tcBorders>
              <w:top w:val="nil"/>
              <w:left w:val="nil"/>
              <w:bottom w:val="single" w:sz="4" w:space="0" w:color="auto"/>
              <w:right w:val="nil"/>
            </w:tcBorders>
            <w:noWrap/>
            <w:vAlign w:val="center"/>
            <w:hideMark/>
          </w:tcPr>
          <w:p w14:paraId="42FA4A9E" w14:textId="55E22760"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{"citationID":"YXUGko4R","properties":{"formattedCitation":"\\super 13\\nosupersub{}","plainCitation":"13","noteIndex":0},"citationItems":[{"id":"mqSqq5TW/LAoAfw7p","uris":["http://zotero.org/users/local/LoCbdFly/items/S8BS89FV"],"itemData":{"id":129,"type":"article-journal","abstract":"Nitrogen and phosphorus management for Bambara groundnut (Vigna subterranea) production-A review","container-title":"Legume Research","ISSN":"0250-5371","source":"arccjournals.com","title":"Nitrogen and phosphorus management for Bambara groundnut (Vigna subterranea) production-A review","URL":"https://arccjournals.com/journal/legume-research-an-international-journal/LR-379","author":[{"family":"Hasan","given":"Mahmudul"},{"family":"Uddin","given":"Md Kamal"},{"family":"Mohamed","given":"Mahmud Tengku Muda"},{"family":"Zuan","given":"Ali Tan Kee"}],"accessed":{"date-parts":[["2024",5,16]]},"issued":{"date-parts":[["2018",4,17]]}}}],"schema":"https://github.com/citation-style-language/schema/raw/master/csl-citation.json"}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13</w:t>
            </w:r>
            <w:r w:rsidRPr="00797D66">
              <w:rPr>
                <w:rFonts w:ascii="Times New Roman" w:eastAsia="Times New Roman" w:hAnsi="Times New Roman" w:cs="Times New Roman"/>
                <w:color w:val="000000"/>
                <w:kern w:val="0"/>
                <w14:ligatures w14:val="none"/>
              </w:rPr>
              <w:fldChar w:fldCharType="end"/>
            </w:r>
          </w:p>
        </w:tc>
        <w:tc>
          <w:tcPr>
            <w:tcW w:w="741" w:type="dxa"/>
            <w:tcBorders>
              <w:top w:val="nil"/>
              <w:left w:val="nil"/>
              <w:bottom w:val="single" w:sz="4" w:space="0" w:color="auto"/>
              <w:right w:val="nil"/>
            </w:tcBorders>
            <w:noWrap/>
            <w:vAlign w:val="center"/>
            <w:hideMark/>
          </w:tcPr>
          <w:p w14:paraId="170D70CF" w14:textId="54DFF638"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1.10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{"citationID":"VJC3dx0w","properties":{"formattedCitation":"\\super 14\\nosupersub{}","plainCitation":"14","noteIndex":0},"citationItems":[{"id":"mqSqq5TW/L2xEzmrI","uris":["http://zotero.org/users/local/LoCbdFly/items/T5ZRNT8G"],"itemData":{"id":131,"type":"webpage","title":"FAO Agricultural Information Management Series","URL":"https://www.fao.org/4/y0494e/Y0494e05.htm","accessed":{"date-parts":[["2024",5,16]]}}}],"schema":"https://github.com/citation-style-language/schema/raw/master/csl-citation.json"}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14</w:t>
            </w:r>
            <w:r w:rsidRPr="00797D66">
              <w:rPr>
                <w:rFonts w:ascii="Times New Roman" w:eastAsia="Times New Roman" w:hAnsi="Times New Roman" w:cs="Times New Roman"/>
                <w:color w:val="000000"/>
                <w:kern w:val="0"/>
                <w14:ligatures w14:val="none"/>
              </w:rPr>
              <w:fldChar w:fldCharType="end"/>
            </w:r>
          </w:p>
        </w:tc>
        <w:tc>
          <w:tcPr>
            <w:tcW w:w="772" w:type="dxa"/>
            <w:tcBorders>
              <w:top w:val="nil"/>
              <w:left w:val="nil"/>
              <w:bottom w:val="single" w:sz="4" w:space="0" w:color="auto"/>
              <w:right w:val="nil"/>
            </w:tcBorders>
            <w:noWrap/>
            <w:vAlign w:val="center"/>
            <w:hideMark/>
          </w:tcPr>
          <w:p w14:paraId="79AD6DC4"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100</w:t>
            </w:r>
          </w:p>
        </w:tc>
        <w:tc>
          <w:tcPr>
            <w:tcW w:w="803" w:type="dxa"/>
            <w:tcBorders>
              <w:top w:val="nil"/>
              <w:left w:val="nil"/>
              <w:bottom w:val="single" w:sz="4" w:space="0" w:color="auto"/>
              <w:right w:val="nil"/>
            </w:tcBorders>
            <w:noWrap/>
            <w:vAlign w:val="center"/>
            <w:hideMark/>
          </w:tcPr>
          <w:p w14:paraId="0D58FDBB"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20</w:t>
            </w:r>
          </w:p>
        </w:tc>
        <w:tc>
          <w:tcPr>
            <w:tcW w:w="720" w:type="dxa"/>
            <w:tcBorders>
              <w:top w:val="nil"/>
              <w:left w:val="nil"/>
              <w:bottom w:val="single" w:sz="4" w:space="0" w:color="auto"/>
              <w:right w:val="nil"/>
            </w:tcBorders>
            <w:noWrap/>
            <w:vAlign w:val="center"/>
            <w:hideMark/>
          </w:tcPr>
          <w:p w14:paraId="2A0A966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35</w:t>
            </w:r>
          </w:p>
        </w:tc>
        <w:tc>
          <w:tcPr>
            <w:tcW w:w="720" w:type="dxa"/>
            <w:tcBorders>
              <w:top w:val="nil"/>
              <w:left w:val="nil"/>
              <w:bottom w:val="single" w:sz="4" w:space="0" w:color="auto"/>
              <w:right w:val="nil"/>
            </w:tcBorders>
            <w:noWrap/>
            <w:vAlign w:val="center"/>
            <w:hideMark/>
          </w:tcPr>
          <w:p w14:paraId="73397C81" w14:textId="4685062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{"citationID":"FhwFFvJV","properties":{"formattedCitation":"\\super 15\\nosupersub{}","plainCitation":"15","noteIndex":0},"citationItems":[{"id":"mqSqq5TW/8k2cVFwa","uris":["http://zotero.org/users/local/LoCbdFly/items/K6UWTRTL"],"itemData":{"id":133,"type":"article-journal","abstract":"Four Bambara groundnut landraces (Vigna subterranea (L.) Verdc.) of African origin (S-165 A, DodR, Uniswa red and SB-42), were grown at research farm of Central Arid Zone Research Institute, Regional Research Station, Bikaner to evaluate for heat tolerance based on the cell membrane thermostability of leaf tissue by using five temperature treatments (40, 45, 50, 55 and 60 °C) and four heating durations (15, 30, 45 and 60 min). Lethal temperature and lethal heating duration was used as the selection criteria for heat tolerance. Significant genotypic variations were evident for both lethal temperature and lethal heating duration. A strong relationship between lethal temperature and lethal heating duration indicates that any one of two parameters can be used as selection criteria for screening Bambara groundnut genotypes for heat tolerance. However, the range of lethal temperature was too narrow (47.5–49.4 °C), whereas the range of lethal heating duration was fairly longer (39.9–48 min) to distinguish the genotypes. Further, there was strong and significant relationship between lethal heating duration and relative injury under heat stress at 50 °C. From this study it can be concluded that lethal heating duration at 50 °C is a potential selection criterion for identifying heat tolerant genotypes in Bambara groundnut.","container-title":"Indian Journal of Plant Physiology","DOI":"10.1007/s40502-015-0137-8","ISSN":"0974-0252","issue":"1","journalAbbreviation":"Ind J Plant Physiol.","language":"en","page":"92-96","source":"Springer Link","title":"Variability in heat tolerance in Bambara groundnut (Vigna subterranea (L.) Verdc.)","volume":"20","author":[{"family":"Soni","given":"M. L."},{"family":"Yadava","given":"N. D."},{"family":"Talwar","given":"H. S."},{"family":"Nathawat","given":"N. S."},{"family":"Rathore","given":"V. S."},{"family":"Gupta","given":"Kavita"}],"issued":{"date-parts":[["2015",3,1]]}}}],"schema":"https://github.com/citation-style-language/schema/raw/master/csl-citation.json"}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15</w:t>
            </w:r>
            <w:r w:rsidRPr="00797D66">
              <w:rPr>
                <w:rFonts w:ascii="Times New Roman" w:eastAsia="Times New Roman" w:hAnsi="Times New Roman" w:cs="Times New Roman"/>
                <w:color w:val="000000"/>
                <w:kern w:val="0"/>
                <w14:ligatures w14:val="none"/>
              </w:rPr>
              <w:fldChar w:fldCharType="end"/>
            </w:r>
          </w:p>
        </w:tc>
        <w:tc>
          <w:tcPr>
            <w:tcW w:w="731" w:type="dxa"/>
            <w:tcBorders>
              <w:top w:val="nil"/>
              <w:left w:val="nil"/>
              <w:bottom w:val="single" w:sz="4" w:space="0" w:color="auto"/>
              <w:right w:val="nil"/>
            </w:tcBorders>
            <w:noWrap/>
            <w:vAlign w:val="center"/>
            <w:hideMark/>
          </w:tcPr>
          <w:p w14:paraId="7F6A67C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0.07</w:t>
            </w:r>
          </w:p>
        </w:tc>
        <w:tc>
          <w:tcPr>
            <w:tcW w:w="720" w:type="dxa"/>
            <w:tcBorders>
              <w:top w:val="nil"/>
              <w:left w:val="nil"/>
              <w:bottom w:val="single" w:sz="4" w:space="0" w:color="auto"/>
              <w:right w:val="nil"/>
            </w:tcBorders>
            <w:noWrap/>
            <w:vAlign w:val="center"/>
            <w:hideMark/>
          </w:tcPr>
          <w:p w14:paraId="301D4F4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1.5</w:t>
            </w:r>
          </w:p>
        </w:tc>
      </w:tr>
      <w:tr w:rsidR="00EF2D7F" w:rsidRPr="00925990" w14:paraId="78F9E53D" w14:textId="77777777" w:rsidTr="00F61362">
        <w:trPr>
          <w:trHeight w:val="513"/>
          <w:jc w:val="center"/>
        </w:trPr>
        <w:tc>
          <w:tcPr>
            <w:tcW w:w="1402" w:type="dxa"/>
            <w:vMerge w:val="restart"/>
            <w:tcBorders>
              <w:left w:val="nil"/>
              <w:right w:val="nil"/>
            </w:tcBorders>
            <w:noWrap/>
            <w:vAlign w:val="center"/>
            <w:hideMark/>
          </w:tcPr>
          <w:p w14:paraId="5336E4F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Roots/Tubers</w:t>
            </w:r>
          </w:p>
        </w:tc>
        <w:tc>
          <w:tcPr>
            <w:tcW w:w="1121" w:type="dxa"/>
            <w:tcBorders>
              <w:top w:val="single" w:sz="4" w:space="0" w:color="auto"/>
              <w:left w:val="nil"/>
              <w:bottom w:val="nil"/>
              <w:right w:val="nil"/>
            </w:tcBorders>
            <w:vAlign w:val="center"/>
          </w:tcPr>
          <w:p w14:paraId="7BF9D5E0"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Cassava</w:t>
            </w:r>
          </w:p>
        </w:tc>
        <w:tc>
          <w:tcPr>
            <w:tcW w:w="796" w:type="dxa"/>
            <w:tcBorders>
              <w:left w:val="nil"/>
              <w:bottom w:val="nil"/>
              <w:right w:val="nil"/>
            </w:tcBorders>
            <w:noWrap/>
            <w:vAlign w:val="center"/>
            <w:hideMark/>
          </w:tcPr>
          <w:p w14:paraId="3A8EFAE5"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5400</w:t>
            </w:r>
          </w:p>
        </w:tc>
        <w:tc>
          <w:tcPr>
            <w:tcW w:w="781" w:type="dxa"/>
            <w:tcBorders>
              <w:left w:val="nil"/>
              <w:bottom w:val="nil"/>
              <w:right w:val="nil"/>
            </w:tcBorders>
            <w:noWrap/>
            <w:vAlign w:val="center"/>
            <w:hideMark/>
          </w:tcPr>
          <w:p w14:paraId="1A3BFB3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0.65</w:t>
            </w:r>
          </w:p>
        </w:tc>
        <w:tc>
          <w:tcPr>
            <w:tcW w:w="720" w:type="dxa"/>
            <w:tcBorders>
              <w:left w:val="nil"/>
              <w:bottom w:val="nil"/>
              <w:right w:val="nil"/>
            </w:tcBorders>
            <w:noWrap/>
            <w:vAlign w:val="center"/>
            <w:hideMark/>
          </w:tcPr>
          <w:p w14:paraId="0A21F0AF"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650</w:t>
            </w:r>
          </w:p>
        </w:tc>
        <w:tc>
          <w:tcPr>
            <w:tcW w:w="720" w:type="dxa"/>
            <w:tcBorders>
              <w:left w:val="nil"/>
              <w:bottom w:val="nil"/>
              <w:right w:val="nil"/>
            </w:tcBorders>
            <w:noWrap/>
            <w:vAlign w:val="center"/>
            <w:hideMark/>
          </w:tcPr>
          <w:p w14:paraId="531B32C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300</w:t>
            </w:r>
          </w:p>
        </w:tc>
        <w:tc>
          <w:tcPr>
            <w:tcW w:w="222" w:type="dxa"/>
            <w:tcBorders>
              <w:left w:val="nil"/>
              <w:bottom w:val="nil"/>
              <w:right w:val="nil"/>
            </w:tcBorders>
          </w:tcPr>
          <w:p w14:paraId="5577E7E4"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left w:val="nil"/>
              <w:bottom w:val="nil"/>
              <w:right w:val="nil"/>
            </w:tcBorders>
            <w:noWrap/>
            <w:vAlign w:val="center"/>
            <w:hideMark/>
          </w:tcPr>
          <w:p w14:paraId="7407E95F"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w:t>
            </w:r>
          </w:p>
        </w:tc>
        <w:tc>
          <w:tcPr>
            <w:tcW w:w="720" w:type="dxa"/>
            <w:tcBorders>
              <w:left w:val="nil"/>
              <w:bottom w:val="nil"/>
              <w:right w:val="nil"/>
            </w:tcBorders>
            <w:noWrap/>
            <w:vAlign w:val="center"/>
            <w:hideMark/>
          </w:tcPr>
          <w:p w14:paraId="6E90CFA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28</w:t>
            </w:r>
          </w:p>
        </w:tc>
        <w:tc>
          <w:tcPr>
            <w:tcW w:w="741" w:type="dxa"/>
            <w:tcBorders>
              <w:left w:val="nil"/>
              <w:bottom w:val="nil"/>
              <w:right w:val="nil"/>
            </w:tcBorders>
            <w:noWrap/>
            <w:vAlign w:val="center"/>
            <w:hideMark/>
          </w:tcPr>
          <w:p w14:paraId="447B3A78"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1.10</w:t>
            </w:r>
          </w:p>
        </w:tc>
        <w:tc>
          <w:tcPr>
            <w:tcW w:w="772" w:type="dxa"/>
            <w:tcBorders>
              <w:left w:val="nil"/>
              <w:bottom w:val="nil"/>
              <w:right w:val="nil"/>
            </w:tcBorders>
            <w:noWrap/>
            <w:vAlign w:val="center"/>
            <w:hideMark/>
          </w:tcPr>
          <w:p w14:paraId="467EF0B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100</w:t>
            </w:r>
          </w:p>
        </w:tc>
        <w:tc>
          <w:tcPr>
            <w:tcW w:w="803" w:type="dxa"/>
            <w:tcBorders>
              <w:left w:val="nil"/>
              <w:bottom w:val="nil"/>
              <w:right w:val="nil"/>
            </w:tcBorders>
            <w:noWrap/>
            <w:vAlign w:val="center"/>
            <w:hideMark/>
          </w:tcPr>
          <w:p w14:paraId="0EE5CEF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15</w:t>
            </w:r>
          </w:p>
        </w:tc>
        <w:tc>
          <w:tcPr>
            <w:tcW w:w="720" w:type="dxa"/>
            <w:tcBorders>
              <w:left w:val="nil"/>
              <w:bottom w:val="nil"/>
              <w:right w:val="nil"/>
            </w:tcBorders>
            <w:noWrap/>
            <w:vAlign w:val="center"/>
            <w:hideMark/>
          </w:tcPr>
          <w:p w14:paraId="21418078"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38</w:t>
            </w:r>
          </w:p>
        </w:tc>
        <w:tc>
          <w:tcPr>
            <w:tcW w:w="720" w:type="dxa"/>
            <w:tcBorders>
              <w:left w:val="nil"/>
              <w:bottom w:val="nil"/>
              <w:right w:val="nil"/>
            </w:tcBorders>
            <w:noWrap/>
            <w:vAlign w:val="center"/>
            <w:hideMark/>
          </w:tcPr>
          <w:p w14:paraId="68EA51E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50</w:t>
            </w:r>
          </w:p>
        </w:tc>
        <w:tc>
          <w:tcPr>
            <w:tcW w:w="731" w:type="dxa"/>
            <w:tcBorders>
              <w:left w:val="nil"/>
              <w:bottom w:val="nil"/>
              <w:right w:val="nil"/>
            </w:tcBorders>
            <w:noWrap/>
            <w:vAlign w:val="center"/>
            <w:hideMark/>
          </w:tcPr>
          <w:p w14:paraId="00553B14"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0.07</w:t>
            </w:r>
          </w:p>
        </w:tc>
        <w:tc>
          <w:tcPr>
            <w:tcW w:w="720" w:type="dxa"/>
            <w:tcBorders>
              <w:left w:val="nil"/>
              <w:bottom w:val="nil"/>
              <w:right w:val="nil"/>
            </w:tcBorders>
            <w:noWrap/>
            <w:vAlign w:val="center"/>
            <w:hideMark/>
          </w:tcPr>
          <w:p w14:paraId="60C8232A" w14:textId="53EFDB40"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w:t>
            </w:r>
            <w:r w:rsidR="00D57B97">
              <w:rPr>
                <w:rFonts w:ascii="Times New Roman" w:eastAsia="Times New Roman" w:hAnsi="Times New Roman" w:cs="Times New Roman"/>
                <w:color w:val="000000"/>
                <w:kern w:val="0"/>
                <w:sz w:val="22"/>
                <w:szCs w:val="22"/>
                <w14:ligatures w14:val="none"/>
              </w:rPr>
              <w:t>.0</w:t>
            </w:r>
          </w:p>
        </w:tc>
      </w:tr>
      <w:tr w:rsidR="00EF2D7F" w:rsidRPr="00925990" w14:paraId="3FD217BC" w14:textId="77777777" w:rsidTr="00F61362">
        <w:trPr>
          <w:trHeight w:val="513"/>
          <w:jc w:val="center"/>
        </w:trPr>
        <w:tc>
          <w:tcPr>
            <w:tcW w:w="1402" w:type="dxa"/>
            <w:vMerge/>
            <w:tcBorders>
              <w:left w:val="nil"/>
              <w:right w:val="nil"/>
            </w:tcBorders>
            <w:noWrap/>
            <w:vAlign w:val="center"/>
            <w:hideMark/>
          </w:tcPr>
          <w:p w14:paraId="25DC3B5D"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1121" w:type="dxa"/>
            <w:tcBorders>
              <w:top w:val="nil"/>
              <w:left w:val="nil"/>
              <w:bottom w:val="nil"/>
              <w:right w:val="nil"/>
            </w:tcBorders>
            <w:vAlign w:val="center"/>
          </w:tcPr>
          <w:p w14:paraId="0CDE2F56"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Cocoyam</w:t>
            </w:r>
          </w:p>
        </w:tc>
        <w:tc>
          <w:tcPr>
            <w:tcW w:w="796" w:type="dxa"/>
            <w:tcBorders>
              <w:top w:val="nil"/>
              <w:left w:val="nil"/>
              <w:bottom w:val="nil"/>
              <w:right w:val="nil"/>
            </w:tcBorders>
            <w:noWrap/>
            <w:vAlign w:val="center"/>
            <w:hideMark/>
          </w:tcPr>
          <w:p w14:paraId="42CAB3D5" w14:textId="35FF0F0C"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2550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{"citationID":"6cpChBE5","properties":{"formattedCitation":"\\super 16\\nosupersub{}","plainCitation":"16","noteIndex":0},"citationItems":[{"id":"mqSqq5TW/9m5UIwC4","uris":["http://zotero.org/users/local/LoCbdFly/items/PQ6B7RSP"],"itemData":{"id":145,"type":"webpage","language":"en-US","note":"section: PLANTS/TREES","title":"Cocoyam farming complete guidlines:complete information about cocoyam - AGRIFARMBLOG","title-short":"Cocoyam farming complete guidlines","URL":"https://agrifarmblog.com/cocoyam-farming-complete-guidlinescomplete-information-about-cocoyam/","accessed":{"date-parts":[["2024",5,16]]},"issued":{"date-parts":[["2020",9,6]]}}}],"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16</w:t>
            </w:r>
            <w:r w:rsidRPr="00797D66">
              <w:rPr>
                <w:rFonts w:ascii="Times New Roman" w:eastAsia="Times New Roman" w:hAnsi="Times New Roman" w:cs="Times New Roman"/>
                <w:color w:val="000000"/>
                <w:kern w:val="0"/>
                <w14:ligatures w14:val="none"/>
              </w:rPr>
              <w:fldChar w:fldCharType="end"/>
            </w:r>
          </w:p>
        </w:tc>
        <w:tc>
          <w:tcPr>
            <w:tcW w:w="781" w:type="dxa"/>
            <w:tcBorders>
              <w:top w:val="nil"/>
              <w:left w:val="nil"/>
              <w:bottom w:val="nil"/>
              <w:right w:val="nil"/>
            </w:tcBorders>
            <w:noWrap/>
            <w:vAlign w:val="center"/>
            <w:hideMark/>
          </w:tcPr>
          <w:p w14:paraId="7561D80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0.53</w:t>
            </w:r>
          </w:p>
        </w:tc>
        <w:tc>
          <w:tcPr>
            <w:tcW w:w="720" w:type="dxa"/>
            <w:tcBorders>
              <w:top w:val="nil"/>
              <w:left w:val="nil"/>
              <w:bottom w:val="nil"/>
              <w:right w:val="nil"/>
            </w:tcBorders>
            <w:noWrap/>
            <w:vAlign w:val="center"/>
            <w:hideMark/>
          </w:tcPr>
          <w:p w14:paraId="45AA7D95"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650</w:t>
            </w:r>
          </w:p>
        </w:tc>
        <w:tc>
          <w:tcPr>
            <w:tcW w:w="720" w:type="dxa"/>
            <w:tcBorders>
              <w:top w:val="nil"/>
              <w:left w:val="nil"/>
              <w:bottom w:val="nil"/>
              <w:right w:val="nil"/>
            </w:tcBorders>
            <w:noWrap/>
            <w:vAlign w:val="center"/>
            <w:hideMark/>
          </w:tcPr>
          <w:p w14:paraId="38A0979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450</w:t>
            </w:r>
          </w:p>
        </w:tc>
        <w:tc>
          <w:tcPr>
            <w:tcW w:w="222" w:type="dxa"/>
            <w:tcBorders>
              <w:top w:val="nil"/>
              <w:left w:val="nil"/>
              <w:bottom w:val="nil"/>
              <w:right w:val="nil"/>
            </w:tcBorders>
          </w:tcPr>
          <w:p w14:paraId="03E378BC"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top w:val="nil"/>
              <w:left w:val="nil"/>
              <w:bottom w:val="nil"/>
              <w:right w:val="nil"/>
            </w:tcBorders>
            <w:noWrap/>
            <w:vAlign w:val="center"/>
            <w:hideMark/>
          </w:tcPr>
          <w:p w14:paraId="489B7CB8" w14:textId="0D92DB3A"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{"citationID":"OowgzIR9","properties":{"formattedCitation":"\\super 17\\nosupersub{}","plainCitation":"17","noteIndex":0},"citationItems":[{"id":"mqSqq5TW/mV5qZOp3","uris":["http://zotero.org/users/local/LoCbdFly/items/ARH5T4P8"],"itemData":{"id":149,"type":"article-journal","abstract":"Based on the basic principles and assumptions of FAO evaluation approach, suitability evaluation is always for a specific kind of use, meaning that different kinds of land use have different requirements. In this study, the land use suitability is specifically for the production of cocoyam in Benue State, Nigeria. This study aims to identify and delineate areas that best support the growth of cocoyam within the area. In this study, Land-Sat image of 2014 covering the study area was used to classify different land use types in ArcGIS 10.3 software, SRTM data was used to generate slope of study area, soil map of Nigeria was used, and different soil types within the study area was digitized, Multi-Criteria Evaluation was done in other to generate weightage for different factors that were used to produce the suitability map. The various factors that were used include soil, slope, and land use and the weight derived from each of the factors are 0.5, 0.3, and 0.2 respectively. Rainfall is regarded as constant in the area because of the single climatic type covering the small area. The classes established under the soil types include fluvisols, acrisols, alisols, gleysols, and nitisols, which were assigned the relative weights of 0.2667, 0.2, 0.1333, 0.0667 and 0.3333 respectively. The classes established under the slope include steep slope, strong slope, moderate slope, gentle slope, and nearly level, which were assigned the relative weights 0.0677, 0.13, 0.2, 0.27 and 0.3333 respectively and the classes established under the land-use factors include settlements, bare-surfaces, cultivated land, vegetation, and wetland, which were assigned the relative weights 0.0667, 0.13, 0.2, 0.27 and 0.3333 respectively. The result of the computation was classified into four quarters namely 0-25%, 26-50%, 51-75%, and 76-100%. The results were updated to a newly created field in the attribute data of the GIS layer containing the entire factor data used for suitability evaluation. After computation, SAVMACE sent the results into ArcGIS for symbolization and visualization.","container-title":"Earth Sciences Malaysia (ESMY)","issue":"2","language":"en","note":"publisher: Zibeline International Publishing","page":"25-30","source":"ideas.repec.org","title":"Land Suitability Analysis For The Production Of Cocoyam Inbenue State,Nigeria","volume":"2","author":[{"family":"Gelleh","given":"I. Daniel"},{"family":"Henry","given":"Okeke U."},{"family":"Babalogbon","given":"B. Ayodeji"},{"family":"Silas","given":"Mangut Y."}],"issued":{"date-parts":[["2018"]]}}}],"schema":"https://github.com/citation-style-language/schema/raw/master/csl-citation.json"}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17</w:t>
            </w:r>
            <w:r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nil"/>
              <w:right w:val="nil"/>
            </w:tcBorders>
            <w:noWrap/>
            <w:vAlign w:val="center"/>
            <w:hideMark/>
          </w:tcPr>
          <w:p w14:paraId="100C7012" w14:textId="1F481E13"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21</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{"citationID":"17CaLm2h","properties":{"formattedCitation":"\\super 17\\nosupersub{}","plainCitation":"17","noteIndex":0},"citationItems":[{"id":"mqSqq5TW/mV5qZOp3","uris":["http://zotero.org/users/local/LoCbdFly/items/ARH5T4P8"],"itemData":{"id":149,"type":"article-journal","abstract":"Based on the basic principles and assumptions of FAO evaluation approach, suitability evaluation is always for a specific kind of use, meaning that different kinds of land use have different requirements. In this study, the land use suitability is specifically for the production of cocoyam in Benue State, Nigeria. This study aims to identify and delineate areas that best support the growth of cocoyam within the area. In this study, Land-Sat image of 2014 covering the study area was used to classify different land use types in ArcGIS 10.3 software, SRTM data was used to generate slope of study area, soil map of Nigeria was used, and different soil types within the study area was digitized, Multi-Criteria Evaluation was done in other to generate weightage for different factors that were used to produce the suitability map. The various factors that were used include soil, slope, and land use and the weight derived from each of the factors are 0.5, 0.3, and 0.2 respectively. Rainfall is regarded as constant in the area because of the single climatic type covering the small area. The classes established under the soil types include fluvisols, acrisols, alisols, gleysols, and nitisols, which were assigned the relative weights of 0.2667, 0.2, 0.1333, 0.0667 and 0.3333 respectively. The classes established under the slope include steep slope, strong slope, moderate slope, gentle slope, and nearly level, which were assigned the relative weights 0.0677, 0.13, 0.2, 0.27 and 0.3333 respectively and the classes established under the land-use factors include settlements, bare-surfaces, cultivated land, vegetation, and wetland, which were assigned the relative weights 0.0667, 0.13, 0.2, 0.27 and 0.3333 respectively. The result of the computation was classified into four quarters namely 0-25%, 26-50%, 51-75%, and 76-100%. The results were updated to a newly created field in the attribute data of the GIS layer containing the entire factor data used for suitability evaluation. After computation, SAVMACE sent the results into ArcGIS for symbolization and visualization.","container-title":"Earth Sciences Malaysia (ESMY)","issue":"2","language":"en","note":"publisher: Zibeline International Publishing","page":"25-30","source":"ideas.repec.org","title":"Land Suitability Analysis For The Production Of Cocoyam Inbenue State,Nigeria","volume":"2","author":[{"family":"Gelleh","given":"I. Daniel"},{"family":"Henry","given":"Okeke U."},{"family":"Babalogbon","given":"B. Ayodeji"},{"family":"Silas","given":"Mangut Y."}],"issued":{"date-parts":[["2018"]]}}}],"schema":"https://github.com/citation-style-language/schema/raw/master/csl-citation.json"}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17</w:t>
            </w:r>
            <w:r w:rsidRPr="00797D66">
              <w:rPr>
                <w:rFonts w:ascii="Times New Roman" w:eastAsia="Times New Roman" w:hAnsi="Times New Roman" w:cs="Times New Roman"/>
                <w:color w:val="000000"/>
                <w:kern w:val="0"/>
                <w14:ligatures w14:val="none"/>
              </w:rPr>
              <w:fldChar w:fldCharType="end"/>
            </w:r>
          </w:p>
        </w:tc>
        <w:tc>
          <w:tcPr>
            <w:tcW w:w="741" w:type="dxa"/>
            <w:tcBorders>
              <w:top w:val="nil"/>
              <w:left w:val="nil"/>
              <w:bottom w:val="nil"/>
              <w:right w:val="nil"/>
            </w:tcBorders>
            <w:noWrap/>
            <w:vAlign w:val="center"/>
            <w:hideMark/>
          </w:tcPr>
          <w:p w14:paraId="4834121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1.20</w:t>
            </w:r>
          </w:p>
        </w:tc>
        <w:tc>
          <w:tcPr>
            <w:tcW w:w="772" w:type="dxa"/>
            <w:tcBorders>
              <w:top w:val="nil"/>
              <w:left w:val="nil"/>
              <w:bottom w:val="nil"/>
              <w:right w:val="nil"/>
            </w:tcBorders>
            <w:noWrap/>
            <w:vAlign w:val="center"/>
            <w:hideMark/>
          </w:tcPr>
          <w:p w14:paraId="10A7EFDA"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50</w:t>
            </w:r>
          </w:p>
        </w:tc>
        <w:tc>
          <w:tcPr>
            <w:tcW w:w="803" w:type="dxa"/>
            <w:tcBorders>
              <w:top w:val="nil"/>
              <w:left w:val="nil"/>
              <w:bottom w:val="nil"/>
              <w:right w:val="nil"/>
            </w:tcBorders>
            <w:noWrap/>
            <w:vAlign w:val="center"/>
            <w:hideMark/>
          </w:tcPr>
          <w:p w14:paraId="15A947B4"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30</w:t>
            </w:r>
          </w:p>
        </w:tc>
        <w:tc>
          <w:tcPr>
            <w:tcW w:w="720" w:type="dxa"/>
            <w:tcBorders>
              <w:top w:val="nil"/>
              <w:left w:val="nil"/>
              <w:bottom w:val="nil"/>
              <w:right w:val="nil"/>
            </w:tcBorders>
            <w:noWrap/>
            <w:vAlign w:val="center"/>
            <w:hideMark/>
          </w:tcPr>
          <w:p w14:paraId="1A307F23"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35</w:t>
            </w:r>
          </w:p>
        </w:tc>
        <w:tc>
          <w:tcPr>
            <w:tcW w:w="720" w:type="dxa"/>
            <w:tcBorders>
              <w:top w:val="nil"/>
              <w:left w:val="nil"/>
              <w:bottom w:val="nil"/>
              <w:right w:val="nil"/>
            </w:tcBorders>
            <w:noWrap/>
            <w:vAlign w:val="center"/>
            <w:hideMark/>
          </w:tcPr>
          <w:p w14:paraId="518A24C6"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45</w:t>
            </w:r>
          </w:p>
        </w:tc>
        <w:tc>
          <w:tcPr>
            <w:tcW w:w="731" w:type="dxa"/>
            <w:tcBorders>
              <w:top w:val="nil"/>
              <w:left w:val="nil"/>
              <w:bottom w:val="nil"/>
              <w:right w:val="nil"/>
            </w:tcBorders>
            <w:noWrap/>
            <w:vAlign w:val="center"/>
            <w:hideMark/>
          </w:tcPr>
          <w:p w14:paraId="3BB1AF93"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0.10</w:t>
            </w:r>
          </w:p>
        </w:tc>
        <w:tc>
          <w:tcPr>
            <w:tcW w:w="720" w:type="dxa"/>
            <w:tcBorders>
              <w:top w:val="nil"/>
              <w:left w:val="nil"/>
              <w:bottom w:val="nil"/>
              <w:right w:val="nil"/>
            </w:tcBorders>
            <w:noWrap/>
            <w:vAlign w:val="center"/>
            <w:hideMark/>
          </w:tcPr>
          <w:p w14:paraId="2AA9669B"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0.7</w:t>
            </w:r>
          </w:p>
        </w:tc>
      </w:tr>
      <w:tr w:rsidR="00EF2D7F" w:rsidRPr="00925990" w14:paraId="38747A9C" w14:textId="77777777" w:rsidTr="00F61362">
        <w:trPr>
          <w:trHeight w:val="513"/>
          <w:jc w:val="center"/>
        </w:trPr>
        <w:tc>
          <w:tcPr>
            <w:tcW w:w="1402" w:type="dxa"/>
            <w:vMerge/>
            <w:tcBorders>
              <w:left w:val="nil"/>
              <w:right w:val="nil"/>
            </w:tcBorders>
            <w:noWrap/>
            <w:vAlign w:val="center"/>
            <w:hideMark/>
          </w:tcPr>
          <w:p w14:paraId="79E54F73"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1121" w:type="dxa"/>
            <w:tcBorders>
              <w:top w:val="nil"/>
              <w:left w:val="nil"/>
              <w:bottom w:val="nil"/>
              <w:right w:val="nil"/>
            </w:tcBorders>
            <w:vAlign w:val="center"/>
          </w:tcPr>
          <w:p w14:paraId="6D25EBE8"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Sweet potato</w:t>
            </w:r>
          </w:p>
        </w:tc>
        <w:tc>
          <w:tcPr>
            <w:tcW w:w="796" w:type="dxa"/>
            <w:tcBorders>
              <w:top w:val="nil"/>
              <w:left w:val="nil"/>
              <w:bottom w:val="nil"/>
              <w:right w:val="nil"/>
            </w:tcBorders>
            <w:noWrap/>
            <w:vAlign w:val="center"/>
            <w:hideMark/>
          </w:tcPr>
          <w:p w14:paraId="62D80A4E"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1200</w:t>
            </w:r>
          </w:p>
        </w:tc>
        <w:tc>
          <w:tcPr>
            <w:tcW w:w="781" w:type="dxa"/>
            <w:tcBorders>
              <w:top w:val="nil"/>
              <w:left w:val="nil"/>
              <w:bottom w:val="nil"/>
              <w:right w:val="nil"/>
            </w:tcBorders>
            <w:noWrap/>
            <w:vAlign w:val="center"/>
            <w:hideMark/>
          </w:tcPr>
          <w:p w14:paraId="15104940" w14:textId="710C92C1"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0.60</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{"citationID":"RzGLxNqf","properties":{"formattedCitation":"\\super 18\\nosupersub{}","plainCitation":"18","noteIndex":0},"citationItems":[{"id":"mqSqq5TW/RM15mQLo","uris":["http://zotero.org/users/local/LoCbdFly/items/YAS4TD3A"],"itemData":{"id":156,"type":"article-journal","abstract":"Crop production in the Caribbean is dominated by small open field holdings that are almost totally reliant on rainfall. Sweet potato (Ipomoea batatas L. Lam. [Convolvulaceae]) has been identified as an important commodity to attain food and nutrition security goals of the region, particularly in light of a changing climate. The crop has high nutritional value, innate drought-tolerant properties, and can be grown with relatively low inputs. The routine use of crop models for yield optimization is largely absent in the Caribbean. In this study, an attempt was made to parameterize the FAO AquaCrop model for sweet potato for the first time. AquaCrop is a simulation model for crop water productivity, designed primarily for use in irrigation management. Parameters were developed using data from three sweet potato cultivars grown in two agroecological zones in Jamaica under rainfed and irrigated conditions. Digital photography was combined with an automated canopy estimator to track canopy development, and sample harvesting was done throughout the crop season. The overall simulation of biomass was good, with deviations of &lt;28% for four out of six simulations, and season-long performance of the model was commendable. The simulation of yield presented more challenges, especially given the nonlinear rate of tuber development. The results, however, indicate that AquaCrop could be a useful tool for Caribbean agriculture in predicting the productivity of sweet potato under varying water availability.","container-title":"Agronomy Journal","DOI":"10.2134/agronj14.0287","ISSN":"1435-0645","issue":"1","language":"en","license":"Copyright © 2015 by the American Society of Agronomy, Inc.","note":"_eprint: https://onlinelibrary.wiley.com/doi/pdf/10.2134/agronj14.0287","page":"375-387","source":"Wiley Online Library","title":"Parameterizing the FAO AquaCrop Model for Rainfed and Irrigated Field-Grown Sweet Potato","volume":"107","author":[{"family":"Rankine","given":"Dale R."},{"family":"Cohen","given":"Jane E."},{"family":"Taylor","given":"M.a."},{"family":"Coy","given":"Andre D."},{"family":"Simpson","given":"Leslie A."},{"family":"Stephenson","given":"Tannecia"},{"family":"Lawrence","given":"Janet L."}],"issued":{"date-parts":[["2015"]]}}}],"schema":"https://github.com/citation-style-language/schema/raw/master/csl-citation.json"}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18</w:t>
            </w:r>
            <w:r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nil"/>
              <w:right w:val="nil"/>
            </w:tcBorders>
            <w:noWrap/>
            <w:vAlign w:val="center"/>
            <w:hideMark/>
          </w:tcPr>
          <w:p w14:paraId="2CD6D9D8"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500</w:t>
            </w:r>
          </w:p>
        </w:tc>
        <w:tc>
          <w:tcPr>
            <w:tcW w:w="720" w:type="dxa"/>
            <w:tcBorders>
              <w:top w:val="nil"/>
              <w:left w:val="nil"/>
              <w:bottom w:val="nil"/>
              <w:right w:val="nil"/>
            </w:tcBorders>
            <w:noWrap/>
            <w:vAlign w:val="center"/>
            <w:hideMark/>
          </w:tcPr>
          <w:p w14:paraId="496FF2C8"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300</w:t>
            </w:r>
          </w:p>
        </w:tc>
        <w:tc>
          <w:tcPr>
            <w:tcW w:w="222" w:type="dxa"/>
            <w:tcBorders>
              <w:top w:val="nil"/>
              <w:left w:val="nil"/>
              <w:bottom w:val="nil"/>
              <w:right w:val="nil"/>
            </w:tcBorders>
          </w:tcPr>
          <w:p w14:paraId="66C1CF26"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top w:val="nil"/>
              <w:left w:val="nil"/>
              <w:bottom w:val="nil"/>
              <w:right w:val="nil"/>
            </w:tcBorders>
            <w:noWrap/>
            <w:vAlign w:val="center"/>
            <w:hideMark/>
          </w:tcPr>
          <w:p w14:paraId="3434E59C" w14:textId="15A8720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15</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{"citationID":"SpUtq8Hf","properties":{"formattedCitation":"\\super 18\\nosupersub{}","plainCitation":"18","noteIndex":0},"citationItems":[{"id":"mqSqq5TW/RM15mQLo","uris":["http://zotero.org/users/local/LoCbdFly/items/YAS4TD3A"],"itemData":{"id":156,"type":"article-journal","abstract":"Crop production in the Caribbean is dominated by small open field holdings that are almost totally reliant on rainfall. Sweet potato (Ipomoea batatas L. Lam. [Convolvulaceae]) has been identified as an important commodity to attain food and nutrition security goals of the region, particularly in light of a changing climate. The crop has high nutritional value, innate drought-tolerant properties, and can be grown with relatively low inputs. The routine use of crop models for yield optimization is largely absent in the Caribbean. In this study, an attempt was made to parameterize the FAO AquaCrop model for sweet potato for the first time. AquaCrop is a simulation model for crop water productivity, designed primarily for use in irrigation management. Parameters were developed using data from three sweet potato cultivars grown in two agroecological zones in Jamaica under rainfed and irrigated conditions. Digital photography was combined with an automated canopy estimator to track canopy development, and sample harvesting was done throughout the crop season. The overall simulation of biomass was good, with deviations of &lt;28% for four out of six simulations, and season-long performance of the model was commendable. The simulation of yield presented more challenges, especially given the nonlinear rate of tuber development. The results, however, indicate that AquaCrop could be a useful tool for Caribbean agriculture in predicting the productivity of sweet potato under varying water availability.","container-title":"Agronomy Journal","DOI":"10.2134/agronj14.0287","ISSN":"1435-0645","issue":"1","language":"en","license":"Copyright © 2015 by the American Society of Agronomy, Inc.","note":"_eprint: https://onlinelibrary.wiley.com/doi/pdf/10.2134/agronj14.0287","page":"375-387","source":"Wiley Online Library","title":"Parameterizing the FAO AquaCrop Model for Rainfed and Irrigated Field-Grown Sweet Potato","volume":"107","author":[{"family":"Rankine","given":"Dale R."},{"family":"Cohen","given":"Jane E."},{"family":"Taylor","given":"M.a."},{"family":"Coy","given":"Andre D."},{"family":"Simpson","given":"Leslie A."},{"family":"Stephenson","given":"Tannecia"},{"family":"Lawrence","given":"Janet L."}],"issued":{"date-parts":[["2015"]]}}}],"schema":"https://github.com/citation-style-language/schema/raw/master/csl-citation.json"}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18</w:t>
            </w:r>
            <w:r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nil"/>
              <w:right w:val="nil"/>
            </w:tcBorders>
            <w:noWrap/>
            <w:vAlign w:val="center"/>
            <w:hideMark/>
          </w:tcPr>
          <w:p w14:paraId="6C594E5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22</w:t>
            </w:r>
          </w:p>
        </w:tc>
        <w:tc>
          <w:tcPr>
            <w:tcW w:w="741" w:type="dxa"/>
            <w:tcBorders>
              <w:top w:val="nil"/>
              <w:left w:val="nil"/>
              <w:bottom w:val="nil"/>
              <w:right w:val="nil"/>
            </w:tcBorders>
            <w:noWrap/>
            <w:vAlign w:val="center"/>
            <w:hideMark/>
          </w:tcPr>
          <w:p w14:paraId="39202492" w14:textId="6583E4C0"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1.61</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{"citationID":"x779NAbY","properties":{"formattedCitation":"\\super 19\\nosupersub{}","plainCitation":"19","noteIndex":0},"citationItems":[{"id":"mqSqq5TW/T1H39Wz9","uris":["http://zotero.org/users/local/LoCbdFly/items/NVNVXLN6"],"itemData":{"id":158,"type":"webpage","abstract":"Radiation Dynamics of Sweetpotato (Ipomoea batatas (L.) Lam) in Response to Different Cropping Systems with a Legume Crop","language":"en-gb","note":"DOI: 10.3923/ajps.2020.287.299","title":"Radiation Dynamics of Sweetpotato (Ipomoea batatas (L.) Lam) in Response to Different Cropping Systems with a Legume Crop","URL":"https://scialert.net/abstract/?doi=ajps.2020.287.299","accessed":{"date-parts":[["2024",5,16]]}}}],"schema":"https://github.com/citation-style-language/schema/raw/master/csl-citation.json"}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19</w:t>
            </w:r>
            <w:r w:rsidRPr="00797D66">
              <w:rPr>
                <w:rFonts w:ascii="Times New Roman" w:eastAsia="Times New Roman" w:hAnsi="Times New Roman" w:cs="Times New Roman"/>
                <w:color w:val="000000"/>
                <w:kern w:val="0"/>
                <w14:ligatures w14:val="none"/>
              </w:rPr>
              <w:fldChar w:fldCharType="end"/>
            </w:r>
          </w:p>
        </w:tc>
        <w:tc>
          <w:tcPr>
            <w:tcW w:w="772" w:type="dxa"/>
            <w:tcBorders>
              <w:top w:val="nil"/>
              <w:left w:val="nil"/>
              <w:bottom w:val="nil"/>
              <w:right w:val="nil"/>
            </w:tcBorders>
            <w:noWrap/>
            <w:vAlign w:val="center"/>
            <w:hideMark/>
          </w:tcPr>
          <w:p w14:paraId="2127C65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50</w:t>
            </w:r>
          </w:p>
        </w:tc>
        <w:tc>
          <w:tcPr>
            <w:tcW w:w="803" w:type="dxa"/>
            <w:tcBorders>
              <w:top w:val="nil"/>
              <w:left w:val="nil"/>
              <w:bottom w:val="nil"/>
              <w:right w:val="nil"/>
            </w:tcBorders>
            <w:noWrap/>
            <w:vAlign w:val="center"/>
            <w:hideMark/>
          </w:tcPr>
          <w:p w14:paraId="0DF0AE28"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30</w:t>
            </w:r>
          </w:p>
        </w:tc>
        <w:tc>
          <w:tcPr>
            <w:tcW w:w="720" w:type="dxa"/>
            <w:tcBorders>
              <w:top w:val="nil"/>
              <w:left w:val="nil"/>
              <w:bottom w:val="nil"/>
              <w:right w:val="nil"/>
            </w:tcBorders>
            <w:noWrap/>
            <w:vAlign w:val="center"/>
            <w:hideMark/>
          </w:tcPr>
          <w:p w14:paraId="6555F0FF" w14:textId="24659D64"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35</w:t>
            </w:r>
            <w:r w:rsidRPr="00797D66">
              <w:rPr>
                <w:rFonts w:ascii="Times New Roman" w:eastAsia="Times New Roman" w:hAnsi="Times New Roman" w:cs="Times New Roman"/>
                <w:color w:val="000000"/>
                <w:kern w:val="0"/>
                <w14:ligatures w14:val="none"/>
              </w:rPr>
              <w:fldChar w:fldCharType="begin"/>
            </w:r>
            <w:r w:rsidR="00F03D60" w:rsidRPr="00797D66">
              <w:rPr>
                <w:rFonts w:ascii="Times New Roman" w:eastAsia="Times New Roman" w:hAnsi="Times New Roman" w:cs="Times New Roman"/>
                <w:color w:val="000000"/>
                <w:kern w:val="0"/>
                <w:sz w:val="22"/>
                <w:szCs w:val="22"/>
                <w14:ligatures w14:val="none"/>
              </w:rPr>
              <w:instrText xml:space="preserve"> ADDIN ZOTERO_ITEM CSL_CITATION {"citationID":"AR25mKv9","properties":{"formattedCitation":"\\super 18\\nosupersub{}","plainCitation":"18","noteIndex":0},"citationItems":[{"id":"mqSqq5TW/RM15mQLo","uris":["http://zotero.org/users/local/LoCbdFly/items/YAS4TD3A"],"itemData":{"id":156,"type":"article-journal","abstract":"Crop production in the Caribbean is dominated by small open field holdings that are almost totally reliant on rainfall. Sweet potato (Ipomoea batatas L. Lam. [Convolvulaceae]) has been identified as an important commodity to attain food and nutrition security goals of the region, particularly in light of a changing climate. The crop has high nutritional value, innate drought-tolerant properties, and can be grown with relatively low inputs. The routine use of crop models for yield optimization is largely absent in the Caribbean. In this study, an attempt was made to parameterize the FAO AquaCrop model for sweet potato for the first time. AquaCrop is a simulation model for crop water productivity, designed primarily for use in irrigation management. Parameters were developed using data from three sweet potato cultivars grown in two agroecological zones in Jamaica under rainfed and irrigated conditions. Digital photography was combined with an automated canopy estimator to track canopy development, and sample harvesting was done throughout the crop season. The overall simulation of biomass was good, with deviations of &lt;28% for four out of six simulations, and season-long performance of the model was commendable. The simulation of yield presented more challenges, especially given the nonlinear rate of tuber development. The results, however, indicate that AquaCrop could be a useful tool for Caribbean agriculture in predicting the productivity of sweet potato under varying water availability.","container-title":"Agronomy Journal","DOI":"10.2134/agronj14.0287","ISSN":"1435-0645","issue":"1","language":"en","license":"Copyright © 2015 by the American Society of Agronomy, Inc.","note":"_eprint: https://onlinelibrary.wiley.com/doi/pdf/10.2134/agronj14.0287","page":"375-387","source":"Wiley Online Library","title":"Parameterizing the FAO AquaCrop Model for Rainfed and Irrigated Field-Grown Sweet Potato","volume":"107","author":[{"family":"Rankine","given":"Dale R."},{"family":"Cohen","given":"Jane E."},{"family":"Taylor","given":"M.a."},{"family":"Coy","given":"Andre D."},{"family":"Simpson","given":"Leslie A."},{"family":"Stephenson","given":"Tannecia"},{"family":"Lawrence","given":"Janet L."}],"issued":{"date-parts":[["2015"]]}}}],"schema":"https://github.com/citation-style-language/schema/raw/master/csl-citation.json"} </w:instrText>
            </w:r>
            <w:r w:rsidRPr="00797D66">
              <w:rPr>
                <w:rFonts w:ascii="Times New Roman" w:eastAsia="Times New Roman" w:hAnsi="Times New Roman" w:cs="Times New Roman"/>
                <w:color w:val="000000"/>
                <w:kern w:val="0"/>
                <w14:ligatures w14:val="none"/>
              </w:rPr>
              <w:fldChar w:fldCharType="separate"/>
            </w:r>
            <w:r w:rsidR="00EF2D7F" w:rsidRPr="00797D66">
              <w:rPr>
                <w:rFonts w:ascii="Times New Roman" w:hAnsi="Times New Roman" w:cs="Times New Roman"/>
                <w:kern w:val="0"/>
                <w:sz w:val="22"/>
                <w:vertAlign w:val="superscript"/>
              </w:rPr>
              <w:t>18</w:t>
            </w:r>
            <w:r w:rsidRPr="00797D66">
              <w:rPr>
                <w:rFonts w:ascii="Times New Roman" w:eastAsia="Times New Roman" w:hAnsi="Times New Roman" w:cs="Times New Roman"/>
                <w:color w:val="000000"/>
                <w:kern w:val="0"/>
                <w14:ligatures w14:val="none"/>
              </w:rPr>
              <w:fldChar w:fldCharType="end"/>
            </w:r>
          </w:p>
        </w:tc>
        <w:tc>
          <w:tcPr>
            <w:tcW w:w="720" w:type="dxa"/>
            <w:tcBorders>
              <w:top w:val="nil"/>
              <w:left w:val="nil"/>
              <w:bottom w:val="nil"/>
              <w:right w:val="nil"/>
            </w:tcBorders>
            <w:noWrap/>
            <w:vAlign w:val="center"/>
            <w:hideMark/>
          </w:tcPr>
          <w:p w14:paraId="2D0B56E1"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45</w:t>
            </w:r>
          </w:p>
        </w:tc>
        <w:tc>
          <w:tcPr>
            <w:tcW w:w="731" w:type="dxa"/>
            <w:tcBorders>
              <w:top w:val="nil"/>
              <w:left w:val="nil"/>
              <w:bottom w:val="nil"/>
              <w:right w:val="nil"/>
            </w:tcBorders>
            <w:noWrap/>
            <w:vAlign w:val="center"/>
            <w:hideMark/>
          </w:tcPr>
          <w:p w14:paraId="2710D353"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0.10</w:t>
            </w:r>
          </w:p>
        </w:tc>
        <w:tc>
          <w:tcPr>
            <w:tcW w:w="720" w:type="dxa"/>
            <w:tcBorders>
              <w:top w:val="nil"/>
              <w:left w:val="nil"/>
              <w:bottom w:val="nil"/>
              <w:right w:val="nil"/>
            </w:tcBorders>
            <w:noWrap/>
            <w:vAlign w:val="center"/>
            <w:hideMark/>
          </w:tcPr>
          <w:p w14:paraId="4B87EBF9"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0.6</w:t>
            </w:r>
          </w:p>
        </w:tc>
      </w:tr>
      <w:tr w:rsidR="00EF2D7F" w:rsidRPr="00925990" w14:paraId="2472CF70" w14:textId="77777777" w:rsidTr="00F61362">
        <w:trPr>
          <w:trHeight w:val="513"/>
          <w:jc w:val="center"/>
        </w:trPr>
        <w:tc>
          <w:tcPr>
            <w:tcW w:w="1402" w:type="dxa"/>
            <w:vMerge/>
            <w:tcBorders>
              <w:left w:val="nil"/>
              <w:right w:val="nil"/>
            </w:tcBorders>
            <w:noWrap/>
            <w:vAlign w:val="center"/>
            <w:hideMark/>
          </w:tcPr>
          <w:p w14:paraId="679093A1"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1121" w:type="dxa"/>
            <w:tcBorders>
              <w:top w:val="nil"/>
              <w:left w:val="nil"/>
              <w:bottom w:val="single" w:sz="4" w:space="0" w:color="auto"/>
              <w:right w:val="nil"/>
            </w:tcBorders>
            <w:vAlign w:val="center"/>
          </w:tcPr>
          <w:p w14:paraId="307C62FA"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Yams</w:t>
            </w:r>
          </w:p>
        </w:tc>
        <w:tc>
          <w:tcPr>
            <w:tcW w:w="796" w:type="dxa"/>
            <w:tcBorders>
              <w:top w:val="nil"/>
              <w:left w:val="nil"/>
              <w:bottom w:val="single" w:sz="4" w:space="0" w:color="auto"/>
              <w:right w:val="nil"/>
            </w:tcBorders>
            <w:noWrap/>
            <w:vAlign w:val="center"/>
            <w:hideMark/>
          </w:tcPr>
          <w:p w14:paraId="2EEDE258"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3600</w:t>
            </w:r>
          </w:p>
        </w:tc>
        <w:tc>
          <w:tcPr>
            <w:tcW w:w="781" w:type="dxa"/>
            <w:tcBorders>
              <w:top w:val="nil"/>
              <w:left w:val="nil"/>
              <w:bottom w:val="single" w:sz="4" w:space="0" w:color="auto"/>
              <w:right w:val="nil"/>
            </w:tcBorders>
            <w:noWrap/>
            <w:vAlign w:val="center"/>
            <w:hideMark/>
          </w:tcPr>
          <w:p w14:paraId="7711156B"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0.75</w:t>
            </w:r>
          </w:p>
        </w:tc>
        <w:tc>
          <w:tcPr>
            <w:tcW w:w="720" w:type="dxa"/>
            <w:tcBorders>
              <w:top w:val="nil"/>
              <w:left w:val="nil"/>
              <w:bottom w:val="single" w:sz="4" w:space="0" w:color="auto"/>
              <w:right w:val="nil"/>
            </w:tcBorders>
            <w:noWrap/>
            <w:vAlign w:val="center"/>
            <w:hideMark/>
          </w:tcPr>
          <w:p w14:paraId="656FA6B3"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650</w:t>
            </w:r>
          </w:p>
        </w:tc>
        <w:tc>
          <w:tcPr>
            <w:tcW w:w="720" w:type="dxa"/>
            <w:tcBorders>
              <w:top w:val="nil"/>
              <w:left w:val="nil"/>
              <w:bottom w:val="single" w:sz="4" w:space="0" w:color="auto"/>
              <w:right w:val="nil"/>
            </w:tcBorders>
            <w:noWrap/>
            <w:vAlign w:val="center"/>
            <w:hideMark/>
          </w:tcPr>
          <w:p w14:paraId="075B128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540</w:t>
            </w:r>
          </w:p>
        </w:tc>
        <w:tc>
          <w:tcPr>
            <w:tcW w:w="222" w:type="dxa"/>
            <w:tcBorders>
              <w:top w:val="nil"/>
              <w:left w:val="nil"/>
              <w:bottom w:val="single" w:sz="4" w:space="0" w:color="auto"/>
              <w:right w:val="nil"/>
            </w:tcBorders>
          </w:tcPr>
          <w:p w14:paraId="4BE33F74" w14:textId="77777777" w:rsidR="004F4FA8" w:rsidRPr="00797D66" w:rsidRDefault="004F4FA8" w:rsidP="0010678E">
            <w:pPr>
              <w:jc w:val="center"/>
              <w:rPr>
                <w:rFonts w:ascii="Times New Roman" w:eastAsia="Times New Roman" w:hAnsi="Times New Roman" w:cs="Times New Roman"/>
                <w:color w:val="000000"/>
                <w:kern w:val="0"/>
                <w14:ligatures w14:val="none"/>
              </w:rPr>
            </w:pPr>
          </w:p>
        </w:tc>
        <w:tc>
          <w:tcPr>
            <w:tcW w:w="720" w:type="dxa"/>
            <w:tcBorders>
              <w:top w:val="nil"/>
              <w:left w:val="nil"/>
              <w:bottom w:val="single" w:sz="4" w:space="0" w:color="auto"/>
              <w:right w:val="nil"/>
            </w:tcBorders>
            <w:noWrap/>
            <w:vAlign w:val="center"/>
            <w:hideMark/>
          </w:tcPr>
          <w:p w14:paraId="680620A0"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w:t>
            </w:r>
          </w:p>
        </w:tc>
        <w:tc>
          <w:tcPr>
            <w:tcW w:w="720" w:type="dxa"/>
            <w:tcBorders>
              <w:top w:val="nil"/>
              <w:left w:val="nil"/>
              <w:bottom w:val="single" w:sz="4" w:space="0" w:color="auto"/>
              <w:right w:val="nil"/>
            </w:tcBorders>
            <w:noWrap/>
            <w:vAlign w:val="center"/>
            <w:hideMark/>
          </w:tcPr>
          <w:p w14:paraId="4E1E9202"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28</w:t>
            </w:r>
          </w:p>
        </w:tc>
        <w:tc>
          <w:tcPr>
            <w:tcW w:w="741" w:type="dxa"/>
            <w:tcBorders>
              <w:top w:val="nil"/>
              <w:left w:val="nil"/>
              <w:bottom w:val="single" w:sz="4" w:space="0" w:color="auto"/>
              <w:right w:val="nil"/>
            </w:tcBorders>
            <w:noWrap/>
            <w:vAlign w:val="center"/>
            <w:hideMark/>
          </w:tcPr>
          <w:p w14:paraId="05D4488C"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1.20</w:t>
            </w:r>
          </w:p>
        </w:tc>
        <w:tc>
          <w:tcPr>
            <w:tcW w:w="772" w:type="dxa"/>
            <w:tcBorders>
              <w:top w:val="nil"/>
              <w:left w:val="nil"/>
              <w:bottom w:val="single" w:sz="4" w:space="0" w:color="auto"/>
              <w:right w:val="nil"/>
            </w:tcBorders>
            <w:noWrap/>
            <w:vAlign w:val="center"/>
            <w:hideMark/>
          </w:tcPr>
          <w:p w14:paraId="3BEFD2F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100</w:t>
            </w:r>
          </w:p>
        </w:tc>
        <w:tc>
          <w:tcPr>
            <w:tcW w:w="803" w:type="dxa"/>
            <w:tcBorders>
              <w:top w:val="nil"/>
              <w:left w:val="nil"/>
              <w:bottom w:val="single" w:sz="4" w:space="0" w:color="auto"/>
              <w:right w:val="nil"/>
            </w:tcBorders>
            <w:noWrap/>
            <w:vAlign w:val="center"/>
            <w:hideMark/>
          </w:tcPr>
          <w:p w14:paraId="7A7D18BB"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15</w:t>
            </w:r>
          </w:p>
        </w:tc>
        <w:tc>
          <w:tcPr>
            <w:tcW w:w="720" w:type="dxa"/>
            <w:tcBorders>
              <w:top w:val="nil"/>
              <w:left w:val="nil"/>
              <w:bottom w:val="single" w:sz="4" w:space="0" w:color="auto"/>
              <w:right w:val="nil"/>
            </w:tcBorders>
            <w:noWrap/>
            <w:vAlign w:val="center"/>
            <w:hideMark/>
          </w:tcPr>
          <w:p w14:paraId="2C2AB752"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38</w:t>
            </w:r>
          </w:p>
        </w:tc>
        <w:tc>
          <w:tcPr>
            <w:tcW w:w="720" w:type="dxa"/>
            <w:tcBorders>
              <w:top w:val="nil"/>
              <w:left w:val="nil"/>
              <w:bottom w:val="single" w:sz="4" w:space="0" w:color="auto"/>
              <w:right w:val="nil"/>
            </w:tcBorders>
            <w:noWrap/>
            <w:vAlign w:val="center"/>
            <w:hideMark/>
          </w:tcPr>
          <w:p w14:paraId="7DC78227"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50</w:t>
            </w:r>
          </w:p>
        </w:tc>
        <w:tc>
          <w:tcPr>
            <w:tcW w:w="731" w:type="dxa"/>
            <w:tcBorders>
              <w:top w:val="nil"/>
              <w:left w:val="nil"/>
              <w:bottom w:val="single" w:sz="4" w:space="0" w:color="auto"/>
              <w:right w:val="nil"/>
            </w:tcBorders>
            <w:noWrap/>
            <w:vAlign w:val="center"/>
            <w:hideMark/>
          </w:tcPr>
          <w:p w14:paraId="69D9094D"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0.07</w:t>
            </w:r>
          </w:p>
        </w:tc>
        <w:tc>
          <w:tcPr>
            <w:tcW w:w="720" w:type="dxa"/>
            <w:tcBorders>
              <w:top w:val="nil"/>
              <w:left w:val="nil"/>
              <w:bottom w:val="single" w:sz="4" w:space="0" w:color="auto"/>
              <w:right w:val="nil"/>
            </w:tcBorders>
            <w:noWrap/>
            <w:vAlign w:val="center"/>
            <w:hideMark/>
          </w:tcPr>
          <w:p w14:paraId="4646C7FB" w14:textId="77777777" w:rsidR="004F4FA8" w:rsidRPr="00797D66" w:rsidRDefault="004F4FA8" w:rsidP="0010678E">
            <w:pPr>
              <w:jc w:val="center"/>
              <w:rPr>
                <w:rFonts w:ascii="Times New Roman" w:eastAsia="Times New Roman" w:hAnsi="Times New Roman" w:cs="Times New Roman"/>
                <w:color w:val="000000"/>
                <w:kern w:val="0"/>
                <w14:ligatures w14:val="none"/>
              </w:rPr>
            </w:pPr>
            <w:r w:rsidRPr="00797D66">
              <w:rPr>
                <w:rFonts w:ascii="Times New Roman" w:eastAsia="Times New Roman" w:hAnsi="Times New Roman" w:cs="Times New Roman"/>
                <w:color w:val="000000"/>
                <w:kern w:val="0"/>
                <w:sz w:val="22"/>
                <w:szCs w:val="22"/>
                <w14:ligatures w14:val="none"/>
              </w:rPr>
              <w:t>1.2</w:t>
            </w:r>
          </w:p>
        </w:tc>
      </w:tr>
    </w:tbl>
    <w:p w14:paraId="6AF3C668" w14:textId="551BE07D" w:rsidR="00797D66" w:rsidRDefault="004F4FA8" w:rsidP="00A727D1">
      <w:pPr>
        <w:spacing w:line="278" w:lineRule="auto"/>
        <w:rPr>
          <w:rFonts w:ascii="Times New Roman" w:hAnsi="Times New Roman" w:cs="Times New Roman"/>
          <w:sz w:val="24"/>
          <w:szCs w:val="24"/>
        </w:rPr>
      </w:pPr>
      <w:r w:rsidRPr="00797D66">
        <w:rPr>
          <w:rFonts w:ascii="Times New Roman" w:hAnsi="Times New Roman" w:cs="Times New Roman"/>
          <w:sz w:val="24"/>
          <w:szCs w:val="24"/>
        </w:rPr>
        <w:lastRenderedPageBreak/>
        <w:t>Note: the * after the citation means the reference doesn’t necessarily provide the number but a direction to adjust the number based on other analogous crops.</w:t>
      </w:r>
    </w:p>
    <w:p w14:paraId="61EA5FAD" w14:textId="77777777" w:rsidR="0010678E" w:rsidRDefault="0010678E" w:rsidP="00A727D1">
      <w:pPr>
        <w:spacing w:line="278" w:lineRule="auto"/>
        <w:rPr>
          <w:rFonts w:ascii="Times New Roman" w:hAnsi="Times New Roman" w:cs="Times New Roman"/>
          <w:b/>
          <w:bCs/>
          <w:sz w:val="24"/>
          <w:szCs w:val="24"/>
        </w:rPr>
      </w:pPr>
    </w:p>
    <w:p w14:paraId="47A233A5" w14:textId="6CE9B4B3" w:rsidR="00910CD0" w:rsidRPr="00797D66" w:rsidRDefault="00910CD0" w:rsidP="00910CD0">
      <w:pPr>
        <w:spacing w:line="278" w:lineRule="auto"/>
        <w:rPr>
          <w:rFonts w:ascii="Times New Roman" w:hAnsi="Times New Roman" w:cs="Times New Roman"/>
          <w:sz w:val="24"/>
          <w:szCs w:val="24"/>
        </w:rPr>
      </w:pPr>
      <w:r w:rsidRPr="00797D66">
        <w:rPr>
          <w:rFonts w:ascii="Times New Roman" w:hAnsi="Times New Roman" w:cs="Times New Roman"/>
          <w:b/>
          <w:bCs/>
          <w:sz w:val="24"/>
          <w:szCs w:val="24"/>
        </w:rPr>
        <w:t>Tab</w:t>
      </w:r>
      <w:r w:rsidR="002379B9">
        <w:rPr>
          <w:rFonts w:ascii="Times New Roman" w:hAnsi="Times New Roman" w:cs="Times New Roman"/>
          <w:b/>
          <w:bCs/>
          <w:sz w:val="24"/>
          <w:szCs w:val="24"/>
        </w:rPr>
        <w:t>le</w:t>
      </w:r>
      <w:r w:rsidRPr="00797D66">
        <w:rPr>
          <w:rFonts w:ascii="Times New Roman" w:hAnsi="Times New Roman" w:cs="Times New Roman"/>
          <w:b/>
          <w:bCs/>
          <w:sz w:val="24"/>
          <w:szCs w:val="24"/>
        </w:rPr>
        <w:t xml:space="preserve"> </w:t>
      </w:r>
      <w:r w:rsidR="00D0234A" w:rsidRPr="00797D66">
        <w:rPr>
          <w:rFonts w:ascii="Times New Roman" w:hAnsi="Times New Roman" w:cs="Times New Roman"/>
          <w:b/>
          <w:bCs/>
          <w:sz w:val="24"/>
          <w:szCs w:val="24"/>
        </w:rPr>
        <w:t>S</w:t>
      </w:r>
      <w:r w:rsidRPr="00797D66">
        <w:rPr>
          <w:rFonts w:ascii="Times New Roman" w:hAnsi="Times New Roman" w:cs="Times New Roman"/>
          <w:b/>
          <w:bCs/>
          <w:sz w:val="24"/>
          <w:szCs w:val="24"/>
        </w:rPr>
        <w:t>2</w:t>
      </w:r>
      <w:r w:rsidR="00FA50A4">
        <w:rPr>
          <w:rFonts w:ascii="Times New Roman" w:hAnsi="Times New Roman" w:cs="Times New Roman"/>
          <w:b/>
          <w:bCs/>
          <w:sz w:val="24"/>
          <w:szCs w:val="24"/>
        </w:rPr>
        <w:t xml:space="preserve"> |</w:t>
      </w:r>
      <w:r w:rsidRPr="00797D66">
        <w:rPr>
          <w:rFonts w:ascii="Times New Roman" w:hAnsi="Times New Roman" w:cs="Times New Roman"/>
          <w:b/>
          <w:bCs/>
          <w:sz w:val="24"/>
          <w:szCs w:val="24"/>
        </w:rPr>
        <w:t xml:space="preserve"> </w:t>
      </w:r>
      <w:r w:rsidR="009D2AE4" w:rsidRPr="00797D66">
        <w:rPr>
          <w:rFonts w:ascii="Times New Roman" w:hAnsi="Times New Roman" w:cs="Times New Roman"/>
          <w:b/>
          <w:bCs/>
          <w:sz w:val="24"/>
          <w:szCs w:val="24"/>
        </w:rPr>
        <w:t>Crop calendar</w:t>
      </w:r>
      <w:r w:rsidR="009D2AE4" w:rsidRPr="00797D66">
        <w:rPr>
          <w:rFonts w:ascii="Times New Roman" w:hAnsi="Times New Roman" w:cs="Times New Roman"/>
          <w:sz w:val="24"/>
          <w:szCs w:val="24"/>
        </w:rPr>
        <w:t xml:space="preserve">. </w:t>
      </w:r>
      <w:r w:rsidR="000F12B7">
        <w:rPr>
          <w:rFonts w:ascii="Times New Roman" w:hAnsi="Times New Roman" w:cs="Times New Roman"/>
          <w:sz w:val="24"/>
          <w:szCs w:val="24"/>
        </w:rPr>
        <w:t>P</w:t>
      </w:r>
      <w:r w:rsidR="000D41A5" w:rsidRPr="00797D66">
        <w:rPr>
          <w:rFonts w:ascii="Times New Roman" w:hAnsi="Times New Roman" w:cs="Times New Roman"/>
          <w:sz w:val="24"/>
          <w:szCs w:val="24"/>
        </w:rPr>
        <w:t xml:space="preserve">lanting </w:t>
      </w:r>
      <w:r w:rsidR="000F12B7">
        <w:rPr>
          <w:rFonts w:ascii="Times New Roman" w:hAnsi="Times New Roman" w:cs="Times New Roman"/>
          <w:sz w:val="24"/>
          <w:szCs w:val="24"/>
        </w:rPr>
        <w:t>windows</w:t>
      </w:r>
      <w:r w:rsidR="000F12B7" w:rsidRPr="00797D66">
        <w:rPr>
          <w:rFonts w:ascii="Times New Roman" w:hAnsi="Times New Roman" w:cs="Times New Roman"/>
          <w:sz w:val="24"/>
          <w:szCs w:val="24"/>
        </w:rPr>
        <w:t xml:space="preserve"> </w:t>
      </w:r>
      <w:r w:rsidR="000D41A5" w:rsidRPr="00797D66">
        <w:rPr>
          <w:rFonts w:ascii="Times New Roman" w:hAnsi="Times New Roman" w:cs="Times New Roman"/>
          <w:sz w:val="24"/>
          <w:szCs w:val="24"/>
        </w:rPr>
        <w:t xml:space="preserve">of various crops in </w:t>
      </w:r>
      <w:r w:rsidRPr="00797D66">
        <w:rPr>
          <w:rFonts w:ascii="Times New Roman" w:hAnsi="Times New Roman" w:cs="Times New Roman"/>
          <w:sz w:val="24"/>
          <w:szCs w:val="24"/>
        </w:rPr>
        <w:t>Ghana</w:t>
      </w:r>
      <w:r w:rsidR="000F18B1">
        <w:rPr>
          <w:rFonts w:ascii="Times New Roman" w:hAnsi="Times New Roman" w:cs="Times New Roman"/>
          <w:sz w:val="24"/>
          <w:szCs w:val="24"/>
        </w:rPr>
        <w:t xml:space="preserve"> from the literature</w:t>
      </w:r>
      <w:r w:rsidRPr="00797D66">
        <w:rPr>
          <w:rFonts w:ascii="Times New Roman" w:hAnsi="Times New Roman" w:cs="Times New Roman"/>
          <w:sz w:val="24"/>
          <w:szCs w:val="24"/>
        </w:rPr>
        <w:t>.</w:t>
      </w:r>
    </w:p>
    <w:p w14:paraId="6290BA3B" w14:textId="77777777" w:rsidR="00910CD0" w:rsidRPr="00797D66" w:rsidRDefault="00910CD0" w:rsidP="004F4FA8">
      <w:pPr>
        <w:spacing w:line="278" w:lineRule="auto"/>
        <w:rPr>
          <w:rFonts w:ascii="Times New Roman" w:hAnsi="Times New Roman" w:cs="Times New Roman"/>
          <w:sz w:val="24"/>
          <w:szCs w:val="24"/>
        </w:rPr>
      </w:pPr>
    </w:p>
    <w:tbl>
      <w:tblPr>
        <w:tblW w:w="12360" w:type="dxa"/>
        <w:tblLook w:val="04A0" w:firstRow="1" w:lastRow="0" w:firstColumn="1" w:lastColumn="0" w:noHBand="0" w:noVBand="1"/>
      </w:tblPr>
      <w:tblGrid>
        <w:gridCol w:w="4300"/>
        <w:gridCol w:w="2660"/>
        <w:gridCol w:w="2430"/>
        <w:gridCol w:w="2970"/>
      </w:tblGrid>
      <w:tr w:rsidR="000F12B7" w:rsidRPr="00925990" w14:paraId="45BE8086" w14:textId="77777777" w:rsidTr="000F12B7">
        <w:trPr>
          <w:trHeight w:val="288"/>
        </w:trPr>
        <w:tc>
          <w:tcPr>
            <w:tcW w:w="4300" w:type="dxa"/>
            <w:tcBorders>
              <w:top w:val="single" w:sz="4" w:space="0" w:color="auto"/>
              <w:bottom w:val="single" w:sz="4" w:space="0" w:color="auto"/>
            </w:tcBorders>
            <w:shd w:val="clear" w:color="auto" w:fill="auto"/>
            <w:noWrap/>
            <w:vAlign w:val="bottom"/>
            <w:hideMark/>
          </w:tcPr>
          <w:p w14:paraId="59BBFEA4" w14:textId="77777777"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 xml:space="preserve">Agro Ecological Zone </w:t>
            </w:r>
          </w:p>
        </w:tc>
        <w:tc>
          <w:tcPr>
            <w:tcW w:w="2660" w:type="dxa"/>
            <w:tcBorders>
              <w:top w:val="single" w:sz="4" w:space="0" w:color="auto"/>
              <w:bottom w:val="single" w:sz="4" w:space="0" w:color="auto"/>
            </w:tcBorders>
            <w:shd w:val="clear" w:color="auto" w:fill="auto"/>
            <w:noWrap/>
            <w:vAlign w:val="bottom"/>
            <w:hideMark/>
          </w:tcPr>
          <w:p w14:paraId="1C24CF71" w14:textId="77777777"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Planting Window from literature</w:t>
            </w:r>
          </w:p>
        </w:tc>
        <w:tc>
          <w:tcPr>
            <w:tcW w:w="2430" w:type="dxa"/>
            <w:tcBorders>
              <w:top w:val="single" w:sz="4" w:space="0" w:color="auto"/>
              <w:bottom w:val="single" w:sz="4" w:space="0" w:color="auto"/>
            </w:tcBorders>
            <w:shd w:val="clear" w:color="auto" w:fill="auto"/>
            <w:noWrap/>
            <w:vAlign w:val="bottom"/>
            <w:hideMark/>
          </w:tcPr>
          <w:p w14:paraId="4B36F12D" w14:textId="662F5D48" w:rsidR="000F12B7" w:rsidRPr="00797D66" w:rsidRDefault="000F12B7" w:rsidP="00797D66">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Window used for SIMPLE</w:t>
            </w:r>
          </w:p>
        </w:tc>
        <w:tc>
          <w:tcPr>
            <w:tcW w:w="2970" w:type="dxa"/>
            <w:tcBorders>
              <w:top w:val="single" w:sz="4" w:space="0" w:color="auto"/>
              <w:bottom w:val="single" w:sz="4" w:space="0" w:color="auto"/>
            </w:tcBorders>
            <w:shd w:val="clear" w:color="auto" w:fill="auto"/>
            <w:noWrap/>
            <w:vAlign w:val="bottom"/>
            <w:hideMark/>
          </w:tcPr>
          <w:p w14:paraId="15CF1DFF" w14:textId="03CAAD50"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Crops simulated using the window</w:t>
            </w:r>
          </w:p>
        </w:tc>
      </w:tr>
      <w:tr w:rsidR="000F12B7" w:rsidRPr="00925990" w14:paraId="328731CD" w14:textId="77777777" w:rsidTr="000F12B7">
        <w:trPr>
          <w:trHeight w:val="288"/>
        </w:trPr>
        <w:tc>
          <w:tcPr>
            <w:tcW w:w="4300" w:type="dxa"/>
            <w:tcBorders>
              <w:top w:val="single" w:sz="4" w:space="0" w:color="auto"/>
            </w:tcBorders>
            <w:shd w:val="clear" w:color="auto" w:fill="auto"/>
            <w:noWrap/>
            <w:vAlign w:val="bottom"/>
            <w:hideMark/>
          </w:tcPr>
          <w:p w14:paraId="42386212" w14:textId="4140D920"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Guinea &amp; Sudan Savanah</w:t>
            </w:r>
          </w:p>
        </w:tc>
        <w:tc>
          <w:tcPr>
            <w:tcW w:w="2660" w:type="dxa"/>
            <w:tcBorders>
              <w:top w:val="single" w:sz="4" w:space="0" w:color="auto"/>
            </w:tcBorders>
            <w:shd w:val="clear" w:color="auto" w:fill="auto"/>
            <w:noWrap/>
            <w:vAlign w:val="bottom"/>
            <w:hideMark/>
          </w:tcPr>
          <w:p w14:paraId="08173777" w14:textId="1E5A768E"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June 1 - July 15</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{"citationID":"ALojY1Sm","properties":{"formattedCitation":"\\super 20\\nosupersub{}","plainCitation":"20","noteIndex":0},"citationItems":[{"id":238,"uris":["http://zotero.org/users/local/SwwyMfAk/items/5BXP985P"],"itemData":{"id":238,"type":"article-journal","language":"en","source":"Zotero","title":"Extension Handbook for Soya, Cowpea and Groundnut Production in Northern Ghana, 2015.","author":[{"family":"Adzoyi","given":"Fred Xorla"}]}}],"schema":"https://github.com/citation-style-language/schema/raw/master/csl-citation.json"}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20</w:t>
            </w:r>
            <w:r w:rsidRPr="00797D66">
              <w:rPr>
                <w:rFonts w:ascii="Times New Roman" w:eastAsia="Times New Roman" w:hAnsi="Times New Roman" w:cs="Times New Roman"/>
                <w:color w:val="000000"/>
                <w:kern w:val="0"/>
                <w:sz w:val="24"/>
                <w:szCs w:val="24"/>
                <w14:ligatures w14:val="none"/>
              </w:rPr>
              <w:fldChar w:fldCharType="end"/>
            </w:r>
          </w:p>
        </w:tc>
        <w:tc>
          <w:tcPr>
            <w:tcW w:w="2430" w:type="dxa"/>
            <w:tcBorders>
              <w:top w:val="single" w:sz="4" w:space="0" w:color="auto"/>
            </w:tcBorders>
            <w:shd w:val="clear" w:color="auto" w:fill="auto"/>
            <w:noWrap/>
            <w:vAlign w:val="bottom"/>
            <w:hideMark/>
          </w:tcPr>
          <w:p w14:paraId="7DB78B6C"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21-Jun</w:t>
            </w:r>
          </w:p>
        </w:tc>
        <w:tc>
          <w:tcPr>
            <w:tcW w:w="2970" w:type="dxa"/>
            <w:vMerge w:val="restart"/>
            <w:tcBorders>
              <w:top w:val="single" w:sz="4" w:space="0" w:color="auto"/>
            </w:tcBorders>
            <w:shd w:val="clear" w:color="auto" w:fill="auto"/>
            <w:noWrap/>
            <w:vAlign w:val="center"/>
            <w:hideMark/>
          </w:tcPr>
          <w:p w14:paraId="056C9B1C" w14:textId="77777777" w:rsidR="000F12B7" w:rsidRPr="00797D66" w:rsidRDefault="000F12B7" w:rsidP="00B52042">
            <w:pPr>
              <w:spacing w:after="0" w:line="240" w:lineRule="auto"/>
              <w:jc w:val="center"/>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Soybean, Bambara groundnut, Cowpea</w:t>
            </w:r>
          </w:p>
        </w:tc>
      </w:tr>
      <w:tr w:rsidR="000F12B7" w:rsidRPr="00925990" w14:paraId="2F845A5F" w14:textId="77777777" w:rsidTr="000F12B7">
        <w:trPr>
          <w:trHeight w:val="288"/>
        </w:trPr>
        <w:tc>
          <w:tcPr>
            <w:tcW w:w="4300" w:type="dxa"/>
            <w:shd w:val="clear" w:color="auto" w:fill="auto"/>
            <w:noWrap/>
            <w:vAlign w:val="bottom"/>
            <w:hideMark/>
          </w:tcPr>
          <w:p w14:paraId="7B41B95C" w14:textId="02CDEA50"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Transition</w:t>
            </w:r>
          </w:p>
        </w:tc>
        <w:tc>
          <w:tcPr>
            <w:tcW w:w="2660" w:type="dxa"/>
            <w:shd w:val="clear" w:color="auto" w:fill="auto"/>
            <w:noWrap/>
            <w:vAlign w:val="bottom"/>
            <w:hideMark/>
          </w:tcPr>
          <w:p w14:paraId="23710B24" w14:textId="0F82DE16"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March 20 to April 30</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{"citationID":"FUaRJAIL","properties":{"formattedCitation":"\\super 20\\nosupersub{}","plainCitation":"20","noteIndex":0},"citationItems":[{"id":238,"uris":["http://zotero.org/users/local/SwwyMfAk/items/5BXP985P"],"itemData":{"id":238,"type":"article-journal","language":"en","source":"Zotero","title":"Extension Handbook for Soya, Cowpea and Groundnut Production in Northern Ghana, 2015.","author":[{"family":"Adzoyi","given":"Fred Xorla"}]}}],"schema":"https://github.com/citation-style-language/schema/raw/master/csl-citation.json"}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20</w:t>
            </w:r>
            <w:r w:rsidRPr="00797D66">
              <w:rPr>
                <w:rFonts w:ascii="Times New Roman" w:eastAsia="Times New Roman" w:hAnsi="Times New Roman" w:cs="Times New Roman"/>
                <w:color w:val="000000"/>
                <w:kern w:val="0"/>
                <w:sz w:val="24"/>
                <w:szCs w:val="24"/>
                <w14:ligatures w14:val="none"/>
              </w:rPr>
              <w:fldChar w:fldCharType="end"/>
            </w:r>
          </w:p>
        </w:tc>
        <w:tc>
          <w:tcPr>
            <w:tcW w:w="2430" w:type="dxa"/>
            <w:shd w:val="clear" w:color="auto" w:fill="auto"/>
            <w:noWrap/>
            <w:vAlign w:val="bottom"/>
            <w:hideMark/>
          </w:tcPr>
          <w:p w14:paraId="42C51C59"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10-Apr</w:t>
            </w:r>
          </w:p>
        </w:tc>
        <w:tc>
          <w:tcPr>
            <w:tcW w:w="2970" w:type="dxa"/>
            <w:vMerge/>
            <w:vAlign w:val="center"/>
            <w:hideMark/>
          </w:tcPr>
          <w:p w14:paraId="1EDD6BFC" w14:textId="77777777"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p>
        </w:tc>
      </w:tr>
      <w:tr w:rsidR="000F12B7" w:rsidRPr="00925990" w14:paraId="3175D7CB" w14:textId="77777777" w:rsidTr="000F12B7">
        <w:trPr>
          <w:trHeight w:val="288"/>
        </w:trPr>
        <w:tc>
          <w:tcPr>
            <w:tcW w:w="4300" w:type="dxa"/>
            <w:tcBorders>
              <w:bottom w:val="single" w:sz="4" w:space="0" w:color="auto"/>
            </w:tcBorders>
            <w:shd w:val="clear" w:color="auto" w:fill="auto"/>
            <w:noWrap/>
            <w:vAlign w:val="bottom"/>
            <w:hideMark/>
          </w:tcPr>
          <w:p w14:paraId="20AC833F" w14:textId="382A017E"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Deciduous, Rainforest &amp; Coastal savannah</w:t>
            </w:r>
          </w:p>
        </w:tc>
        <w:tc>
          <w:tcPr>
            <w:tcW w:w="2660" w:type="dxa"/>
            <w:tcBorders>
              <w:bottom w:val="single" w:sz="4" w:space="0" w:color="auto"/>
            </w:tcBorders>
            <w:shd w:val="clear" w:color="auto" w:fill="auto"/>
            <w:noWrap/>
            <w:vAlign w:val="bottom"/>
            <w:hideMark/>
          </w:tcPr>
          <w:p w14:paraId="1533C57B" w14:textId="2A8EA3D2"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April 15 to May 15</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{"citationID":"JOaDV0vW","properties":{"formattedCitation":"\\super 20\\nosupersub{}","plainCitation":"20","noteIndex":0},"citationItems":[{"id":238,"uris":["http://zotero.org/users/local/SwwyMfAk/items/5BXP985P"],"itemData":{"id":238,"type":"article-journal","language":"en","source":"Zotero","title":"Extension Handbook for Soya, Cowpea and Groundnut Production in Northern Ghana, 2015.","author":[{"family":"Adzoyi","given":"Fred Xorla"}]}}],"schema":"https://github.com/citation-style-language/schema/raw/master/csl-citation.json"}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20</w:t>
            </w:r>
            <w:r w:rsidRPr="00797D66">
              <w:rPr>
                <w:rFonts w:ascii="Times New Roman" w:eastAsia="Times New Roman" w:hAnsi="Times New Roman" w:cs="Times New Roman"/>
                <w:color w:val="000000"/>
                <w:kern w:val="0"/>
                <w:sz w:val="24"/>
                <w:szCs w:val="24"/>
                <w14:ligatures w14:val="none"/>
              </w:rPr>
              <w:fldChar w:fldCharType="end"/>
            </w:r>
          </w:p>
        </w:tc>
        <w:tc>
          <w:tcPr>
            <w:tcW w:w="2430" w:type="dxa"/>
            <w:tcBorders>
              <w:bottom w:val="single" w:sz="4" w:space="0" w:color="auto"/>
            </w:tcBorders>
            <w:shd w:val="clear" w:color="auto" w:fill="auto"/>
            <w:noWrap/>
            <w:vAlign w:val="bottom"/>
            <w:hideMark/>
          </w:tcPr>
          <w:p w14:paraId="7E2BBEFF"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01-May</w:t>
            </w:r>
          </w:p>
        </w:tc>
        <w:tc>
          <w:tcPr>
            <w:tcW w:w="2970" w:type="dxa"/>
            <w:vMerge/>
            <w:tcBorders>
              <w:bottom w:val="single" w:sz="4" w:space="0" w:color="auto"/>
            </w:tcBorders>
            <w:vAlign w:val="center"/>
            <w:hideMark/>
          </w:tcPr>
          <w:p w14:paraId="6F4B2921" w14:textId="77777777"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p>
        </w:tc>
      </w:tr>
      <w:tr w:rsidR="000F12B7" w:rsidRPr="00925990" w14:paraId="38AE202C" w14:textId="77777777" w:rsidTr="000F12B7">
        <w:trPr>
          <w:trHeight w:val="288"/>
        </w:trPr>
        <w:tc>
          <w:tcPr>
            <w:tcW w:w="4300" w:type="dxa"/>
            <w:tcBorders>
              <w:top w:val="single" w:sz="4" w:space="0" w:color="auto"/>
            </w:tcBorders>
            <w:shd w:val="clear" w:color="auto" w:fill="auto"/>
            <w:noWrap/>
            <w:vAlign w:val="bottom"/>
            <w:hideMark/>
          </w:tcPr>
          <w:p w14:paraId="1FFEDE58" w14:textId="75FB2460"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Guinea &amp; Sudan Savanah</w:t>
            </w:r>
          </w:p>
        </w:tc>
        <w:tc>
          <w:tcPr>
            <w:tcW w:w="2660" w:type="dxa"/>
            <w:tcBorders>
              <w:top w:val="single" w:sz="4" w:space="0" w:color="auto"/>
            </w:tcBorders>
            <w:shd w:val="clear" w:color="auto" w:fill="auto"/>
            <w:noWrap/>
            <w:vAlign w:val="bottom"/>
            <w:hideMark/>
          </w:tcPr>
          <w:p w14:paraId="0FA4A313" w14:textId="4F268AD0"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End May to Early July</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{"citationID":"BNy6QcKL","properties":{"formattedCitation":"\\super 21\\nosupersub{}","plainCitation":"21","noteIndex":0},"citationItems":[{"id":219,"uris":["http://zotero.org/users/local/SwwyMfAk/items/AQGK9CPT"],"itemData":{"id":219,"type":"article-journal","language":"en","source":"Zotero","title":"Community Extension Agent Handbook for Maize Production, Northern Ghana. Revised Edition, 2015.","URL":"https://poverty-action.org/sites/default/files/Community%20Extension%20Agent%20Maize%20Handbook.pdf","author":[{"family":"Adzoyi","given":"Fred Xorla"}],"reviewed-author":[{"family":"Ahiabor","given":"Benjamin D. K."},{"family":"Fosu","given":"Mathias"}],"issued":{"date-parts":[["2015"]]}}}],"schema":"https://github.com/citation-style-language/schema/raw/master/csl-citation.json"}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21</w:t>
            </w:r>
            <w:r w:rsidRPr="00797D66">
              <w:rPr>
                <w:rFonts w:ascii="Times New Roman" w:eastAsia="Times New Roman" w:hAnsi="Times New Roman" w:cs="Times New Roman"/>
                <w:color w:val="000000"/>
                <w:kern w:val="0"/>
                <w:sz w:val="24"/>
                <w:szCs w:val="24"/>
                <w14:ligatures w14:val="none"/>
              </w:rPr>
              <w:fldChar w:fldCharType="end"/>
            </w:r>
          </w:p>
        </w:tc>
        <w:tc>
          <w:tcPr>
            <w:tcW w:w="2430" w:type="dxa"/>
            <w:tcBorders>
              <w:top w:val="single" w:sz="4" w:space="0" w:color="auto"/>
            </w:tcBorders>
            <w:shd w:val="clear" w:color="auto" w:fill="auto"/>
            <w:noWrap/>
            <w:vAlign w:val="bottom"/>
            <w:hideMark/>
          </w:tcPr>
          <w:p w14:paraId="3A10BFDB"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01-Jun</w:t>
            </w:r>
          </w:p>
        </w:tc>
        <w:tc>
          <w:tcPr>
            <w:tcW w:w="2970" w:type="dxa"/>
            <w:vMerge w:val="restart"/>
            <w:tcBorders>
              <w:top w:val="single" w:sz="4" w:space="0" w:color="auto"/>
            </w:tcBorders>
            <w:shd w:val="clear" w:color="auto" w:fill="auto"/>
            <w:noWrap/>
            <w:vAlign w:val="center"/>
            <w:hideMark/>
          </w:tcPr>
          <w:p w14:paraId="2F9D17FD" w14:textId="77777777" w:rsidR="000F12B7" w:rsidRPr="00797D66" w:rsidRDefault="000F12B7" w:rsidP="00B52042">
            <w:pPr>
              <w:spacing w:after="0" w:line="240" w:lineRule="auto"/>
              <w:jc w:val="center"/>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Maize, Fonio, Sorghum</w:t>
            </w:r>
          </w:p>
        </w:tc>
      </w:tr>
      <w:tr w:rsidR="000F12B7" w:rsidRPr="00925990" w14:paraId="4A1A4BEE" w14:textId="77777777" w:rsidTr="000F12B7">
        <w:trPr>
          <w:trHeight w:val="288"/>
        </w:trPr>
        <w:tc>
          <w:tcPr>
            <w:tcW w:w="4300" w:type="dxa"/>
            <w:shd w:val="clear" w:color="auto" w:fill="auto"/>
            <w:noWrap/>
            <w:vAlign w:val="bottom"/>
            <w:hideMark/>
          </w:tcPr>
          <w:p w14:paraId="43B84D8C" w14:textId="2CBB852B"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Transition</w:t>
            </w:r>
          </w:p>
        </w:tc>
        <w:tc>
          <w:tcPr>
            <w:tcW w:w="2660" w:type="dxa"/>
            <w:shd w:val="clear" w:color="auto" w:fill="auto"/>
            <w:noWrap/>
            <w:vAlign w:val="bottom"/>
            <w:hideMark/>
          </w:tcPr>
          <w:p w14:paraId="1083C935" w14:textId="48FDA54B"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Mid-March to end April</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{"citationID":"ljGwJwAh","properties":{"formattedCitation":"\\super 21\\nosupersub{}","plainCitation":"21","noteIndex":0},"citationItems":[{"id":219,"uris":["http://zotero.org/users/local/SwwyMfAk/items/AQGK9CPT"],"itemData":{"id":219,"type":"article-journal","language":"en","source":"Zotero","title":"Community Extension Agent Handbook for Maize Production, Northern Ghana. Revised Edition, 2015.","URL":"https://poverty-action.org/sites/default/files/Community%20Extension%20Agent%20Maize%20Handbook.pdf","author":[{"family":"Adzoyi","given":"Fred Xorla"}],"reviewed-author":[{"family":"Ahiabor","given":"Benjamin D. K."},{"family":"Fosu","given":"Mathias"}],"issued":{"date-parts":[["2015"]]}}}],"schema":"https://github.com/citation-style-language/schema/raw/master/csl-citation.json"}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21</w:t>
            </w:r>
            <w:r w:rsidRPr="00797D66">
              <w:rPr>
                <w:rFonts w:ascii="Times New Roman" w:eastAsia="Times New Roman" w:hAnsi="Times New Roman" w:cs="Times New Roman"/>
                <w:color w:val="000000"/>
                <w:kern w:val="0"/>
                <w:sz w:val="24"/>
                <w:szCs w:val="24"/>
                <w14:ligatures w14:val="none"/>
              </w:rPr>
              <w:fldChar w:fldCharType="end"/>
            </w:r>
          </w:p>
        </w:tc>
        <w:tc>
          <w:tcPr>
            <w:tcW w:w="2430" w:type="dxa"/>
            <w:shd w:val="clear" w:color="auto" w:fill="auto"/>
            <w:noWrap/>
            <w:vAlign w:val="bottom"/>
            <w:hideMark/>
          </w:tcPr>
          <w:p w14:paraId="2ACAA576"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01-Apr</w:t>
            </w:r>
          </w:p>
        </w:tc>
        <w:tc>
          <w:tcPr>
            <w:tcW w:w="2970" w:type="dxa"/>
            <w:vMerge/>
            <w:vAlign w:val="center"/>
            <w:hideMark/>
          </w:tcPr>
          <w:p w14:paraId="3B3A63FA" w14:textId="77777777"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p>
        </w:tc>
      </w:tr>
      <w:tr w:rsidR="000F12B7" w:rsidRPr="00925990" w14:paraId="17A1C0F6" w14:textId="77777777" w:rsidTr="000F12B7">
        <w:trPr>
          <w:trHeight w:val="288"/>
        </w:trPr>
        <w:tc>
          <w:tcPr>
            <w:tcW w:w="4300" w:type="dxa"/>
            <w:tcBorders>
              <w:bottom w:val="single" w:sz="4" w:space="0" w:color="auto"/>
            </w:tcBorders>
            <w:shd w:val="clear" w:color="auto" w:fill="auto"/>
            <w:noWrap/>
            <w:vAlign w:val="bottom"/>
            <w:hideMark/>
          </w:tcPr>
          <w:p w14:paraId="3D232955" w14:textId="669426D9"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Deciduous, Rainforest &amp; Coastal savannah</w:t>
            </w:r>
          </w:p>
        </w:tc>
        <w:tc>
          <w:tcPr>
            <w:tcW w:w="2660" w:type="dxa"/>
            <w:tcBorders>
              <w:bottom w:val="single" w:sz="4" w:space="0" w:color="auto"/>
            </w:tcBorders>
            <w:shd w:val="clear" w:color="auto" w:fill="auto"/>
            <w:noWrap/>
            <w:vAlign w:val="bottom"/>
            <w:hideMark/>
          </w:tcPr>
          <w:p w14:paraId="08F5859D" w14:textId="6A75D9BA"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Early March to end April</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{"citationID":"aSUXlGTq","properties":{"formattedCitation":"\\super 21\\nosupersub{}","plainCitation":"21","noteIndex":0},"citationItems":[{"id":219,"uris":["http://zotero.org/users/local/SwwyMfAk/items/AQGK9CPT"],"itemData":{"id":219,"type":"article-journal","language":"en","source":"Zotero","title":"Community Extension Agent Handbook for Maize Production, Northern Ghana. Revised Edition, 2015.","URL":"https://poverty-action.org/sites/default/files/Community%20Extension%20Agent%20Maize%20Handbook.pdf","author":[{"family":"Adzoyi","given":"Fred Xorla"}],"reviewed-author":[{"family":"Ahiabor","given":"Benjamin D. K."},{"family":"Fosu","given":"Mathias"}],"issued":{"date-parts":[["2015"]]}}}],"schema":"https://github.com/citation-style-language/schema/raw/master/csl-citation.json"}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21</w:t>
            </w:r>
            <w:r w:rsidRPr="00797D66">
              <w:rPr>
                <w:rFonts w:ascii="Times New Roman" w:eastAsia="Times New Roman" w:hAnsi="Times New Roman" w:cs="Times New Roman"/>
                <w:color w:val="000000"/>
                <w:kern w:val="0"/>
                <w:sz w:val="24"/>
                <w:szCs w:val="24"/>
                <w14:ligatures w14:val="none"/>
              </w:rPr>
              <w:fldChar w:fldCharType="end"/>
            </w:r>
          </w:p>
        </w:tc>
        <w:tc>
          <w:tcPr>
            <w:tcW w:w="2430" w:type="dxa"/>
            <w:tcBorders>
              <w:bottom w:val="single" w:sz="4" w:space="0" w:color="auto"/>
            </w:tcBorders>
            <w:shd w:val="clear" w:color="auto" w:fill="auto"/>
            <w:noWrap/>
            <w:vAlign w:val="bottom"/>
            <w:hideMark/>
          </w:tcPr>
          <w:p w14:paraId="4E138272"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01-Apr</w:t>
            </w:r>
          </w:p>
        </w:tc>
        <w:tc>
          <w:tcPr>
            <w:tcW w:w="2970" w:type="dxa"/>
            <w:vMerge/>
            <w:tcBorders>
              <w:bottom w:val="single" w:sz="4" w:space="0" w:color="auto"/>
            </w:tcBorders>
            <w:vAlign w:val="center"/>
            <w:hideMark/>
          </w:tcPr>
          <w:p w14:paraId="5D8021E9" w14:textId="77777777"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p>
        </w:tc>
      </w:tr>
      <w:tr w:rsidR="000F12B7" w:rsidRPr="00925990" w14:paraId="5FAE6C46" w14:textId="77777777" w:rsidTr="000F12B7">
        <w:trPr>
          <w:trHeight w:val="288"/>
        </w:trPr>
        <w:tc>
          <w:tcPr>
            <w:tcW w:w="4300" w:type="dxa"/>
            <w:tcBorders>
              <w:top w:val="single" w:sz="4" w:space="0" w:color="auto"/>
            </w:tcBorders>
            <w:shd w:val="clear" w:color="auto" w:fill="auto"/>
            <w:noWrap/>
            <w:vAlign w:val="bottom"/>
            <w:hideMark/>
          </w:tcPr>
          <w:p w14:paraId="13451E00" w14:textId="10E921BD"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Guinea &amp; Sudan Savanah</w:t>
            </w:r>
          </w:p>
        </w:tc>
        <w:tc>
          <w:tcPr>
            <w:tcW w:w="2660" w:type="dxa"/>
            <w:tcBorders>
              <w:top w:val="single" w:sz="4" w:space="0" w:color="auto"/>
            </w:tcBorders>
            <w:shd w:val="clear" w:color="auto" w:fill="auto"/>
            <w:noWrap/>
            <w:vAlign w:val="bottom"/>
            <w:hideMark/>
          </w:tcPr>
          <w:p w14:paraId="5D9CB19A" w14:textId="3A7300B5"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Mid June - Mid August</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{"citationID":"7AVI28f6","properties":{"formattedCitation":"\\super 22\\nosupersub{}","plainCitation":"22","noteIndex":0},"citationItems":[{"id":231,"uris":["http://zotero.org/users/local/SwwyMfAk/items/NEVU4LVR"],"itemData":{"id":231,"type":"webpage","title":"FAO Crop Calendar","URL":"https://cropcalendar.apps.fao.org/#/home?id=GH&amp;crops=0076","accessed":{"date-parts":[["2024",6,20]]}}}],"schema":"https://github.com/citation-style-language/schema/raw/master/csl-citation.json"}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22</w:t>
            </w:r>
            <w:r w:rsidRPr="00797D66">
              <w:rPr>
                <w:rFonts w:ascii="Times New Roman" w:eastAsia="Times New Roman" w:hAnsi="Times New Roman" w:cs="Times New Roman"/>
                <w:color w:val="000000"/>
                <w:kern w:val="0"/>
                <w:sz w:val="24"/>
                <w:szCs w:val="24"/>
                <w14:ligatures w14:val="none"/>
              </w:rPr>
              <w:fldChar w:fldCharType="end"/>
            </w:r>
          </w:p>
        </w:tc>
        <w:tc>
          <w:tcPr>
            <w:tcW w:w="2430" w:type="dxa"/>
            <w:tcBorders>
              <w:top w:val="single" w:sz="4" w:space="0" w:color="auto"/>
            </w:tcBorders>
            <w:shd w:val="clear" w:color="auto" w:fill="auto"/>
            <w:noWrap/>
            <w:vAlign w:val="bottom"/>
            <w:hideMark/>
          </w:tcPr>
          <w:p w14:paraId="5F564559"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20-Jun</w:t>
            </w:r>
          </w:p>
        </w:tc>
        <w:tc>
          <w:tcPr>
            <w:tcW w:w="2970" w:type="dxa"/>
            <w:vMerge w:val="restart"/>
            <w:tcBorders>
              <w:top w:val="single" w:sz="4" w:space="0" w:color="auto"/>
            </w:tcBorders>
            <w:shd w:val="clear" w:color="auto" w:fill="auto"/>
            <w:noWrap/>
            <w:vAlign w:val="center"/>
            <w:hideMark/>
          </w:tcPr>
          <w:p w14:paraId="0BAF5076" w14:textId="77777777" w:rsidR="000F12B7" w:rsidRPr="00797D66" w:rsidRDefault="000F12B7" w:rsidP="00B52042">
            <w:pPr>
              <w:spacing w:after="0" w:line="240" w:lineRule="auto"/>
              <w:jc w:val="center"/>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Cassava, Cocoyam, Sweet potato</w:t>
            </w:r>
          </w:p>
        </w:tc>
      </w:tr>
      <w:tr w:rsidR="000F12B7" w:rsidRPr="00925990" w14:paraId="56EAE654" w14:textId="77777777" w:rsidTr="000F12B7">
        <w:trPr>
          <w:trHeight w:val="288"/>
        </w:trPr>
        <w:tc>
          <w:tcPr>
            <w:tcW w:w="4300" w:type="dxa"/>
            <w:shd w:val="clear" w:color="auto" w:fill="auto"/>
            <w:noWrap/>
            <w:vAlign w:val="bottom"/>
            <w:hideMark/>
          </w:tcPr>
          <w:p w14:paraId="6397CAD2" w14:textId="3EF12EAA"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Transition</w:t>
            </w:r>
          </w:p>
        </w:tc>
        <w:tc>
          <w:tcPr>
            <w:tcW w:w="2660" w:type="dxa"/>
            <w:shd w:val="clear" w:color="auto" w:fill="auto"/>
            <w:noWrap/>
            <w:vAlign w:val="bottom"/>
            <w:hideMark/>
          </w:tcPr>
          <w:p w14:paraId="514CD6E5" w14:textId="498E446E"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April to end May</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{"citationID":"gDBbaBuj","properties":{"formattedCitation":"\\super 23\\nosupersub{}","plainCitation":"23","noteIndex":0},"citationItems":[{"id":235,"uris":["http://zotero.org/users/local/SwwyMfAk/items/AFDLZ6N7"],"itemData":{"id":235,"type":"webpage","title":"Ghana: Cassava","URL":"https://www.agricinafrica.com/2023/01/ghana-cassava.html","author":[{"family":"AfricaagMedia","given":""}],"accessed":{"date-parts":[["2024",6,20]]}}}],"schema":"https://github.com/citation-style-language/schema/raw/master/csl-citation.json"}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23</w:t>
            </w:r>
            <w:r w:rsidRPr="00797D66">
              <w:rPr>
                <w:rFonts w:ascii="Times New Roman" w:eastAsia="Times New Roman" w:hAnsi="Times New Roman" w:cs="Times New Roman"/>
                <w:color w:val="000000"/>
                <w:kern w:val="0"/>
                <w:sz w:val="24"/>
                <w:szCs w:val="24"/>
                <w14:ligatures w14:val="none"/>
              </w:rPr>
              <w:fldChar w:fldCharType="end"/>
            </w:r>
          </w:p>
        </w:tc>
        <w:tc>
          <w:tcPr>
            <w:tcW w:w="2430" w:type="dxa"/>
            <w:shd w:val="clear" w:color="auto" w:fill="auto"/>
            <w:noWrap/>
            <w:vAlign w:val="bottom"/>
            <w:hideMark/>
          </w:tcPr>
          <w:p w14:paraId="0BDCEBA8"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15-Apr</w:t>
            </w:r>
          </w:p>
        </w:tc>
        <w:tc>
          <w:tcPr>
            <w:tcW w:w="2970" w:type="dxa"/>
            <w:vMerge/>
            <w:vAlign w:val="center"/>
            <w:hideMark/>
          </w:tcPr>
          <w:p w14:paraId="3549450D" w14:textId="77777777"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p>
        </w:tc>
      </w:tr>
      <w:tr w:rsidR="000F12B7" w:rsidRPr="00925990" w14:paraId="0759E746" w14:textId="77777777" w:rsidTr="000F12B7">
        <w:trPr>
          <w:trHeight w:val="288"/>
        </w:trPr>
        <w:tc>
          <w:tcPr>
            <w:tcW w:w="4300" w:type="dxa"/>
            <w:tcBorders>
              <w:bottom w:val="single" w:sz="4" w:space="0" w:color="auto"/>
            </w:tcBorders>
            <w:shd w:val="clear" w:color="auto" w:fill="auto"/>
            <w:noWrap/>
            <w:vAlign w:val="bottom"/>
            <w:hideMark/>
          </w:tcPr>
          <w:p w14:paraId="7E6E3824" w14:textId="2588D8D0"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Deciduous, Rainforest &amp; Coastal savannah</w:t>
            </w:r>
          </w:p>
        </w:tc>
        <w:tc>
          <w:tcPr>
            <w:tcW w:w="2660" w:type="dxa"/>
            <w:tcBorders>
              <w:bottom w:val="single" w:sz="4" w:space="0" w:color="auto"/>
            </w:tcBorders>
            <w:shd w:val="clear" w:color="auto" w:fill="auto"/>
            <w:noWrap/>
            <w:vAlign w:val="bottom"/>
            <w:hideMark/>
          </w:tcPr>
          <w:p w14:paraId="656CB722" w14:textId="1699FD08"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April to end May</w:t>
            </w:r>
            <w:r w:rsidRPr="00797D66">
              <w:rPr>
                <w:rFonts w:ascii="Times New Roman" w:eastAsia="Times New Roman" w:hAnsi="Times New Roman" w:cs="Times New Roman"/>
                <w:color w:val="000000"/>
                <w:kern w:val="0"/>
                <w:sz w:val="24"/>
                <w:szCs w:val="24"/>
                <w14:ligatures w14:val="none"/>
              </w:rPr>
              <w:fldChar w:fldCharType="begin"/>
            </w:r>
            <w:r w:rsidRPr="00797D66">
              <w:rPr>
                <w:rFonts w:ascii="Times New Roman" w:eastAsia="Times New Roman" w:hAnsi="Times New Roman" w:cs="Times New Roman"/>
                <w:color w:val="000000"/>
                <w:kern w:val="0"/>
                <w:sz w:val="24"/>
                <w:szCs w:val="24"/>
                <w14:ligatures w14:val="none"/>
              </w:rPr>
              <w:instrText xml:space="preserve"> ADDIN ZOTERO_ITEM CSL_CITATION {"citationID":"vPp68b5N","properties":{"formattedCitation":"\\super 22\\nosupersub{}","plainCitation":"22","noteIndex":0},"citationItems":[{"id":231,"uris":["http://zotero.org/users/local/SwwyMfAk/items/NEVU4LVR"],"itemData":{"id":231,"type":"webpage","title":"FAO Crop Calendar","URL":"https://cropcalendar.apps.fao.org/#/home?id=GH&amp;crops=0076","accessed":{"date-parts":[["2024",6,20]]}}}],"schema":"https://github.com/citation-style-language/schema/raw/master/csl-citation.json"} </w:instrText>
            </w:r>
            <w:r w:rsidRPr="00797D66">
              <w:rPr>
                <w:rFonts w:ascii="Times New Roman" w:eastAsia="Times New Roman" w:hAnsi="Times New Roman" w:cs="Times New Roman"/>
                <w:color w:val="000000"/>
                <w:kern w:val="0"/>
                <w:sz w:val="24"/>
                <w:szCs w:val="24"/>
                <w14:ligatures w14:val="none"/>
              </w:rPr>
              <w:fldChar w:fldCharType="separate"/>
            </w:r>
            <w:r w:rsidRPr="00797D66">
              <w:rPr>
                <w:rFonts w:ascii="Times New Roman" w:hAnsi="Times New Roman" w:cs="Times New Roman"/>
                <w:kern w:val="0"/>
                <w:sz w:val="24"/>
                <w:szCs w:val="24"/>
                <w:vertAlign w:val="superscript"/>
              </w:rPr>
              <w:t>22</w:t>
            </w:r>
            <w:r w:rsidRPr="00797D66">
              <w:rPr>
                <w:rFonts w:ascii="Times New Roman" w:eastAsia="Times New Roman" w:hAnsi="Times New Roman" w:cs="Times New Roman"/>
                <w:color w:val="000000"/>
                <w:kern w:val="0"/>
                <w:sz w:val="24"/>
                <w:szCs w:val="24"/>
                <w14:ligatures w14:val="none"/>
              </w:rPr>
              <w:fldChar w:fldCharType="end"/>
            </w:r>
          </w:p>
        </w:tc>
        <w:tc>
          <w:tcPr>
            <w:tcW w:w="2430" w:type="dxa"/>
            <w:tcBorders>
              <w:bottom w:val="single" w:sz="4" w:space="0" w:color="auto"/>
            </w:tcBorders>
            <w:shd w:val="clear" w:color="auto" w:fill="auto"/>
            <w:noWrap/>
            <w:vAlign w:val="bottom"/>
            <w:hideMark/>
          </w:tcPr>
          <w:p w14:paraId="16BA8F83" w14:textId="77777777" w:rsidR="000F12B7" w:rsidRPr="00797D66" w:rsidRDefault="000F12B7" w:rsidP="00B52042">
            <w:pPr>
              <w:spacing w:after="0" w:line="240" w:lineRule="auto"/>
              <w:jc w:val="right"/>
              <w:rPr>
                <w:rFonts w:ascii="Times New Roman" w:eastAsia="Times New Roman" w:hAnsi="Times New Roman" w:cs="Times New Roman"/>
                <w:color w:val="000000"/>
                <w:kern w:val="0"/>
                <w:sz w:val="24"/>
                <w:szCs w:val="24"/>
                <w14:ligatures w14:val="none"/>
              </w:rPr>
            </w:pPr>
            <w:r w:rsidRPr="00797D66">
              <w:rPr>
                <w:rFonts w:ascii="Times New Roman" w:eastAsia="Times New Roman" w:hAnsi="Times New Roman" w:cs="Times New Roman"/>
                <w:color w:val="000000"/>
                <w:kern w:val="0"/>
                <w:sz w:val="24"/>
                <w:szCs w:val="24"/>
                <w14:ligatures w14:val="none"/>
              </w:rPr>
              <w:t>15-Apr</w:t>
            </w:r>
          </w:p>
        </w:tc>
        <w:tc>
          <w:tcPr>
            <w:tcW w:w="2970" w:type="dxa"/>
            <w:vMerge/>
            <w:tcBorders>
              <w:bottom w:val="single" w:sz="4" w:space="0" w:color="auto"/>
            </w:tcBorders>
            <w:vAlign w:val="center"/>
            <w:hideMark/>
          </w:tcPr>
          <w:p w14:paraId="0E20473F" w14:textId="77777777" w:rsidR="000F12B7" w:rsidRPr="00797D66" w:rsidRDefault="000F12B7" w:rsidP="00B52042">
            <w:pPr>
              <w:spacing w:after="0" w:line="240" w:lineRule="auto"/>
              <w:rPr>
                <w:rFonts w:ascii="Times New Roman" w:eastAsia="Times New Roman" w:hAnsi="Times New Roman" w:cs="Times New Roman"/>
                <w:color w:val="000000"/>
                <w:kern w:val="0"/>
                <w:sz w:val="24"/>
                <w:szCs w:val="24"/>
                <w14:ligatures w14:val="none"/>
              </w:rPr>
            </w:pPr>
          </w:p>
        </w:tc>
      </w:tr>
    </w:tbl>
    <w:p w14:paraId="5E6E6430" w14:textId="77777777" w:rsidR="00797D66" w:rsidRDefault="00797D66" w:rsidP="004F4FA8">
      <w:pPr>
        <w:spacing w:line="278" w:lineRule="auto"/>
        <w:rPr>
          <w:rFonts w:ascii="Times New Roman" w:hAnsi="Times New Roman" w:cs="Times New Roman"/>
          <w:sz w:val="24"/>
          <w:szCs w:val="24"/>
        </w:rPr>
      </w:pPr>
    </w:p>
    <w:p w14:paraId="2F81616E" w14:textId="77777777" w:rsidR="00A727D1" w:rsidRDefault="00A727D1" w:rsidP="004F4FA8">
      <w:pPr>
        <w:spacing w:line="278" w:lineRule="auto"/>
        <w:rPr>
          <w:rFonts w:ascii="Times New Roman" w:hAnsi="Times New Roman" w:cs="Times New Roman"/>
          <w:sz w:val="24"/>
          <w:szCs w:val="24"/>
        </w:rPr>
      </w:pPr>
    </w:p>
    <w:p w14:paraId="7CD2149A" w14:textId="77777777" w:rsidR="00A727D1" w:rsidRDefault="00A727D1" w:rsidP="004F4FA8">
      <w:pPr>
        <w:spacing w:line="278" w:lineRule="auto"/>
        <w:rPr>
          <w:rFonts w:ascii="Times New Roman" w:hAnsi="Times New Roman" w:cs="Times New Roman"/>
          <w:sz w:val="24"/>
          <w:szCs w:val="24"/>
        </w:rPr>
      </w:pPr>
    </w:p>
    <w:p w14:paraId="57939EDC" w14:textId="77777777" w:rsidR="00A727D1" w:rsidRDefault="00A727D1" w:rsidP="004F4FA8">
      <w:pPr>
        <w:spacing w:line="278" w:lineRule="auto"/>
        <w:rPr>
          <w:rFonts w:ascii="Times New Roman" w:hAnsi="Times New Roman" w:cs="Times New Roman"/>
          <w:sz w:val="24"/>
          <w:szCs w:val="24"/>
        </w:rPr>
      </w:pPr>
    </w:p>
    <w:p w14:paraId="30CECBDD" w14:textId="57274333" w:rsidR="00A727D1" w:rsidRDefault="00A727D1" w:rsidP="004F4FA8">
      <w:pPr>
        <w:spacing w:line="278" w:lineRule="auto"/>
        <w:rPr>
          <w:rFonts w:ascii="Times New Roman" w:hAnsi="Times New Roman" w:cs="Times New Roman"/>
          <w:sz w:val="24"/>
          <w:szCs w:val="24"/>
        </w:rPr>
        <w:sectPr w:rsidR="00A727D1" w:rsidSect="00797D66">
          <w:pgSz w:w="15840" w:h="12240" w:orient="landscape"/>
          <w:pgMar w:top="1440" w:right="1440" w:bottom="1440" w:left="1440" w:header="720" w:footer="720" w:gutter="0"/>
          <w:cols w:space="720"/>
          <w:docGrid w:linePitch="360"/>
        </w:sectPr>
      </w:pPr>
    </w:p>
    <w:p w14:paraId="3AF177B4" w14:textId="256E00EF" w:rsidR="00B9247D" w:rsidRPr="00797D66" w:rsidRDefault="00797D66" w:rsidP="00B9247D">
      <w:pPr>
        <w:rPr>
          <w:rFonts w:ascii="Times New Roman" w:hAnsi="Times New Roman" w:cs="Times New Roman"/>
          <w:sz w:val="24"/>
          <w:szCs w:val="24"/>
        </w:rPr>
      </w:pPr>
      <w:r w:rsidRPr="00925990">
        <w:rPr>
          <w:rFonts w:ascii="Times New Roman" w:hAnsi="Times New Roman" w:cs="Times New Roman"/>
          <w:noProof/>
          <w:sz w:val="24"/>
          <w:szCs w:val="24"/>
          <w14:ligatures w14:val="none"/>
        </w:rPr>
        <w:lastRenderedPageBreak/>
        <w:drawing>
          <wp:inline distT="0" distB="0" distL="0" distR="0" wp14:anchorId="08268F51" wp14:editId="7D6FF649">
            <wp:extent cx="5943600" cy="2773916"/>
            <wp:effectExtent l="0" t="0" r="0" b="7620"/>
            <wp:docPr id="1" name="Picture 1"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728994" name="Picture 1" descr="A comparison of a graph&#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773916"/>
                    </a:xfrm>
                    <a:prstGeom prst="rect">
                      <a:avLst/>
                    </a:prstGeom>
                  </pic:spPr>
                </pic:pic>
              </a:graphicData>
            </a:graphic>
          </wp:inline>
        </w:drawing>
      </w:r>
    </w:p>
    <w:p w14:paraId="5C8A077C" w14:textId="7BCD7115" w:rsidR="00B9247D" w:rsidRPr="00797D66" w:rsidRDefault="00797D66" w:rsidP="00B9247D">
      <w:pPr>
        <w:rPr>
          <w:rFonts w:ascii="Times New Roman" w:hAnsi="Times New Roman" w:cs="Times New Roman"/>
          <w:sz w:val="24"/>
          <w:szCs w:val="24"/>
        </w:rPr>
      </w:pPr>
      <w:r w:rsidRPr="00925990">
        <w:rPr>
          <w:rFonts w:ascii="Times New Roman" w:hAnsi="Times New Roman" w:cs="Times New Roman"/>
          <w:b/>
          <w:bCs/>
          <w:sz w:val="24"/>
          <w:szCs w:val="24"/>
        </w:rPr>
        <w:t>Figure S2 | Model evaluation using MoFA-SRID and Ghana FAO yields.</w:t>
      </w:r>
      <w:r w:rsidRPr="00925990">
        <w:rPr>
          <w:rFonts w:ascii="Times New Roman" w:hAnsi="Times New Roman" w:cs="Times New Roman"/>
          <w:sz w:val="24"/>
          <w:szCs w:val="24"/>
        </w:rPr>
        <w:t xml:space="preserve"> (a) SIMPLE Model performance in simulating </w:t>
      </w:r>
      <w:r w:rsidR="00F90297">
        <w:rPr>
          <w:rFonts w:ascii="Times New Roman" w:hAnsi="Times New Roman" w:cs="Times New Roman"/>
          <w:sz w:val="24"/>
          <w:szCs w:val="24"/>
        </w:rPr>
        <w:t xml:space="preserve">observed yields (national yield from </w:t>
      </w:r>
      <w:r w:rsidRPr="00D733B4">
        <w:rPr>
          <w:rFonts w:ascii="Times New Roman" w:hAnsi="Times New Roman" w:cs="Times New Roman"/>
          <w:sz w:val="24"/>
          <w:szCs w:val="24"/>
        </w:rPr>
        <w:t>FAOSTAT</w:t>
      </w:r>
      <w:r w:rsidRPr="00925990">
        <w:rPr>
          <w:rFonts w:ascii="Times New Roman" w:hAnsi="Times New Roman" w:cs="Times New Roman"/>
          <w:sz w:val="24"/>
          <w:szCs w:val="24"/>
          <w:highlight w:val="yellow"/>
        </w:rPr>
        <w:fldChar w:fldCharType="begin"/>
      </w:r>
      <w:r w:rsidRPr="00925990">
        <w:rPr>
          <w:rFonts w:ascii="Times New Roman" w:hAnsi="Times New Roman" w:cs="Times New Roman"/>
          <w:sz w:val="24"/>
          <w:szCs w:val="24"/>
          <w:highlight w:val="yellow"/>
        </w:rPr>
        <w:instrText xml:space="preserve"> ADDIN ZOTERO_ITEM CSL_CITATION {"citationID":"KQYTwNye","properties":{"formattedCitation":"\\super 24\\nosupersub{}","plainCitation":"24","noteIndex":0},"citationItems":[{"id":268,"uris":["http://zotero.org/users/local/SwwyMfAk/items/IG4EZ3MA"],"itemData":{"id":268,"type":"webpage","title":"FAOSTAT","URL":"https://www.fao.org/faostat/en/#data/QCL","author":[{"family":"Food and Agriculture Organization of the United Nations","given":""}],"accessed":{"date-parts":[["2024",3,3]]}}}],"schema":"https://github.com/citation-style-language/schema/raw/master/csl-citation.json"} </w:instrText>
      </w:r>
      <w:r w:rsidRPr="00925990">
        <w:rPr>
          <w:rFonts w:ascii="Times New Roman" w:hAnsi="Times New Roman" w:cs="Times New Roman"/>
          <w:sz w:val="24"/>
          <w:szCs w:val="24"/>
          <w:highlight w:val="yellow"/>
        </w:rPr>
        <w:fldChar w:fldCharType="separate"/>
      </w:r>
      <w:r w:rsidRPr="00925990">
        <w:rPr>
          <w:rFonts w:ascii="Times New Roman" w:hAnsi="Times New Roman" w:cs="Times New Roman"/>
          <w:kern w:val="0"/>
          <w:sz w:val="24"/>
          <w:szCs w:val="24"/>
          <w:vertAlign w:val="superscript"/>
        </w:rPr>
        <w:t>24</w:t>
      </w:r>
      <w:r w:rsidRPr="00925990">
        <w:rPr>
          <w:rFonts w:ascii="Times New Roman" w:hAnsi="Times New Roman" w:cs="Times New Roman"/>
          <w:sz w:val="24"/>
          <w:szCs w:val="24"/>
          <w:highlight w:val="yellow"/>
        </w:rPr>
        <w:fldChar w:fldCharType="end"/>
      </w:r>
      <w:r w:rsidR="00F90297">
        <w:rPr>
          <w:rFonts w:ascii="Times New Roman" w:hAnsi="Times New Roman" w:cs="Times New Roman"/>
          <w:sz w:val="24"/>
          <w:szCs w:val="24"/>
        </w:rPr>
        <w:t xml:space="preserve"> and </w:t>
      </w:r>
      <w:r w:rsidR="00F90297" w:rsidRPr="00925990">
        <w:rPr>
          <w:rFonts w:ascii="Times New Roman" w:hAnsi="Times New Roman" w:cs="Times New Roman"/>
          <w:sz w:val="24"/>
          <w:szCs w:val="24"/>
        </w:rPr>
        <w:t>from the Statistics, Research and Information Directorate of the Ministry of Food and Agriculture (SRID-MoFA</w:t>
      </w:r>
      <w:r w:rsidRPr="00925990">
        <w:rPr>
          <w:rFonts w:ascii="Times New Roman" w:hAnsi="Times New Roman" w:cs="Times New Roman"/>
          <w:sz w:val="24"/>
          <w:szCs w:val="24"/>
        </w:rPr>
        <w:t xml:space="preserve">) over the baseline period (2000 – 2019) and (b) Average simulated </w:t>
      </w:r>
      <w:r>
        <w:rPr>
          <w:rFonts w:ascii="Times New Roman" w:hAnsi="Times New Roman" w:cs="Times New Roman"/>
          <w:sz w:val="24"/>
          <w:szCs w:val="24"/>
        </w:rPr>
        <w:t xml:space="preserve">historical </w:t>
      </w:r>
      <w:r w:rsidRPr="00925990">
        <w:rPr>
          <w:rFonts w:ascii="Times New Roman" w:hAnsi="Times New Roman" w:cs="Times New Roman"/>
          <w:sz w:val="24"/>
          <w:szCs w:val="24"/>
        </w:rPr>
        <w:t xml:space="preserve">yield from SIMPLE (bars) </w:t>
      </w:r>
      <w:r>
        <w:rPr>
          <w:rFonts w:ascii="Times New Roman" w:hAnsi="Times New Roman" w:cs="Times New Roman"/>
          <w:sz w:val="24"/>
          <w:szCs w:val="24"/>
        </w:rPr>
        <w:t>based on</w:t>
      </w:r>
      <w:r w:rsidRPr="00925990">
        <w:rPr>
          <w:rFonts w:ascii="Times New Roman" w:hAnsi="Times New Roman" w:cs="Times New Roman"/>
          <w:sz w:val="24"/>
          <w:szCs w:val="24"/>
        </w:rPr>
        <w:t xml:space="preserve"> </w:t>
      </w:r>
      <w:r>
        <w:rPr>
          <w:rFonts w:ascii="Times New Roman" w:hAnsi="Times New Roman" w:cs="Times New Roman"/>
          <w:sz w:val="24"/>
          <w:szCs w:val="24"/>
        </w:rPr>
        <w:t>the </w:t>
      </w:r>
      <w:r w:rsidRPr="00925990">
        <w:rPr>
          <w:rFonts w:ascii="Times New Roman" w:hAnsi="Times New Roman" w:cs="Times New Roman"/>
          <w:sz w:val="24"/>
          <w:szCs w:val="24"/>
        </w:rPr>
        <w:t xml:space="preserve">ensemble of four GCMs and average national yield </w:t>
      </w:r>
      <w:r w:rsidR="00F90297">
        <w:rPr>
          <w:rFonts w:ascii="Times New Roman" w:hAnsi="Times New Roman" w:cs="Times New Roman"/>
          <w:sz w:val="24"/>
          <w:szCs w:val="24"/>
        </w:rPr>
        <w:t xml:space="preserve">data (FAOSTAT and </w:t>
      </w:r>
      <w:r w:rsidRPr="00925990">
        <w:rPr>
          <w:rFonts w:ascii="Times New Roman" w:hAnsi="Times New Roman" w:cs="Times New Roman"/>
          <w:sz w:val="24"/>
          <w:szCs w:val="24"/>
        </w:rPr>
        <w:t xml:space="preserve">SRID-MoFA; blue circles) for the historical period (1990 – 2019). Error bars indicate </w:t>
      </w:r>
      <w:r>
        <w:rPr>
          <w:rFonts w:ascii="Times New Roman" w:hAnsi="Times New Roman" w:cs="Times New Roman"/>
          <w:sz w:val="24"/>
          <w:szCs w:val="24"/>
        </w:rPr>
        <w:t>the </w:t>
      </w:r>
      <w:r w:rsidRPr="00925990">
        <w:rPr>
          <w:rFonts w:ascii="Times New Roman" w:hAnsi="Times New Roman" w:cs="Times New Roman"/>
          <w:sz w:val="24"/>
          <w:szCs w:val="24"/>
        </w:rPr>
        <w:t>standard deviation of the mean</w:t>
      </w:r>
      <w:r w:rsidR="00F90297">
        <w:rPr>
          <w:rFonts w:ascii="Times New Roman" w:hAnsi="Times New Roman" w:cs="Times New Roman"/>
          <w:sz w:val="24"/>
          <w:szCs w:val="24"/>
        </w:rPr>
        <w:t xml:space="preserve"> of simulated yields</w:t>
      </w:r>
      <w:r w:rsidRPr="00925990">
        <w:rPr>
          <w:rFonts w:ascii="Times New Roman" w:hAnsi="Times New Roman" w:cs="Times New Roman"/>
          <w:sz w:val="24"/>
          <w:szCs w:val="24"/>
        </w:rPr>
        <w:t xml:space="preserve">. </w:t>
      </w:r>
      <w:r>
        <w:rPr>
          <w:rFonts w:ascii="Times New Roman" w:hAnsi="Times New Roman" w:cs="Times New Roman"/>
          <w:sz w:val="24"/>
          <w:szCs w:val="24"/>
        </w:rPr>
        <w:t>Baseline yields of bambara</w:t>
      </w:r>
      <w:r w:rsidRPr="00925990">
        <w:rPr>
          <w:rFonts w:ascii="Times New Roman" w:hAnsi="Times New Roman" w:cs="Times New Roman"/>
          <w:sz w:val="24"/>
          <w:szCs w:val="24"/>
        </w:rPr>
        <w:t xml:space="preserve"> groundnut and fonio </w:t>
      </w:r>
      <w:r>
        <w:rPr>
          <w:rFonts w:ascii="Times New Roman" w:hAnsi="Times New Roman" w:cs="Times New Roman"/>
          <w:sz w:val="24"/>
          <w:szCs w:val="24"/>
        </w:rPr>
        <w:t xml:space="preserve">for model </w:t>
      </w:r>
      <w:r w:rsidR="00F90297">
        <w:rPr>
          <w:rFonts w:ascii="Times New Roman" w:hAnsi="Times New Roman" w:cs="Times New Roman"/>
          <w:sz w:val="24"/>
          <w:szCs w:val="24"/>
        </w:rPr>
        <w:t>evaluation</w:t>
      </w:r>
      <w:r>
        <w:rPr>
          <w:rFonts w:ascii="Times New Roman" w:hAnsi="Times New Roman" w:cs="Times New Roman"/>
          <w:sz w:val="24"/>
          <w:szCs w:val="24"/>
        </w:rPr>
        <w:t xml:space="preserve"> were </w:t>
      </w:r>
      <w:r w:rsidRPr="00925990">
        <w:rPr>
          <w:rFonts w:ascii="Times New Roman" w:hAnsi="Times New Roman" w:cs="Times New Roman"/>
          <w:sz w:val="24"/>
          <w:szCs w:val="24"/>
        </w:rPr>
        <w:t>from Burkina Faso</w:t>
      </w:r>
      <w:r w:rsidR="00F90297">
        <w:rPr>
          <w:rFonts w:ascii="Times New Roman" w:hAnsi="Times New Roman" w:cs="Times New Roman"/>
          <w:sz w:val="24"/>
          <w:szCs w:val="24"/>
        </w:rPr>
        <w:t xml:space="preserve"> national yield statistics</w:t>
      </w:r>
      <w:r w:rsidRPr="00925990">
        <w:rPr>
          <w:rFonts w:ascii="Times New Roman" w:hAnsi="Times New Roman" w:cs="Times New Roman"/>
          <w:sz w:val="24"/>
          <w:szCs w:val="24"/>
        </w:rPr>
        <w:t>.</w:t>
      </w:r>
    </w:p>
    <w:p w14:paraId="364E0ABF" w14:textId="77777777" w:rsidR="00B9247D" w:rsidRPr="00925990" w:rsidRDefault="00B9247D" w:rsidP="00B9247D">
      <w:pPr>
        <w:jc w:val="both"/>
        <w:rPr>
          <w:rFonts w:ascii="Times New Roman" w:hAnsi="Times New Roman" w:cs="Times New Roman"/>
          <w:sz w:val="24"/>
          <w:szCs w:val="24"/>
        </w:rPr>
      </w:pPr>
    </w:p>
    <w:p w14:paraId="62E10B24" w14:textId="77777777" w:rsidR="0002068F" w:rsidRPr="00925990" w:rsidRDefault="0002068F" w:rsidP="00F57119">
      <w:pPr>
        <w:jc w:val="center"/>
        <w:rPr>
          <w:rFonts w:ascii="Times New Roman" w:hAnsi="Times New Roman" w:cs="Times New Roman"/>
          <w:sz w:val="24"/>
          <w:szCs w:val="24"/>
        </w:rPr>
      </w:pPr>
    </w:p>
    <w:p w14:paraId="1C4CA693" w14:textId="30F9C8F5" w:rsidR="0002068F" w:rsidRDefault="00442969" w:rsidP="00F57119">
      <w:pPr>
        <w:jc w:val="center"/>
        <w:rPr>
          <w:rFonts w:ascii="Times New Roman" w:hAnsi="Times New Roman" w:cs="Times New Roman"/>
          <w:sz w:val="24"/>
          <w:szCs w:val="24"/>
        </w:rPr>
      </w:pPr>
      <w:r>
        <w:rPr>
          <w:rFonts w:ascii="Times New Roman" w:hAnsi="Times New Roman" w:cs="Times New Roman"/>
          <w:noProof/>
          <w:sz w:val="24"/>
          <w:szCs w:val="24"/>
          <w14:ligatures w14:val="none"/>
        </w:rPr>
        <w:lastRenderedPageBreak/>
        <w:drawing>
          <wp:inline distT="0" distB="0" distL="0" distR="0" wp14:anchorId="1ECEFAE5" wp14:editId="62C4C349">
            <wp:extent cx="5943600" cy="4457700"/>
            <wp:effectExtent l="0" t="0" r="0" b="0"/>
            <wp:docPr id="875263749" name="Picture 3" descr="A graph of crops and cro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263749" name="Picture 3" descr="A graph of crops and crops&#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1BF41537" w14:textId="6D3E96A5" w:rsidR="008A2AFE" w:rsidRDefault="00E81677" w:rsidP="00E81677">
      <w:pPr>
        <w:rPr>
          <w:rFonts w:ascii="Times New Roman" w:hAnsi="Times New Roman" w:cs="Times New Roman"/>
          <w:noProof/>
          <w:sz w:val="24"/>
          <w:szCs w:val="24"/>
          <w14:ligatures w14:val="none"/>
        </w:rPr>
      </w:pPr>
      <w:r w:rsidRPr="00925990">
        <w:rPr>
          <w:rFonts w:ascii="Times New Roman" w:hAnsi="Times New Roman" w:cs="Times New Roman"/>
          <w:b/>
          <w:bCs/>
          <w:sz w:val="24"/>
          <w:szCs w:val="24"/>
        </w:rPr>
        <w:t>Fig</w:t>
      </w:r>
      <w:r w:rsidR="00C14AB6">
        <w:rPr>
          <w:rFonts w:ascii="Times New Roman" w:hAnsi="Times New Roman" w:cs="Times New Roman"/>
          <w:b/>
          <w:bCs/>
          <w:sz w:val="24"/>
          <w:szCs w:val="24"/>
        </w:rPr>
        <w:t>ure</w:t>
      </w:r>
      <w:r w:rsidRPr="00925990">
        <w:rPr>
          <w:rFonts w:ascii="Times New Roman" w:hAnsi="Times New Roman" w:cs="Times New Roman"/>
          <w:b/>
          <w:bCs/>
          <w:sz w:val="24"/>
          <w:szCs w:val="24"/>
        </w:rPr>
        <w:t xml:space="preserve"> S</w:t>
      </w:r>
      <w:r w:rsidR="00C767C2">
        <w:rPr>
          <w:rFonts w:ascii="Times New Roman" w:hAnsi="Times New Roman" w:cs="Times New Roman"/>
          <w:b/>
          <w:bCs/>
          <w:sz w:val="24"/>
          <w:szCs w:val="24"/>
        </w:rPr>
        <w:t>3</w:t>
      </w:r>
      <w:r w:rsidRPr="00925990">
        <w:rPr>
          <w:rFonts w:ascii="Times New Roman" w:hAnsi="Times New Roman" w:cs="Times New Roman"/>
          <w:b/>
          <w:bCs/>
          <w:sz w:val="24"/>
          <w:szCs w:val="24"/>
        </w:rPr>
        <w:t xml:space="preserve"> | Spatial yield variability</w:t>
      </w:r>
      <w:r w:rsidR="000F12B7">
        <w:rPr>
          <w:rFonts w:ascii="Times New Roman" w:hAnsi="Times New Roman" w:cs="Times New Roman"/>
          <w:b/>
          <w:bCs/>
          <w:sz w:val="24"/>
          <w:szCs w:val="24"/>
        </w:rPr>
        <w:t xml:space="preserve"> under historical and future climate</w:t>
      </w:r>
      <w:r w:rsidRPr="00925990">
        <w:rPr>
          <w:rFonts w:ascii="Times New Roman" w:hAnsi="Times New Roman" w:cs="Times New Roman"/>
          <w:b/>
          <w:bCs/>
          <w:sz w:val="24"/>
          <w:szCs w:val="24"/>
        </w:rPr>
        <w:t>.</w:t>
      </w:r>
      <w:r w:rsidRPr="00925990">
        <w:rPr>
          <w:rFonts w:ascii="Times New Roman" w:hAnsi="Times New Roman" w:cs="Times New Roman"/>
          <w:sz w:val="24"/>
          <w:szCs w:val="24"/>
        </w:rPr>
        <w:t xml:space="preserve"> Coefficient of variation </w:t>
      </w:r>
      <w:r w:rsidR="00F37E55" w:rsidRPr="00925990">
        <w:rPr>
          <w:rFonts w:ascii="Times New Roman" w:hAnsi="Times New Roman" w:cs="Times New Roman"/>
          <w:sz w:val="24"/>
          <w:szCs w:val="24"/>
        </w:rPr>
        <w:t xml:space="preserve">(CV) </w:t>
      </w:r>
      <w:r w:rsidRPr="00925990">
        <w:rPr>
          <w:rFonts w:ascii="Times New Roman" w:hAnsi="Times New Roman" w:cs="Times New Roman"/>
          <w:sz w:val="24"/>
          <w:szCs w:val="24"/>
        </w:rPr>
        <w:t>in simulated yield</w:t>
      </w:r>
      <w:r w:rsidR="00B5432D" w:rsidRPr="00925990">
        <w:rPr>
          <w:rFonts w:ascii="Times New Roman" w:hAnsi="Times New Roman" w:cs="Times New Roman"/>
          <w:sz w:val="24"/>
          <w:szCs w:val="24"/>
        </w:rPr>
        <w:t xml:space="preserve"> </w:t>
      </w:r>
      <w:r w:rsidRPr="00925990">
        <w:rPr>
          <w:rFonts w:ascii="Times New Roman" w:hAnsi="Times New Roman" w:cs="Times New Roman"/>
          <w:sz w:val="24"/>
          <w:szCs w:val="24"/>
        </w:rPr>
        <w:t xml:space="preserve">for </w:t>
      </w:r>
      <w:r w:rsidR="00450369">
        <w:rPr>
          <w:rFonts w:ascii="Times New Roman" w:eastAsia="Aptos" w:hAnsi="Times New Roman" w:cs="Times New Roman"/>
          <w:sz w:val="24"/>
          <w:szCs w:val="24"/>
        </w:rPr>
        <w:t>the 10 crops examined in Ghana classified as (i) cereals, (ii) legumes, and (iii) roots and tubers</w:t>
      </w:r>
      <w:r w:rsidR="00F37E55" w:rsidRPr="00925990">
        <w:rPr>
          <w:rFonts w:ascii="Times New Roman" w:hAnsi="Times New Roman" w:cs="Times New Roman"/>
          <w:sz w:val="24"/>
          <w:szCs w:val="24"/>
        </w:rPr>
        <w:t xml:space="preserve">. Each box contains CVs from </w:t>
      </w:r>
      <w:r w:rsidR="00925990" w:rsidRPr="00925990">
        <w:rPr>
          <w:rFonts w:ascii="Times New Roman" w:hAnsi="Times New Roman" w:cs="Times New Roman"/>
          <w:sz w:val="24"/>
          <w:szCs w:val="24"/>
        </w:rPr>
        <w:t xml:space="preserve">the four </w:t>
      </w:r>
      <w:r w:rsidR="00F37E55" w:rsidRPr="00925990">
        <w:rPr>
          <w:rFonts w:ascii="Times New Roman" w:hAnsi="Times New Roman" w:cs="Times New Roman"/>
          <w:sz w:val="24"/>
          <w:szCs w:val="24"/>
        </w:rPr>
        <w:t>GCMs (</w:t>
      </w:r>
      <w:r w:rsidR="00F37E55" w:rsidRPr="00797D66">
        <w:rPr>
          <w:rFonts w:ascii="Times New Roman" w:hAnsi="Times New Roman" w:cs="Times New Roman"/>
          <w:noProof/>
          <w:sz w:val="24"/>
          <w:szCs w:val="24"/>
          <w14:ligatures w14:val="none"/>
        </w:rPr>
        <w:t>GFDL-ESM4, IPSL-CM6A-LR, MPI-ESM1-2-HR and MRI-ESM2-0)</w:t>
      </w:r>
      <w:r w:rsidR="00772326">
        <w:rPr>
          <w:rFonts w:ascii="Times New Roman" w:hAnsi="Times New Roman" w:cs="Times New Roman"/>
          <w:noProof/>
          <w:sz w:val="24"/>
          <w:szCs w:val="24"/>
          <w14:ligatures w14:val="none"/>
        </w:rPr>
        <w:t>.</w:t>
      </w:r>
    </w:p>
    <w:p w14:paraId="0EA5A7EA" w14:textId="16137B59" w:rsidR="00D733B4" w:rsidRDefault="00D733B4" w:rsidP="00E81677">
      <w:pPr>
        <w:rPr>
          <w:rFonts w:ascii="Times New Roman" w:hAnsi="Times New Roman" w:cs="Times New Roman"/>
          <w:noProof/>
          <w:sz w:val="24"/>
          <w:szCs w:val="24"/>
          <w14:ligatures w14:val="none"/>
        </w:rPr>
      </w:pPr>
    </w:p>
    <w:p w14:paraId="75F40CAF" w14:textId="77777777" w:rsidR="00D733B4" w:rsidRPr="000F12B7" w:rsidRDefault="00D733B4">
      <w:pPr>
        <w:rPr>
          <w:rFonts w:ascii="Times New Roman" w:hAnsi="Times New Roman" w:cs="Times New Roman"/>
          <w:sz w:val="24"/>
          <w:szCs w:val="24"/>
        </w:rPr>
      </w:pPr>
      <w:r>
        <w:rPr>
          <w:rFonts w:ascii="Times New Roman" w:hAnsi="Times New Roman" w:cs="Times New Roman"/>
          <w:b/>
          <w:bCs/>
          <w:i/>
          <w:iCs/>
          <w:sz w:val="24"/>
          <w:szCs w:val="24"/>
        </w:rPr>
        <w:br w:type="page"/>
      </w:r>
    </w:p>
    <w:p w14:paraId="503F2A45" w14:textId="484AA69A" w:rsidR="00D733B4" w:rsidRPr="0018286E" w:rsidRDefault="00D733B4" w:rsidP="00D733B4">
      <w:pPr>
        <w:pStyle w:val="Caption"/>
        <w:jc w:val="both"/>
        <w:rPr>
          <w:rFonts w:ascii="Times New Roman" w:hAnsi="Times New Roman" w:cs="Times New Roman"/>
          <w:color w:val="auto"/>
        </w:rPr>
      </w:pPr>
      <w:r w:rsidRPr="0018286E">
        <w:rPr>
          <w:rFonts w:ascii="Times New Roman" w:hAnsi="Times New Roman" w:cs="Times New Roman"/>
          <w:b/>
          <w:bCs/>
          <w:i w:val="0"/>
          <w:iCs w:val="0"/>
          <w:color w:val="auto"/>
          <w:sz w:val="24"/>
          <w:szCs w:val="24"/>
        </w:rPr>
        <w:lastRenderedPageBreak/>
        <w:t xml:space="preserve">Table </w:t>
      </w:r>
      <w:r>
        <w:rPr>
          <w:rFonts w:ascii="Times New Roman" w:hAnsi="Times New Roman" w:cs="Times New Roman"/>
          <w:b/>
          <w:bCs/>
          <w:i w:val="0"/>
          <w:iCs w:val="0"/>
          <w:color w:val="auto"/>
          <w:sz w:val="24"/>
          <w:szCs w:val="24"/>
        </w:rPr>
        <w:t>S3</w:t>
      </w:r>
      <w:r w:rsidRPr="0018286E">
        <w:rPr>
          <w:rFonts w:ascii="Times New Roman" w:hAnsi="Times New Roman" w:cs="Times New Roman"/>
          <w:i w:val="0"/>
          <w:iCs w:val="0"/>
          <w:color w:val="auto"/>
          <w:sz w:val="24"/>
          <w:szCs w:val="24"/>
        </w:rPr>
        <w:t xml:space="preserve"> </w:t>
      </w:r>
      <w:r>
        <w:rPr>
          <w:rFonts w:ascii="Times New Roman" w:hAnsi="Times New Roman" w:cs="Times New Roman"/>
          <w:i w:val="0"/>
          <w:iCs w:val="0"/>
          <w:color w:val="auto"/>
          <w:sz w:val="24"/>
          <w:szCs w:val="24"/>
        </w:rPr>
        <w:t xml:space="preserve">| Climate change impact on yields of crops in Navrongo, </w:t>
      </w:r>
      <w:r w:rsidRPr="0018286E">
        <w:rPr>
          <w:rFonts w:ascii="Times New Roman" w:hAnsi="Times New Roman" w:cs="Times New Roman"/>
          <w:i w:val="0"/>
          <w:iCs w:val="0"/>
          <w:color w:val="auto"/>
          <w:sz w:val="24"/>
          <w:szCs w:val="24"/>
        </w:rPr>
        <w:t>Northern Ghana</w:t>
      </w:r>
      <w:r>
        <w:rPr>
          <w:rFonts w:ascii="Times New Roman" w:hAnsi="Times New Roman" w:cs="Times New Roman"/>
          <w:i w:val="0"/>
          <w:iCs w:val="0"/>
          <w:color w:val="auto"/>
          <w:sz w:val="24"/>
          <w:szCs w:val="24"/>
        </w:rPr>
        <w:t xml:space="preserve"> using DSSAT. Values are averaged across 4 GCMs</w:t>
      </w:r>
    </w:p>
    <w:tbl>
      <w:tblPr>
        <w:tblW w:w="8640" w:type="dxa"/>
        <w:tblLook w:val="04A0" w:firstRow="1" w:lastRow="0" w:firstColumn="1" w:lastColumn="0" w:noHBand="0" w:noVBand="1"/>
      </w:tblPr>
      <w:tblGrid>
        <w:gridCol w:w="1097"/>
        <w:gridCol w:w="1306"/>
        <w:gridCol w:w="1197"/>
        <w:gridCol w:w="1416"/>
        <w:gridCol w:w="1364"/>
        <w:gridCol w:w="896"/>
        <w:gridCol w:w="1364"/>
      </w:tblGrid>
      <w:tr w:rsidR="00D733B4" w:rsidRPr="00264769" w14:paraId="78D2D47E" w14:textId="77777777" w:rsidTr="00676D9A">
        <w:trPr>
          <w:trHeight w:val="980"/>
        </w:trPr>
        <w:tc>
          <w:tcPr>
            <w:tcW w:w="1097" w:type="dxa"/>
            <w:tcBorders>
              <w:top w:val="single" w:sz="4" w:space="0" w:color="auto"/>
              <w:left w:val="nil"/>
              <w:bottom w:val="single" w:sz="4" w:space="0" w:color="auto"/>
              <w:right w:val="nil"/>
            </w:tcBorders>
            <w:shd w:val="clear" w:color="auto" w:fill="auto"/>
            <w:noWrap/>
            <w:vAlign w:val="bottom"/>
            <w:hideMark/>
          </w:tcPr>
          <w:p w14:paraId="22458976"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Crop</w:t>
            </w:r>
          </w:p>
        </w:tc>
        <w:tc>
          <w:tcPr>
            <w:tcW w:w="1306" w:type="dxa"/>
            <w:tcBorders>
              <w:top w:val="single" w:sz="4" w:space="0" w:color="auto"/>
              <w:left w:val="nil"/>
              <w:bottom w:val="single" w:sz="4" w:space="0" w:color="auto"/>
              <w:right w:val="nil"/>
            </w:tcBorders>
            <w:shd w:val="clear" w:color="auto" w:fill="auto"/>
            <w:noWrap/>
            <w:vAlign w:val="bottom"/>
            <w:hideMark/>
          </w:tcPr>
          <w:p w14:paraId="60B73906"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Climate scenario</w:t>
            </w:r>
          </w:p>
        </w:tc>
        <w:tc>
          <w:tcPr>
            <w:tcW w:w="1197" w:type="dxa"/>
            <w:tcBorders>
              <w:top w:val="single" w:sz="4" w:space="0" w:color="auto"/>
              <w:left w:val="nil"/>
              <w:bottom w:val="single" w:sz="4" w:space="0" w:color="auto"/>
              <w:right w:val="nil"/>
            </w:tcBorders>
            <w:shd w:val="clear" w:color="auto" w:fill="auto"/>
            <w:noWrap/>
            <w:vAlign w:val="bottom"/>
            <w:hideMark/>
          </w:tcPr>
          <w:p w14:paraId="70138E1E"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Av. grain yield (kg/ha)</w:t>
            </w:r>
          </w:p>
        </w:tc>
        <w:tc>
          <w:tcPr>
            <w:tcW w:w="1416" w:type="dxa"/>
            <w:tcBorders>
              <w:top w:val="single" w:sz="4" w:space="0" w:color="auto"/>
              <w:left w:val="nil"/>
              <w:bottom w:val="single" w:sz="4" w:space="0" w:color="auto"/>
              <w:right w:val="nil"/>
            </w:tcBorders>
            <w:shd w:val="clear" w:color="auto" w:fill="auto"/>
            <w:noWrap/>
            <w:vAlign w:val="bottom"/>
            <w:hideMark/>
          </w:tcPr>
          <w:p w14:paraId="3940072A"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Max. grain yield (kg/ha)</w:t>
            </w:r>
          </w:p>
        </w:tc>
        <w:tc>
          <w:tcPr>
            <w:tcW w:w="1364" w:type="dxa"/>
            <w:tcBorders>
              <w:top w:val="single" w:sz="4" w:space="0" w:color="auto"/>
              <w:left w:val="nil"/>
              <w:bottom w:val="single" w:sz="4" w:space="0" w:color="auto"/>
              <w:right w:val="nil"/>
            </w:tcBorders>
            <w:shd w:val="clear" w:color="auto" w:fill="auto"/>
            <w:noWrap/>
            <w:vAlign w:val="bottom"/>
            <w:hideMark/>
          </w:tcPr>
          <w:p w14:paraId="685FB03F"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Min. grain yield (kg/ha)</w:t>
            </w:r>
          </w:p>
        </w:tc>
        <w:tc>
          <w:tcPr>
            <w:tcW w:w="896" w:type="dxa"/>
            <w:tcBorders>
              <w:top w:val="single" w:sz="4" w:space="0" w:color="auto"/>
              <w:left w:val="nil"/>
              <w:bottom w:val="single" w:sz="4" w:space="0" w:color="auto"/>
              <w:right w:val="nil"/>
            </w:tcBorders>
            <w:shd w:val="clear" w:color="auto" w:fill="auto"/>
            <w:noWrap/>
            <w:vAlign w:val="bottom"/>
            <w:hideMark/>
          </w:tcPr>
          <w:p w14:paraId="39F9407F"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cv (%)</w:t>
            </w:r>
          </w:p>
        </w:tc>
        <w:tc>
          <w:tcPr>
            <w:tcW w:w="1364" w:type="dxa"/>
            <w:tcBorders>
              <w:top w:val="single" w:sz="4" w:space="0" w:color="auto"/>
              <w:left w:val="nil"/>
              <w:bottom w:val="single" w:sz="4" w:space="0" w:color="auto"/>
              <w:right w:val="nil"/>
            </w:tcBorders>
            <w:shd w:val="clear" w:color="auto" w:fill="auto"/>
            <w:noWrap/>
            <w:vAlign w:val="bottom"/>
            <w:hideMark/>
          </w:tcPr>
          <w:p w14:paraId="2A2C1949"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Yield change  (%)</w:t>
            </w:r>
          </w:p>
        </w:tc>
      </w:tr>
      <w:tr w:rsidR="00D733B4" w:rsidRPr="00264769" w14:paraId="57503D40" w14:textId="77777777" w:rsidTr="00676D9A">
        <w:trPr>
          <w:trHeight w:val="299"/>
        </w:trPr>
        <w:tc>
          <w:tcPr>
            <w:tcW w:w="1097" w:type="dxa"/>
            <w:vMerge w:val="restart"/>
            <w:tcBorders>
              <w:top w:val="nil"/>
              <w:left w:val="nil"/>
              <w:bottom w:val="nil"/>
              <w:right w:val="nil"/>
            </w:tcBorders>
            <w:shd w:val="clear" w:color="auto" w:fill="auto"/>
            <w:noWrap/>
            <w:vAlign w:val="center"/>
            <w:hideMark/>
          </w:tcPr>
          <w:p w14:paraId="4B2ED0D8"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Maize</w:t>
            </w:r>
          </w:p>
        </w:tc>
        <w:tc>
          <w:tcPr>
            <w:tcW w:w="1306" w:type="dxa"/>
            <w:tcBorders>
              <w:top w:val="nil"/>
              <w:left w:val="nil"/>
              <w:bottom w:val="nil"/>
              <w:right w:val="nil"/>
            </w:tcBorders>
            <w:shd w:val="clear" w:color="auto" w:fill="auto"/>
            <w:noWrap/>
            <w:vAlign w:val="bottom"/>
            <w:hideMark/>
          </w:tcPr>
          <w:p w14:paraId="5E0EDE09"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Historical</w:t>
            </w:r>
          </w:p>
        </w:tc>
        <w:tc>
          <w:tcPr>
            <w:tcW w:w="1197" w:type="dxa"/>
            <w:tcBorders>
              <w:top w:val="nil"/>
              <w:left w:val="nil"/>
              <w:bottom w:val="nil"/>
              <w:right w:val="nil"/>
            </w:tcBorders>
            <w:shd w:val="clear" w:color="auto" w:fill="auto"/>
            <w:noWrap/>
            <w:vAlign w:val="bottom"/>
            <w:hideMark/>
          </w:tcPr>
          <w:p w14:paraId="7B68EADD"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1196</w:t>
            </w:r>
          </w:p>
        </w:tc>
        <w:tc>
          <w:tcPr>
            <w:tcW w:w="1416" w:type="dxa"/>
            <w:tcBorders>
              <w:top w:val="nil"/>
              <w:left w:val="nil"/>
              <w:bottom w:val="nil"/>
              <w:right w:val="nil"/>
            </w:tcBorders>
            <w:shd w:val="clear" w:color="auto" w:fill="auto"/>
            <w:noWrap/>
            <w:vAlign w:val="bottom"/>
            <w:hideMark/>
          </w:tcPr>
          <w:p w14:paraId="03071A33"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3148</w:t>
            </w:r>
          </w:p>
        </w:tc>
        <w:tc>
          <w:tcPr>
            <w:tcW w:w="1364" w:type="dxa"/>
            <w:tcBorders>
              <w:top w:val="nil"/>
              <w:left w:val="nil"/>
              <w:bottom w:val="nil"/>
              <w:right w:val="nil"/>
            </w:tcBorders>
            <w:shd w:val="clear" w:color="auto" w:fill="auto"/>
            <w:noWrap/>
            <w:vAlign w:val="bottom"/>
            <w:hideMark/>
          </w:tcPr>
          <w:p w14:paraId="4284B805"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342</w:t>
            </w:r>
          </w:p>
        </w:tc>
        <w:tc>
          <w:tcPr>
            <w:tcW w:w="896" w:type="dxa"/>
            <w:tcBorders>
              <w:top w:val="nil"/>
              <w:left w:val="nil"/>
              <w:bottom w:val="nil"/>
              <w:right w:val="nil"/>
            </w:tcBorders>
            <w:shd w:val="clear" w:color="auto" w:fill="auto"/>
            <w:noWrap/>
            <w:vAlign w:val="bottom"/>
            <w:hideMark/>
          </w:tcPr>
          <w:p w14:paraId="78947913"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52</w:t>
            </w:r>
          </w:p>
        </w:tc>
        <w:tc>
          <w:tcPr>
            <w:tcW w:w="1364" w:type="dxa"/>
            <w:tcBorders>
              <w:top w:val="nil"/>
              <w:left w:val="nil"/>
              <w:bottom w:val="nil"/>
              <w:right w:val="nil"/>
            </w:tcBorders>
            <w:shd w:val="clear" w:color="auto" w:fill="auto"/>
            <w:noWrap/>
            <w:vAlign w:val="bottom"/>
            <w:hideMark/>
          </w:tcPr>
          <w:p w14:paraId="72F5B5E6" w14:textId="1B963CF7" w:rsidR="00D733B4" w:rsidRPr="00264769" w:rsidRDefault="00B306C3" w:rsidP="00B306C3">
            <w:pPr>
              <w:spacing w:after="0" w:line="240" w:lineRule="auto"/>
              <w:jc w:val="right"/>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w:t>
            </w:r>
          </w:p>
        </w:tc>
      </w:tr>
      <w:tr w:rsidR="00D733B4" w:rsidRPr="00264769" w14:paraId="41AF6EF7" w14:textId="77777777" w:rsidTr="00676D9A">
        <w:trPr>
          <w:trHeight w:val="299"/>
        </w:trPr>
        <w:tc>
          <w:tcPr>
            <w:tcW w:w="1097" w:type="dxa"/>
            <w:vMerge/>
            <w:tcBorders>
              <w:top w:val="nil"/>
              <w:left w:val="nil"/>
              <w:bottom w:val="nil"/>
              <w:right w:val="nil"/>
            </w:tcBorders>
            <w:vAlign w:val="center"/>
            <w:hideMark/>
          </w:tcPr>
          <w:p w14:paraId="3C4AB477"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p>
        </w:tc>
        <w:tc>
          <w:tcPr>
            <w:tcW w:w="1306" w:type="dxa"/>
            <w:tcBorders>
              <w:top w:val="nil"/>
              <w:left w:val="nil"/>
              <w:bottom w:val="nil"/>
              <w:right w:val="nil"/>
            </w:tcBorders>
            <w:shd w:val="clear" w:color="auto" w:fill="auto"/>
            <w:noWrap/>
            <w:vAlign w:val="bottom"/>
            <w:hideMark/>
          </w:tcPr>
          <w:p w14:paraId="18FA0882"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SSP 1-2.6</w:t>
            </w:r>
          </w:p>
        </w:tc>
        <w:tc>
          <w:tcPr>
            <w:tcW w:w="1197" w:type="dxa"/>
            <w:tcBorders>
              <w:top w:val="nil"/>
              <w:left w:val="nil"/>
              <w:bottom w:val="nil"/>
              <w:right w:val="nil"/>
            </w:tcBorders>
            <w:shd w:val="clear" w:color="auto" w:fill="auto"/>
            <w:noWrap/>
            <w:vAlign w:val="bottom"/>
            <w:hideMark/>
          </w:tcPr>
          <w:p w14:paraId="4B251D72"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1117</w:t>
            </w:r>
          </w:p>
        </w:tc>
        <w:tc>
          <w:tcPr>
            <w:tcW w:w="1416" w:type="dxa"/>
            <w:tcBorders>
              <w:top w:val="nil"/>
              <w:left w:val="nil"/>
              <w:bottom w:val="nil"/>
              <w:right w:val="nil"/>
            </w:tcBorders>
            <w:shd w:val="clear" w:color="auto" w:fill="auto"/>
            <w:noWrap/>
            <w:vAlign w:val="bottom"/>
            <w:hideMark/>
          </w:tcPr>
          <w:p w14:paraId="69E77D6C"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2802</w:t>
            </w:r>
          </w:p>
        </w:tc>
        <w:tc>
          <w:tcPr>
            <w:tcW w:w="1364" w:type="dxa"/>
            <w:tcBorders>
              <w:top w:val="nil"/>
              <w:left w:val="nil"/>
              <w:bottom w:val="nil"/>
              <w:right w:val="nil"/>
            </w:tcBorders>
            <w:shd w:val="clear" w:color="auto" w:fill="auto"/>
            <w:noWrap/>
            <w:vAlign w:val="bottom"/>
            <w:hideMark/>
          </w:tcPr>
          <w:p w14:paraId="70C37E5C"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330</w:t>
            </w:r>
          </w:p>
        </w:tc>
        <w:tc>
          <w:tcPr>
            <w:tcW w:w="896" w:type="dxa"/>
            <w:tcBorders>
              <w:top w:val="nil"/>
              <w:left w:val="nil"/>
              <w:bottom w:val="nil"/>
              <w:right w:val="nil"/>
            </w:tcBorders>
            <w:shd w:val="clear" w:color="auto" w:fill="auto"/>
            <w:noWrap/>
            <w:vAlign w:val="bottom"/>
            <w:hideMark/>
          </w:tcPr>
          <w:p w14:paraId="16D37F5E"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51</w:t>
            </w:r>
          </w:p>
        </w:tc>
        <w:tc>
          <w:tcPr>
            <w:tcW w:w="1364" w:type="dxa"/>
            <w:tcBorders>
              <w:top w:val="nil"/>
              <w:left w:val="nil"/>
              <w:bottom w:val="nil"/>
              <w:right w:val="nil"/>
            </w:tcBorders>
            <w:shd w:val="clear" w:color="auto" w:fill="auto"/>
            <w:noWrap/>
            <w:vAlign w:val="bottom"/>
            <w:hideMark/>
          </w:tcPr>
          <w:p w14:paraId="4AC9FB03"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-6.0</w:t>
            </w:r>
          </w:p>
        </w:tc>
      </w:tr>
      <w:tr w:rsidR="00D733B4" w:rsidRPr="00264769" w14:paraId="31D1805D" w14:textId="77777777" w:rsidTr="00676D9A">
        <w:trPr>
          <w:trHeight w:val="299"/>
        </w:trPr>
        <w:tc>
          <w:tcPr>
            <w:tcW w:w="1097" w:type="dxa"/>
            <w:vMerge/>
            <w:tcBorders>
              <w:top w:val="nil"/>
              <w:left w:val="nil"/>
              <w:bottom w:val="nil"/>
              <w:right w:val="nil"/>
            </w:tcBorders>
            <w:vAlign w:val="center"/>
            <w:hideMark/>
          </w:tcPr>
          <w:p w14:paraId="0240E183"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p>
        </w:tc>
        <w:tc>
          <w:tcPr>
            <w:tcW w:w="1306" w:type="dxa"/>
            <w:tcBorders>
              <w:top w:val="nil"/>
              <w:left w:val="nil"/>
              <w:bottom w:val="nil"/>
              <w:right w:val="nil"/>
            </w:tcBorders>
            <w:shd w:val="clear" w:color="auto" w:fill="auto"/>
            <w:noWrap/>
            <w:vAlign w:val="bottom"/>
            <w:hideMark/>
          </w:tcPr>
          <w:p w14:paraId="0E1801A9"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SSP 3-7.0</w:t>
            </w:r>
          </w:p>
        </w:tc>
        <w:tc>
          <w:tcPr>
            <w:tcW w:w="1197" w:type="dxa"/>
            <w:tcBorders>
              <w:top w:val="nil"/>
              <w:left w:val="nil"/>
              <w:bottom w:val="nil"/>
              <w:right w:val="nil"/>
            </w:tcBorders>
            <w:shd w:val="clear" w:color="auto" w:fill="auto"/>
            <w:noWrap/>
            <w:vAlign w:val="bottom"/>
            <w:hideMark/>
          </w:tcPr>
          <w:p w14:paraId="4A04642C"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1046</w:t>
            </w:r>
          </w:p>
        </w:tc>
        <w:tc>
          <w:tcPr>
            <w:tcW w:w="1416" w:type="dxa"/>
            <w:tcBorders>
              <w:top w:val="nil"/>
              <w:left w:val="nil"/>
              <w:bottom w:val="nil"/>
              <w:right w:val="nil"/>
            </w:tcBorders>
            <w:shd w:val="clear" w:color="auto" w:fill="auto"/>
            <w:noWrap/>
            <w:vAlign w:val="bottom"/>
            <w:hideMark/>
          </w:tcPr>
          <w:p w14:paraId="2583CA2C"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2534</w:t>
            </w:r>
          </w:p>
        </w:tc>
        <w:tc>
          <w:tcPr>
            <w:tcW w:w="1364" w:type="dxa"/>
            <w:tcBorders>
              <w:top w:val="nil"/>
              <w:left w:val="nil"/>
              <w:bottom w:val="nil"/>
              <w:right w:val="nil"/>
            </w:tcBorders>
            <w:shd w:val="clear" w:color="auto" w:fill="auto"/>
            <w:noWrap/>
            <w:vAlign w:val="bottom"/>
            <w:hideMark/>
          </w:tcPr>
          <w:p w14:paraId="4BEFB9D3"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312</w:t>
            </w:r>
          </w:p>
        </w:tc>
        <w:tc>
          <w:tcPr>
            <w:tcW w:w="896" w:type="dxa"/>
            <w:tcBorders>
              <w:top w:val="nil"/>
              <w:left w:val="nil"/>
              <w:bottom w:val="nil"/>
              <w:right w:val="nil"/>
            </w:tcBorders>
            <w:shd w:val="clear" w:color="auto" w:fill="auto"/>
            <w:noWrap/>
            <w:vAlign w:val="bottom"/>
            <w:hideMark/>
          </w:tcPr>
          <w:p w14:paraId="46B8A433"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49</w:t>
            </w:r>
          </w:p>
        </w:tc>
        <w:tc>
          <w:tcPr>
            <w:tcW w:w="1364" w:type="dxa"/>
            <w:tcBorders>
              <w:top w:val="nil"/>
              <w:left w:val="nil"/>
              <w:bottom w:val="nil"/>
              <w:right w:val="nil"/>
            </w:tcBorders>
            <w:shd w:val="clear" w:color="auto" w:fill="auto"/>
            <w:noWrap/>
            <w:vAlign w:val="bottom"/>
            <w:hideMark/>
          </w:tcPr>
          <w:p w14:paraId="34801C7C"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-11.6</w:t>
            </w:r>
          </w:p>
        </w:tc>
      </w:tr>
      <w:tr w:rsidR="00D733B4" w:rsidRPr="00264769" w14:paraId="4301F0C2" w14:textId="77777777" w:rsidTr="00676D9A">
        <w:trPr>
          <w:trHeight w:val="299"/>
        </w:trPr>
        <w:tc>
          <w:tcPr>
            <w:tcW w:w="1097" w:type="dxa"/>
            <w:vMerge w:val="restart"/>
            <w:tcBorders>
              <w:top w:val="nil"/>
              <w:left w:val="nil"/>
              <w:bottom w:val="nil"/>
              <w:right w:val="nil"/>
            </w:tcBorders>
            <w:shd w:val="clear" w:color="auto" w:fill="auto"/>
            <w:noWrap/>
            <w:vAlign w:val="center"/>
            <w:hideMark/>
          </w:tcPr>
          <w:p w14:paraId="4D3635EB"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Sorghum</w:t>
            </w:r>
          </w:p>
        </w:tc>
        <w:tc>
          <w:tcPr>
            <w:tcW w:w="1306" w:type="dxa"/>
            <w:tcBorders>
              <w:top w:val="nil"/>
              <w:left w:val="nil"/>
              <w:bottom w:val="nil"/>
              <w:right w:val="nil"/>
            </w:tcBorders>
            <w:shd w:val="clear" w:color="auto" w:fill="auto"/>
            <w:noWrap/>
            <w:vAlign w:val="bottom"/>
            <w:hideMark/>
          </w:tcPr>
          <w:p w14:paraId="33BF52D0"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Historical</w:t>
            </w:r>
          </w:p>
        </w:tc>
        <w:tc>
          <w:tcPr>
            <w:tcW w:w="1197" w:type="dxa"/>
            <w:tcBorders>
              <w:top w:val="nil"/>
              <w:left w:val="nil"/>
              <w:bottom w:val="nil"/>
              <w:right w:val="nil"/>
            </w:tcBorders>
            <w:shd w:val="clear" w:color="auto" w:fill="auto"/>
            <w:noWrap/>
            <w:vAlign w:val="bottom"/>
            <w:hideMark/>
          </w:tcPr>
          <w:p w14:paraId="4DD8B241"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632</w:t>
            </w:r>
          </w:p>
        </w:tc>
        <w:tc>
          <w:tcPr>
            <w:tcW w:w="1416" w:type="dxa"/>
            <w:tcBorders>
              <w:top w:val="nil"/>
              <w:left w:val="nil"/>
              <w:bottom w:val="nil"/>
              <w:right w:val="nil"/>
            </w:tcBorders>
            <w:shd w:val="clear" w:color="auto" w:fill="auto"/>
            <w:noWrap/>
            <w:vAlign w:val="bottom"/>
            <w:hideMark/>
          </w:tcPr>
          <w:p w14:paraId="0D3B4667"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1252</w:t>
            </w:r>
          </w:p>
        </w:tc>
        <w:tc>
          <w:tcPr>
            <w:tcW w:w="1364" w:type="dxa"/>
            <w:tcBorders>
              <w:top w:val="nil"/>
              <w:left w:val="nil"/>
              <w:bottom w:val="nil"/>
              <w:right w:val="nil"/>
            </w:tcBorders>
            <w:shd w:val="clear" w:color="auto" w:fill="auto"/>
            <w:noWrap/>
            <w:vAlign w:val="bottom"/>
            <w:hideMark/>
          </w:tcPr>
          <w:p w14:paraId="36088847"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335</w:t>
            </w:r>
          </w:p>
        </w:tc>
        <w:tc>
          <w:tcPr>
            <w:tcW w:w="896" w:type="dxa"/>
            <w:tcBorders>
              <w:top w:val="nil"/>
              <w:left w:val="nil"/>
              <w:bottom w:val="nil"/>
              <w:right w:val="nil"/>
            </w:tcBorders>
            <w:shd w:val="clear" w:color="auto" w:fill="auto"/>
            <w:noWrap/>
            <w:vAlign w:val="bottom"/>
            <w:hideMark/>
          </w:tcPr>
          <w:p w14:paraId="0060E1BD"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45</w:t>
            </w:r>
          </w:p>
        </w:tc>
        <w:tc>
          <w:tcPr>
            <w:tcW w:w="1364" w:type="dxa"/>
            <w:tcBorders>
              <w:top w:val="nil"/>
              <w:left w:val="nil"/>
              <w:bottom w:val="nil"/>
              <w:right w:val="nil"/>
            </w:tcBorders>
            <w:shd w:val="clear" w:color="auto" w:fill="auto"/>
            <w:noWrap/>
            <w:vAlign w:val="bottom"/>
            <w:hideMark/>
          </w:tcPr>
          <w:p w14:paraId="1FC0D040" w14:textId="4AC17365" w:rsidR="00D733B4" w:rsidRPr="00264769" w:rsidRDefault="00B306C3" w:rsidP="00B306C3">
            <w:pPr>
              <w:spacing w:after="0" w:line="240" w:lineRule="auto"/>
              <w:jc w:val="right"/>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w:t>
            </w:r>
          </w:p>
        </w:tc>
      </w:tr>
      <w:tr w:rsidR="00D733B4" w:rsidRPr="00264769" w14:paraId="79DDDD32" w14:textId="77777777" w:rsidTr="00676D9A">
        <w:trPr>
          <w:trHeight w:val="299"/>
        </w:trPr>
        <w:tc>
          <w:tcPr>
            <w:tcW w:w="1097" w:type="dxa"/>
            <w:vMerge/>
            <w:tcBorders>
              <w:top w:val="nil"/>
              <w:left w:val="nil"/>
              <w:bottom w:val="nil"/>
              <w:right w:val="nil"/>
            </w:tcBorders>
            <w:vAlign w:val="center"/>
            <w:hideMark/>
          </w:tcPr>
          <w:p w14:paraId="3C7E0B9B"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p>
        </w:tc>
        <w:tc>
          <w:tcPr>
            <w:tcW w:w="1306" w:type="dxa"/>
            <w:tcBorders>
              <w:top w:val="nil"/>
              <w:left w:val="nil"/>
              <w:bottom w:val="nil"/>
              <w:right w:val="nil"/>
            </w:tcBorders>
            <w:shd w:val="clear" w:color="auto" w:fill="auto"/>
            <w:noWrap/>
            <w:vAlign w:val="bottom"/>
            <w:hideMark/>
          </w:tcPr>
          <w:p w14:paraId="4A901DF0"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SSP 1-2.6</w:t>
            </w:r>
          </w:p>
        </w:tc>
        <w:tc>
          <w:tcPr>
            <w:tcW w:w="1197" w:type="dxa"/>
            <w:tcBorders>
              <w:top w:val="nil"/>
              <w:left w:val="nil"/>
              <w:bottom w:val="nil"/>
              <w:right w:val="nil"/>
            </w:tcBorders>
            <w:shd w:val="clear" w:color="auto" w:fill="auto"/>
            <w:noWrap/>
            <w:vAlign w:val="bottom"/>
            <w:hideMark/>
          </w:tcPr>
          <w:p w14:paraId="15D957DB"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625</w:t>
            </w:r>
          </w:p>
        </w:tc>
        <w:tc>
          <w:tcPr>
            <w:tcW w:w="1416" w:type="dxa"/>
            <w:tcBorders>
              <w:top w:val="nil"/>
              <w:left w:val="nil"/>
              <w:bottom w:val="nil"/>
              <w:right w:val="nil"/>
            </w:tcBorders>
            <w:shd w:val="clear" w:color="auto" w:fill="auto"/>
            <w:noWrap/>
            <w:vAlign w:val="bottom"/>
            <w:hideMark/>
          </w:tcPr>
          <w:p w14:paraId="4E0C33F7"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1208</w:t>
            </w:r>
          </w:p>
        </w:tc>
        <w:tc>
          <w:tcPr>
            <w:tcW w:w="1364" w:type="dxa"/>
            <w:tcBorders>
              <w:top w:val="nil"/>
              <w:left w:val="nil"/>
              <w:bottom w:val="nil"/>
              <w:right w:val="nil"/>
            </w:tcBorders>
            <w:shd w:val="clear" w:color="auto" w:fill="auto"/>
            <w:noWrap/>
            <w:vAlign w:val="bottom"/>
            <w:hideMark/>
          </w:tcPr>
          <w:p w14:paraId="4532688A"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345</w:t>
            </w:r>
          </w:p>
        </w:tc>
        <w:tc>
          <w:tcPr>
            <w:tcW w:w="896" w:type="dxa"/>
            <w:tcBorders>
              <w:top w:val="nil"/>
              <w:left w:val="nil"/>
              <w:bottom w:val="nil"/>
              <w:right w:val="nil"/>
            </w:tcBorders>
            <w:shd w:val="clear" w:color="auto" w:fill="auto"/>
            <w:noWrap/>
            <w:vAlign w:val="bottom"/>
            <w:hideMark/>
          </w:tcPr>
          <w:p w14:paraId="39E15FDB"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42</w:t>
            </w:r>
          </w:p>
        </w:tc>
        <w:tc>
          <w:tcPr>
            <w:tcW w:w="1364" w:type="dxa"/>
            <w:tcBorders>
              <w:top w:val="nil"/>
              <w:left w:val="nil"/>
              <w:bottom w:val="nil"/>
              <w:right w:val="nil"/>
            </w:tcBorders>
            <w:shd w:val="clear" w:color="auto" w:fill="auto"/>
            <w:noWrap/>
            <w:vAlign w:val="bottom"/>
            <w:hideMark/>
          </w:tcPr>
          <w:p w14:paraId="162739B7"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0.4</w:t>
            </w:r>
          </w:p>
        </w:tc>
      </w:tr>
      <w:tr w:rsidR="00D733B4" w:rsidRPr="00264769" w14:paraId="6DA07878" w14:textId="77777777" w:rsidTr="00676D9A">
        <w:trPr>
          <w:trHeight w:val="299"/>
        </w:trPr>
        <w:tc>
          <w:tcPr>
            <w:tcW w:w="1097" w:type="dxa"/>
            <w:vMerge/>
            <w:tcBorders>
              <w:top w:val="nil"/>
              <w:left w:val="nil"/>
              <w:bottom w:val="nil"/>
              <w:right w:val="nil"/>
            </w:tcBorders>
            <w:vAlign w:val="center"/>
            <w:hideMark/>
          </w:tcPr>
          <w:p w14:paraId="4F7BBE73"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p>
        </w:tc>
        <w:tc>
          <w:tcPr>
            <w:tcW w:w="1306" w:type="dxa"/>
            <w:tcBorders>
              <w:top w:val="nil"/>
              <w:left w:val="nil"/>
              <w:bottom w:val="nil"/>
              <w:right w:val="nil"/>
            </w:tcBorders>
            <w:shd w:val="clear" w:color="auto" w:fill="auto"/>
            <w:noWrap/>
            <w:vAlign w:val="bottom"/>
            <w:hideMark/>
          </w:tcPr>
          <w:p w14:paraId="59462235"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SSP 3-7.0</w:t>
            </w:r>
          </w:p>
        </w:tc>
        <w:tc>
          <w:tcPr>
            <w:tcW w:w="1197" w:type="dxa"/>
            <w:tcBorders>
              <w:top w:val="nil"/>
              <w:left w:val="nil"/>
              <w:bottom w:val="nil"/>
              <w:right w:val="nil"/>
            </w:tcBorders>
            <w:shd w:val="clear" w:color="auto" w:fill="auto"/>
            <w:noWrap/>
            <w:vAlign w:val="bottom"/>
            <w:hideMark/>
          </w:tcPr>
          <w:p w14:paraId="729B42B0"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602</w:t>
            </w:r>
          </w:p>
        </w:tc>
        <w:tc>
          <w:tcPr>
            <w:tcW w:w="1416" w:type="dxa"/>
            <w:tcBorders>
              <w:top w:val="nil"/>
              <w:left w:val="nil"/>
              <w:bottom w:val="nil"/>
              <w:right w:val="nil"/>
            </w:tcBorders>
            <w:shd w:val="clear" w:color="auto" w:fill="auto"/>
            <w:noWrap/>
            <w:vAlign w:val="bottom"/>
            <w:hideMark/>
          </w:tcPr>
          <w:p w14:paraId="495A484E"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1134</w:t>
            </w:r>
          </w:p>
        </w:tc>
        <w:tc>
          <w:tcPr>
            <w:tcW w:w="1364" w:type="dxa"/>
            <w:tcBorders>
              <w:top w:val="nil"/>
              <w:left w:val="nil"/>
              <w:bottom w:val="nil"/>
              <w:right w:val="nil"/>
            </w:tcBorders>
            <w:shd w:val="clear" w:color="auto" w:fill="auto"/>
            <w:noWrap/>
            <w:vAlign w:val="bottom"/>
            <w:hideMark/>
          </w:tcPr>
          <w:p w14:paraId="2794C79B"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342</w:t>
            </w:r>
          </w:p>
        </w:tc>
        <w:tc>
          <w:tcPr>
            <w:tcW w:w="896" w:type="dxa"/>
            <w:tcBorders>
              <w:top w:val="nil"/>
              <w:left w:val="nil"/>
              <w:bottom w:val="nil"/>
              <w:right w:val="nil"/>
            </w:tcBorders>
            <w:shd w:val="clear" w:color="auto" w:fill="auto"/>
            <w:noWrap/>
            <w:vAlign w:val="bottom"/>
            <w:hideMark/>
          </w:tcPr>
          <w:p w14:paraId="11BA5509"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41</w:t>
            </w:r>
          </w:p>
        </w:tc>
        <w:tc>
          <w:tcPr>
            <w:tcW w:w="1364" w:type="dxa"/>
            <w:tcBorders>
              <w:top w:val="nil"/>
              <w:left w:val="nil"/>
              <w:bottom w:val="nil"/>
              <w:right w:val="nil"/>
            </w:tcBorders>
            <w:shd w:val="clear" w:color="auto" w:fill="auto"/>
            <w:noWrap/>
            <w:vAlign w:val="bottom"/>
            <w:hideMark/>
          </w:tcPr>
          <w:p w14:paraId="345CF7F0"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-3.0</w:t>
            </w:r>
          </w:p>
        </w:tc>
      </w:tr>
      <w:tr w:rsidR="00D733B4" w:rsidRPr="00264769" w14:paraId="01F633C0" w14:textId="77777777" w:rsidTr="00676D9A">
        <w:trPr>
          <w:trHeight w:val="299"/>
        </w:trPr>
        <w:tc>
          <w:tcPr>
            <w:tcW w:w="1097" w:type="dxa"/>
            <w:vMerge w:val="restart"/>
            <w:tcBorders>
              <w:top w:val="nil"/>
              <w:left w:val="nil"/>
              <w:bottom w:val="nil"/>
              <w:right w:val="nil"/>
            </w:tcBorders>
            <w:shd w:val="clear" w:color="auto" w:fill="auto"/>
            <w:noWrap/>
            <w:vAlign w:val="center"/>
            <w:hideMark/>
          </w:tcPr>
          <w:p w14:paraId="403A7BF8"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Cowpea</w:t>
            </w:r>
          </w:p>
        </w:tc>
        <w:tc>
          <w:tcPr>
            <w:tcW w:w="1306" w:type="dxa"/>
            <w:tcBorders>
              <w:top w:val="nil"/>
              <w:left w:val="nil"/>
              <w:bottom w:val="nil"/>
              <w:right w:val="nil"/>
            </w:tcBorders>
            <w:shd w:val="clear" w:color="auto" w:fill="auto"/>
            <w:noWrap/>
            <w:vAlign w:val="bottom"/>
            <w:hideMark/>
          </w:tcPr>
          <w:p w14:paraId="1EB2B3FC"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Historical</w:t>
            </w:r>
          </w:p>
        </w:tc>
        <w:tc>
          <w:tcPr>
            <w:tcW w:w="1197" w:type="dxa"/>
            <w:tcBorders>
              <w:top w:val="nil"/>
              <w:left w:val="nil"/>
              <w:bottom w:val="nil"/>
              <w:right w:val="nil"/>
            </w:tcBorders>
            <w:shd w:val="clear" w:color="auto" w:fill="auto"/>
            <w:noWrap/>
            <w:vAlign w:val="bottom"/>
            <w:hideMark/>
          </w:tcPr>
          <w:p w14:paraId="48AF8AAF"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737</w:t>
            </w:r>
          </w:p>
        </w:tc>
        <w:tc>
          <w:tcPr>
            <w:tcW w:w="1416" w:type="dxa"/>
            <w:tcBorders>
              <w:top w:val="nil"/>
              <w:left w:val="nil"/>
              <w:bottom w:val="nil"/>
              <w:right w:val="nil"/>
            </w:tcBorders>
            <w:shd w:val="clear" w:color="auto" w:fill="auto"/>
            <w:noWrap/>
            <w:vAlign w:val="bottom"/>
            <w:hideMark/>
          </w:tcPr>
          <w:p w14:paraId="11684800"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1319</w:t>
            </w:r>
          </w:p>
        </w:tc>
        <w:tc>
          <w:tcPr>
            <w:tcW w:w="1364" w:type="dxa"/>
            <w:tcBorders>
              <w:top w:val="nil"/>
              <w:left w:val="nil"/>
              <w:bottom w:val="nil"/>
              <w:right w:val="nil"/>
            </w:tcBorders>
            <w:shd w:val="clear" w:color="auto" w:fill="auto"/>
            <w:noWrap/>
            <w:vAlign w:val="bottom"/>
            <w:hideMark/>
          </w:tcPr>
          <w:p w14:paraId="689ED51B"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436</w:t>
            </w:r>
          </w:p>
        </w:tc>
        <w:tc>
          <w:tcPr>
            <w:tcW w:w="896" w:type="dxa"/>
            <w:tcBorders>
              <w:top w:val="nil"/>
              <w:left w:val="nil"/>
              <w:bottom w:val="nil"/>
              <w:right w:val="nil"/>
            </w:tcBorders>
            <w:shd w:val="clear" w:color="auto" w:fill="auto"/>
            <w:noWrap/>
            <w:vAlign w:val="bottom"/>
            <w:hideMark/>
          </w:tcPr>
          <w:p w14:paraId="306253FC"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33</w:t>
            </w:r>
          </w:p>
        </w:tc>
        <w:tc>
          <w:tcPr>
            <w:tcW w:w="1364" w:type="dxa"/>
            <w:tcBorders>
              <w:top w:val="nil"/>
              <w:left w:val="nil"/>
              <w:bottom w:val="nil"/>
              <w:right w:val="nil"/>
            </w:tcBorders>
            <w:shd w:val="clear" w:color="auto" w:fill="auto"/>
            <w:noWrap/>
            <w:vAlign w:val="bottom"/>
            <w:hideMark/>
          </w:tcPr>
          <w:p w14:paraId="473CC8F5" w14:textId="7170E731" w:rsidR="00D733B4" w:rsidRPr="00264769" w:rsidRDefault="00B306C3" w:rsidP="00B306C3">
            <w:pPr>
              <w:spacing w:after="0" w:line="240" w:lineRule="auto"/>
              <w:jc w:val="right"/>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w:t>
            </w:r>
          </w:p>
        </w:tc>
      </w:tr>
      <w:tr w:rsidR="00D733B4" w:rsidRPr="00264769" w14:paraId="358BAD89" w14:textId="77777777" w:rsidTr="00676D9A">
        <w:trPr>
          <w:trHeight w:val="299"/>
        </w:trPr>
        <w:tc>
          <w:tcPr>
            <w:tcW w:w="1097" w:type="dxa"/>
            <w:vMerge/>
            <w:tcBorders>
              <w:top w:val="nil"/>
              <w:left w:val="nil"/>
              <w:bottom w:val="nil"/>
              <w:right w:val="nil"/>
            </w:tcBorders>
            <w:vAlign w:val="center"/>
            <w:hideMark/>
          </w:tcPr>
          <w:p w14:paraId="5D2C10EF"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p>
        </w:tc>
        <w:tc>
          <w:tcPr>
            <w:tcW w:w="1306" w:type="dxa"/>
            <w:tcBorders>
              <w:top w:val="nil"/>
              <w:left w:val="nil"/>
              <w:bottom w:val="nil"/>
              <w:right w:val="nil"/>
            </w:tcBorders>
            <w:shd w:val="clear" w:color="auto" w:fill="auto"/>
            <w:noWrap/>
            <w:vAlign w:val="bottom"/>
            <w:hideMark/>
          </w:tcPr>
          <w:p w14:paraId="7E9285E7"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SSP 1-2.6</w:t>
            </w:r>
          </w:p>
        </w:tc>
        <w:tc>
          <w:tcPr>
            <w:tcW w:w="1197" w:type="dxa"/>
            <w:tcBorders>
              <w:top w:val="nil"/>
              <w:left w:val="nil"/>
              <w:bottom w:val="nil"/>
              <w:right w:val="nil"/>
            </w:tcBorders>
            <w:shd w:val="clear" w:color="auto" w:fill="auto"/>
            <w:noWrap/>
            <w:vAlign w:val="bottom"/>
            <w:hideMark/>
          </w:tcPr>
          <w:p w14:paraId="5627E108"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891</w:t>
            </w:r>
          </w:p>
        </w:tc>
        <w:tc>
          <w:tcPr>
            <w:tcW w:w="1416" w:type="dxa"/>
            <w:tcBorders>
              <w:top w:val="nil"/>
              <w:left w:val="nil"/>
              <w:bottom w:val="nil"/>
              <w:right w:val="nil"/>
            </w:tcBorders>
            <w:shd w:val="clear" w:color="auto" w:fill="auto"/>
            <w:noWrap/>
            <w:vAlign w:val="bottom"/>
            <w:hideMark/>
          </w:tcPr>
          <w:p w14:paraId="52F0E252"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1496</w:t>
            </w:r>
          </w:p>
        </w:tc>
        <w:tc>
          <w:tcPr>
            <w:tcW w:w="1364" w:type="dxa"/>
            <w:tcBorders>
              <w:top w:val="nil"/>
              <w:left w:val="nil"/>
              <w:bottom w:val="nil"/>
              <w:right w:val="nil"/>
            </w:tcBorders>
            <w:shd w:val="clear" w:color="auto" w:fill="auto"/>
            <w:noWrap/>
            <w:vAlign w:val="bottom"/>
            <w:hideMark/>
          </w:tcPr>
          <w:p w14:paraId="7E274BA3"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546</w:t>
            </w:r>
          </w:p>
        </w:tc>
        <w:tc>
          <w:tcPr>
            <w:tcW w:w="896" w:type="dxa"/>
            <w:tcBorders>
              <w:top w:val="nil"/>
              <w:left w:val="nil"/>
              <w:bottom w:val="nil"/>
              <w:right w:val="nil"/>
            </w:tcBorders>
            <w:shd w:val="clear" w:color="auto" w:fill="auto"/>
            <w:noWrap/>
            <w:vAlign w:val="bottom"/>
            <w:hideMark/>
          </w:tcPr>
          <w:p w14:paraId="448DA2FA"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30</w:t>
            </w:r>
          </w:p>
        </w:tc>
        <w:tc>
          <w:tcPr>
            <w:tcW w:w="1364" w:type="dxa"/>
            <w:tcBorders>
              <w:top w:val="nil"/>
              <w:left w:val="nil"/>
              <w:bottom w:val="nil"/>
              <w:right w:val="nil"/>
            </w:tcBorders>
            <w:shd w:val="clear" w:color="auto" w:fill="auto"/>
            <w:noWrap/>
            <w:vAlign w:val="bottom"/>
            <w:hideMark/>
          </w:tcPr>
          <w:p w14:paraId="08B226EB"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22.3</w:t>
            </w:r>
          </w:p>
        </w:tc>
      </w:tr>
      <w:tr w:rsidR="00D733B4" w:rsidRPr="00264769" w14:paraId="2A86916D" w14:textId="77777777" w:rsidTr="00676D9A">
        <w:trPr>
          <w:trHeight w:val="299"/>
        </w:trPr>
        <w:tc>
          <w:tcPr>
            <w:tcW w:w="1097" w:type="dxa"/>
            <w:vMerge/>
            <w:tcBorders>
              <w:top w:val="nil"/>
              <w:left w:val="nil"/>
              <w:bottom w:val="nil"/>
              <w:right w:val="nil"/>
            </w:tcBorders>
            <w:vAlign w:val="center"/>
            <w:hideMark/>
          </w:tcPr>
          <w:p w14:paraId="4A8D2208"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p>
        </w:tc>
        <w:tc>
          <w:tcPr>
            <w:tcW w:w="1306" w:type="dxa"/>
            <w:tcBorders>
              <w:top w:val="nil"/>
              <w:left w:val="nil"/>
              <w:bottom w:val="nil"/>
              <w:right w:val="nil"/>
            </w:tcBorders>
            <w:shd w:val="clear" w:color="auto" w:fill="auto"/>
            <w:noWrap/>
            <w:vAlign w:val="bottom"/>
            <w:hideMark/>
          </w:tcPr>
          <w:p w14:paraId="235F6EC4"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SSP 3-7.0</w:t>
            </w:r>
          </w:p>
        </w:tc>
        <w:tc>
          <w:tcPr>
            <w:tcW w:w="1197" w:type="dxa"/>
            <w:tcBorders>
              <w:top w:val="nil"/>
              <w:left w:val="nil"/>
              <w:bottom w:val="nil"/>
              <w:right w:val="nil"/>
            </w:tcBorders>
            <w:shd w:val="clear" w:color="auto" w:fill="auto"/>
            <w:noWrap/>
            <w:vAlign w:val="bottom"/>
            <w:hideMark/>
          </w:tcPr>
          <w:p w14:paraId="1F291139"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920</w:t>
            </w:r>
          </w:p>
        </w:tc>
        <w:tc>
          <w:tcPr>
            <w:tcW w:w="1416" w:type="dxa"/>
            <w:tcBorders>
              <w:top w:val="nil"/>
              <w:left w:val="nil"/>
              <w:bottom w:val="nil"/>
              <w:right w:val="nil"/>
            </w:tcBorders>
            <w:shd w:val="clear" w:color="auto" w:fill="auto"/>
            <w:noWrap/>
            <w:vAlign w:val="bottom"/>
            <w:hideMark/>
          </w:tcPr>
          <w:p w14:paraId="05867E25"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1514</w:t>
            </w:r>
          </w:p>
        </w:tc>
        <w:tc>
          <w:tcPr>
            <w:tcW w:w="1364" w:type="dxa"/>
            <w:tcBorders>
              <w:top w:val="nil"/>
              <w:left w:val="nil"/>
              <w:bottom w:val="nil"/>
              <w:right w:val="nil"/>
            </w:tcBorders>
            <w:shd w:val="clear" w:color="auto" w:fill="auto"/>
            <w:noWrap/>
            <w:vAlign w:val="bottom"/>
            <w:hideMark/>
          </w:tcPr>
          <w:p w14:paraId="13A1FB08"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562</w:t>
            </w:r>
          </w:p>
        </w:tc>
        <w:tc>
          <w:tcPr>
            <w:tcW w:w="896" w:type="dxa"/>
            <w:tcBorders>
              <w:top w:val="nil"/>
              <w:left w:val="nil"/>
              <w:bottom w:val="nil"/>
              <w:right w:val="nil"/>
            </w:tcBorders>
            <w:shd w:val="clear" w:color="auto" w:fill="auto"/>
            <w:noWrap/>
            <w:vAlign w:val="bottom"/>
            <w:hideMark/>
          </w:tcPr>
          <w:p w14:paraId="48280E1D"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28</w:t>
            </w:r>
          </w:p>
        </w:tc>
        <w:tc>
          <w:tcPr>
            <w:tcW w:w="1364" w:type="dxa"/>
            <w:tcBorders>
              <w:top w:val="nil"/>
              <w:left w:val="nil"/>
              <w:bottom w:val="nil"/>
              <w:right w:val="nil"/>
            </w:tcBorders>
            <w:shd w:val="clear" w:color="auto" w:fill="auto"/>
            <w:noWrap/>
            <w:vAlign w:val="bottom"/>
            <w:hideMark/>
          </w:tcPr>
          <w:p w14:paraId="43B24ED1"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27.5</w:t>
            </w:r>
          </w:p>
        </w:tc>
      </w:tr>
      <w:tr w:rsidR="00D733B4" w:rsidRPr="00264769" w14:paraId="671B5C6F" w14:textId="77777777" w:rsidTr="00676D9A">
        <w:trPr>
          <w:trHeight w:val="299"/>
        </w:trPr>
        <w:tc>
          <w:tcPr>
            <w:tcW w:w="1097" w:type="dxa"/>
            <w:vMerge w:val="restart"/>
            <w:tcBorders>
              <w:top w:val="nil"/>
              <w:left w:val="nil"/>
              <w:bottom w:val="single" w:sz="4" w:space="0" w:color="000000"/>
              <w:right w:val="nil"/>
            </w:tcBorders>
            <w:shd w:val="clear" w:color="auto" w:fill="auto"/>
            <w:noWrap/>
            <w:vAlign w:val="center"/>
            <w:hideMark/>
          </w:tcPr>
          <w:p w14:paraId="0785D2DA"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Peanut</w:t>
            </w:r>
          </w:p>
        </w:tc>
        <w:tc>
          <w:tcPr>
            <w:tcW w:w="1306" w:type="dxa"/>
            <w:tcBorders>
              <w:top w:val="nil"/>
              <w:left w:val="nil"/>
              <w:bottom w:val="nil"/>
              <w:right w:val="nil"/>
            </w:tcBorders>
            <w:shd w:val="clear" w:color="auto" w:fill="auto"/>
            <w:noWrap/>
            <w:vAlign w:val="bottom"/>
            <w:hideMark/>
          </w:tcPr>
          <w:p w14:paraId="33F696EA"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Historical</w:t>
            </w:r>
          </w:p>
        </w:tc>
        <w:tc>
          <w:tcPr>
            <w:tcW w:w="1197" w:type="dxa"/>
            <w:tcBorders>
              <w:top w:val="nil"/>
              <w:left w:val="nil"/>
              <w:bottom w:val="nil"/>
              <w:right w:val="nil"/>
            </w:tcBorders>
            <w:shd w:val="clear" w:color="auto" w:fill="auto"/>
            <w:noWrap/>
            <w:vAlign w:val="bottom"/>
            <w:hideMark/>
          </w:tcPr>
          <w:p w14:paraId="16085ECF"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859</w:t>
            </w:r>
          </w:p>
        </w:tc>
        <w:tc>
          <w:tcPr>
            <w:tcW w:w="1416" w:type="dxa"/>
            <w:tcBorders>
              <w:top w:val="nil"/>
              <w:left w:val="nil"/>
              <w:bottom w:val="nil"/>
              <w:right w:val="nil"/>
            </w:tcBorders>
            <w:shd w:val="clear" w:color="auto" w:fill="auto"/>
            <w:noWrap/>
            <w:vAlign w:val="bottom"/>
            <w:hideMark/>
          </w:tcPr>
          <w:p w14:paraId="5A29EFD5"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1671</w:t>
            </w:r>
          </w:p>
        </w:tc>
        <w:tc>
          <w:tcPr>
            <w:tcW w:w="1364" w:type="dxa"/>
            <w:tcBorders>
              <w:top w:val="nil"/>
              <w:left w:val="nil"/>
              <w:bottom w:val="nil"/>
              <w:right w:val="nil"/>
            </w:tcBorders>
            <w:shd w:val="clear" w:color="auto" w:fill="auto"/>
            <w:noWrap/>
            <w:vAlign w:val="bottom"/>
            <w:hideMark/>
          </w:tcPr>
          <w:p w14:paraId="15E2A6E8"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414</w:t>
            </w:r>
          </w:p>
        </w:tc>
        <w:tc>
          <w:tcPr>
            <w:tcW w:w="896" w:type="dxa"/>
            <w:tcBorders>
              <w:top w:val="nil"/>
              <w:left w:val="nil"/>
              <w:bottom w:val="nil"/>
              <w:right w:val="nil"/>
            </w:tcBorders>
            <w:shd w:val="clear" w:color="auto" w:fill="auto"/>
            <w:noWrap/>
            <w:vAlign w:val="bottom"/>
            <w:hideMark/>
          </w:tcPr>
          <w:p w14:paraId="3329D4AB"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47</w:t>
            </w:r>
          </w:p>
        </w:tc>
        <w:tc>
          <w:tcPr>
            <w:tcW w:w="1364" w:type="dxa"/>
            <w:tcBorders>
              <w:top w:val="nil"/>
              <w:left w:val="nil"/>
              <w:bottom w:val="nil"/>
              <w:right w:val="nil"/>
            </w:tcBorders>
            <w:shd w:val="clear" w:color="auto" w:fill="auto"/>
            <w:noWrap/>
            <w:vAlign w:val="bottom"/>
            <w:hideMark/>
          </w:tcPr>
          <w:p w14:paraId="66D07B69" w14:textId="7F5CEDA7" w:rsidR="00D733B4" w:rsidRPr="00264769" w:rsidRDefault="00B306C3" w:rsidP="00B306C3">
            <w:pPr>
              <w:spacing w:after="0" w:line="240" w:lineRule="auto"/>
              <w:jc w:val="right"/>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w:t>
            </w:r>
          </w:p>
        </w:tc>
      </w:tr>
      <w:tr w:rsidR="00D733B4" w:rsidRPr="00264769" w14:paraId="1196BDA2" w14:textId="77777777" w:rsidTr="00676D9A">
        <w:trPr>
          <w:trHeight w:val="299"/>
        </w:trPr>
        <w:tc>
          <w:tcPr>
            <w:tcW w:w="1097" w:type="dxa"/>
            <w:vMerge/>
            <w:tcBorders>
              <w:top w:val="nil"/>
              <w:left w:val="nil"/>
              <w:bottom w:val="single" w:sz="4" w:space="0" w:color="000000"/>
              <w:right w:val="nil"/>
            </w:tcBorders>
            <w:vAlign w:val="center"/>
            <w:hideMark/>
          </w:tcPr>
          <w:p w14:paraId="1FB600BE"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p>
        </w:tc>
        <w:tc>
          <w:tcPr>
            <w:tcW w:w="1306" w:type="dxa"/>
            <w:tcBorders>
              <w:top w:val="nil"/>
              <w:left w:val="nil"/>
              <w:bottom w:val="nil"/>
              <w:right w:val="nil"/>
            </w:tcBorders>
            <w:shd w:val="clear" w:color="auto" w:fill="auto"/>
            <w:noWrap/>
            <w:vAlign w:val="bottom"/>
            <w:hideMark/>
          </w:tcPr>
          <w:p w14:paraId="24473A83"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SSP 1-2.6</w:t>
            </w:r>
          </w:p>
        </w:tc>
        <w:tc>
          <w:tcPr>
            <w:tcW w:w="1197" w:type="dxa"/>
            <w:tcBorders>
              <w:top w:val="nil"/>
              <w:left w:val="nil"/>
              <w:bottom w:val="nil"/>
              <w:right w:val="nil"/>
            </w:tcBorders>
            <w:shd w:val="clear" w:color="auto" w:fill="auto"/>
            <w:noWrap/>
            <w:vAlign w:val="bottom"/>
            <w:hideMark/>
          </w:tcPr>
          <w:p w14:paraId="5B9C83FD"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929</w:t>
            </w:r>
          </w:p>
        </w:tc>
        <w:tc>
          <w:tcPr>
            <w:tcW w:w="1416" w:type="dxa"/>
            <w:tcBorders>
              <w:top w:val="nil"/>
              <w:left w:val="nil"/>
              <w:bottom w:val="nil"/>
              <w:right w:val="nil"/>
            </w:tcBorders>
            <w:shd w:val="clear" w:color="auto" w:fill="auto"/>
            <w:noWrap/>
            <w:vAlign w:val="bottom"/>
            <w:hideMark/>
          </w:tcPr>
          <w:p w14:paraId="1E8056EE"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1735</w:t>
            </w:r>
          </w:p>
        </w:tc>
        <w:tc>
          <w:tcPr>
            <w:tcW w:w="1364" w:type="dxa"/>
            <w:tcBorders>
              <w:top w:val="nil"/>
              <w:left w:val="nil"/>
              <w:bottom w:val="nil"/>
              <w:right w:val="nil"/>
            </w:tcBorders>
            <w:shd w:val="clear" w:color="auto" w:fill="auto"/>
            <w:noWrap/>
            <w:vAlign w:val="bottom"/>
            <w:hideMark/>
          </w:tcPr>
          <w:p w14:paraId="3C93B005"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487</w:t>
            </w:r>
          </w:p>
        </w:tc>
        <w:tc>
          <w:tcPr>
            <w:tcW w:w="896" w:type="dxa"/>
            <w:tcBorders>
              <w:top w:val="nil"/>
              <w:left w:val="nil"/>
              <w:bottom w:val="nil"/>
              <w:right w:val="nil"/>
            </w:tcBorders>
            <w:shd w:val="clear" w:color="auto" w:fill="auto"/>
            <w:noWrap/>
            <w:vAlign w:val="bottom"/>
            <w:hideMark/>
          </w:tcPr>
          <w:p w14:paraId="08D47534"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42</w:t>
            </w:r>
          </w:p>
        </w:tc>
        <w:tc>
          <w:tcPr>
            <w:tcW w:w="1364" w:type="dxa"/>
            <w:tcBorders>
              <w:top w:val="nil"/>
              <w:left w:val="nil"/>
              <w:bottom w:val="nil"/>
              <w:right w:val="nil"/>
            </w:tcBorders>
            <w:shd w:val="clear" w:color="auto" w:fill="auto"/>
            <w:noWrap/>
            <w:vAlign w:val="bottom"/>
            <w:hideMark/>
          </w:tcPr>
          <w:p w14:paraId="59A10702"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11.0</w:t>
            </w:r>
          </w:p>
        </w:tc>
      </w:tr>
      <w:tr w:rsidR="00D733B4" w:rsidRPr="00264769" w14:paraId="40784E11" w14:textId="77777777" w:rsidTr="00676D9A">
        <w:trPr>
          <w:trHeight w:val="299"/>
        </w:trPr>
        <w:tc>
          <w:tcPr>
            <w:tcW w:w="1097" w:type="dxa"/>
            <w:vMerge/>
            <w:tcBorders>
              <w:top w:val="nil"/>
              <w:left w:val="nil"/>
              <w:bottom w:val="single" w:sz="4" w:space="0" w:color="000000"/>
              <w:right w:val="nil"/>
            </w:tcBorders>
            <w:vAlign w:val="center"/>
            <w:hideMark/>
          </w:tcPr>
          <w:p w14:paraId="5EF5A486"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p>
        </w:tc>
        <w:tc>
          <w:tcPr>
            <w:tcW w:w="1306" w:type="dxa"/>
            <w:tcBorders>
              <w:top w:val="nil"/>
              <w:left w:val="nil"/>
              <w:bottom w:val="single" w:sz="4" w:space="0" w:color="auto"/>
              <w:right w:val="nil"/>
            </w:tcBorders>
            <w:shd w:val="clear" w:color="auto" w:fill="auto"/>
            <w:noWrap/>
            <w:vAlign w:val="bottom"/>
            <w:hideMark/>
          </w:tcPr>
          <w:p w14:paraId="10B59D1F" w14:textId="77777777" w:rsidR="00D733B4" w:rsidRPr="00264769" w:rsidRDefault="00D733B4" w:rsidP="00676D9A">
            <w:pPr>
              <w:spacing w:after="0" w:line="240" w:lineRule="auto"/>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SSP 3-7.0</w:t>
            </w:r>
          </w:p>
        </w:tc>
        <w:tc>
          <w:tcPr>
            <w:tcW w:w="1197" w:type="dxa"/>
            <w:tcBorders>
              <w:top w:val="nil"/>
              <w:left w:val="nil"/>
              <w:bottom w:val="single" w:sz="4" w:space="0" w:color="auto"/>
              <w:right w:val="nil"/>
            </w:tcBorders>
            <w:shd w:val="clear" w:color="auto" w:fill="auto"/>
            <w:noWrap/>
            <w:vAlign w:val="bottom"/>
            <w:hideMark/>
          </w:tcPr>
          <w:p w14:paraId="22596C14"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954</w:t>
            </w:r>
          </w:p>
        </w:tc>
        <w:tc>
          <w:tcPr>
            <w:tcW w:w="1416" w:type="dxa"/>
            <w:tcBorders>
              <w:top w:val="nil"/>
              <w:left w:val="nil"/>
              <w:bottom w:val="single" w:sz="4" w:space="0" w:color="auto"/>
              <w:right w:val="nil"/>
            </w:tcBorders>
            <w:shd w:val="clear" w:color="auto" w:fill="auto"/>
            <w:noWrap/>
            <w:vAlign w:val="bottom"/>
            <w:hideMark/>
          </w:tcPr>
          <w:p w14:paraId="5B940F7C"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1731</w:t>
            </w:r>
          </w:p>
        </w:tc>
        <w:tc>
          <w:tcPr>
            <w:tcW w:w="1364" w:type="dxa"/>
            <w:tcBorders>
              <w:top w:val="nil"/>
              <w:left w:val="nil"/>
              <w:bottom w:val="single" w:sz="4" w:space="0" w:color="auto"/>
              <w:right w:val="nil"/>
            </w:tcBorders>
            <w:shd w:val="clear" w:color="auto" w:fill="auto"/>
            <w:noWrap/>
            <w:vAlign w:val="bottom"/>
            <w:hideMark/>
          </w:tcPr>
          <w:p w14:paraId="5A22E82E"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507</w:t>
            </w:r>
          </w:p>
        </w:tc>
        <w:tc>
          <w:tcPr>
            <w:tcW w:w="896" w:type="dxa"/>
            <w:tcBorders>
              <w:top w:val="nil"/>
              <w:left w:val="nil"/>
              <w:bottom w:val="single" w:sz="4" w:space="0" w:color="auto"/>
              <w:right w:val="nil"/>
            </w:tcBorders>
            <w:shd w:val="clear" w:color="auto" w:fill="auto"/>
            <w:noWrap/>
            <w:vAlign w:val="bottom"/>
            <w:hideMark/>
          </w:tcPr>
          <w:p w14:paraId="08320847"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40</w:t>
            </w:r>
          </w:p>
        </w:tc>
        <w:tc>
          <w:tcPr>
            <w:tcW w:w="1364" w:type="dxa"/>
            <w:tcBorders>
              <w:top w:val="nil"/>
              <w:left w:val="nil"/>
              <w:bottom w:val="single" w:sz="4" w:space="0" w:color="auto"/>
              <w:right w:val="nil"/>
            </w:tcBorders>
            <w:shd w:val="clear" w:color="auto" w:fill="auto"/>
            <w:noWrap/>
            <w:vAlign w:val="bottom"/>
            <w:hideMark/>
          </w:tcPr>
          <w:p w14:paraId="02743DED" w14:textId="77777777" w:rsidR="00D733B4" w:rsidRPr="00264769" w:rsidRDefault="00D733B4" w:rsidP="00676D9A">
            <w:pPr>
              <w:spacing w:after="0" w:line="240" w:lineRule="auto"/>
              <w:jc w:val="right"/>
              <w:rPr>
                <w:rFonts w:ascii="Times New Roman" w:eastAsia="Times New Roman" w:hAnsi="Times New Roman" w:cs="Times New Roman"/>
                <w:color w:val="000000"/>
                <w:kern w:val="0"/>
                <w:sz w:val="24"/>
                <w:szCs w:val="24"/>
                <w14:ligatures w14:val="none"/>
              </w:rPr>
            </w:pPr>
            <w:r w:rsidRPr="00264769">
              <w:rPr>
                <w:rFonts w:ascii="Times New Roman" w:eastAsia="Times New Roman" w:hAnsi="Times New Roman" w:cs="Times New Roman"/>
                <w:color w:val="000000"/>
                <w:kern w:val="0"/>
                <w:sz w:val="24"/>
                <w:szCs w:val="24"/>
                <w14:ligatures w14:val="none"/>
              </w:rPr>
              <w:t>14.9</w:t>
            </w:r>
          </w:p>
        </w:tc>
      </w:tr>
    </w:tbl>
    <w:p w14:paraId="6257B905" w14:textId="2B396674" w:rsidR="00D733B4" w:rsidRDefault="00D733B4" w:rsidP="00D733B4"/>
    <w:p w14:paraId="716FF0EC" w14:textId="77777777" w:rsidR="00A24814" w:rsidRDefault="00A24814">
      <w:pPr>
        <w:rPr>
          <w:rFonts w:ascii="Times New Roman" w:hAnsi="Times New Roman" w:cs="Times New Roman"/>
          <w:b/>
          <w:bCs/>
          <w:sz w:val="24"/>
          <w:szCs w:val="24"/>
        </w:rPr>
      </w:pPr>
      <w:r>
        <w:rPr>
          <w:rFonts w:ascii="Times New Roman" w:hAnsi="Times New Roman" w:cs="Times New Roman"/>
          <w:b/>
          <w:bCs/>
          <w:sz w:val="24"/>
          <w:szCs w:val="24"/>
        </w:rPr>
        <w:br w:type="page"/>
      </w:r>
    </w:p>
    <w:p w14:paraId="4D674308" w14:textId="15E79C9D" w:rsidR="00A24814" w:rsidRDefault="008909DE">
      <w:pPr>
        <w:rPr>
          <w:rFonts w:ascii="Times New Roman" w:hAnsi="Times New Roman" w:cs="Times New Roman"/>
          <w:sz w:val="24"/>
          <w:szCs w:val="24"/>
        </w:rPr>
      </w:pPr>
      <w:r w:rsidRPr="0018286E">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S4</w:t>
      </w:r>
      <w:r w:rsidRPr="0018286E">
        <w:rPr>
          <w:rFonts w:ascii="Times New Roman" w:hAnsi="Times New Roman" w:cs="Times New Roman"/>
          <w:sz w:val="24"/>
          <w:szCs w:val="24"/>
        </w:rPr>
        <w:t xml:space="preserve"> </w:t>
      </w:r>
      <w:r>
        <w:rPr>
          <w:rFonts w:ascii="Times New Roman" w:hAnsi="Times New Roman" w:cs="Times New Roman"/>
          <w:sz w:val="24"/>
          <w:szCs w:val="24"/>
        </w:rPr>
        <w:t>| Cost of nutritionally adequate food basket (NAFB) based on 4 different scenarios</w:t>
      </w:r>
    </w:p>
    <w:tbl>
      <w:tblPr>
        <w:tblW w:w="9906" w:type="dxa"/>
        <w:tblInd w:w="-460" w:type="dxa"/>
        <w:tblLayout w:type="fixed"/>
        <w:tblCellMar>
          <w:left w:w="0" w:type="dxa"/>
          <w:right w:w="0" w:type="dxa"/>
        </w:tblCellMar>
        <w:tblLook w:val="04A0" w:firstRow="1" w:lastRow="0" w:firstColumn="1" w:lastColumn="0" w:noHBand="0" w:noVBand="1"/>
      </w:tblPr>
      <w:tblGrid>
        <w:gridCol w:w="1260"/>
        <w:gridCol w:w="2883"/>
        <w:gridCol w:w="719"/>
        <w:gridCol w:w="814"/>
        <w:gridCol w:w="720"/>
        <w:gridCol w:w="720"/>
        <w:gridCol w:w="720"/>
        <w:gridCol w:w="630"/>
        <w:gridCol w:w="720"/>
        <w:gridCol w:w="720"/>
      </w:tblGrid>
      <w:tr w:rsidR="00A24814" w:rsidRPr="00591367" w14:paraId="64EB6E68" w14:textId="77777777" w:rsidTr="00676D9A">
        <w:trPr>
          <w:trHeight w:val="340"/>
        </w:trPr>
        <w:tc>
          <w:tcPr>
            <w:tcW w:w="1260" w:type="dxa"/>
            <w:tcBorders>
              <w:top w:val="single" w:sz="8" w:space="0" w:color="auto"/>
              <w:left w:val="single" w:sz="8" w:space="0" w:color="auto"/>
              <w:bottom w:val="nil"/>
              <w:right w:val="single" w:sz="4" w:space="0" w:color="auto"/>
            </w:tcBorders>
            <w:shd w:val="clear" w:color="auto" w:fill="auto"/>
            <w:vAlign w:val="center"/>
            <w:hideMark/>
          </w:tcPr>
          <w:p w14:paraId="0D835AE8" w14:textId="77777777" w:rsidR="00A24814" w:rsidRPr="00A24814" w:rsidRDefault="00A24814" w:rsidP="00676D9A">
            <w:pPr>
              <w:spacing w:after="0" w:line="240" w:lineRule="auto"/>
              <w:jc w:val="center"/>
              <w:rPr>
                <w:rFonts w:ascii="Times New Roman" w:hAnsi="Times New Roman" w:cs="Times New Roman"/>
                <w:b/>
                <w:bCs/>
                <w:color w:val="000000"/>
                <w:kern w:val="0"/>
                <w:sz w:val="20"/>
                <w:szCs w:val="20"/>
                <w14:ligatures w14:val="none"/>
              </w:rPr>
            </w:pPr>
            <w:r w:rsidRPr="00A24814">
              <w:rPr>
                <w:rFonts w:ascii="Times New Roman" w:hAnsi="Times New Roman" w:cs="Times New Roman"/>
                <w:b/>
                <w:bCs/>
                <w:color w:val="000000"/>
                <w:sz w:val="20"/>
                <w:szCs w:val="20"/>
              </w:rPr>
              <w:t> </w:t>
            </w:r>
          </w:p>
        </w:tc>
        <w:tc>
          <w:tcPr>
            <w:tcW w:w="2883" w:type="dxa"/>
            <w:tcBorders>
              <w:top w:val="single" w:sz="8" w:space="0" w:color="auto"/>
              <w:left w:val="nil"/>
              <w:bottom w:val="nil"/>
              <w:right w:val="single" w:sz="8" w:space="0" w:color="auto"/>
            </w:tcBorders>
            <w:shd w:val="clear" w:color="auto" w:fill="auto"/>
            <w:noWrap/>
            <w:vAlign w:val="center"/>
            <w:hideMark/>
          </w:tcPr>
          <w:p w14:paraId="03433753" w14:textId="77777777" w:rsidR="00A24814" w:rsidRPr="00591367" w:rsidRDefault="00A24814" w:rsidP="00676D9A">
            <w:pPr>
              <w:spacing w:after="0" w:line="240" w:lineRule="auto"/>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w:t>
            </w:r>
          </w:p>
        </w:tc>
        <w:tc>
          <w:tcPr>
            <w:tcW w:w="5763" w:type="dxa"/>
            <w:gridSpan w:val="8"/>
            <w:tcBorders>
              <w:top w:val="single" w:sz="8" w:space="0" w:color="auto"/>
              <w:left w:val="nil"/>
              <w:bottom w:val="single" w:sz="8" w:space="0" w:color="auto"/>
              <w:right w:val="single" w:sz="8" w:space="0" w:color="000000"/>
            </w:tcBorders>
            <w:shd w:val="clear" w:color="auto" w:fill="auto"/>
            <w:noWrap/>
            <w:vAlign w:val="center"/>
            <w:hideMark/>
          </w:tcPr>
          <w:p w14:paraId="44AE11BE" w14:textId="77777777" w:rsidR="00A24814" w:rsidRPr="00591367" w:rsidRDefault="00A24814" w:rsidP="00676D9A">
            <w:pPr>
              <w:spacing w:after="0" w:line="240" w:lineRule="auto"/>
              <w:ind w:right="126"/>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Nutritional Adequate Food basket</w:t>
            </w:r>
            <w:r w:rsidRPr="00591367">
              <w:rPr>
                <w:rFonts w:ascii="Times New Roman" w:hAnsi="Times New Roman" w:cs="Times New Roman"/>
                <w:b/>
                <w:bCs/>
                <w:color w:val="000000"/>
                <w:sz w:val="20"/>
                <w:szCs w:val="20"/>
                <w:vertAlign w:val="superscript"/>
              </w:rPr>
              <w:t>*</w:t>
            </w:r>
          </w:p>
        </w:tc>
      </w:tr>
      <w:tr w:rsidR="00A24814" w:rsidRPr="00591367" w14:paraId="69D4E9DE" w14:textId="77777777" w:rsidTr="00676D9A">
        <w:trPr>
          <w:trHeight w:val="320"/>
        </w:trPr>
        <w:tc>
          <w:tcPr>
            <w:tcW w:w="1260" w:type="dxa"/>
            <w:tcBorders>
              <w:top w:val="nil"/>
              <w:left w:val="single" w:sz="8" w:space="0" w:color="auto"/>
              <w:bottom w:val="nil"/>
              <w:right w:val="single" w:sz="4" w:space="0" w:color="auto"/>
            </w:tcBorders>
            <w:shd w:val="clear" w:color="auto" w:fill="auto"/>
            <w:vAlign w:val="center"/>
            <w:hideMark/>
          </w:tcPr>
          <w:p w14:paraId="36F76818" w14:textId="77777777" w:rsidR="00A24814" w:rsidRPr="00A24814" w:rsidRDefault="00A24814" w:rsidP="00676D9A">
            <w:pPr>
              <w:spacing w:after="0" w:line="240" w:lineRule="auto"/>
              <w:jc w:val="center"/>
              <w:rPr>
                <w:rFonts w:ascii="Times New Roman" w:hAnsi="Times New Roman" w:cs="Times New Roman"/>
                <w:b/>
                <w:bCs/>
                <w:color w:val="000000"/>
                <w:sz w:val="20"/>
                <w:szCs w:val="20"/>
              </w:rPr>
            </w:pPr>
            <w:r w:rsidRPr="00A24814">
              <w:rPr>
                <w:rFonts w:ascii="Times New Roman" w:hAnsi="Times New Roman" w:cs="Times New Roman"/>
                <w:b/>
                <w:bCs/>
                <w:color w:val="000000"/>
                <w:sz w:val="20"/>
                <w:szCs w:val="20"/>
              </w:rPr>
              <w:t> </w:t>
            </w:r>
          </w:p>
        </w:tc>
        <w:tc>
          <w:tcPr>
            <w:tcW w:w="2883" w:type="dxa"/>
            <w:tcBorders>
              <w:top w:val="nil"/>
              <w:left w:val="nil"/>
              <w:bottom w:val="nil"/>
              <w:right w:val="single" w:sz="8" w:space="0" w:color="auto"/>
            </w:tcBorders>
            <w:shd w:val="clear" w:color="auto" w:fill="auto"/>
            <w:noWrap/>
            <w:vAlign w:val="center"/>
            <w:hideMark/>
          </w:tcPr>
          <w:p w14:paraId="4C61322A"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w:t>
            </w:r>
          </w:p>
        </w:tc>
        <w:tc>
          <w:tcPr>
            <w:tcW w:w="1533"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47CE601B"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NAFB1 (no cowpeas)</w:t>
            </w:r>
          </w:p>
        </w:tc>
        <w:tc>
          <w:tcPr>
            <w:tcW w:w="144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5349C665"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NAFB2</w:t>
            </w:r>
          </w:p>
        </w:tc>
        <w:tc>
          <w:tcPr>
            <w:tcW w:w="135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504D01AF"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NAFB3</w:t>
            </w:r>
          </w:p>
        </w:tc>
        <w:tc>
          <w:tcPr>
            <w:tcW w:w="144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35466D1E"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NABF4</w:t>
            </w:r>
          </w:p>
        </w:tc>
      </w:tr>
      <w:tr w:rsidR="00A24814" w:rsidRPr="00591367" w14:paraId="61B00D46" w14:textId="77777777" w:rsidTr="00676D9A">
        <w:trPr>
          <w:trHeight w:val="660"/>
        </w:trPr>
        <w:tc>
          <w:tcPr>
            <w:tcW w:w="1260" w:type="dxa"/>
            <w:tcBorders>
              <w:top w:val="nil"/>
              <w:left w:val="single" w:sz="8" w:space="0" w:color="auto"/>
              <w:bottom w:val="single" w:sz="8" w:space="0" w:color="auto"/>
              <w:right w:val="single" w:sz="4" w:space="0" w:color="auto"/>
            </w:tcBorders>
            <w:shd w:val="clear" w:color="auto" w:fill="auto"/>
            <w:vAlign w:val="center"/>
            <w:hideMark/>
          </w:tcPr>
          <w:p w14:paraId="281CDEEA" w14:textId="77777777" w:rsidR="00A24814" w:rsidRPr="00A24814" w:rsidRDefault="00A24814" w:rsidP="00676D9A">
            <w:pPr>
              <w:spacing w:after="0" w:line="240" w:lineRule="auto"/>
              <w:jc w:val="center"/>
              <w:rPr>
                <w:rFonts w:ascii="Times New Roman" w:hAnsi="Times New Roman" w:cs="Times New Roman"/>
                <w:b/>
                <w:bCs/>
                <w:color w:val="000000"/>
                <w:sz w:val="20"/>
                <w:szCs w:val="20"/>
              </w:rPr>
            </w:pPr>
            <w:r w:rsidRPr="00A24814">
              <w:rPr>
                <w:rFonts w:ascii="Times New Roman" w:hAnsi="Times New Roman" w:cs="Times New Roman"/>
                <w:b/>
                <w:bCs/>
                <w:color w:val="000000"/>
                <w:sz w:val="20"/>
                <w:szCs w:val="20"/>
              </w:rPr>
              <w:t>Food Group</w:t>
            </w:r>
          </w:p>
        </w:tc>
        <w:tc>
          <w:tcPr>
            <w:tcW w:w="2883" w:type="dxa"/>
            <w:tcBorders>
              <w:top w:val="nil"/>
              <w:left w:val="nil"/>
              <w:bottom w:val="single" w:sz="8" w:space="0" w:color="auto"/>
              <w:right w:val="single" w:sz="8" w:space="0" w:color="auto"/>
            </w:tcBorders>
            <w:shd w:val="clear" w:color="auto" w:fill="auto"/>
            <w:noWrap/>
            <w:vAlign w:val="center"/>
            <w:hideMark/>
          </w:tcPr>
          <w:p w14:paraId="76A074BF" w14:textId="77777777" w:rsidR="00A24814" w:rsidRPr="00591367" w:rsidRDefault="00A24814" w:rsidP="00676D9A">
            <w:pPr>
              <w:spacing w:after="0" w:line="240" w:lineRule="auto"/>
              <w:ind w:left="6" w:hanging="6"/>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Food item</w:t>
            </w:r>
          </w:p>
        </w:tc>
        <w:tc>
          <w:tcPr>
            <w:tcW w:w="719" w:type="dxa"/>
            <w:tcBorders>
              <w:top w:val="nil"/>
              <w:left w:val="nil"/>
              <w:bottom w:val="single" w:sz="8" w:space="0" w:color="auto"/>
              <w:right w:val="single" w:sz="4" w:space="0" w:color="auto"/>
            </w:tcBorders>
            <w:shd w:val="clear" w:color="auto" w:fill="auto"/>
            <w:vAlign w:val="center"/>
            <w:hideMark/>
          </w:tcPr>
          <w:p w14:paraId="04ABB701"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xml:space="preserve">Total Weight </w:t>
            </w:r>
          </w:p>
        </w:tc>
        <w:tc>
          <w:tcPr>
            <w:tcW w:w="814" w:type="dxa"/>
            <w:tcBorders>
              <w:top w:val="nil"/>
              <w:left w:val="nil"/>
              <w:bottom w:val="single" w:sz="8" w:space="0" w:color="auto"/>
              <w:right w:val="single" w:sz="8" w:space="0" w:color="auto"/>
            </w:tcBorders>
            <w:shd w:val="clear" w:color="auto" w:fill="auto"/>
            <w:vAlign w:val="center"/>
            <w:hideMark/>
          </w:tcPr>
          <w:p w14:paraId="4A985F54"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Cost</w:t>
            </w:r>
          </w:p>
        </w:tc>
        <w:tc>
          <w:tcPr>
            <w:tcW w:w="720" w:type="dxa"/>
            <w:tcBorders>
              <w:top w:val="nil"/>
              <w:left w:val="nil"/>
              <w:bottom w:val="single" w:sz="8" w:space="0" w:color="auto"/>
              <w:right w:val="single" w:sz="4" w:space="0" w:color="auto"/>
            </w:tcBorders>
            <w:shd w:val="clear" w:color="auto" w:fill="auto"/>
            <w:vAlign w:val="center"/>
            <w:hideMark/>
          </w:tcPr>
          <w:p w14:paraId="528DFBAC"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xml:space="preserve">Total Weight </w:t>
            </w:r>
          </w:p>
        </w:tc>
        <w:tc>
          <w:tcPr>
            <w:tcW w:w="720" w:type="dxa"/>
            <w:tcBorders>
              <w:top w:val="nil"/>
              <w:left w:val="nil"/>
              <w:bottom w:val="single" w:sz="8" w:space="0" w:color="auto"/>
              <w:right w:val="single" w:sz="8" w:space="0" w:color="auto"/>
            </w:tcBorders>
            <w:shd w:val="clear" w:color="auto" w:fill="auto"/>
            <w:vAlign w:val="center"/>
            <w:hideMark/>
          </w:tcPr>
          <w:p w14:paraId="2BFCCD60"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Cost</w:t>
            </w:r>
          </w:p>
        </w:tc>
        <w:tc>
          <w:tcPr>
            <w:tcW w:w="720" w:type="dxa"/>
            <w:tcBorders>
              <w:top w:val="nil"/>
              <w:left w:val="nil"/>
              <w:bottom w:val="single" w:sz="8" w:space="0" w:color="auto"/>
              <w:right w:val="single" w:sz="4" w:space="0" w:color="auto"/>
            </w:tcBorders>
            <w:shd w:val="clear" w:color="auto" w:fill="auto"/>
            <w:vAlign w:val="center"/>
            <w:hideMark/>
          </w:tcPr>
          <w:p w14:paraId="1C5FB830"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Total Weight</w:t>
            </w:r>
          </w:p>
        </w:tc>
        <w:tc>
          <w:tcPr>
            <w:tcW w:w="630" w:type="dxa"/>
            <w:tcBorders>
              <w:top w:val="nil"/>
              <w:left w:val="nil"/>
              <w:bottom w:val="single" w:sz="8" w:space="0" w:color="auto"/>
              <w:right w:val="single" w:sz="8" w:space="0" w:color="auto"/>
            </w:tcBorders>
            <w:shd w:val="clear" w:color="auto" w:fill="auto"/>
            <w:vAlign w:val="center"/>
            <w:hideMark/>
          </w:tcPr>
          <w:p w14:paraId="1F29DAE3"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Cost</w:t>
            </w:r>
          </w:p>
        </w:tc>
        <w:tc>
          <w:tcPr>
            <w:tcW w:w="720" w:type="dxa"/>
            <w:tcBorders>
              <w:top w:val="nil"/>
              <w:left w:val="nil"/>
              <w:bottom w:val="single" w:sz="8" w:space="0" w:color="auto"/>
              <w:right w:val="single" w:sz="4" w:space="0" w:color="auto"/>
            </w:tcBorders>
            <w:shd w:val="clear" w:color="auto" w:fill="auto"/>
            <w:vAlign w:val="center"/>
            <w:hideMark/>
          </w:tcPr>
          <w:p w14:paraId="23BEFAF4"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xml:space="preserve">Total Weight </w:t>
            </w:r>
          </w:p>
        </w:tc>
        <w:tc>
          <w:tcPr>
            <w:tcW w:w="720" w:type="dxa"/>
            <w:tcBorders>
              <w:top w:val="nil"/>
              <w:left w:val="nil"/>
              <w:bottom w:val="single" w:sz="8" w:space="0" w:color="auto"/>
              <w:right w:val="single" w:sz="8" w:space="0" w:color="auto"/>
            </w:tcBorders>
            <w:shd w:val="clear" w:color="auto" w:fill="auto"/>
            <w:vAlign w:val="center"/>
            <w:hideMark/>
          </w:tcPr>
          <w:p w14:paraId="70AE16DD" w14:textId="77777777" w:rsidR="00A24814" w:rsidRPr="00591367" w:rsidRDefault="00A24814" w:rsidP="00676D9A">
            <w:pPr>
              <w:spacing w:after="0" w:line="240" w:lineRule="auto"/>
              <w:jc w:val="center"/>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Cost</w:t>
            </w:r>
          </w:p>
        </w:tc>
      </w:tr>
      <w:tr w:rsidR="00A24814" w:rsidRPr="00591367" w14:paraId="0BE34E5D" w14:textId="77777777" w:rsidTr="00676D9A">
        <w:trPr>
          <w:trHeight w:val="320"/>
        </w:trPr>
        <w:tc>
          <w:tcPr>
            <w:tcW w:w="1260" w:type="dxa"/>
            <w:vMerge w:val="restart"/>
            <w:tcBorders>
              <w:top w:val="nil"/>
              <w:left w:val="single" w:sz="8" w:space="0" w:color="auto"/>
              <w:bottom w:val="single" w:sz="4" w:space="0" w:color="auto"/>
              <w:right w:val="single" w:sz="4" w:space="0" w:color="auto"/>
            </w:tcBorders>
            <w:shd w:val="clear" w:color="auto" w:fill="auto"/>
            <w:vAlign w:val="center"/>
            <w:hideMark/>
          </w:tcPr>
          <w:p w14:paraId="39FA3356" w14:textId="77777777" w:rsidR="00A24814" w:rsidRPr="00A24814"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Grain</w:t>
            </w:r>
          </w:p>
        </w:tc>
        <w:tc>
          <w:tcPr>
            <w:tcW w:w="2883" w:type="dxa"/>
            <w:tcBorders>
              <w:top w:val="nil"/>
              <w:left w:val="nil"/>
              <w:bottom w:val="single" w:sz="4" w:space="0" w:color="auto"/>
              <w:right w:val="single" w:sz="8" w:space="0" w:color="auto"/>
            </w:tcBorders>
            <w:shd w:val="clear" w:color="auto" w:fill="auto"/>
            <w:noWrap/>
            <w:vAlign w:val="center"/>
            <w:hideMark/>
          </w:tcPr>
          <w:p w14:paraId="4E903C37"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Maize, white</w:t>
            </w:r>
          </w:p>
        </w:tc>
        <w:tc>
          <w:tcPr>
            <w:tcW w:w="719" w:type="dxa"/>
            <w:tcBorders>
              <w:top w:val="nil"/>
              <w:left w:val="nil"/>
              <w:bottom w:val="single" w:sz="4" w:space="0" w:color="auto"/>
              <w:right w:val="single" w:sz="4" w:space="0" w:color="auto"/>
            </w:tcBorders>
            <w:shd w:val="clear" w:color="auto" w:fill="auto"/>
            <w:noWrap/>
            <w:vAlign w:val="center"/>
            <w:hideMark/>
          </w:tcPr>
          <w:p w14:paraId="0E62D8E2"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61</w:t>
            </w:r>
          </w:p>
        </w:tc>
        <w:tc>
          <w:tcPr>
            <w:tcW w:w="814" w:type="dxa"/>
            <w:tcBorders>
              <w:top w:val="nil"/>
              <w:left w:val="nil"/>
              <w:bottom w:val="single" w:sz="4" w:space="0" w:color="auto"/>
              <w:right w:val="single" w:sz="8" w:space="0" w:color="auto"/>
            </w:tcBorders>
            <w:shd w:val="clear" w:color="auto" w:fill="auto"/>
            <w:noWrap/>
            <w:vAlign w:val="center"/>
            <w:hideMark/>
          </w:tcPr>
          <w:p w14:paraId="012713D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0.11</w:t>
            </w:r>
          </w:p>
        </w:tc>
        <w:tc>
          <w:tcPr>
            <w:tcW w:w="720" w:type="dxa"/>
            <w:tcBorders>
              <w:top w:val="nil"/>
              <w:left w:val="nil"/>
              <w:bottom w:val="single" w:sz="4" w:space="0" w:color="auto"/>
              <w:right w:val="single" w:sz="4" w:space="0" w:color="auto"/>
            </w:tcBorders>
            <w:shd w:val="clear" w:color="auto" w:fill="auto"/>
            <w:noWrap/>
            <w:vAlign w:val="center"/>
            <w:hideMark/>
          </w:tcPr>
          <w:p w14:paraId="533112B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68</w:t>
            </w:r>
          </w:p>
        </w:tc>
        <w:tc>
          <w:tcPr>
            <w:tcW w:w="720" w:type="dxa"/>
            <w:tcBorders>
              <w:top w:val="nil"/>
              <w:left w:val="nil"/>
              <w:bottom w:val="single" w:sz="4" w:space="0" w:color="auto"/>
              <w:right w:val="single" w:sz="8" w:space="0" w:color="auto"/>
            </w:tcBorders>
            <w:shd w:val="clear" w:color="auto" w:fill="auto"/>
            <w:noWrap/>
            <w:vAlign w:val="center"/>
            <w:hideMark/>
          </w:tcPr>
          <w:p w14:paraId="1CA8011A"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0.06</w:t>
            </w:r>
          </w:p>
        </w:tc>
        <w:tc>
          <w:tcPr>
            <w:tcW w:w="720" w:type="dxa"/>
            <w:tcBorders>
              <w:top w:val="nil"/>
              <w:left w:val="nil"/>
              <w:bottom w:val="single" w:sz="4" w:space="0" w:color="auto"/>
              <w:right w:val="single" w:sz="4" w:space="0" w:color="auto"/>
            </w:tcBorders>
            <w:shd w:val="clear" w:color="auto" w:fill="auto"/>
            <w:noWrap/>
            <w:vAlign w:val="center"/>
            <w:hideMark/>
          </w:tcPr>
          <w:p w14:paraId="743F02B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121</w:t>
            </w:r>
          </w:p>
        </w:tc>
        <w:tc>
          <w:tcPr>
            <w:tcW w:w="630" w:type="dxa"/>
            <w:tcBorders>
              <w:top w:val="nil"/>
              <w:left w:val="nil"/>
              <w:bottom w:val="single" w:sz="4" w:space="0" w:color="auto"/>
              <w:right w:val="single" w:sz="8" w:space="0" w:color="auto"/>
            </w:tcBorders>
            <w:shd w:val="clear" w:color="auto" w:fill="auto"/>
            <w:noWrap/>
            <w:vAlign w:val="center"/>
            <w:hideMark/>
          </w:tcPr>
          <w:p w14:paraId="3058BA4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0.10</w:t>
            </w:r>
          </w:p>
        </w:tc>
        <w:tc>
          <w:tcPr>
            <w:tcW w:w="720" w:type="dxa"/>
            <w:tcBorders>
              <w:top w:val="nil"/>
              <w:left w:val="nil"/>
              <w:bottom w:val="single" w:sz="4" w:space="0" w:color="auto"/>
              <w:right w:val="single" w:sz="4" w:space="0" w:color="auto"/>
            </w:tcBorders>
            <w:shd w:val="clear" w:color="auto" w:fill="auto"/>
            <w:noWrap/>
            <w:vAlign w:val="bottom"/>
            <w:hideMark/>
          </w:tcPr>
          <w:p w14:paraId="56EF9A8C"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310</w:t>
            </w:r>
          </w:p>
        </w:tc>
        <w:tc>
          <w:tcPr>
            <w:tcW w:w="720" w:type="dxa"/>
            <w:tcBorders>
              <w:top w:val="nil"/>
              <w:left w:val="nil"/>
              <w:bottom w:val="single" w:sz="4" w:space="0" w:color="auto"/>
              <w:right w:val="single" w:sz="8" w:space="0" w:color="auto"/>
            </w:tcBorders>
            <w:shd w:val="clear" w:color="auto" w:fill="auto"/>
            <w:noWrap/>
            <w:vAlign w:val="center"/>
            <w:hideMark/>
          </w:tcPr>
          <w:p w14:paraId="4108DBC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0.26</w:t>
            </w:r>
          </w:p>
        </w:tc>
      </w:tr>
      <w:tr w:rsidR="00A24814" w:rsidRPr="00591367" w14:paraId="024E05C3" w14:textId="77777777" w:rsidTr="00676D9A">
        <w:trPr>
          <w:trHeight w:val="320"/>
        </w:trPr>
        <w:tc>
          <w:tcPr>
            <w:tcW w:w="1260" w:type="dxa"/>
            <w:vMerge/>
            <w:tcBorders>
              <w:top w:val="nil"/>
              <w:left w:val="single" w:sz="8" w:space="0" w:color="auto"/>
              <w:bottom w:val="single" w:sz="4" w:space="0" w:color="auto"/>
              <w:right w:val="single" w:sz="4" w:space="0" w:color="auto"/>
            </w:tcBorders>
            <w:vAlign w:val="center"/>
            <w:hideMark/>
          </w:tcPr>
          <w:p w14:paraId="2A41F1B2"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3EE1FE1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Millet, pearl, whole grain, raw</w:t>
            </w:r>
          </w:p>
        </w:tc>
        <w:tc>
          <w:tcPr>
            <w:tcW w:w="719" w:type="dxa"/>
            <w:tcBorders>
              <w:top w:val="nil"/>
              <w:left w:val="nil"/>
              <w:bottom w:val="single" w:sz="4" w:space="0" w:color="auto"/>
              <w:right w:val="single" w:sz="4" w:space="0" w:color="auto"/>
            </w:tcBorders>
            <w:shd w:val="clear" w:color="auto" w:fill="auto"/>
            <w:noWrap/>
            <w:vAlign w:val="center"/>
            <w:hideMark/>
          </w:tcPr>
          <w:p w14:paraId="7EDCF28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546</w:t>
            </w:r>
          </w:p>
        </w:tc>
        <w:tc>
          <w:tcPr>
            <w:tcW w:w="814" w:type="dxa"/>
            <w:tcBorders>
              <w:top w:val="nil"/>
              <w:left w:val="nil"/>
              <w:bottom w:val="single" w:sz="4" w:space="0" w:color="auto"/>
              <w:right w:val="single" w:sz="8" w:space="0" w:color="auto"/>
            </w:tcBorders>
            <w:shd w:val="clear" w:color="auto" w:fill="auto"/>
            <w:noWrap/>
            <w:vAlign w:val="center"/>
            <w:hideMark/>
          </w:tcPr>
          <w:p w14:paraId="7D50CD6D"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0.78</w:t>
            </w:r>
          </w:p>
        </w:tc>
        <w:tc>
          <w:tcPr>
            <w:tcW w:w="720" w:type="dxa"/>
            <w:tcBorders>
              <w:top w:val="nil"/>
              <w:left w:val="nil"/>
              <w:bottom w:val="single" w:sz="4" w:space="0" w:color="auto"/>
              <w:right w:val="single" w:sz="4" w:space="0" w:color="auto"/>
            </w:tcBorders>
            <w:shd w:val="clear" w:color="auto" w:fill="auto"/>
            <w:noWrap/>
            <w:vAlign w:val="center"/>
            <w:hideMark/>
          </w:tcPr>
          <w:p w14:paraId="1FE5CB3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185</w:t>
            </w:r>
          </w:p>
        </w:tc>
        <w:tc>
          <w:tcPr>
            <w:tcW w:w="720" w:type="dxa"/>
            <w:tcBorders>
              <w:top w:val="nil"/>
              <w:left w:val="nil"/>
              <w:bottom w:val="single" w:sz="4" w:space="0" w:color="auto"/>
              <w:right w:val="single" w:sz="8" w:space="0" w:color="auto"/>
            </w:tcBorders>
            <w:shd w:val="clear" w:color="auto" w:fill="auto"/>
            <w:noWrap/>
            <w:vAlign w:val="center"/>
            <w:hideMark/>
          </w:tcPr>
          <w:p w14:paraId="4DB1666D"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0.23</w:t>
            </w:r>
          </w:p>
        </w:tc>
        <w:tc>
          <w:tcPr>
            <w:tcW w:w="720" w:type="dxa"/>
            <w:tcBorders>
              <w:top w:val="nil"/>
              <w:left w:val="nil"/>
              <w:bottom w:val="single" w:sz="4" w:space="0" w:color="auto"/>
              <w:right w:val="single" w:sz="4" w:space="0" w:color="auto"/>
            </w:tcBorders>
            <w:shd w:val="clear" w:color="auto" w:fill="auto"/>
            <w:noWrap/>
            <w:vAlign w:val="center"/>
            <w:hideMark/>
          </w:tcPr>
          <w:p w14:paraId="29B349F4"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42</w:t>
            </w:r>
          </w:p>
        </w:tc>
        <w:tc>
          <w:tcPr>
            <w:tcW w:w="630" w:type="dxa"/>
            <w:tcBorders>
              <w:top w:val="nil"/>
              <w:left w:val="nil"/>
              <w:bottom w:val="single" w:sz="4" w:space="0" w:color="auto"/>
              <w:right w:val="single" w:sz="8" w:space="0" w:color="auto"/>
            </w:tcBorders>
            <w:shd w:val="clear" w:color="auto" w:fill="auto"/>
            <w:noWrap/>
            <w:vAlign w:val="center"/>
            <w:hideMark/>
          </w:tcPr>
          <w:p w14:paraId="5E28CDC3"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0.05</w:t>
            </w:r>
          </w:p>
        </w:tc>
        <w:tc>
          <w:tcPr>
            <w:tcW w:w="720" w:type="dxa"/>
            <w:tcBorders>
              <w:top w:val="nil"/>
              <w:left w:val="nil"/>
              <w:bottom w:val="single" w:sz="4" w:space="0" w:color="auto"/>
              <w:right w:val="single" w:sz="4" w:space="0" w:color="auto"/>
            </w:tcBorders>
            <w:shd w:val="clear" w:color="auto" w:fill="auto"/>
            <w:noWrap/>
            <w:vAlign w:val="bottom"/>
            <w:hideMark/>
          </w:tcPr>
          <w:p w14:paraId="5E6A8D8D"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441</w:t>
            </w:r>
          </w:p>
        </w:tc>
        <w:tc>
          <w:tcPr>
            <w:tcW w:w="720" w:type="dxa"/>
            <w:tcBorders>
              <w:top w:val="nil"/>
              <w:left w:val="nil"/>
              <w:bottom w:val="single" w:sz="4" w:space="0" w:color="auto"/>
              <w:right w:val="single" w:sz="8" w:space="0" w:color="auto"/>
            </w:tcBorders>
            <w:shd w:val="clear" w:color="auto" w:fill="auto"/>
            <w:noWrap/>
            <w:vAlign w:val="center"/>
            <w:hideMark/>
          </w:tcPr>
          <w:p w14:paraId="38C540A7"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0.56</w:t>
            </w:r>
          </w:p>
        </w:tc>
      </w:tr>
      <w:tr w:rsidR="00A24814" w:rsidRPr="00591367" w14:paraId="4CC57C3D" w14:textId="77777777" w:rsidTr="00676D9A">
        <w:trPr>
          <w:trHeight w:val="320"/>
        </w:trPr>
        <w:tc>
          <w:tcPr>
            <w:tcW w:w="1260" w:type="dxa"/>
            <w:vMerge/>
            <w:tcBorders>
              <w:top w:val="nil"/>
              <w:left w:val="single" w:sz="8" w:space="0" w:color="auto"/>
              <w:bottom w:val="single" w:sz="4" w:space="0" w:color="auto"/>
              <w:right w:val="single" w:sz="4" w:space="0" w:color="auto"/>
            </w:tcBorders>
            <w:vAlign w:val="center"/>
            <w:hideMark/>
          </w:tcPr>
          <w:p w14:paraId="063FBB12"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55F861FB"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xml:space="preserve">Oat, dried </w:t>
            </w:r>
          </w:p>
        </w:tc>
        <w:tc>
          <w:tcPr>
            <w:tcW w:w="719" w:type="dxa"/>
            <w:tcBorders>
              <w:top w:val="nil"/>
              <w:left w:val="nil"/>
              <w:bottom w:val="single" w:sz="4" w:space="0" w:color="auto"/>
              <w:right w:val="single" w:sz="4" w:space="0" w:color="auto"/>
            </w:tcBorders>
            <w:shd w:val="clear" w:color="auto" w:fill="auto"/>
            <w:noWrap/>
            <w:vAlign w:val="center"/>
            <w:hideMark/>
          </w:tcPr>
          <w:p w14:paraId="34D3ACBF"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31</w:t>
            </w:r>
          </w:p>
        </w:tc>
        <w:tc>
          <w:tcPr>
            <w:tcW w:w="814" w:type="dxa"/>
            <w:tcBorders>
              <w:top w:val="nil"/>
              <w:left w:val="nil"/>
              <w:bottom w:val="single" w:sz="4" w:space="0" w:color="auto"/>
              <w:right w:val="single" w:sz="8" w:space="0" w:color="auto"/>
            </w:tcBorders>
            <w:shd w:val="clear" w:color="auto" w:fill="auto"/>
            <w:noWrap/>
            <w:vAlign w:val="center"/>
            <w:hideMark/>
          </w:tcPr>
          <w:p w14:paraId="3796EC63"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0.21</w:t>
            </w:r>
          </w:p>
        </w:tc>
        <w:tc>
          <w:tcPr>
            <w:tcW w:w="720" w:type="dxa"/>
            <w:tcBorders>
              <w:top w:val="nil"/>
              <w:left w:val="nil"/>
              <w:bottom w:val="single" w:sz="4" w:space="0" w:color="auto"/>
              <w:right w:val="single" w:sz="4" w:space="0" w:color="auto"/>
            </w:tcBorders>
            <w:shd w:val="clear" w:color="auto" w:fill="auto"/>
            <w:noWrap/>
            <w:vAlign w:val="center"/>
            <w:hideMark/>
          </w:tcPr>
          <w:p w14:paraId="33F7530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32381A5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2D565DCF"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center"/>
            <w:hideMark/>
          </w:tcPr>
          <w:p w14:paraId="65599382"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387CBCBE"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246188B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6B26F6BF" w14:textId="77777777" w:rsidTr="00676D9A">
        <w:trPr>
          <w:trHeight w:val="320"/>
        </w:trPr>
        <w:tc>
          <w:tcPr>
            <w:tcW w:w="1260" w:type="dxa"/>
            <w:vMerge/>
            <w:tcBorders>
              <w:top w:val="nil"/>
              <w:left w:val="single" w:sz="8" w:space="0" w:color="auto"/>
              <w:bottom w:val="single" w:sz="4" w:space="0" w:color="auto"/>
              <w:right w:val="single" w:sz="4" w:space="0" w:color="auto"/>
            </w:tcBorders>
            <w:vAlign w:val="center"/>
            <w:hideMark/>
          </w:tcPr>
          <w:p w14:paraId="4F3C01C2"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4C1C41E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Sorghum, whole grain, raw</w:t>
            </w:r>
          </w:p>
        </w:tc>
        <w:tc>
          <w:tcPr>
            <w:tcW w:w="719" w:type="dxa"/>
            <w:tcBorders>
              <w:top w:val="nil"/>
              <w:left w:val="nil"/>
              <w:bottom w:val="single" w:sz="4" w:space="0" w:color="auto"/>
              <w:right w:val="single" w:sz="4" w:space="0" w:color="auto"/>
            </w:tcBorders>
            <w:shd w:val="clear" w:color="auto" w:fill="auto"/>
            <w:noWrap/>
            <w:vAlign w:val="center"/>
            <w:hideMark/>
          </w:tcPr>
          <w:p w14:paraId="7318E6E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1D5EF74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5F41EE42"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1098</w:t>
            </w:r>
          </w:p>
        </w:tc>
        <w:tc>
          <w:tcPr>
            <w:tcW w:w="720" w:type="dxa"/>
            <w:tcBorders>
              <w:top w:val="nil"/>
              <w:left w:val="nil"/>
              <w:bottom w:val="single" w:sz="4" w:space="0" w:color="auto"/>
              <w:right w:val="single" w:sz="8" w:space="0" w:color="auto"/>
            </w:tcBorders>
            <w:shd w:val="clear" w:color="auto" w:fill="auto"/>
            <w:noWrap/>
            <w:vAlign w:val="center"/>
            <w:hideMark/>
          </w:tcPr>
          <w:p w14:paraId="7F5E370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1.05</w:t>
            </w:r>
          </w:p>
        </w:tc>
        <w:tc>
          <w:tcPr>
            <w:tcW w:w="720" w:type="dxa"/>
            <w:tcBorders>
              <w:top w:val="nil"/>
              <w:left w:val="nil"/>
              <w:bottom w:val="single" w:sz="4" w:space="0" w:color="auto"/>
              <w:right w:val="single" w:sz="4" w:space="0" w:color="auto"/>
            </w:tcBorders>
            <w:shd w:val="clear" w:color="auto" w:fill="auto"/>
            <w:noWrap/>
            <w:vAlign w:val="center"/>
            <w:hideMark/>
          </w:tcPr>
          <w:p w14:paraId="5C72450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1202</w:t>
            </w:r>
          </w:p>
        </w:tc>
        <w:tc>
          <w:tcPr>
            <w:tcW w:w="630" w:type="dxa"/>
            <w:tcBorders>
              <w:top w:val="nil"/>
              <w:left w:val="nil"/>
              <w:bottom w:val="single" w:sz="4" w:space="0" w:color="auto"/>
              <w:right w:val="single" w:sz="8" w:space="0" w:color="auto"/>
            </w:tcBorders>
            <w:shd w:val="clear" w:color="auto" w:fill="auto"/>
            <w:noWrap/>
            <w:vAlign w:val="center"/>
            <w:hideMark/>
          </w:tcPr>
          <w:p w14:paraId="26CF525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1.15</w:t>
            </w:r>
          </w:p>
        </w:tc>
        <w:tc>
          <w:tcPr>
            <w:tcW w:w="720" w:type="dxa"/>
            <w:tcBorders>
              <w:top w:val="nil"/>
              <w:left w:val="nil"/>
              <w:bottom w:val="single" w:sz="4" w:space="0" w:color="auto"/>
              <w:right w:val="single" w:sz="4" w:space="0" w:color="auto"/>
            </w:tcBorders>
            <w:shd w:val="clear" w:color="auto" w:fill="auto"/>
            <w:noWrap/>
            <w:vAlign w:val="bottom"/>
            <w:hideMark/>
          </w:tcPr>
          <w:p w14:paraId="7A96DF4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1073</w:t>
            </w:r>
          </w:p>
        </w:tc>
        <w:tc>
          <w:tcPr>
            <w:tcW w:w="720" w:type="dxa"/>
            <w:tcBorders>
              <w:top w:val="nil"/>
              <w:left w:val="nil"/>
              <w:bottom w:val="single" w:sz="4" w:space="0" w:color="auto"/>
              <w:right w:val="single" w:sz="8" w:space="0" w:color="auto"/>
            </w:tcBorders>
            <w:shd w:val="clear" w:color="auto" w:fill="auto"/>
            <w:noWrap/>
            <w:vAlign w:val="center"/>
            <w:hideMark/>
          </w:tcPr>
          <w:p w14:paraId="09004A16"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1.03</w:t>
            </w:r>
          </w:p>
        </w:tc>
      </w:tr>
      <w:tr w:rsidR="00A24814" w:rsidRPr="00591367" w14:paraId="4EC760E7" w14:textId="77777777" w:rsidTr="00676D9A">
        <w:trPr>
          <w:trHeight w:val="320"/>
        </w:trPr>
        <w:tc>
          <w:tcPr>
            <w:tcW w:w="1260" w:type="dxa"/>
            <w:vMerge w:val="restart"/>
            <w:tcBorders>
              <w:top w:val="nil"/>
              <w:left w:val="single" w:sz="8" w:space="0" w:color="auto"/>
              <w:bottom w:val="single" w:sz="4" w:space="0" w:color="auto"/>
              <w:right w:val="single" w:sz="4" w:space="0" w:color="auto"/>
            </w:tcBorders>
            <w:shd w:val="clear" w:color="auto" w:fill="auto"/>
            <w:vAlign w:val="center"/>
            <w:hideMark/>
          </w:tcPr>
          <w:p w14:paraId="50D4E589" w14:textId="77777777" w:rsidR="00A24814" w:rsidRPr="00591367"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Legumes, Nuts&amp; Seeds</w:t>
            </w:r>
          </w:p>
        </w:tc>
        <w:tc>
          <w:tcPr>
            <w:tcW w:w="2883" w:type="dxa"/>
            <w:tcBorders>
              <w:top w:val="nil"/>
              <w:left w:val="nil"/>
              <w:bottom w:val="single" w:sz="4" w:space="0" w:color="auto"/>
              <w:right w:val="single" w:sz="8" w:space="0" w:color="auto"/>
            </w:tcBorders>
            <w:shd w:val="clear" w:color="auto" w:fill="auto"/>
            <w:noWrap/>
            <w:vAlign w:val="center"/>
            <w:hideMark/>
          </w:tcPr>
          <w:p w14:paraId="1276A532"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Groundnut, red, shelled, dried, raw</w:t>
            </w:r>
          </w:p>
        </w:tc>
        <w:tc>
          <w:tcPr>
            <w:tcW w:w="719" w:type="dxa"/>
            <w:tcBorders>
              <w:top w:val="nil"/>
              <w:left w:val="nil"/>
              <w:bottom w:val="single" w:sz="4" w:space="0" w:color="auto"/>
              <w:right w:val="single" w:sz="4" w:space="0" w:color="auto"/>
            </w:tcBorders>
            <w:shd w:val="clear" w:color="auto" w:fill="auto"/>
            <w:noWrap/>
            <w:vAlign w:val="center"/>
            <w:hideMark/>
          </w:tcPr>
          <w:p w14:paraId="6CAC1C4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21C56A3F"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2D89AB02"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168</w:t>
            </w:r>
          </w:p>
        </w:tc>
        <w:tc>
          <w:tcPr>
            <w:tcW w:w="720" w:type="dxa"/>
            <w:tcBorders>
              <w:top w:val="nil"/>
              <w:left w:val="nil"/>
              <w:bottom w:val="single" w:sz="4" w:space="0" w:color="auto"/>
              <w:right w:val="single" w:sz="8" w:space="0" w:color="auto"/>
            </w:tcBorders>
            <w:shd w:val="clear" w:color="auto" w:fill="auto"/>
            <w:noWrap/>
            <w:vAlign w:val="center"/>
            <w:hideMark/>
          </w:tcPr>
          <w:p w14:paraId="1572477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0.39</w:t>
            </w:r>
          </w:p>
        </w:tc>
        <w:tc>
          <w:tcPr>
            <w:tcW w:w="720" w:type="dxa"/>
            <w:tcBorders>
              <w:top w:val="nil"/>
              <w:left w:val="nil"/>
              <w:bottom w:val="single" w:sz="4" w:space="0" w:color="auto"/>
              <w:right w:val="single" w:sz="4" w:space="0" w:color="auto"/>
            </w:tcBorders>
            <w:shd w:val="clear" w:color="auto" w:fill="auto"/>
            <w:noWrap/>
            <w:vAlign w:val="center"/>
            <w:hideMark/>
          </w:tcPr>
          <w:p w14:paraId="5C2B7A1D"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111</w:t>
            </w:r>
          </w:p>
        </w:tc>
        <w:tc>
          <w:tcPr>
            <w:tcW w:w="630" w:type="dxa"/>
            <w:tcBorders>
              <w:top w:val="nil"/>
              <w:left w:val="nil"/>
              <w:bottom w:val="single" w:sz="4" w:space="0" w:color="auto"/>
              <w:right w:val="single" w:sz="8" w:space="0" w:color="auto"/>
            </w:tcBorders>
            <w:shd w:val="clear" w:color="auto" w:fill="auto"/>
            <w:noWrap/>
            <w:vAlign w:val="center"/>
            <w:hideMark/>
          </w:tcPr>
          <w:p w14:paraId="0AF88FFE"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0.26</w:t>
            </w:r>
          </w:p>
        </w:tc>
        <w:tc>
          <w:tcPr>
            <w:tcW w:w="720" w:type="dxa"/>
            <w:tcBorders>
              <w:top w:val="nil"/>
              <w:left w:val="nil"/>
              <w:bottom w:val="single" w:sz="4" w:space="0" w:color="auto"/>
              <w:right w:val="single" w:sz="4" w:space="0" w:color="auto"/>
            </w:tcBorders>
            <w:shd w:val="clear" w:color="auto" w:fill="auto"/>
            <w:noWrap/>
            <w:vAlign w:val="bottom"/>
            <w:hideMark/>
          </w:tcPr>
          <w:p w14:paraId="7CB8B47F"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87</w:t>
            </w:r>
          </w:p>
        </w:tc>
        <w:tc>
          <w:tcPr>
            <w:tcW w:w="720" w:type="dxa"/>
            <w:tcBorders>
              <w:top w:val="nil"/>
              <w:left w:val="nil"/>
              <w:bottom w:val="single" w:sz="4" w:space="0" w:color="auto"/>
              <w:right w:val="single" w:sz="8" w:space="0" w:color="auto"/>
            </w:tcBorders>
            <w:shd w:val="clear" w:color="auto" w:fill="auto"/>
            <w:noWrap/>
            <w:vAlign w:val="center"/>
            <w:hideMark/>
          </w:tcPr>
          <w:p w14:paraId="54F1794D"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0.21</w:t>
            </w:r>
          </w:p>
        </w:tc>
      </w:tr>
      <w:tr w:rsidR="00A24814" w:rsidRPr="00591367" w14:paraId="49E96ABD" w14:textId="77777777" w:rsidTr="00676D9A">
        <w:trPr>
          <w:trHeight w:val="320"/>
        </w:trPr>
        <w:tc>
          <w:tcPr>
            <w:tcW w:w="1260" w:type="dxa"/>
            <w:vMerge/>
            <w:tcBorders>
              <w:top w:val="nil"/>
              <w:left w:val="single" w:sz="8" w:space="0" w:color="auto"/>
              <w:bottom w:val="single" w:sz="4" w:space="0" w:color="auto"/>
              <w:right w:val="single" w:sz="4" w:space="0" w:color="auto"/>
            </w:tcBorders>
            <w:vAlign w:val="center"/>
            <w:hideMark/>
          </w:tcPr>
          <w:p w14:paraId="51DD6744"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35CF846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Groundnut paste</w:t>
            </w:r>
          </w:p>
        </w:tc>
        <w:tc>
          <w:tcPr>
            <w:tcW w:w="719" w:type="dxa"/>
            <w:tcBorders>
              <w:top w:val="nil"/>
              <w:left w:val="nil"/>
              <w:bottom w:val="single" w:sz="4" w:space="0" w:color="auto"/>
              <w:right w:val="single" w:sz="4" w:space="0" w:color="auto"/>
            </w:tcBorders>
            <w:shd w:val="clear" w:color="auto" w:fill="auto"/>
            <w:noWrap/>
            <w:vAlign w:val="center"/>
            <w:hideMark/>
          </w:tcPr>
          <w:p w14:paraId="75164D8F"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w:t>
            </w:r>
          </w:p>
        </w:tc>
        <w:tc>
          <w:tcPr>
            <w:tcW w:w="814" w:type="dxa"/>
            <w:tcBorders>
              <w:top w:val="nil"/>
              <w:left w:val="nil"/>
              <w:bottom w:val="single" w:sz="4" w:space="0" w:color="auto"/>
              <w:right w:val="single" w:sz="8" w:space="0" w:color="auto"/>
            </w:tcBorders>
            <w:shd w:val="clear" w:color="auto" w:fill="auto"/>
            <w:noWrap/>
            <w:vAlign w:val="center"/>
            <w:hideMark/>
          </w:tcPr>
          <w:p w14:paraId="73AA5C5C"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0.01</w:t>
            </w:r>
          </w:p>
        </w:tc>
        <w:tc>
          <w:tcPr>
            <w:tcW w:w="720" w:type="dxa"/>
            <w:tcBorders>
              <w:top w:val="nil"/>
              <w:left w:val="nil"/>
              <w:bottom w:val="single" w:sz="4" w:space="0" w:color="auto"/>
              <w:right w:val="single" w:sz="4" w:space="0" w:color="auto"/>
            </w:tcBorders>
            <w:shd w:val="clear" w:color="auto" w:fill="auto"/>
            <w:noWrap/>
            <w:vAlign w:val="center"/>
            <w:hideMark/>
          </w:tcPr>
          <w:p w14:paraId="69A62789"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2647A53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2598E3ED"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center"/>
            <w:hideMark/>
          </w:tcPr>
          <w:p w14:paraId="756CCB7E"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69C79D27"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29E4CF17"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3F33D3F7" w14:textId="77777777" w:rsidTr="00676D9A">
        <w:trPr>
          <w:trHeight w:val="320"/>
        </w:trPr>
        <w:tc>
          <w:tcPr>
            <w:tcW w:w="1260" w:type="dxa"/>
            <w:vMerge/>
            <w:tcBorders>
              <w:top w:val="nil"/>
              <w:left w:val="single" w:sz="8" w:space="0" w:color="auto"/>
              <w:bottom w:val="single" w:sz="4" w:space="0" w:color="auto"/>
              <w:right w:val="single" w:sz="4" w:space="0" w:color="auto"/>
            </w:tcBorders>
            <w:vAlign w:val="center"/>
            <w:hideMark/>
          </w:tcPr>
          <w:p w14:paraId="1AB0B625"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084868F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xml:space="preserve">Groundnut dried </w:t>
            </w:r>
          </w:p>
        </w:tc>
        <w:tc>
          <w:tcPr>
            <w:tcW w:w="719" w:type="dxa"/>
            <w:tcBorders>
              <w:top w:val="nil"/>
              <w:left w:val="nil"/>
              <w:bottom w:val="single" w:sz="4" w:space="0" w:color="auto"/>
              <w:right w:val="single" w:sz="4" w:space="0" w:color="auto"/>
            </w:tcBorders>
            <w:shd w:val="clear" w:color="auto" w:fill="auto"/>
            <w:noWrap/>
            <w:vAlign w:val="center"/>
            <w:hideMark/>
          </w:tcPr>
          <w:p w14:paraId="5CF0403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68</w:t>
            </w:r>
          </w:p>
        </w:tc>
        <w:tc>
          <w:tcPr>
            <w:tcW w:w="814" w:type="dxa"/>
            <w:tcBorders>
              <w:top w:val="nil"/>
              <w:left w:val="nil"/>
              <w:bottom w:val="single" w:sz="4" w:space="0" w:color="auto"/>
              <w:right w:val="single" w:sz="8" w:space="0" w:color="auto"/>
            </w:tcBorders>
            <w:shd w:val="clear" w:color="auto" w:fill="auto"/>
            <w:noWrap/>
            <w:vAlign w:val="center"/>
            <w:hideMark/>
          </w:tcPr>
          <w:p w14:paraId="07DC98C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0.30</w:t>
            </w:r>
          </w:p>
        </w:tc>
        <w:tc>
          <w:tcPr>
            <w:tcW w:w="720" w:type="dxa"/>
            <w:tcBorders>
              <w:top w:val="nil"/>
              <w:left w:val="nil"/>
              <w:bottom w:val="single" w:sz="4" w:space="0" w:color="auto"/>
              <w:right w:val="single" w:sz="4" w:space="0" w:color="auto"/>
            </w:tcBorders>
            <w:shd w:val="clear" w:color="auto" w:fill="auto"/>
            <w:noWrap/>
            <w:vAlign w:val="center"/>
            <w:hideMark/>
          </w:tcPr>
          <w:p w14:paraId="34DE14D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46D229F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07A0A28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center"/>
            <w:hideMark/>
          </w:tcPr>
          <w:p w14:paraId="3886E41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29E8124E"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471301AB"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4D55F840" w14:textId="77777777" w:rsidTr="00676D9A">
        <w:trPr>
          <w:trHeight w:val="320"/>
        </w:trPr>
        <w:tc>
          <w:tcPr>
            <w:tcW w:w="1260" w:type="dxa"/>
            <w:vMerge/>
            <w:tcBorders>
              <w:top w:val="nil"/>
              <w:left w:val="single" w:sz="8" w:space="0" w:color="auto"/>
              <w:bottom w:val="single" w:sz="4" w:space="0" w:color="auto"/>
              <w:right w:val="single" w:sz="4" w:space="0" w:color="auto"/>
            </w:tcBorders>
            <w:vAlign w:val="center"/>
            <w:hideMark/>
          </w:tcPr>
          <w:p w14:paraId="42577236"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2FC5666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Soyabean flour</w:t>
            </w:r>
          </w:p>
        </w:tc>
        <w:tc>
          <w:tcPr>
            <w:tcW w:w="719" w:type="dxa"/>
            <w:tcBorders>
              <w:top w:val="nil"/>
              <w:left w:val="nil"/>
              <w:bottom w:val="single" w:sz="4" w:space="0" w:color="auto"/>
              <w:right w:val="single" w:sz="4" w:space="0" w:color="auto"/>
            </w:tcBorders>
            <w:shd w:val="clear" w:color="auto" w:fill="auto"/>
            <w:noWrap/>
            <w:vAlign w:val="center"/>
            <w:hideMark/>
          </w:tcPr>
          <w:p w14:paraId="42F6164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568</w:t>
            </w:r>
          </w:p>
        </w:tc>
        <w:tc>
          <w:tcPr>
            <w:tcW w:w="814" w:type="dxa"/>
            <w:tcBorders>
              <w:top w:val="nil"/>
              <w:left w:val="nil"/>
              <w:bottom w:val="single" w:sz="4" w:space="0" w:color="auto"/>
              <w:right w:val="single" w:sz="8" w:space="0" w:color="auto"/>
            </w:tcBorders>
            <w:shd w:val="clear" w:color="auto" w:fill="auto"/>
            <w:noWrap/>
            <w:vAlign w:val="center"/>
            <w:hideMark/>
          </w:tcPr>
          <w:p w14:paraId="75C220C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1.07</w:t>
            </w:r>
          </w:p>
        </w:tc>
        <w:tc>
          <w:tcPr>
            <w:tcW w:w="720" w:type="dxa"/>
            <w:tcBorders>
              <w:top w:val="nil"/>
              <w:left w:val="nil"/>
              <w:bottom w:val="single" w:sz="4" w:space="0" w:color="auto"/>
              <w:right w:val="single" w:sz="4" w:space="0" w:color="auto"/>
            </w:tcBorders>
            <w:shd w:val="clear" w:color="auto" w:fill="auto"/>
            <w:noWrap/>
            <w:vAlign w:val="center"/>
            <w:hideMark/>
          </w:tcPr>
          <w:p w14:paraId="33702A7E"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711AE03D"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2F197467"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center"/>
            <w:hideMark/>
          </w:tcPr>
          <w:p w14:paraId="7E93712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7968C7E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43CA9229"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3EBFFB72" w14:textId="77777777" w:rsidTr="00676D9A">
        <w:trPr>
          <w:trHeight w:val="320"/>
        </w:trPr>
        <w:tc>
          <w:tcPr>
            <w:tcW w:w="1260" w:type="dxa"/>
            <w:vMerge/>
            <w:tcBorders>
              <w:top w:val="nil"/>
              <w:left w:val="single" w:sz="8" w:space="0" w:color="auto"/>
              <w:bottom w:val="single" w:sz="4" w:space="0" w:color="auto"/>
              <w:right w:val="single" w:sz="4" w:space="0" w:color="auto"/>
            </w:tcBorders>
            <w:vAlign w:val="center"/>
            <w:hideMark/>
          </w:tcPr>
          <w:p w14:paraId="7621826B"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7E953489"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Melon seeds (Neri)</w:t>
            </w:r>
          </w:p>
        </w:tc>
        <w:tc>
          <w:tcPr>
            <w:tcW w:w="719" w:type="dxa"/>
            <w:tcBorders>
              <w:top w:val="nil"/>
              <w:left w:val="nil"/>
              <w:bottom w:val="single" w:sz="4" w:space="0" w:color="auto"/>
              <w:right w:val="single" w:sz="4" w:space="0" w:color="auto"/>
            </w:tcBorders>
            <w:shd w:val="clear" w:color="auto" w:fill="auto"/>
            <w:noWrap/>
            <w:vAlign w:val="center"/>
            <w:hideMark/>
          </w:tcPr>
          <w:p w14:paraId="3D0D5ABD"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445EDEF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069BE566"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45</w:t>
            </w:r>
          </w:p>
        </w:tc>
        <w:tc>
          <w:tcPr>
            <w:tcW w:w="720" w:type="dxa"/>
            <w:tcBorders>
              <w:top w:val="nil"/>
              <w:left w:val="nil"/>
              <w:bottom w:val="single" w:sz="4" w:space="0" w:color="auto"/>
              <w:right w:val="single" w:sz="8" w:space="0" w:color="auto"/>
            </w:tcBorders>
            <w:shd w:val="clear" w:color="auto" w:fill="auto"/>
            <w:noWrap/>
            <w:vAlign w:val="center"/>
            <w:hideMark/>
          </w:tcPr>
          <w:p w14:paraId="25BC3AB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0.07</w:t>
            </w:r>
          </w:p>
        </w:tc>
        <w:tc>
          <w:tcPr>
            <w:tcW w:w="720" w:type="dxa"/>
            <w:tcBorders>
              <w:top w:val="nil"/>
              <w:left w:val="nil"/>
              <w:bottom w:val="single" w:sz="4" w:space="0" w:color="auto"/>
              <w:right w:val="single" w:sz="4" w:space="0" w:color="auto"/>
            </w:tcBorders>
            <w:shd w:val="clear" w:color="auto" w:fill="auto"/>
            <w:noWrap/>
            <w:vAlign w:val="center"/>
            <w:hideMark/>
          </w:tcPr>
          <w:p w14:paraId="4125755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120</w:t>
            </w:r>
          </w:p>
        </w:tc>
        <w:tc>
          <w:tcPr>
            <w:tcW w:w="630" w:type="dxa"/>
            <w:tcBorders>
              <w:top w:val="nil"/>
              <w:left w:val="nil"/>
              <w:bottom w:val="single" w:sz="4" w:space="0" w:color="auto"/>
              <w:right w:val="single" w:sz="8" w:space="0" w:color="auto"/>
            </w:tcBorders>
            <w:shd w:val="clear" w:color="auto" w:fill="auto"/>
            <w:noWrap/>
            <w:vAlign w:val="center"/>
            <w:hideMark/>
          </w:tcPr>
          <w:p w14:paraId="5512816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0.20</w:t>
            </w:r>
          </w:p>
        </w:tc>
        <w:tc>
          <w:tcPr>
            <w:tcW w:w="720" w:type="dxa"/>
            <w:tcBorders>
              <w:top w:val="nil"/>
              <w:left w:val="nil"/>
              <w:bottom w:val="single" w:sz="4" w:space="0" w:color="auto"/>
              <w:right w:val="single" w:sz="4" w:space="0" w:color="auto"/>
            </w:tcBorders>
            <w:shd w:val="clear" w:color="auto" w:fill="auto"/>
            <w:noWrap/>
            <w:vAlign w:val="bottom"/>
            <w:hideMark/>
          </w:tcPr>
          <w:p w14:paraId="41FB82F2"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121</w:t>
            </w:r>
          </w:p>
        </w:tc>
        <w:tc>
          <w:tcPr>
            <w:tcW w:w="720" w:type="dxa"/>
            <w:tcBorders>
              <w:top w:val="nil"/>
              <w:left w:val="nil"/>
              <w:bottom w:val="single" w:sz="4" w:space="0" w:color="auto"/>
              <w:right w:val="single" w:sz="8" w:space="0" w:color="auto"/>
            </w:tcBorders>
            <w:shd w:val="clear" w:color="auto" w:fill="auto"/>
            <w:noWrap/>
            <w:vAlign w:val="center"/>
            <w:hideMark/>
          </w:tcPr>
          <w:p w14:paraId="68DB43AC"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0.20</w:t>
            </w:r>
          </w:p>
        </w:tc>
      </w:tr>
      <w:tr w:rsidR="00A24814" w:rsidRPr="00591367" w14:paraId="4499441B" w14:textId="77777777" w:rsidTr="00676D9A">
        <w:trPr>
          <w:trHeight w:val="320"/>
        </w:trPr>
        <w:tc>
          <w:tcPr>
            <w:tcW w:w="1260" w:type="dxa"/>
            <w:vMerge/>
            <w:tcBorders>
              <w:top w:val="nil"/>
              <w:left w:val="single" w:sz="8" w:space="0" w:color="auto"/>
              <w:bottom w:val="single" w:sz="4" w:space="0" w:color="auto"/>
              <w:right w:val="single" w:sz="4" w:space="0" w:color="auto"/>
            </w:tcBorders>
            <w:vAlign w:val="center"/>
            <w:hideMark/>
          </w:tcPr>
          <w:p w14:paraId="661E15B6"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2B33C408"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Cowpea, dried, raw</w:t>
            </w:r>
          </w:p>
        </w:tc>
        <w:tc>
          <w:tcPr>
            <w:tcW w:w="719" w:type="dxa"/>
            <w:tcBorders>
              <w:top w:val="nil"/>
              <w:left w:val="nil"/>
              <w:bottom w:val="single" w:sz="4" w:space="0" w:color="auto"/>
              <w:right w:val="single" w:sz="4" w:space="0" w:color="auto"/>
            </w:tcBorders>
            <w:shd w:val="clear" w:color="auto" w:fill="auto"/>
            <w:noWrap/>
            <w:vAlign w:val="center"/>
            <w:hideMark/>
          </w:tcPr>
          <w:p w14:paraId="7BF4235F"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5FFDE3C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2A1740DA"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32</w:t>
            </w:r>
          </w:p>
        </w:tc>
        <w:tc>
          <w:tcPr>
            <w:tcW w:w="720" w:type="dxa"/>
            <w:tcBorders>
              <w:top w:val="nil"/>
              <w:left w:val="nil"/>
              <w:bottom w:val="single" w:sz="4" w:space="0" w:color="auto"/>
              <w:right w:val="single" w:sz="8" w:space="0" w:color="auto"/>
            </w:tcBorders>
            <w:shd w:val="clear" w:color="auto" w:fill="auto"/>
            <w:noWrap/>
            <w:vAlign w:val="center"/>
            <w:hideMark/>
          </w:tcPr>
          <w:p w14:paraId="591FA796"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0.07</w:t>
            </w:r>
          </w:p>
        </w:tc>
        <w:tc>
          <w:tcPr>
            <w:tcW w:w="720" w:type="dxa"/>
            <w:tcBorders>
              <w:top w:val="nil"/>
              <w:left w:val="nil"/>
              <w:bottom w:val="single" w:sz="4" w:space="0" w:color="auto"/>
              <w:right w:val="single" w:sz="4" w:space="0" w:color="auto"/>
            </w:tcBorders>
            <w:shd w:val="clear" w:color="auto" w:fill="auto"/>
            <w:noWrap/>
            <w:vAlign w:val="center"/>
            <w:hideMark/>
          </w:tcPr>
          <w:p w14:paraId="2E6D0EC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32</w:t>
            </w:r>
          </w:p>
        </w:tc>
        <w:tc>
          <w:tcPr>
            <w:tcW w:w="630" w:type="dxa"/>
            <w:tcBorders>
              <w:top w:val="nil"/>
              <w:left w:val="nil"/>
              <w:bottom w:val="single" w:sz="4" w:space="0" w:color="auto"/>
              <w:right w:val="single" w:sz="8" w:space="0" w:color="auto"/>
            </w:tcBorders>
            <w:shd w:val="clear" w:color="auto" w:fill="auto"/>
            <w:noWrap/>
            <w:vAlign w:val="center"/>
            <w:hideMark/>
          </w:tcPr>
          <w:p w14:paraId="28DC56E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0.07</w:t>
            </w:r>
          </w:p>
        </w:tc>
        <w:tc>
          <w:tcPr>
            <w:tcW w:w="720" w:type="dxa"/>
            <w:tcBorders>
              <w:top w:val="nil"/>
              <w:left w:val="nil"/>
              <w:bottom w:val="single" w:sz="4" w:space="0" w:color="auto"/>
              <w:right w:val="single" w:sz="4" w:space="0" w:color="auto"/>
            </w:tcBorders>
            <w:shd w:val="clear" w:color="auto" w:fill="auto"/>
            <w:noWrap/>
            <w:vAlign w:val="bottom"/>
            <w:hideMark/>
          </w:tcPr>
          <w:p w14:paraId="27FEFD17"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70</w:t>
            </w:r>
          </w:p>
        </w:tc>
        <w:tc>
          <w:tcPr>
            <w:tcW w:w="720" w:type="dxa"/>
            <w:tcBorders>
              <w:top w:val="nil"/>
              <w:left w:val="nil"/>
              <w:bottom w:val="single" w:sz="4" w:space="0" w:color="auto"/>
              <w:right w:val="single" w:sz="8" w:space="0" w:color="auto"/>
            </w:tcBorders>
            <w:shd w:val="clear" w:color="auto" w:fill="auto"/>
            <w:noWrap/>
            <w:vAlign w:val="center"/>
            <w:hideMark/>
          </w:tcPr>
          <w:p w14:paraId="7C402A07"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0.14</w:t>
            </w:r>
          </w:p>
        </w:tc>
      </w:tr>
      <w:tr w:rsidR="00A24814" w:rsidRPr="00591367" w14:paraId="34AA2FE9" w14:textId="77777777" w:rsidTr="00676D9A">
        <w:trPr>
          <w:trHeight w:val="320"/>
        </w:trPr>
        <w:tc>
          <w:tcPr>
            <w:tcW w:w="1260" w:type="dxa"/>
            <w:tcBorders>
              <w:top w:val="nil"/>
              <w:left w:val="single" w:sz="8" w:space="0" w:color="auto"/>
              <w:bottom w:val="single" w:sz="4" w:space="0" w:color="auto"/>
              <w:right w:val="single" w:sz="4" w:space="0" w:color="auto"/>
            </w:tcBorders>
            <w:shd w:val="clear" w:color="auto" w:fill="auto"/>
            <w:vAlign w:val="center"/>
            <w:hideMark/>
          </w:tcPr>
          <w:p w14:paraId="46D6997F" w14:textId="77777777" w:rsidR="00A24814" w:rsidRPr="00A24814"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Fish</w:t>
            </w:r>
          </w:p>
        </w:tc>
        <w:tc>
          <w:tcPr>
            <w:tcW w:w="2883" w:type="dxa"/>
            <w:tcBorders>
              <w:top w:val="nil"/>
              <w:left w:val="nil"/>
              <w:bottom w:val="single" w:sz="4" w:space="0" w:color="auto"/>
              <w:right w:val="single" w:sz="8" w:space="0" w:color="auto"/>
            </w:tcBorders>
            <w:shd w:val="clear" w:color="auto" w:fill="auto"/>
            <w:noWrap/>
            <w:vAlign w:val="center"/>
            <w:hideMark/>
          </w:tcPr>
          <w:p w14:paraId="31CB873D"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Fish, anchovy, dried</w:t>
            </w:r>
          </w:p>
        </w:tc>
        <w:tc>
          <w:tcPr>
            <w:tcW w:w="719" w:type="dxa"/>
            <w:tcBorders>
              <w:top w:val="nil"/>
              <w:left w:val="nil"/>
              <w:bottom w:val="single" w:sz="4" w:space="0" w:color="auto"/>
              <w:right w:val="single" w:sz="4" w:space="0" w:color="auto"/>
            </w:tcBorders>
            <w:shd w:val="clear" w:color="auto" w:fill="auto"/>
            <w:noWrap/>
            <w:vAlign w:val="center"/>
            <w:hideMark/>
          </w:tcPr>
          <w:p w14:paraId="680FEA6D"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45A14B7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57D7DA7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65</w:t>
            </w:r>
          </w:p>
        </w:tc>
        <w:tc>
          <w:tcPr>
            <w:tcW w:w="720" w:type="dxa"/>
            <w:tcBorders>
              <w:top w:val="nil"/>
              <w:left w:val="nil"/>
              <w:bottom w:val="single" w:sz="4" w:space="0" w:color="auto"/>
              <w:right w:val="single" w:sz="8" w:space="0" w:color="auto"/>
            </w:tcBorders>
            <w:shd w:val="clear" w:color="auto" w:fill="auto"/>
            <w:noWrap/>
            <w:vAlign w:val="center"/>
            <w:hideMark/>
          </w:tcPr>
          <w:p w14:paraId="0EE595E0"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0.42</w:t>
            </w:r>
          </w:p>
        </w:tc>
        <w:tc>
          <w:tcPr>
            <w:tcW w:w="720" w:type="dxa"/>
            <w:tcBorders>
              <w:top w:val="nil"/>
              <w:left w:val="nil"/>
              <w:bottom w:val="single" w:sz="4" w:space="0" w:color="auto"/>
              <w:right w:val="single" w:sz="4" w:space="0" w:color="auto"/>
            </w:tcBorders>
            <w:shd w:val="clear" w:color="auto" w:fill="auto"/>
            <w:noWrap/>
            <w:vAlign w:val="center"/>
            <w:hideMark/>
          </w:tcPr>
          <w:p w14:paraId="18B36926"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65</w:t>
            </w:r>
          </w:p>
        </w:tc>
        <w:tc>
          <w:tcPr>
            <w:tcW w:w="630" w:type="dxa"/>
            <w:tcBorders>
              <w:top w:val="nil"/>
              <w:left w:val="nil"/>
              <w:bottom w:val="single" w:sz="4" w:space="0" w:color="auto"/>
              <w:right w:val="single" w:sz="8" w:space="0" w:color="auto"/>
            </w:tcBorders>
            <w:shd w:val="clear" w:color="auto" w:fill="auto"/>
            <w:noWrap/>
            <w:vAlign w:val="center"/>
            <w:hideMark/>
          </w:tcPr>
          <w:p w14:paraId="35D5A82E"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0.42</w:t>
            </w:r>
          </w:p>
        </w:tc>
        <w:tc>
          <w:tcPr>
            <w:tcW w:w="720" w:type="dxa"/>
            <w:tcBorders>
              <w:top w:val="nil"/>
              <w:left w:val="nil"/>
              <w:bottom w:val="single" w:sz="4" w:space="0" w:color="auto"/>
              <w:right w:val="single" w:sz="4" w:space="0" w:color="auto"/>
            </w:tcBorders>
            <w:shd w:val="clear" w:color="auto" w:fill="auto"/>
            <w:noWrap/>
            <w:vAlign w:val="bottom"/>
            <w:hideMark/>
          </w:tcPr>
          <w:p w14:paraId="60A1AA3A"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191</w:t>
            </w:r>
          </w:p>
        </w:tc>
        <w:tc>
          <w:tcPr>
            <w:tcW w:w="720" w:type="dxa"/>
            <w:tcBorders>
              <w:top w:val="nil"/>
              <w:left w:val="nil"/>
              <w:bottom w:val="single" w:sz="4" w:space="0" w:color="auto"/>
              <w:right w:val="single" w:sz="8" w:space="0" w:color="auto"/>
            </w:tcBorders>
            <w:shd w:val="clear" w:color="auto" w:fill="auto"/>
            <w:noWrap/>
            <w:vAlign w:val="center"/>
            <w:hideMark/>
          </w:tcPr>
          <w:p w14:paraId="350C51C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1.24</w:t>
            </w:r>
          </w:p>
        </w:tc>
      </w:tr>
      <w:tr w:rsidR="00A24814" w:rsidRPr="00591367" w14:paraId="7F7951A9" w14:textId="77777777" w:rsidTr="00676D9A">
        <w:trPr>
          <w:trHeight w:val="320"/>
        </w:trPr>
        <w:tc>
          <w:tcPr>
            <w:tcW w:w="1260" w:type="dxa"/>
            <w:vMerge w:val="restart"/>
            <w:tcBorders>
              <w:top w:val="nil"/>
              <w:left w:val="single" w:sz="8" w:space="0" w:color="auto"/>
              <w:bottom w:val="single" w:sz="4" w:space="0" w:color="000000"/>
              <w:right w:val="single" w:sz="4" w:space="0" w:color="auto"/>
            </w:tcBorders>
            <w:shd w:val="clear" w:color="auto" w:fill="auto"/>
            <w:vAlign w:val="center"/>
            <w:hideMark/>
          </w:tcPr>
          <w:p w14:paraId="7FFCD7B4" w14:textId="77777777" w:rsidR="00A24814" w:rsidRPr="00591367"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 xml:space="preserve">Vegetables and their products </w:t>
            </w:r>
          </w:p>
        </w:tc>
        <w:tc>
          <w:tcPr>
            <w:tcW w:w="2883" w:type="dxa"/>
            <w:tcBorders>
              <w:top w:val="nil"/>
              <w:left w:val="nil"/>
              <w:bottom w:val="single" w:sz="4" w:space="0" w:color="auto"/>
              <w:right w:val="single" w:sz="8" w:space="0" w:color="auto"/>
            </w:tcBorders>
            <w:shd w:val="clear" w:color="auto" w:fill="auto"/>
            <w:noWrap/>
            <w:vAlign w:val="center"/>
            <w:hideMark/>
          </w:tcPr>
          <w:p w14:paraId="21EC215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Cowpea Leaves</w:t>
            </w:r>
          </w:p>
        </w:tc>
        <w:tc>
          <w:tcPr>
            <w:tcW w:w="719" w:type="dxa"/>
            <w:tcBorders>
              <w:top w:val="nil"/>
              <w:left w:val="nil"/>
              <w:bottom w:val="single" w:sz="4" w:space="0" w:color="auto"/>
              <w:right w:val="single" w:sz="4" w:space="0" w:color="auto"/>
            </w:tcBorders>
            <w:shd w:val="clear" w:color="auto" w:fill="auto"/>
            <w:noWrap/>
            <w:vAlign w:val="center"/>
            <w:hideMark/>
          </w:tcPr>
          <w:p w14:paraId="7AC786FA"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5392218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281C0EEE"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1047</w:t>
            </w:r>
          </w:p>
        </w:tc>
        <w:tc>
          <w:tcPr>
            <w:tcW w:w="720" w:type="dxa"/>
            <w:tcBorders>
              <w:top w:val="nil"/>
              <w:left w:val="nil"/>
              <w:bottom w:val="single" w:sz="4" w:space="0" w:color="auto"/>
              <w:right w:val="single" w:sz="8" w:space="0" w:color="auto"/>
            </w:tcBorders>
            <w:shd w:val="clear" w:color="auto" w:fill="auto"/>
            <w:noWrap/>
            <w:vAlign w:val="center"/>
            <w:hideMark/>
          </w:tcPr>
          <w:p w14:paraId="57759BB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0.00</w:t>
            </w:r>
          </w:p>
        </w:tc>
        <w:tc>
          <w:tcPr>
            <w:tcW w:w="720" w:type="dxa"/>
            <w:tcBorders>
              <w:top w:val="nil"/>
              <w:left w:val="nil"/>
              <w:bottom w:val="single" w:sz="4" w:space="0" w:color="auto"/>
              <w:right w:val="single" w:sz="4" w:space="0" w:color="auto"/>
            </w:tcBorders>
            <w:shd w:val="clear" w:color="auto" w:fill="auto"/>
            <w:noWrap/>
            <w:vAlign w:val="center"/>
            <w:hideMark/>
          </w:tcPr>
          <w:p w14:paraId="55E3EB30"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1093</w:t>
            </w:r>
          </w:p>
        </w:tc>
        <w:tc>
          <w:tcPr>
            <w:tcW w:w="630" w:type="dxa"/>
            <w:tcBorders>
              <w:top w:val="nil"/>
              <w:left w:val="nil"/>
              <w:bottom w:val="single" w:sz="4" w:space="0" w:color="auto"/>
              <w:right w:val="single" w:sz="8" w:space="0" w:color="auto"/>
            </w:tcBorders>
            <w:shd w:val="clear" w:color="auto" w:fill="auto"/>
            <w:noWrap/>
            <w:vAlign w:val="center"/>
            <w:hideMark/>
          </w:tcPr>
          <w:p w14:paraId="23C2684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0.00</w:t>
            </w:r>
          </w:p>
        </w:tc>
        <w:tc>
          <w:tcPr>
            <w:tcW w:w="720" w:type="dxa"/>
            <w:tcBorders>
              <w:top w:val="nil"/>
              <w:left w:val="nil"/>
              <w:bottom w:val="single" w:sz="4" w:space="0" w:color="auto"/>
              <w:right w:val="single" w:sz="4" w:space="0" w:color="auto"/>
            </w:tcBorders>
            <w:shd w:val="clear" w:color="auto" w:fill="auto"/>
            <w:noWrap/>
            <w:vAlign w:val="bottom"/>
            <w:hideMark/>
          </w:tcPr>
          <w:p w14:paraId="74265AF4"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7E7C3E92"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3F810938" w14:textId="77777777" w:rsidTr="00676D9A">
        <w:trPr>
          <w:trHeight w:val="320"/>
        </w:trPr>
        <w:tc>
          <w:tcPr>
            <w:tcW w:w="1260" w:type="dxa"/>
            <w:vMerge/>
            <w:tcBorders>
              <w:top w:val="nil"/>
              <w:left w:val="single" w:sz="8" w:space="0" w:color="auto"/>
              <w:bottom w:val="single" w:sz="4" w:space="0" w:color="000000"/>
              <w:right w:val="single" w:sz="4" w:space="0" w:color="auto"/>
            </w:tcBorders>
            <w:vAlign w:val="center"/>
            <w:hideMark/>
          </w:tcPr>
          <w:p w14:paraId="6C3EAC84"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3B6D21FD"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Eggplant, raw</w:t>
            </w:r>
          </w:p>
        </w:tc>
        <w:tc>
          <w:tcPr>
            <w:tcW w:w="719" w:type="dxa"/>
            <w:tcBorders>
              <w:top w:val="nil"/>
              <w:left w:val="nil"/>
              <w:bottom w:val="single" w:sz="4" w:space="0" w:color="auto"/>
              <w:right w:val="single" w:sz="4" w:space="0" w:color="auto"/>
            </w:tcBorders>
            <w:shd w:val="clear" w:color="auto" w:fill="auto"/>
            <w:noWrap/>
            <w:vAlign w:val="center"/>
            <w:hideMark/>
          </w:tcPr>
          <w:p w14:paraId="64BDBF4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5E5EDA02"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77DE5DCF"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309</w:t>
            </w:r>
          </w:p>
        </w:tc>
        <w:tc>
          <w:tcPr>
            <w:tcW w:w="720" w:type="dxa"/>
            <w:tcBorders>
              <w:top w:val="nil"/>
              <w:left w:val="nil"/>
              <w:bottom w:val="single" w:sz="4" w:space="0" w:color="auto"/>
              <w:right w:val="single" w:sz="8" w:space="0" w:color="auto"/>
            </w:tcBorders>
            <w:shd w:val="clear" w:color="auto" w:fill="auto"/>
            <w:noWrap/>
            <w:vAlign w:val="center"/>
            <w:hideMark/>
          </w:tcPr>
          <w:p w14:paraId="28C1BB4C"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0.36</w:t>
            </w:r>
          </w:p>
        </w:tc>
        <w:tc>
          <w:tcPr>
            <w:tcW w:w="720" w:type="dxa"/>
            <w:tcBorders>
              <w:top w:val="nil"/>
              <w:left w:val="nil"/>
              <w:bottom w:val="single" w:sz="4" w:space="0" w:color="auto"/>
              <w:right w:val="single" w:sz="4" w:space="0" w:color="auto"/>
            </w:tcBorders>
            <w:shd w:val="clear" w:color="auto" w:fill="auto"/>
            <w:noWrap/>
            <w:vAlign w:val="center"/>
            <w:hideMark/>
          </w:tcPr>
          <w:p w14:paraId="2B3B1812"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182</w:t>
            </w:r>
          </w:p>
        </w:tc>
        <w:tc>
          <w:tcPr>
            <w:tcW w:w="630" w:type="dxa"/>
            <w:tcBorders>
              <w:top w:val="nil"/>
              <w:left w:val="nil"/>
              <w:bottom w:val="single" w:sz="4" w:space="0" w:color="auto"/>
              <w:right w:val="single" w:sz="8" w:space="0" w:color="auto"/>
            </w:tcBorders>
            <w:shd w:val="clear" w:color="auto" w:fill="auto"/>
            <w:noWrap/>
            <w:vAlign w:val="center"/>
            <w:hideMark/>
          </w:tcPr>
          <w:p w14:paraId="15172CA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0.21</w:t>
            </w:r>
          </w:p>
        </w:tc>
        <w:tc>
          <w:tcPr>
            <w:tcW w:w="720" w:type="dxa"/>
            <w:tcBorders>
              <w:top w:val="nil"/>
              <w:left w:val="nil"/>
              <w:bottom w:val="single" w:sz="4" w:space="0" w:color="auto"/>
              <w:right w:val="single" w:sz="4" w:space="0" w:color="auto"/>
            </w:tcBorders>
            <w:shd w:val="clear" w:color="auto" w:fill="auto"/>
            <w:noWrap/>
            <w:vAlign w:val="bottom"/>
            <w:hideMark/>
          </w:tcPr>
          <w:p w14:paraId="3517D7E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324</w:t>
            </w:r>
          </w:p>
        </w:tc>
        <w:tc>
          <w:tcPr>
            <w:tcW w:w="720" w:type="dxa"/>
            <w:tcBorders>
              <w:top w:val="nil"/>
              <w:left w:val="nil"/>
              <w:bottom w:val="single" w:sz="4" w:space="0" w:color="auto"/>
              <w:right w:val="single" w:sz="8" w:space="0" w:color="auto"/>
            </w:tcBorders>
            <w:shd w:val="clear" w:color="auto" w:fill="auto"/>
            <w:noWrap/>
            <w:vAlign w:val="center"/>
            <w:hideMark/>
          </w:tcPr>
          <w:p w14:paraId="6EC2BAB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0.40</w:t>
            </w:r>
          </w:p>
        </w:tc>
      </w:tr>
      <w:tr w:rsidR="00A24814" w:rsidRPr="00591367" w14:paraId="7E799472" w14:textId="77777777" w:rsidTr="00676D9A">
        <w:trPr>
          <w:trHeight w:val="320"/>
        </w:trPr>
        <w:tc>
          <w:tcPr>
            <w:tcW w:w="1260" w:type="dxa"/>
            <w:vMerge/>
            <w:tcBorders>
              <w:top w:val="nil"/>
              <w:left w:val="single" w:sz="8" w:space="0" w:color="auto"/>
              <w:bottom w:val="single" w:sz="4" w:space="0" w:color="000000"/>
              <w:right w:val="single" w:sz="4" w:space="0" w:color="auto"/>
            </w:tcBorders>
            <w:vAlign w:val="center"/>
            <w:hideMark/>
          </w:tcPr>
          <w:p w14:paraId="544B78FE"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6E6D855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Leaf, amaranth, raw</w:t>
            </w:r>
          </w:p>
        </w:tc>
        <w:tc>
          <w:tcPr>
            <w:tcW w:w="719" w:type="dxa"/>
            <w:tcBorders>
              <w:top w:val="nil"/>
              <w:left w:val="nil"/>
              <w:bottom w:val="single" w:sz="4" w:space="0" w:color="auto"/>
              <w:right w:val="single" w:sz="4" w:space="0" w:color="auto"/>
            </w:tcBorders>
            <w:shd w:val="clear" w:color="auto" w:fill="auto"/>
            <w:noWrap/>
            <w:vAlign w:val="center"/>
            <w:hideMark/>
          </w:tcPr>
          <w:p w14:paraId="7AA0FEA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0D55E80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33B2C6D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bottom"/>
            <w:hideMark/>
          </w:tcPr>
          <w:p w14:paraId="6C82AA0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6BC0ACEC"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1369</w:t>
            </w:r>
          </w:p>
        </w:tc>
        <w:tc>
          <w:tcPr>
            <w:tcW w:w="630" w:type="dxa"/>
            <w:tcBorders>
              <w:top w:val="nil"/>
              <w:left w:val="nil"/>
              <w:bottom w:val="single" w:sz="4" w:space="0" w:color="auto"/>
              <w:right w:val="single" w:sz="8" w:space="0" w:color="auto"/>
            </w:tcBorders>
            <w:shd w:val="clear" w:color="auto" w:fill="auto"/>
            <w:noWrap/>
            <w:vAlign w:val="center"/>
            <w:hideMark/>
          </w:tcPr>
          <w:p w14:paraId="59B6BB5D"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0.00</w:t>
            </w:r>
          </w:p>
        </w:tc>
        <w:tc>
          <w:tcPr>
            <w:tcW w:w="720" w:type="dxa"/>
            <w:tcBorders>
              <w:top w:val="nil"/>
              <w:left w:val="nil"/>
              <w:bottom w:val="single" w:sz="4" w:space="0" w:color="auto"/>
              <w:right w:val="single" w:sz="4" w:space="0" w:color="auto"/>
            </w:tcBorders>
            <w:shd w:val="clear" w:color="auto" w:fill="auto"/>
            <w:noWrap/>
            <w:vAlign w:val="bottom"/>
            <w:hideMark/>
          </w:tcPr>
          <w:p w14:paraId="523ED2B3"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163</w:t>
            </w:r>
          </w:p>
        </w:tc>
        <w:tc>
          <w:tcPr>
            <w:tcW w:w="720" w:type="dxa"/>
            <w:tcBorders>
              <w:top w:val="nil"/>
              <w:left w:val="nil"/>
              <w:bottom w:val="single" w:sz="4" w:space="0" w:color="auto"/>
              <w:right w:val="single" w:sz="8" w:space="0" w:color="auto"/>
            </w:tcBorders>
            <w:shd w:val="clear" w:color="auto" w:fill="auto"/>
            <w:noWrap/>
            <w:vAlign w:val="center"/>
            <w:hideMark/>
          </w:tcPr>
          <w:p w14:paraId="4F25F6CA"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0.53</w:t>
            </w:r>
          </w:p>
        </w:tc>
      </w:tr>
      <w:tr w:rsidR="00A24814" w:rsidRPr="00591367" w14:paraId="7612674F" w14:textId="77777777" w:rsidTr="00676D9A">
        <w:trPr>
          <w:trHeight w:val="320"/>
        </w:trPr>
        <w:tc>
          <w:tcPr>
            <w:tcW w:w="1260" w:type="dxa"/>
            <w:vMerge/>
            <w:tcBorders>
              <w:top w:val="nil"/>
              <w:left w:val="single" w:sz="8" w:space="0" w:color="auto"/>
              <w:bottom w:val="single" w:sz="4" w:space="0" w:color="000000"/>
              <w:right w:val="single" w:sz="4" w:space="0" w:color="auto"/>
            </w:tcBorders>
            <w:vAlign w:val="center"/>
            <w:hideMark/>
          </w:tcPr>
          <w:p w14:paraId="1940DD4A"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68762DBB"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Cocoyam leaves</w:t>
            </w:r>
          </w:p>
        </w:tc>
        <w:tc>
          <w:tcPr>
            <w:tcW w:w="719" w:type="dxa"/>
            <w:tcBorders>
              <w:top w:val="nil"/>
              <w:left w:val="nil"/>
              <w:bottom w:val="single" w:sz="4" w:space="0" w:color="auto"/>
              <w:right w:val="single" w:sz="4" w:space="0" w:color="auto"/>
            </w:tcBorders>
            <w:shd w:val="clear" w:color="auto" w:fill="auto"/>
            <w:noWrap/>
            <w:vAlign w:val="center"/>
            <w:hideMark/>
          </w:tcPr>
          <w:p w14:paraId="18C55493"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59</w:t>
            </w:r>
          </w:p>
        </w:tc>
        <w:tc>
          <w:tcPr>
            <w:tcW w:w="814" w:type="dxa"/>
            <w:tcBorders>
              <w:top w:val="nil"/>
              <w:left w:val="nil"/>
              <w:bottom w:val="single" w:sz="4" w:space="0" w:color="auto"/>
              <w:right w:val="single" w:sz="8" w:space="0" w:color="auto"/>
            </w:tcBorders>
            <w:shd w:val="clear" w:color="auto" w:fill="auto"/>
            <w:noWrap/>
            <w:vAlign w:val="center"/>
            <w:hideMark/>
          </w:tcPr>
          <w:p w14:paraId="654A459F"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0.06</w:t>
            </w:r>
          </w:p>
        </w:tc>
        <w:tc>
          <w:tcPr>
            <w:tcW w:w="720" w:type="dxa"/>
            <w:tcBorders>
              <w:top w:val="nil"/>
              <w:left w:val="nil"/>
              <w:bottom w:val="single" w:sz="4" w:space="0" w:color="auto"/>
              <w:right w:val="single" w:sz="4" w:space="0" w:color="auto"/>
            </w:tcBorders>
            <w:shd w:val="clear" w:color="auto" w:fill="auto"/>
            <w:noWrap/>
            <w:vAlign w:val="bottom"/>
            <w:hideMark/>
          </w:tcPr>
          <w:p w14:paraId="6D5DC3C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bottom"/>
            <w:hideMark/>
          </w:tcPr>
          <w:p w14:paraId="412C42B2"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5A07705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center"/>
            <w:hideMark/>
          </w:tcPr>
          <w:p w14:paraId="6A6CC278"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696D56C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22A6DA5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61AE7DD0" w14:textId="77777777" w:rsidTr="00676D9A">
        <w:trPr>
          <w:trHeight w:val="320"/>
        </w:trPr>
        <w:tc>
          <w:tcPr>
            <w:tcW w:w="1260" w:type="dxa"/>
            <w:vMerge/>
            <w:tcBorders>
              <w:top w:val="nil"/>
              <w:left w:val="single" w:sz="8" w:space="0" w:color="auto"/>
              <w:bottom w:val="single" w:sz="4" w:space="0" w:color="000000"/>
              <w:right w:val="single" w:sz="4" w:space="0" w:color="auto"/>
            </w:tcBorders>
            <w:vAlign w:val="center"/>
            <w:hideMark/>
          </w:tcPr>
          <w:p w14:paraId="3B1234A4"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447A43A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Leaf, baobab, raw</w:t>
            </w:r>
          </w:p>
        </w:tc>
        <w:tc>
          <w:tcPr>
            <w:tcW w:w="719" w:type="dxa"/>
            <w:tcBorders>
              <w:top w:val="nil"/>
              <w:left w:val="nil"/>
              <w:bottom w:val="single" w:sz="4" w:space="0" w:color="auto"/>
              <w:right w:val="single" w:sz="4" w:space="0" w:color="auto"/>
            </w:tcBorders>
            <w:shd w:val="clear" w:color="auto" w:fill="auto"/>
            <w:noWrap/>
            <w:vAlign w:val="bottom"/>
            <w:hideMark/>
          </w:tcPr>
          <w:p w14:paraId="21815F57"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7B335D0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7C83C56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3009</w:t>
            </w:r>
          </w:p>
        </w:tc>
        <w:tc>
          <w:tcPr>
            <w:tcW w:w="720" w:type="dxa"/>
            <w:tcBorders>
              <w:top w:val="nil"/>
              <w:left w:val="nil"/>
              <w:bottom w:val="single" w:sz="4" w:space="0" w:color="auto"/>
              <w:right w:val="single" w:sz="8" w:space="0" w:color="auto"/>
            </w:tcBorders>
            <w:shd w:val="clear" w:color="auto" w:fill="auto"/>
            <w:noWrap/>
            <w:vAlign w:val="center"/>
            <w:hideMark/>
          </w:tcPr>
          <w:p w14:paraId="6638082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0.00</w:t>
            </w:r>
          </w:p>
        </w:tc>
        <w:tc>
          <w:tcPr>
            <w:tcW w:w="720" w:type="dxa"/>
            <w:tcBorders>
              <w:top w:val="nil"/>
              <w:left w:val="nil"/>
              <w:bottom w:val="single" w:sz="4" w:space="0" w:color="auto"/>
              <w:right w:val="single" w:sz="4" w:space="0" w:color="auto"/>
            </w:tcBorders>
            <w:shd w:val="clear" w:color="auto" w:fill="auto"/>
            <w:noWrap/>
            <w:vAlign w:val="center"/>
            <w:hideMark/>
          </w:tcPr>
          <w:p w14:paraId="0E9DD25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817</w:t>
            </w:r>
          </w:p>
        </w:tc>
        <w:tc>
          <w:tcPr>
            <w:tcW w:w="630" w:type="dxa"/>
            <w:tcBorders>
              <w:top w:val="nil"/>
              <w:left w:val="nil"/>
              <w:bottom w:val="single" w:sz="4" w:space="0" w:color="auto"/>
              <w:right w:val="single" w:sz="8" w:space="0" w:color="auto"/>
            </w:tcBorders>
            <w:shd w:val="clear" w:color="auto" w:fill="auto"/>
            <w:noWrap/>
            <w:vAlign w:val="center"/>
            <w:hideMark/>
          </w:tcPr>
          <w:p w14:paraId="579BAF2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0.00</w:t>
            </w:r>
          </w:p>
        </w:tc>
        <w:tc>
          <w:tcPr>
            <w:tcW w:w="720" w:type="dxa"/>
            <w:tcBorders>
              <w:top w:val="nil"/>
              <w:left w:val="nil"/>
              <w:bottom w:val="single" w:sz="4" w:space="0" w:color="auto"/>
              <w:right w:val="single" w:sz="4" w:space="0" w:color="auto"/>
            </w:tcBorders>
            <w:shd w:val="clear" w:color="auto" w:fill="auto"/>
            <w:noWrap/>
            <w:vAlign w:val="bottom"/>
            <w:hideMark/>
          </w:tcPr>
          <w:p w14:paraId="0A9B003A"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7764661E"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375DA134" w14:textId="77777777" w:rsidTr="00676D9A">
        <w:trPr>
          <w:trHeight w:val="320"/>
        </w:trPr>
        <w:tc>
          <w:tcPr>
            <w:tcW w:w="1260" w:type="dxa"/>
            <w:vMerge/>
            <w:tcBorders>
              <w:top w:val="nil"/>
              <w:left w:val="single" w:sz="8" w:space="0" w:color="auto"/>
              <w:bottom w:val="single" w:sz="4" w:space="0" w:color="000000"/>
              <w:right w:val="single" w:sz="4" w:space="0" w:color="auto"/>
            </w:tcBorders>
            <w:vAlign w:val="center"/>
            <w:hideMark/>
          </w:tcPr>
          <w:p w14:paraId="7E1D8A92"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4E5A067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Okra, dried, grounded</w:t>
            </w:r>
          </w:p>
        </w:tc>
        <w:tc>
          <w:tcPr>
            <w:tcW w:w="719" w:type="dxa"/>
            <w:tcBorders>
              <w:top w:val="nil"/>
              <w:left w:val="nil"/>
              <w:bottom w:val="single" w:sz="4" w:space="0" w:color="auto"/>
              <w:right w:val="single" w:sz="4" w:space="0" w:color="auto"/>
            </w:tcBorders>
            <w:shd w:val="clear" w:color="auto" w:fill="auto"/>
            <w:noWrap/>
            <w:vAlign w:val="bottom"/>
            <w:hideMark/>
          </w:tcPr>
          <w:p w14:paraId="6EB6CDC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112</w:t>
            </w:r>
          </w:p>
        </w:tc>
        <w:tc>
          <w:tcPr>
            <w:tcW w:w="814" w:type="dxa"/>
            <w:tcBorders>
              <w:top w:val="nil"/>
              <w:left w:val="nil"/>
              <w:bottom w:val="single" w:sz="4" w:space="0" w:color="auto"/>
              <w:right w:val="single" w:sz="8" w:space="0" w:color="auto"/>
            </w:tcBorders>
            <w:shd w:val="clear" w:color="auto" w:fill="auto"/>
            <w:noWrap/>
            <w:vAlign w:val="center"/>
            <w:hideMark/>
          </w:tcPr>
          <w:p w14:paraId="76016797"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0.61</w:t>
            </w:r>
          </w:p>
        </w:tc>
        <w:tc>
          <w:tcPr>
            <w:tcW w:w="720" w:type="dxa"/>
            <w:tcBorders>
              <w:top w:val="nil"/>
              <w:left w:val="nil"/>
              <w:bottom w:val="single" w:sz="4" w:space="0" w:color="auto"/>
              <w:right w:val="single" w:sz="4" w:space="0" w:color="auto"/>
            </w:tcBorders>
            <w:shd w:val="clear" w:color="auto" w:fill="auto"/>
            <w:noWrap/>
            <w:vAlign w:val="center"/>
            <w:hideMark/>
          </w:tcPr>
          <w:p w14:paraId="2EF0087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49817367"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06351CC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center"/>
            <w:hideMark/>
          </w:tcPr>
          <w:p w14:paraId="3E9D900D"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3DAC1E6F"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0F186EC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7FE73359" w14:textId="77777777" w:rsidTr="00676D9A">
        <w:trPr>
          <w:trHeight w:val="320"/>
        </w:trPr>
        <w:tc>
          <w:tcPr>
            <w:tcW w:w="1260" w:type="dxa"/>
            <w:vMerge/>
            <w:tcBorders>
              <w:top w:val="nil"/>
              <w:left w:val="single" w:sz="8" w:space="0" w:color="auto"/>
              <w:bottom w:val="single" w:sz="4" w:space="0" w:color="000000"/>
              <w:right w:val="single" w:sz="4" w:space="0" w:color="auto"/>
            </w:tcBorders>
            <w:vAlign w:val="center"/>
            <w:hideMark/>
          </w:tcPr>
          <w:p w14:paraId="1DFE1F7C"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390A987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Leaf, jute, raw (Ayoyo)</w:t>
            </w:r>
          </w:p>
        </w:tc>
        <w:tc>
          <w:tcPr>
            <w:tcW w:w="719" w:type="dxa"/>
            <w:tcBorders>
              <w:top w:val="nil"/>
              <w:left w:val="nil"/>
              <w:bottom w:val="single" w:sz="4" w:space="0" w:color="auto"/>
              <w:right w:val="single" w:sz="4" w:space="0" w:color="auto"/>
            </w:tcBorders>
            <w:shd w:val="clear" w:color="auto" w:fill="auto"/>
            <w:noWrap/>
            <w:vAlign w:val="bottom"/>
            <w:hideMark/>
          </w:tcPr>
          <w:p w14:paraId="6688AEFA"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24AD962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3266D84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2E84ABEF"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32C4BEE0"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124</w:t>
            </w:r>
          </w:p>
        </w:tc>
        <w:tc>
          <w:tcPr>
            <w:tcW w:w="630" w:type="dxa"/>
            <w:tcBorders>
              <w:top w:val="nil"/>
              <w:left w:val="nil"/>
              <w:bottom w:val="single" w:sz="4" w:space="0" w:color="auto"/>
              <w:right w:val="single" w:sz="8" w:space="0" w:color="auto"/>
            </w:tcBorders>
            <w:shd w:val="clear" w:color="auto" w:fill="auto"/>
            <w:noWrap/>
            <w:vAlign w:val="center"/>
            <w:hideMark/>
          </w:tcPr>
          <w:p w14:paraId="40DB630E"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0.00</w:t>
            </w:r>
          </w:p>
        </w:tc>
        <w:tc>
          <w:tcPr>
            <w:tcW w:w="720" w:type="dxa"/>
            <w:tcBorders>
              <w:top w:val="nil"/>
              <w:left w:val="nil"/>
              <w:bottom w:val="single" w:sz="4" w:space="0" w:color="auto"/>
              <w:right w:val="single" w:sz="4" w:space="0" w:color="auto"/>
            </w:tcBorders>
            <w:shd w:val="clear" w:color="auto" w:fill="auto"/>
            <w:noWrap/>
            <w:vAlign w:val="bottom"/>
            <w:hideMark/>
          </w:tcPr>
          <w:p w14:paraId="3B73D51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128</w:t>
            </w:r>
          </w:p>
        </w:tc>
        <w:tc>
          <w:tcPr>
            <w:tcW w:w="720" w:type="dxa"/>
            <w:tcBorders>
              <w:top w:val="nil"/>
              <w:left w:val="nil"/>
              <w:bottom w:val="single" w:sz="4" w:space="0" w:color="auto"/>
              <w:right w:val="single" w:sz="8" w:space="0" w:color="auto"/>
            </w:tcBorders>
            <w:shd w:val="clear" w:color="auto" w:fill="auto"/>
            <w:noWrap/>
            <w:vAlign w:val="center"/>
            <w:hideMark/>
          </w:tcPr>
          <w:p w14:paraId="65C2DEB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0.45</w:t>
            </w:r>
          </w:p>
        </w:tc>
      </w:tr>
      <w:tr w:rsidR="00A24814" w:rsidRPr="00591367" w14:paraId="3D0A35F2" w14:textId="77777777" w:rsidTr="00676D9A">
        <w:trPr>
          <w:trHeight w:val="320"/>
        </w:trPr>
        <w:tc>
          <w:tcPr>
            <w:tcW w:w="1260" w:type="dxa"/>
            <w:tcBorders>
              <w:top w:val="nil"/>
              <w:left w:val="single" w:sz="8" w:space="0" w:color="auto"/>
              <w:bottom w:val="single" w:sz="4" w:space="0" w:color="auto"/>
              <w:right w:val="single" w:sz="4" w:space="0" w:color="auto"/>
            </w:tcBorders>
            <w:shd w:val="clear" w:color="auto" w:fill="auto"/>
            <w:vAlign w:val="center"/>
            <w:hideMark/>
          </w:tcPr>
          <w:p w14:paraId="63A9DCDC" w14:textId="77777777" w:rsidR="00A24814" w:rsidRPr="00A24814"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Fruit</w:t>
            </w:r>
          </w:p>
        </w:tc>
        <w:tc>
          <w:tcPr>
            <w:tcW w:w="2883" w:type="dxa"/>
            <w:tcBorders>
              <w:top w:val="nil"/>
              <w:left w:val="nil"/>
              <w:bottom w:val="single" w:sz="4" w:space="0" w:color="auto"/>
              <w:right w:val="single" w:sz="8" w:space="0" w:color="auto"/>
            </w:tcBorders>
            <w:shd w:val="clear" w:color="auto" w:fill="auto"/>
            <w:noWrap/>
            <w:vAlign w:val="center"/>
            <w:hideMark/>
          </w:tcPr>
          <w:p w14:paraId="068AC3C2"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Mango, deep orange flesh</w:t>
            </w:r>
          </w:p>
        </w:tc>
        <w:tc>
          <w:tcPr>
            <w:tcW w:w="719" w:type="dxa"/>
            <w:tcBorders>
              <w:top w:val="nil"/>
              <w:left w:val="nil"/>
              <w:bottom w:val="single" w:sz="4" w:space="0" w:color="auto"/>
              <w:right w:val="single" w:sz="4" w:space="0" w:color="auto"/>
            </w:tcBorders>
            <w:shd w:val="clear" w:color="auto" w:fill="auto"/>
            <w:noWrap/>
            <w:vAlign w:val="center"/>
            <w:hideMark/>
          </w:tcPr>
          <w:p w14:paraId="1484A92B"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405A993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6EB558A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125</w:t>
            </w:r>
          </w:p>
        </w:tc>
        <w:tc>
          <w:tcPr>
            <w:tcW w:w="720" w:type="dxa"/>
            <w:tcBorders>
              <w:top w:val="nil"/>
              <w:left w:val="nil"/>
              <w:bottom w:val="single" w:sz="4" w:space="0" w:color="auto"/>
              <w:right w:val="single" w:sz="8" w:space="0" w:color="auto"/>
            </w:tcBorders>
            <w:shd w:val="clear" w:color="auto" w:fill="auto"/>
            <w:noWrap/>
            <w:vAlign w:val="center"/>
            <w:hideMark/>
          </w:tcPr>
          <w:p w14:paraId="3E15FD6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0.06</w:t>
            </w:r>
          </w:p>
        </w:tc>
        <w:tc>
          <w:tcPr>
            <w:tcW w:w="720" w:type="dxa"/>
            <w:tcBorders>
              <w:top w:val="nil"/>
              <w:left w:val="nil"/>
              <w:bottom w:val="single" w:sz="4" w:space="0" w:color="auto"/>
              <w:right w:val="single" w:sz="4" w:space="0" w:color="auto"/>
            </w:tcBorders>
            <w:shd w:val="clear" w:color="auto" w:fill="auto"/>
            <w:noWrap/>
            <w:vAlign w:val="center"/>
            <w:hideMark/>
          </w:tcPr>
          <w:p w14:paraId="6CA7BF1F"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1103</w:t>
            </w:r>
          </w:p>
        </w:tc>
        <w:tc>
          <w:tcPr>
            <w:tcW w:w="630" w:type="dxa"/>
            <w:tcBorders>
              <w:top w:val="nil"/>
              <w:left w:val="nil"/>
              <w:bottom w:val="single" w:sz="4" w:space="0" w:color="auto"/>
              <w:right w:val="single" w:sz="8" w:space="0" w:color="auto"/>
            </w:tcBorders>
            <w:shd w:val="clear" w:color="auto" w:fill="auto"/>
            <w:noWrap/>
            <w:vAlign w:val="center"/>
            <w:hideMark/>
          </w:tcPr>
          <w:p w14:paraId="7A5BEC83"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0.00</w:t>
            </w:r>
          </w:p>
        </w:tc>
        <w:tc>
          <w:tcPr>
            <w:tcW w:w="720" w:type="dxa"/>
            <w:tcBorders>
              <w:top w:val="nil"/>
              <w:left w:val="nil"/>
              <w:bottom w:val="single" w:sz="4" w:space="0" w:color="auto"/>
              <w:right w:val="single" w:sz="4" w:space="0" w:color="auto"/>
            </w:tcBorders>
            <w:shd w:val="clear" w:color="auto" w:fill="auto"/>
            <w:noWrap/>
            <w:vAlign w:val="bottom"/>
            <w:hideMark/>
          </w:tcPr>
          <w:p w14:paraId="338D5F4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136</w:t>
            </w:r>
          </w:p>
        </w:tc>
        <w:tc>
          <w:tcPr>
            <w:tcW w:w="720" w:type="dxa"/>
            <w:tcBorders>
              <w:top w:val="nil"/>
              <w:left w:val="nil"/>
              <w:bottom w:val="single" w:sz="4" w:space="0" w:color="auto"/>
              <w:right w:val="single" w:sz="8" w:space="0" w:color="auto"/>
            </w:tcBorders>
            <w:shd w:val="clear" w:color="auto" w:fill="auto"/>
            <w:noWrap/>
            <w:vAlign w:val="center"/>
            <w:hideMark/>
          </w:tcPr>
          <w:p w14:paraId="518D83E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0.07</w:t>
            </w:r>
          </w:p>
        </w:tc>
      </w:tr>
      <w:tr w:rsidR="00A24814" w:rsidRPr="00591367" w14:paraId="06AE369A" w14:textId="77777777" w:rsidTr="00676D9A">
        <w:trPr>
          <w:trHeight w:val="320"/>
        </w:trPr>
        <w:tc>
          <w:tcPr>
            <w:tcW w:w="1260" w:type="dxa"/>
            <w:vMerge w:val="restart"/>
            <w:tcBorders>
              <w:top w:val="nil"/>
              <w:left w:val="single" w:sz="8" w:space="0" w:color="auto"/>
              <w:bottom w:val="single" w:sz="4" w:space="0" w:color="000000"/>
              <w:right w:val="single" w:sz="4" w:space="0" w:color="auto"/>
            </w:tcBorders>
            <w:shd w:val="clear" w:color="auto" w:fill="auto"/>
            <w:vAlign w:val="center"/>
            <w:hideMark/>
          </w:tcPr>
          <w:p w14:paraId="4BC45683" w14:textId="77777777" w:rsidR="00A24814" w:rsidRPr="00591367"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Animal and Veg</w:t>
            </w:r>
            <w:r w:rsidRPr="00591367">
              <w:rPr>
                <w:rFonts w:ascii="Times New Roman" w:hAnsi="Times New Roman" w:cs="Times New Roman"/>
                <w:color w:val="000000"/>
                <w:sz w:val="20"/>
                <w:szCs w:val="20"/>
              </w:rPr>
              <w:t xml:space="preserve">etable oil and fats </w:t>
            </w:r>
          </w:p>
        </w:tc>
        <w:tc>
          <w:tcPr>
            <w:tcW w:w="2883" w:type="dxa"/>
            <w:tcBorders>
              <w:top w:val="nil"/>
              <w:left w:val="nil"/>
              <w:bottom w:val="single" w:sz="4" w:space="0" w:color="auto"/>
              <w:right w:val="single" w:sz="8" w:space="0" w:color="auto"/>
            </w:tcBorders>
            <w:shd w:val="clear" w:color="auto" w:fill="auto"/>
            <w:noWrap/>
            <w:vAlign w:val="center"/>
            <w:hideMark/>
          </w:tcPr>
          <w:p w14:paraId="4637B20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Oil, groundnut</w:t>
            </w:r>
          </w:p>
        </w:tc>
        <w:tc>
          <w:tcPr>
            <w:tcW w:w="719" w:type="dxa"/>
            <w:tcBorders>
              <w:top w:val="nil"/>
              <w:left w:val="nil"/>
              <w:bottom w:val="single" w:sz="4" w:space="0" w:color="auto"/>
              <w:right w:val="single" w:sz="4" w:space="0" w:color="auto"/>
            </w:tcBorders>
            <w:shd w:val="clear" w:color="auto" w:fill="auto"/>
            <w:noWrap/>
            <w:vAlign w:val="center"/>
            <w:hideMark/>
          </w:tcPr>
          <w:p w14:paraId="61B4EF6F"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7552671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7548C6AC"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38</w:t>
            </w:r>
          </w:p>
        </w:tc>
        <w:tc>
          <w:tcPr>
            <w:tcW w:w="720" w:type="dxa"/>
            <w:tcBorders>
              <w:top w:val="nil"/>
              <w:left w:val="nil"/>
              <w:bottom w:val="single" w:sz="4" w:space="0" w:color="auto"/>
              <w:right w:val="single" w:sz="8" w:space="0" w:color="auto"/>
            </w:tcBorders>
            <w:shd w:val="clear" w:color="auto" w:fill="auto"/>
            <w:noWrap/>
            <w:vAlign w:val="center"/>
            <w:hideMark/>
          </w:tcPr>
          <w:p w14:paraId="03FAAA0D"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0.21</w:t>
            </w:r>
          </w:p>
        </w:tc>
        <w:tc>
          <w:tcPr>
            <w:tcW w:w="720" w:type="dxa"/>
            <w:tcBorders>
              <w:top w:val="nil"/>
              <w:left w:val="nil"/>
              <w:bottom w:val="single" w:sz="4" w:space="0" w:color="auto"/>
              <w:right w:val="single" w:sz="4" w:space="0" w:color="auto"/>
            </w:tcBorders>
            <w:shd w:val="clear" w:color="auto" w:fill="auto"/>
            <w:noWrap/>
            <w:vAlign w:val="center"/>
            <w:hideMark/>
          </w:tcPr>
          <w:p w14:paraId="425A680C"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30</w:t>
            </w:r>
          </w:p>
        </w:tc>
        <w:tc>
          <w:tcPr>
            <w:tcW w:w="630" w:type="dxa"/>
            <w:tcBorders>
              <w:top w:val="nil"/>
              <w:left w:val="nil"/>
              <w:bottom w:val="single" w:sz="4" w:space="0" w:color="auto"/>
              <w:right w:val="single" w:sz="8" w:space="0" w:color="auto"/>
            </w:tcBorders>
            <w:shd w:val="clear" w:color="auto" w:fill="auto"/>
            <w:noWrap/>
            <w:vAlign w:val="center"/>
            <w:hideMark/>
          </w:tcPr>
          <w:p w14:paraId="21567E76"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0.16</w:t>
            </w:r>
          </w:p>
        </w:tc>
        <w:tc>
          <w:tcPr>
            <w:tcW w:w="720" w:type="dxa"/>
            <w:tcBorders>
              <w:top w:val="nil"/>
              <w:left w:val="nil"/>
              <w:bottom w:val="single" w:sz="4" w:space="0" w:color="auto"/>
              <w:right w:val="single" w:sz="4" w:space="0" w:color="auto"/>
            </w:tcBorders>
            <w:shd w:val="clear" w:color="auto" w:fill="auto"/>
            <w:noWrap/>
            <w:vAlign w:val="bottom"/>
            <w:hideMark/>
          </w:tcPr>
          <w:p w14:paraId="0E3E3024"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10</w:t>
            </w:r>
          </w:p>
        </w:tc>
        <w:tc>
          <w:tcPr>
            <w:tcW w:w="720" w:type="dxa"/>
            <w:tcBorders>
              <w:top w:val="nil"/>
              <w:left w:val="nil"/>
              <w:bottom w:val="single" w:sz="4" w:space="0" w:color="auto"/>
              <w:right w:val="single" w:sz="8" w:space="0" w:color="auto"/>
            </w:tcBorders>
            <w:shd w:val="clear" w:color="auto" w:fill="auto"/>
            <w:noWrap/>
            <w:vAlign w:val="center"/>
            <w:hideMark/>
          </w:tcPr>
          <w:p w14:paraId="02C97C32"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0.05</w:t>
            </w:r>
          </w:p>
        </w:tc>
      </w:tr>
      <w:tr w:rsidR="00A24814" w:rsidRPr="00591367" w14:paraId="14040705" w14:textId="77777777" w:rsidTr="00676D9A">
        <w:trPr>
          <w:trHeight w:val="320"/>
        </w:trPr>
        <w:tc>
          <w:tcPr>
            <w:tcW w:w="1260" w:type="dxa"/>
            <w:vMerge/>
            <w:tcBorders>
              <w:top w:val="nil"/>
              <w:left w:val="single" w:sz="8" w:space="0" w:color="auto"/>
              <w:bottom w:val="single" w:sz="4" w:space="0" w:color="000000"/>
              <w:right w:val="single" w:sz="4" w:space="0" w:color="auto"/>
            </w:tcBorders>
            <w:vAlign w:val="center"/>
            <w:hideMark/>
          </w:tcPr>
          <w:p w14:paraId="64715A68"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6BA63BE9"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Vegetable oil</w:t>
            </w:r>
          </w:p>
        </w:tc>
        <w:tc>
          <w:tcPr>
            <w:tcW w:w="719" w:type="dxa"/>
            <w:tcBorders>
              <w:top w:val="nil"/>
              <w:left w:val="nil"/>
              <w:bottom w:val="single" w:sz="4" w:space="0" w:color="auto"/>
              <w:right w:val="single" w:sz="4" w:space="0" w:color="auto"/>
            </w:tcBorders>
            <w:shd w:val="clear" w:color="auto" w:fill="auto"/>
            <w:noWrap/>
            <w:vAlign w:val="center"/>
            <w:hideMark/>
          </w:tcPr>
          <w:p w14:paraId="63553907"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6</w:t>
            </w:r>
          </w:p>
        </w:tc>
        <w:tc>
          <w:tcPr>
            <w:tcW w:w="814" w:type="dxa"/>
            <w:tcBorders>
              <w:top w:val="nil"/>
              <w:left w:val="nil"/>
              <w:bottom w:val="single" w:sz="4" w:space="0" w:color="auto"/>
              <w:right w:val="single" w:sz="8" w:space="0" w:color="auto"/>
            </w:tcBorders>
            <w:shd w:val="clear" w:color="auto" w:fill="auto"/>
            <w:noWrap/>
            <w:vAlign w:val="center"/>
            <w:hideMark/>
          </w:tcPr>
          <w:p w14:paraId="5779A439"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0.02</w:t>
            </w:r>
          </w:p>
        </w:tc>
        <w:tc>
          <w:tcPr>
            <w:tcW w:w="720" w:type="dxa"/>
            <w:tcBorders>
              <w:top w:val="nil"/>
              <w:left w:val="nil"/>
              <w:bottom w:val="single" w:sz="4" w:space="0" w:color="auto"/>
              <w:right w:val="single" w:sz="4" w:space="0" w:color="auto"/>
            </w:tcBorders>
            <w:shd w:val="clear" w:color="auto" w:fill="auto"/>
            <w:noWrap/>
            <w:vAlign w:val="center"/>
            <w:hideMark/>
          </w:tcPr>
          <w:p w14:paraId="709E010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7899B5EA"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3BE4CC84"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center"/>
            <w:hideMark/>
          </w:tcPr>
          <w:p w14:paraId="5386BD3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7314E77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04002124"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398640FE" w14:textId="77777777" w:rsidTr="00676D9A">
        <w:trPr>
          <w:trHeight w:val="320"/>
        </w:trPr>
        <w:tc>
          <w:tcPr>
            <w:tcW w:w="1260" w:type="dxa"/>
            <w:vMerge/>
            <w:tcBorders>
              <w:top w:val="nil"/>
              <w:left w:val="single" w:sz="8" w:space="0" w:color="auto"/>
              <w:bottom w:val="single" w:sz="4" w:space="0" w:color="000000"/>
              <w:right w:val="single" w:sz="4" w:space="0" w:color="auto"/>
            </w:tcBorders>
            <w:vAlign w:val="center"/>
            <w:hideMark/>
          </w:tcPr>
          <w:p w14:paraId="798E1358" w14:textId="77777777" w:rsidR="00A24814" w:rsidRPr="00591367"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nil"/>
              <w:bottom w:val="single" w:sz="4" w:space="0" w:color="auto"/>
              <w:right w:val="single" w:sz="8" w:space="0" w:color="auto"/>
            </w:tcBorders>
            <w:shd w:val="clear" w:color="auto" w:fill="auto"/>
            <w:noWrap/>
            <w:vAlign w:val="center"/>
            <w:hideMark/>
          </w:tcPr>
          <w:p w14:paraId="5A89109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Oil, palm, red</w:t>
            </w:r>
          </w:p>
        </w:tc>
        <w:tc>
          <w:tcPr>
            <w:tcW w:w="719" w:type="dxa"/>
            <w:tcBorders>
              <w:top w:val="nil"/>
              <w:left w:val="nil"/>
              <w:bottom w:val="single" w:sz="4" w:space="0" w:color="auto"/>
              <w:right w:val="single" w:sz="4" w:space="0" w:color="auto"/>
            </w:tcBorders>
            <w:shd w:val="clear" w:color="auto" w:fill="auto"/>
            <w:noWrap/>
            <w:vAlign w:val="center"/>
            <w:hideMark/>
          </w:tcPr>
          <w:p w14:paraId="574DD01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5F35B3E9"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center"/>
            <w:hideMark/>
          </w:tcPr>
          <w:p w14:paraId="2A43E782"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11</w:t>
            </w:r>
          </w:p>
        </w:tc>
        <w:tc>
          <w:tcPr>
            <w:tcW w:w="720" w:type="dxa"/>
            <w:tcBorders>
              <w:top w:val="nil"/>
              <w:left w:val="nil"/>
              <w:bottom w:val="single" w:sz="4" w:space="0" w:color="auto"/>
              <w:right w:val="single" w:sz="8" w:space="0" w:color="auto"/>
            </w:tcBorders>
            <w:shd w:val="clear" w:color="auto" w:fill="auto"/>
            <w:noWrap/>
            <w:vAlign w:val="center"/>
            <w:hideMark/>
          </w:tcPr>
          <w:p w14:paraId="0A15355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0.06</w:t>
            </w:r>
          </w:p>
        </w:tc>
        <w:tc>
          <w:tcPr>
            <w:tcW w:w="720" w:type="dxa"/>
            <w:tcBorders>
              <w:top w:val="nil"/>
              <w:left w:val="nil"/>
              <w:bottom w:val="single" w:sz="4" w:space="0" w:color="auto"/>
              <w:right w:val="single" w:sz="4" w:space="0" w:color="auto"/>
            </w:tcBorders>
            <w:shd w:val="clear" w:color="auto" w:fill="auto"/>
            <w:noWrap/>
            <w:vAlign w:val="bottom"/>
            <w:hideMark/>
          </w:tcPr>
          <w:p w14:paraId="6AAC9057"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16</w:t>
            </w:r>
          </w:p>
        </w:tc>
        <w:tc>
          <w:tcPr>
            <w:tcW w:w="630" w:type="dxa"/>
            <w:tcBorders>
              <w:top w:val="nil"/>
              <w:left w:val="nil"/>
              <w:bottom w:val="single" w:sz="4" w:space="0" w:color="auto"/>
              <w:right w:val="single" w:sz="8" w:space="0" w:color="auto"/>
            </w:tcBorders>
            <w:shd w:val="clear" w:color="auto" w:fill="auto"/>
            <w:noWrap/>
            <w:vAlign w:val="center"/>
            <w:hideMark/>
          </w:tcPr>
          <w:p w14:paraId="792A40DA"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0.09</w:t>
            </w:r>
          </w:p>
        </w:tc>
        <w:tc>
          <w:tcPr>
            <w:tcW w:w="720" w:type="dxa"/>
            <w:tcBorders>
              <w:top w:val="nil"/>
              <w:left w:val="nil"/>
              <w:bottom w:val="single" w:sz="4" w:space="0" w:color="auto"/>
              <w:right w:val="single" w:sz="4" w:space="0" w:color="auto"/>
            </w:tcBorders>
            <w:shd w:val="clear" w:color="auto" w:fill="auto"/>
            <w:noWrap/>
            <w:vAlign w:val="bottom"/>
            <w:hideMark/>
          </w:tcPr>
          <w:p w14:paraId="6506F6EF"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18</w:t>
            </w:r>
          </w:p>
        </w:tc>
        <w:tc>
          <w:tcPr>
            <w:tcW w:w="720" w:type="dxa"/>
            <w:tcBorders>
              <w:top w:val="nil"/>
              <w:left w:val="nil"/>
              <w:bottom w:val="single" w:sz="4" w:space="0" w:color="auto"/>
              <w:right w:val="single" w:sz="8" w:space="0" w:color="auto"/>
            </w:tcBorders>
            <w:shd w:val="clear" w:color="auto" w:fill="auto"/>
            <w:noWrap/>
            <w:vAlign w:val="center"/>
            <w:hideMark/>
          </w:tcPr>
          <w:p w14:paraId="573C25E2"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0.10</w:t>
            </w:r>
          </w:p>
        </w:tc>
      </w:tr>
      <w:tr w:rsidR="00A24814" w:rsidRPr="00591367" w14:paraId="7BEE6421" w14:textId="77777777" w:rsidTr="00676D9A">
        <w:trPr>
          <w:trHeight w:val="340"/>
        </w:trPr>
        <w:tc>
          <w:tcPr>
            <w:tcW w:w="1260" w:type="dxa"/>
            <w:tcBorders>
              <w:top w:val="nil"/>
              <w:left w:val="single" w:sz="8" w:space="0" w:color="auto"/>
              <w:bottom w:val="single" w:sz="4" w:space="0" w:color="auto"/>
              <w:right w:val="single" w:sz="4" w:space="0" w:color="auto"/>
            </w:tcBorders>
            <w:shd w:val="clear" w:color="auto" w:fill="auto"/>
            <w:vAlign w:val="bottom"/>
            <w:hideMark/>
          </w:tcPr>
          <w:p w14:paraId="6E782DB5" w14:textId="77777777" w:rsidR="00A24814" w:rsidRPr="00591367"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 xml:space="preserve">Root and Tubers </w:t>
            </w:r>
          </w:p>
        </w:tc>
        <w:tc>
          <w:tcPr>
            <w:tcW w:w="2883" w:type="dxa"/>
            <w:tcBorders>
              <w:top w:val="nil"/>
              <w:left w:val="nil"/>
              <w:bottom w:val="single" w:sz="4" w:space="0" w:color="auto"/>
              <w:right w:val="single" w:sz="8" w:space="0" w:color="auto"/>
            </w:tcBorders>
            <w:shd w:val="clear" w:color="auto" w:fill="auto"/>
            <w:noWrap/>
            <w:vAlign w:val="center"/>
            <w:hideMark/>
          </w:tcPr>
          <w:p w14:paraId="137E660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Cassava, flour, gari, yellow</w:t>
            </w:r>
          </w:p>
        </w:tc>
        <w:tc>
          <w:tcPr>
            <w:tcW w:w="719" w:type="dxa"/>
            <w:tcBorders>
              <w:top w:val="nil"/>
              <w:left w:val="nil"/>
              <w:bottom w:val="single" w:sz="4" w:space="0" w:color="auto"/>
              <w:right w:val="single" w:sz="4" w:space="0" w:color="auto"/>
            </w:tcBorders>
            <w:shd w:val="clear" w:color="auto" w:fill="auto"/>
            <w:noWrap/>
            <w:vAlign w:val="center"/>
            <w:hideMark/>
          </w:tcPr>
          <w:p w14:paraId="731BE18B"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726</w:t>
            </w:r>
          </w:p>
        </w:tc>
        <w:tc>
          <w:tcPr>
            <w:tcW w:w="814" w:type="dxa"/>
            <w:tcBorders>
              <w:top w:val="nil"/>
              <w:left w:val="nil"/>
              <w:bottom w:val="single" w:sz="4" w:space="0" w:color="auto"/>
              <w:right w:val="single" w:sz="8" w:space="0" w:color="auto"/>
            </w:tcBorders>
            <w:shd w:val="clear" w:color="auto" w:fill="auto"/>
            <w:noWrap/>
            <w:vAlign w:val="center"/>
            <w:hideMark/>
          </w:tcPr>
          <w:p w14:paraId="0FA87FA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0.92</w:t>
            </w:r>
          </w:p>
        </w:tc>
        <w:tc>
          <w:tcPr>
            <w:tcW w:w="720" w:type="dxa"/>
            <w:tcBorders>
              <w:top w:val="nil"/>
              <w:left w:val="nil"/>
              <w:bottom w:val="single" w:sz="4" w:space="0" w:color="auto"/>
              <w:right w:val="single" w:sz="4" w:space="0" w:color="auto"/>
            </w:tcBorders>
            <w:shd w:val="clear" w:color="auto" w:fill="auto"/>
            <w:noWrap/>
            <w:vAlign w:val="center"/>
            <w:hideMark/>
          </w:tcPr>
          <w:p w14:paraId="4E359104"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7809298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128A3F04"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bottom"/>
            <w:hideMark/>
          </w:tcPr>
          <w:p w14:paraId="5CA0276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0713DDE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2033BD3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73ED23E5" w14:textId="77777777" w:rsidTr="00676D9A">
        <w:trPr>
          <w:trHeight w:val="340"/>
        </w:trPr>
        <w:tc>
          <w:tcPr>
            <w:tcW w:w="1260" w:type="dxa"/>
            <w:tcBorders>
              <w:top w:val="nil"/>
              <w:left w:val="single" w:sz="8" w:space="0" w:color="auto"/>
              <w:bottom w:val="single" w:sz="4" w:space="0" w:color="auto"/>
              <w:right w:val="single" w:sz="4" w:space="0" w:color="auto"/>
            </w:tcBorders>
            <w:shd w:val="clear" w:color="auto" w:fill="auto"/>
            <w:vAlign w:val="bottom"/>
            <w:hideMark/>
          </w:tcPr>
          <w:p w14:paraId="038449F1" w14:textId="77777777" w:rsidR="00A24814" w:rsidRPr="00591367"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Nuts, seeds and their product</w:t>
            </w:r>
          </w:p>
        </w:tc>
        <w:tc>
          <w:tcPr>
            <w:tcW w:w="2883" w:type="dxa"/>
            <w:tcBorders>
              <w:top w:val="nil"/>
              <w:left w:val="nil"/>
              <w:bottom w:val="single" w:sz="4" w:space="0" w:color="auto"/>
              <w:right w:val="single" w:sz="8" w:space="0" w:color="auto"/>
            </w:tcBorders>
            <w:shd w:val="clear" w:color="auto" w:fill="auto"/>
            <w:noWrap/>
            <w:vAlign w:val="center"/>
            <w:hideMark/>
          </w:tcPr>
          <w:p w14:paraId="0515511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Coconut, whole, immature kernel, fresh</w:t>
            </w:r>
          </w:p>
        </w:tc>
        <w:tc>
          <w:tcPr>
            <w:tcW w:w="719" w:type="dxa"/>
            <w:tcBorders>
              <w:top w:val="nil"/>
              <w:left w:val="nil"/>
              <w:bottom w:val="single" w:sz="4" w:space="0" w:color="auto"/>
              <w:right w:val="single" w:sz="4" w:space="0" w:color="auto"/>
            </w:tcBorders>
            <w:shd w:val="clear" w:color="auto" w:fill="auto"/>
            <w:noWrap/>
            <w:vAlign w:val="center"/>
            <w:hideMark/>
          </w:tcPr>
          <w:p w14:paraId="1DD464C1"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297</w:t>
            </w:r>
          </w:p>
        </w:tc>
        <w:tc>
          <w:tcPr>
            <w:tcW w:w="814" w:type="dxa"/>
            <w:tcBorders>
              <w:top w:val="nil"/>
              <w:left w:val="nil"/>
              <w:bottom w:val="single" w:sz="4" w:space="0" w:color="auto"/>
              <w:right w:val="single" w:sz="8" w:space="0" w:color="auto"/>
            </w:tcBorders>
            <w:shd w:val="clear" w:color="auto" w:fill="auto"/>
            <w:noWrap/>
            <w:vAlign w:val="center"/>
            <w:hideMark/>
          </w:tcPr>
          <w:p w14:paraId="7829F69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0.11</w:t>
            </w:r>
          </w:p>
        </w:tc>
        <w:tc>
          <w:tcPr>
            <w:tcW w:w="720" w:type="dxa"/>
            <w:tcBorders>
              <w:top w:val="nil"/>
              <w:left w:val="nil"/>
              <w:bottom w:val="single" w:sz="4" w:space="0" w:color="auto"/>
              <w:right w:val="single" w:sz="4" w:space="0" w:color="auto"/>
            </w:tcBorders>
            <w:shd w:val="clear" w:color="auto" w:fill="auto"/>
            <w:noWrap/>
            <w:vAlign w:val="center"/>
            <w:hideMark/>
          </w:tcPr>
          <w:p w14:paraId="7CE5B45A"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1344D53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52B43D7A"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bottom"/>
            <w:hideMark/>
          </w:tcPr>
          <w:p w14:paraId="67A7486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1790DA5B"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2B15871D"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7F0C5119" w14:textId="77777777" w:rsidTr="00676D9A">
        <w:trPr>
          <w:trHeight w:val="680"/>
        </w:trPr>
        <w:tc>
          <w:tcPr>
            <w:tcW w:w="1260" w:type="dxa"/>
            <w:tcBorders>
              <w:top w:val="nil"/>
              <w:left w:val="single" w:sz="8" w:space="0" w:color="auto"/>
              <w:bottom w:val="single" w:sz="4" w:space="0" w:color="auto"/>
              <w:right w:val="single" w:sz="4" w:space="0" w:color="auto"/>
            </w:tcBorders>
            <w:shd w:val="clear" w:color="auto" w:fill="auto"/>
            <w:vAlign w:val="bottom"/>
            <w:hideMark/>
          </w:tcPr>
          <w:p w14:paraId="6B870984" w14:textId="77777777" w:rsidR="00A24814" w:rsidRPr="00591367"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Products from slaughtered animals</w:t>
            </w:r>
          </w:p>
        </w:tc>
        <w:tc>
          <w:tcPr>
            <w:tcW w:w="2883" w:type="dxa"/>
            <w:tcBorders>
              <w:top w:val="nil"/>
              <w:left w:val="nil"/>
              <w:bottom w:val="single" w:sz="4" w:space="0" w:color="auto"/>
              <w:right w:val="single" w:sz="8" w:space="0" w:color="auto"/>
            </w:tcBorders>
            <w:shd w:val="clear" w:color="auto" w:fill="auto"/>
            <w:noWrap/>
            <w:vAlign w:val="center"/>
            <w:hideMark/>
          </w:tcPr>
          <w:p w14:paraId="3684FA93"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Beef liver</w:t>
            </w:r>
          </w:p>
        </w:tc>
        <w:tc>
          <w:tcPr>
            <w:tcW w:w="719" w:type="dxa"/>
            <w:tcBorders>
              <w:top w:val="nil"/>
              <w:left w:val="nil"/>
              <w:bottom w:val="single" w:sz="4" w:space="0" w:color="auto"/>
              <w:right w:val="single" w:sz="4" w:space="0" w:color="auto"/>
            </w:tcBorders>
            <w:shd w:val="clear" w:color="auto" w:fill="auto"/>
            <w:noWrap/>
            <w:vAlign w:val="center"/>
            <w:hideMark/>
          </w:tcPr>
          <w:p w14:paraId="268DA95A"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14</w:t>
            </w:r>
          </w:p>
        </w:tc>
        <w:tc>
          <w:tcPr>
            <w:tcW w:w="814" w:type="dxa"/>
            <w:tcBorders>
              <w:top w:val="nil"/>
              <w:left w:val="nil"/>
              <w:bottom w:val="single" w:sz="4" w:space="0" w:color="auto"/>
              <w:right w:val="single" w:sz="8" w:space="0" w:color="auto"/>
            </w:tcBorders>
            <w:shd w:val="clear" w:color="auto" w:fill="auto"/>
            <w:noWrap/>
            <w:vAlign w:val="center"/>
            <w:hideMark/>
          </w:tcPr>
          <w:p w14:paraId="23A6B44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0.11</w:t>
            </w:r>
          </w:p>
        </w:tc>
        <w:tc>
          <w:tcPr>
            <w:tcW w:w="720" w:type="dxa"/>
            <w:tcBorders>
              <w:top w:val="nil"/>
              <w:left w:val="nil"/>
              <w:bottom w:val="single" w:sz="4" w:space="0" w:color="auto"/>
              <w:right w:val="single" w:sz="4" w:space="0" w:color="auto"/>
            </w:tcBorders>
            <w:shd w:val="clear" w:color="auto" w:fill="auto"/>
            <w:noWrap/>
            <w:vAlign w:val="center"/>
            <w:hideMark/>
          </w:tcPr>
          <w:p w14:paraId="4D5E74F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3BBAD10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08F2899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bottom"/>
            <w:hideMark/>
          </w:tcPr>
          <w:p w14:paraId="5B95EDC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4" w:space="0" w:color="auto"/>
            </w:tcBorders>
            <w:shd w:val="clear" w:color="auto" w:fill="auto"/>
            <w:noWrap/>
            <w:vAlign w:val="bottom"/>
            <w:hideMark/>
          </w:tcPr>
          <w:p w14:paraId="21CED4EA"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16CAD9A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210EF2D8" w14:textId="77777777" w:rsidTr="00676D9A">
        <w:trPr>
          <w:trHeight w:val="360"/>
        </w:trPr>
        <w:tc>
          <w:tcPr>
            <w:tcW w:w="1260" w:type="dxa"/>
            <w:tcBorders>
              <w:top w:val="nil"/>
              <w:left w:val="single" w:sz="8" w:space="0" w:color="auto"/>
              <w:bottom w:val="single" w:sz="8" w:space="0" w:color="auto"/>
              <w:right w:val="nil"/>
            </w:tcBorders>
            <w:shd w:val="clear" w:color="auto" w:fill="auto"/>
            <w:vAlign w:val="bottom"/>
            <w:hideMark/>
          </w:tcPr>
          <w:p w14:paraId="16903B33" w14:textId="77777777" w:rsidR="00A24814" w:rsidRPr="00A24814" w:rsidRDefault="00A24814" w:rsidP="00676D9A">
            <w:pPr>
              <w:spacing w:after="0" w:line="240" w:lineRule="auto"/>
              <w:jc w:val="center"/>
              <w:rPr>
                <w:rFonts w:ascii="Times New Roman" w:hAnsi="Times New Roman" w:cs="Times New Roman"/>
                <w:color w:val="000000"/>
                <w:sz w:val="20"/>
                <w:szCs w:val="20"/>
              </w:rPr>
            </w:pPr>
            <w:r w:rsidRPr="00A24814">
              <w:rPr>
                <w:rFonts w:ascii="Times New Roman" w:hAnsi="Times New Roman" w:cs="Times New Roman"/>
                <w:color w:val="000000"/>
                <w:sz w:val="20"/>
                <w:szCs w:val="20"/>
              </w:rPr>
              <w:t>Miscellaneous</w:t>
            </w:r>
          </w:p>
        </w:tc>
        <w:tc>
          <w:tcPr>
            <w:tcW w:w="2883" w:type="dxa"/>
            <w:tcBorders>
              <w:top w:val="nil"/>
              <w:left w:val="single" w:sz="4" w:space="0" w:color="auto"/>
              <w:bottom w:val="single" w:sz="8" w:space="0" w:color="auto"/>
              <w:right w:val="single" w:sz="8" w:space="0" w:color="auto"/>
            </w:tcBorders>
            <w:shd w:val="clear" w:color="auto" w:fill="auto"/>
            <w:noWrap/>
            <w:vAlign w:val="center"/>
            <w:hideMark/>
          </w:tcPr>
          <w:p w14:paraId="363BC49B"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xml:space="preserve">Salt, Iodized </w:t>
            </w:r>
          </w:p>
        </w:tc>
        <w:tc>
          <w:tcPr>
            <w:tcW w:w="719" w:type="dxa"/>
            <w:tcBorders>
              <w:top w:val="nil"/>
              <w:left w:val="nil"/>
              <w:bottom w:val="single" w:sz="8" w:space="0" w:color="auto"/>
              <w:right w:val="single" w:sz="4" w:space="0" w:color="auto"/>
            </w:tcBorders>
            <w:shd w:val="clear" w:color="auto" w:fill="auto"/>
            <w:noWrap/>
            <w:vAlign w:val="center"/>
            <w:hideMark/>
          </w:tcPr>
          <w:p w14:paraId="2DF2472D"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17</w:t>
            </w:r>
          </w:p>
        </w:tc>
        <w:tc>
          <w:tcPr>
            <w:tcW w:w="814" w:type="dxa"/>
            <w:tcBorders>
              <w:top w:val="nil"/>
              <w:left w:val="nil"/>
              <w:bottom w:val="single" w:sz="8" w:space="0" w:color="auto"/>
              <w:right w:val="single" w:sz="8" w:space="0" w:color="auto"/>
            </w:tcBorders>
            <w:shd w:val="clear" w:color="auto" w:fill="auto"/>
            <w:noWrap/>
            <w:vAlign w:val="center"/>
            <w:hideMark/>
          </w:tcPr>
          <w:p w14:paraId="42A14D28"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0.03</w:t>
            </w:r>
          </w:p>
        </w:tc>
        <w:tc>
          <w:tcPr>
            <w:tcW w:w="720" w:type="dxa"/>
            <w:tcBorders>
              <w:top w:val="nil"/>
              <w:left w:val="nil"/>
              <w:bottom w:val="single" w:sz="8" w:space="0" w:color="auto"/>
              <w:right w:val="single" w:sz="4" w:space="0" w:color="auto"/>
            </w:tcBorders>
            <w:shd w:val="clear" w:color="auto" w:fill="auto"/>
            <w:noWrap/>
            <w:vAlign w:val="center"/>
            <w:hideMark/>
          </w:tcPr>
          <w:p w14:paraId="4119E022"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8" w:space="0" w:color="auto"/>
              <w:right w:val="single" w:sz="8" w:space="0" w:color="auto"/>
            </w:tcBorders>
            <w:shd w:val="clear" w:color="auto" w:fill="auto"/>
            <w:noWrap/>
            <w:vAlign w:val="center"/>
            <w:hideMark/>
          </w:tcPr>
          <w:p w14:paraId="18B841B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8" w:space="0" w:color="auto"/>
              <w:right w:val="single" w:sz="4" w:space="0" w:color="auto"/>
            </w:tcBorders>
            <w:shd w:val="clear" w:color="auto" w:fill="auto"/>
            <w:noWrap/>
            <w:vAlign w:val="bottom"/>
            <w:hideMark/>
          </w:tcPr>
          <w:p w14:paraId="6FBD8FE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8" w:space="0" w:color="auto"/>
              <w:right w:val="single" w:sz="8" w:space="0" w:color="auto"/>
            </w:tcBorders>
            <w:shd w:val="clear" w:color="auto" w:fill="auto"/>
            <w:noWrap/>
            <w:vAlign w:val="bottom"/>
            <w:hideMark/>
          </w:tcPr>
          <w:p w14:paraId="56474266"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8" w:space="0" w:color="auto"/>
              <w:right w:val="single" w:sz="4" w:space="0" w:color="auto"/>
            </w:tcBorders>
            <w:shd w:val="clear" w:color="auto" w:fill="auto"/>
            <w:noWrap/>
            <w:vAlign w:val="bottom"/>
            <w:hideMark/>
          </w:tcPr>
          <w:p w14:paraId="06CB3207"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8" w:space="0" w:color="auto"/>
              <w:right w:val="single" w:sz="8" w:space="0" w:color="auto"/>
            </w:tcBorders>
            <w:shd w:val="clear" w:color="auto" w:fill="auto"/>
            <w:noWrap/>
            <w:vAlign w:val="center"/>
            <w:hideMark/>
          </w:tcPr>
          <w:p w14:paraId="3C4AEA65"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r>
      <w:tr w:rsidR="00A24814" w:rsidRPr="00591367" w14:paraId="063F9738" w14:textId="77777777" w:rsidTr="00676D9A">
        <w:trPr>
          <w:trHeight w:val="320"/>
        </w:trPr>
        <w:tc>
          <w:tcPr>
            <w:tcW w:w="1260" w:type="dxa"/>
            <w:tcBorders>
              <w:top w:val="nil"/>
              <w:left w:val="nil"/>
              <w:bottom w:val="nil"/>
              <w:right w:val="nil"/>
            </w:tcBorders>
            <w:shd w:val="clear" w:color="auto" w:fill="auto"/>
            <w:noWrap/>
            <w:vAlign w:val="bottom"/>
            <w:hideMark/>
          </w:tcPr>
          <w:p w14:paraId="55870D40" w14:textId="77777777" w:rsidR="00A24814" w:rsidRPr="00A24814" w:rsidRDefault="00A24814" w:rsidP="00676D9A">
            <w:pPr>
              <w:spacing w:after="0" w:line="240" w:lineRule="auto"/>
              <w:rPr>
                <w:rFonts w:ascii="Times New Roman" w:hAnsi="Times New Roman" w:cs="Times New Roman"/>
                <w:color w:val="000000"/>
                <w:sz w:val="20"/>
                <w:szCs w:val="20"/>
              </w:rPr>
            </w:pPr>
          </w:p>
        </w:tc>
        <w:tc>
          <w:tcPr>
            <w:tcW w:w="2883" w:type="dxa"/>
            <w:tcBorders>
              <w:top w:val="nil"/>
              <w:left w:val="single" w:sz="8" w:space="0" w:color="auto"/>
              <w:bottom w:val="single" w:sz="4" w:space="0" w:color="auto"/>
              <w:right w:val="single" w:sz="8" w:space="0" w:color="auto"/>
            </w:tcBorders>
            <w:shd w:val="clear" w:color="auto" w:fill="auto"/>
            <w:noWrap/>
            <w:vAlign w:val="center"/>
            <w:hideMark/>
          </w:tcPr>
          <w:p w14:paraId="391446B6" w14:textId="77777777" w:rsidR="00A24814" w:rsidRPr="00591367" w:rsidRDefault="00A24814" w:rsidP="00676D9A">
            <w:pPr>
              <w:spacing w:after="0" w:line="240" w:lineRule="auto"/>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Total cost per household per day</w:t>
            </w:r>
          </w:p>
        </w:tc>
        <w:tc>
          <w:tcPr>
            <w:tcW w:w="719" w:type="dxa"/>
            <w:tcBorders>
              <w:top w:val="nil"/>
              <w:left w:val="nil"/>
              <w:bottom w:val="single" w:sz="4" w:space="0" w:color="auto"/>
              <w:right w:val="single" w:sz="4" w:space="0" w:color="auto"/>
            </w:tcBorders>
            <w:shd w:val="clear" w:color="auto" w:fill="auto"/>
            <w:noWrap/>
            <w:vAlign w:val="center"/>
            <w:hideMark/>
          </w:tcPr>
          <w:p w14:paraId="59E994A0"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814" w:type="dxa"/>
            <w:tcBorders>
              <w:top w:val="nil"/>
              <w:left w:val="nil"/>
              <w:bottom w:val="single" w:sz="4" w:space="0" w:color="auto"/>
              <w:right w:val="single" w:sz="8" w:space="0" w:color="auto"/>
            </w:tcBorders>
            <w:shd w:val="clear" w:color="auto" w:fill="auto"/>
            <w:noWrap/>
            <w:vAlign w:val="center"/>
            <w:hideMark/>
          </w:tcPr>
          <w:p w14:paraId="70F7962A"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4.35</w:t>
            </w:r>
          </w:p>
        </w:tc>
        <w:tc>
          <w:tcPr>
            <w:tcW w:w="720" w:type="dxa"/>
            <w:tcBorders>
              <w:top w:val="nil"/>
              <w:left w:val="nil"/>
              <w:bottom w:val="single" w:sz="4" w:space="0" w:color="auto"/>
              <w:right w:val="single" w:sz="4" w:space="0" w:color="auto"/>
            </w:tcBorders>
            <w:shd w:val="clear" w:color="auto" w:fill="auto"/>
            <w:noWrap/>
            <w:vAlign w:val="center"/>
            <w:hideMark/>
          </w:tcPr>
          <w:p w14:paraId="6548B381"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center"/>
            <w:hideMark/>
          </w:tcPr>
          <w:p w14:paraId="311B4B9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2.99</w:t>
            </w:r>
          </w:p>
        </w:tc>
        <w:tc>
          <w:tcPr>
            <w:tcW w:w="720" w:type="dxa"/>
            <w:tcBorders>
              <w:top w:val="nil"/>
              <w:left w:val="nil"/>
              <w:bottom w:val="single" w:sz="4" w:space="0" w:color="auto"/>
              <w:right w:val="single" w:sz="4" w:space="0" w:color="auto"/>
            </w:tcBorders>
            <w:shd w:val="clear" w:color="auto" w:fill="auto"/>
            <w:noWrap/>
            <w:vAlign w:val="bottom"/>
            <w:hideMark/>
          </w:tcPr>
          <w:p w14:paraId="7F2F664C"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630" w:type="dxa"/>
            <w:tcBorders>
              <w:top w:val="nil"/>
              <w:left w:val="nil"/>
              <w:bottom w:val="single" w:sz="4" w:space="0" w:color="auto"/>
              <w:right w:val="single" w:sz="8" w:space="0" w:color="auto"/>
            </w:tcBorders>
            <w:shd w:val="clear" w:color="auto" w:fill="auto"/>
            <w:noWrap/>
            <w:vAlign w:val="bottom"/>
            <w:hideMark/>
          </w:tcPr>
          <w:p w14:paraId="58746346"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2.72</w:t>
            </w:r>
          </w:p>
        </w:tc>
        <w:tc>
          <w:tcPr>
            <w:tcW w:w="720" w:type="dxa"/>
            <w:tcBorders>
              <w:top w:val="nil"/>
              <w:left w:val="nil"/>
              <w:bottom w:val="single" w:sz="4" w:space="0" w:color="auto"/>
              <w:right w:val="single" w:sz="4" w:space="0" w:color="auto"/>
            </w:tcBorders>
            <w:shd w:val="clear" w:color="auto" w:fill="auto"/>
            <w:noWrap/>
            <w:vAlign w:val="bottom"/>
            <w:hideMark/>
          </w:tcPr>
          <w:p w14:paraId="04116367" w14:textId="77777777" w:rsidR="00A24814" w:rsidRPr="00591367" w:rsidRDefault="00A24814" w:rsidP="00676D9A">
            <w:pPr>
              <w:spacing w:after="0" w:line="240" w:lineRule="auto"/>
              <w:rPr>
                <w:rFonts w:ascii="Times New Roman" w:hAnsi="Times New Roman" w:cs="Times New Roman"/>
                <w:color w:val="000000"/>
                <w:sz w:val="20"/>
                <w:szCs w:val="20"/>
              </w:rPr>
            </w:pPr>
            <w:r w:rsidRPr="00591367">
              <w:rPr>
                <w:rFonts w:ascii="Times New Roman" w:hAnsi="Times New Roman" w:cs="Times New Roman"/>
                <w:color w:val="000000"/>
                <w:sz w:val="20"/>
                <w:szCs w:val="20"/>
              </w:rPr>
              <w:t> </w:t>
            </w:r>
          </w:p>
        </w:tc>
        <w:tc>
          <w:tcPr>
            <w:tcW w:w="720" w:type="dxa"/>
            <w:tcBorders>
              <w:top w:val="nil"/>
              <w:left w:val="nil"/>
              <w:bottom w:val="single" w:sz="4" w:space="0" w:color="auto"/>
              <w:right w:val="single" w:sz="8" w:space="0" w:color="auto"/>
            </w:tcBorders>
            <w:shd w:val="clear" w:color="auto" w:fill="auto"/>
            <w:noWrap/>
            <w:vAlign w:val="bottom"/>
            <w:hideMark/>
          </w:tcPr>
          <w:p w14:paraId="2A1F1A45" w14:textId="77777777" w:rsidR="00A24814" w:rsidRPr="00591367" w:rsidRDefault="00A24814" w:rsidP="00676D9A">
            <w:pPr>
              <w:spacing w:after="0" w:line="240" w:lineRule="auto"/>
              <w:jc w:val="right"/>
              <w:rPr>
                <w:rFonts w:ascii="Times New Roman" w:hAnsi="Times New Roman" w:cs="Times New Roman"/>
                <w:color w:val="000000"/>
                <w:sz w:val="20"/>
                <w:szCs w:val="20"/>
              </w:rPr>
            </w:pPr>
            <w:r w:rsidRPr="00591367">
              <w:rPr>
                <w:rFonts w:ascii="Times New Roman" w:hAnsi="Times New Roman" w:cs="Times New Roman"/>
                <w:color w:val="000000"/>
                <w:sz w:val="20"/>
                <w:szCs w:val="20"/>
              </w:rPr>
              <w:t>5.23</w:t>
            </w:r>
          </w:p>
        </w:tc>
      </w:tr>
      <w:tr w:rsidR="00A24814" w:rsidRPr="00591367" w14:paraId="43E74934" w14:textId="77777777" w:rsidTr="00676D9A">
        <w:trPr>
          <w:trHeight w:val="340"/>
        </w:trPr>
        <w:tc>
          <w:tcPr>
            <w:tcW w:w="1260" w:type="dxa"/>
            <w:tcBorders>
              <w:top w:val="nil"/>
              <w:left w:val="nil"/>
              <w:bottom w:val="nil"/>
              <w:right w:val="nil"/>
            </w:tcBorders>
            <w:shd w:val="clear" w:color="auto" w:fill="auto"/>
            <w:noWrap/>
            <w:vAlign w:val="bottom"/>
            <w:hideMark/>
          </w:tcPr>
          <w:p w14:paraId="50990421" w14:textId="77777777" w:rsidR="00A24814" w:rsidRPr="00A24814" w:rsidRDefault="00A24814" w:rsidP="00676D9A">
            <w:pPr>
              <w:spacing w:after="0" w:line="240" w:lineRule="auto"/>
              <w:jc w:val="right"/>
              <w:rPr>
                <w:rFonts w:ascii="Times New Roman" w:hAnsi="Times New Roman" w:cs="Times New Roman"/>
                <w:color w:val="000000"/>
                <w:sz w:val="20"/>
                <w:szCs w:val="20"/>
              </w:rPr>
            </w:pPr>
          </w:p>
        </w:tc>
        <w:tc>
          <w:tcPr>
            <w:tcW w:w="2883" w:type="dxa"/>
            <w:tcBorders>
              <w:top w:val="nil"/>
              <w:left w:val="single" w:sz="8" w:space="0" w:color="auto"/>
              <w:bottom w:val="single" w:sz="8" w:space="0" w:color="auto"/>
              <w:right w:val="single" w:sz="8" w:space="0" w:color="auto"/>
            </w:tcBorders>
            <w:shd w:val="clear" w:color="auto" w:fill="auto"/>
            <w:noWrap/>
            <w:vAlign w:val="bottom"/>
            <w:hideMark/>
          </w:tcPr>
          <w:p w14:paraId="19403617" w14:textId="77777777" w:rsidR="00A24814" w:rsidRPr="00591367" w:rsidRDefault="00A24814" w:rsidP="00676D9A">
            <w:pPr>
              <w:spacing w:after="0" w:line="240" w:lineRule="auto"/>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NAFB Total cost per person per year (Ghc)</w:t>
            </w:r>
          </w:p>
        </w:tc>
        <w:tc>
          <w:tcPr>
            <w:tcW w:w="719" w:type="dxa"/>
            <w:tcBorders>
              <w:top w:val="nil"/>
              <w:left w:val="nil"/>
              <w:bottom w:val="single" w:sz="8" w:space="0" w:color="auto"/>
              <w:right w:val="single" w:sz="4" w:space="0" w:color="auto"/>
            </w:tcBorders>
            <w:shd w:val="clear" w:color="auto" w:fill="auto"/>
            <w:noWrap/>
            <w:vAlign w:val="bottom"/>
            <w:hideMark/>
          </w:tcPr>
          <w:p w14:paraId="4F67CA80" w14:textId="77777777" w:rsidR="00A24814" w:rsidRPr="00591367" w:rsidRDefault="00A24814" w:rsidP="00676D9A">
            <w:pPr>
              <w:spacing w:after="0" w:line="240" w:lineRule="auto"/>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w:t>
            </w:r>
          </w:p>
        </w:tc>
        <w:tc>
          <w:tcPr>
            <w:tcW w:w="814" w:type="dxa"/>
            <w:tcBorders>
              <w:top w:val="nil"/>
              <w:left w:val="nil"/>
              <w:bottom w:val="single" w:sz="8" w:space="0" w:color="auto"/>
              <w:right w:val="single" w:sz="8" w:space="0" w:color="auto"/>
            </w:tcBorders>
            <w:shd w:val="clear" w:color="auto" w:fill="auto"/>
            <w:noWrap/>
            <w:vAlign w:val="bottom"/>
            <w:hideMark/>
          </w:tcPr>
          <w:p w14:paraId="5BD0688A" w14:textId="77777777" w:rsidR="00A24814" w:rsidRPr="00591367" w:rsidRDefault="00A24814" w:rsidP="00676D9A">
            <w:pPr>
              <w:spacing w:after="0" w:line="240" w:lineRule="auto"/>
              <w:jc w:val="right"/>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397</w:t>
            </w:r>
          </w:p>
        </w:tc>
        <w:tc>
          <w:tcPr>
            <w:tcW w:w="720" w:type="dxa"/>
            <w:tcBorders>
              <w:top w:val="nil"/>
              <w:left w:val="nil"/>
              <w:bottom w:val="single" w:sz="8" w:space="0" w:color="auto"/>
              <w:right w:val="single" w:sz="4" w:space="0" w:color="auto"/>
            </w:tcBorders>
            <w:shd w:val="clear" w:color="auto" w:fill="auto"/>
            <w:noWrap/>
            <w:vAlign w:val="bottom"/>
            <w:hideMark/>
          </w:tcPr>
          <w:p w14:paraId="65476061" w14:textId="77777777" w:rsidR="00A24814" w:rsidRPr="00591367" w:rsidRDefault="00A24814" w:rsidP="00676D9A">
            <w:pPr>
              <w:spacing w:after="0" w:line="240" w:lineRule="auto"/>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w:t>
            </w:r>
          </w:p>
        </w:tc>
        <w:tc>
          <w:tcPr>
            <w:tcW w:w="720" w:type="dxa"/>
            <w:tcBorders>
              <w:top w:val="nil"/>
              <w:left w:val="nil"/>
              <w:bottom w:val="single" w:sz="8" w:space="0" w:color="auto"/>
              <w:right w:val="single" w:sz="8" w:space="0" w:color="auto"/>
            </w:tcBorders>
            <w:shd w:val="clear" w:color="auto" w:fill="auto"/>
            <w:noWrap/>
            <w:vAlign w:val="bottom"/>
            <w:hideMark/>
          </w:tcPr>
          <w:p w14:paraId="7E4958CE" w14:textId="77777777" w:rsidR="00A24814" w:rsidRPr="00591367" w:rsidRDefault="00A24814" w:rsidP="00676D9A">
            <w:pPr>
              <w:spacing w:after="0" w:line="240" w:lineRule="auto"/>
              <w:jc w:val="right"/>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273</w:t>
            </w:r>
          </w:p>
        </w:tc>
        <w:tc>
          <w:tcPr>
            <w:tcW w:w="720" w:type="dxa"/>
            <w:tcBorders>
              <w:top w:val="nil"/>
              <w:left w:val="nil"/>
              <w:bottom w:val="single" w:sz="8" w:space="0" w:color="auto"/>
              <w:right w:val="single" w:sz="4" w:space="0" w:color="auto"/>
            </w:tcBorders>
            <w:shd w:val="clear" w:color="auto" w:fill="auto"/>
            <w:noWrap/>
            <w:vAlign w:val="bottom"/>
            <w:hideMark/>
          </w:tcPr>
          <w:p w14:paraId="5EE0C26E" w14:textId="77777777" w:rsidR="00A24814" w:rsidRPr="00591367" w:rsidRDefault="00A24814" w:rsidP="00676D9A">
            <w:pPr>
              <w:spacing w:after="0" w:line="240" w:lineRule="auto"/>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w:t>
            </w:r>
          </w:p>
        </w:tc>
        <w:tc>
          <w:tcPr>
            <w:tcW w:w="630" w:type="dxa"/>
            <w:tcBorders>
              <w:top w:val="nil"/>
              <w:left w:val="nil"/>
              <w:bottom w:val="single" w:sz="8" w:space="0" w:color="auto"/>
              <w:right w:val="single" w:sz="8" w:space="0" w:color="auto"/>
            </w:tcBorders>
            <w:shd w:val="clear" w:color="auto" w:fill="auto"/>
            <w:noWrap/>
            <w:vAlign w:val="bottom"/>
            <w:hideMark/>
          </w:tcPr>
          <w:p w14:paraId="6F8FEFDE" w14:textId="77777777" w:rsidR="00A24814" w:rsidRPr="00591367" w:rsidRDefault="00A24814" w:rsidP="00676D9A">
            <w:pPr>
              <w:spacing w:after="0" w:line="240" w:lineRule="auto"/>
              <w:jc w:val="right"/>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248</w:t>
            </w:r>
          </w:p>
        </w:tc>
        <w:tc>
          <w:tcPr>
            <w:tcW w:w="720" w:type="dxa"/>
            <w:tcBorders>
              <w:top w:val="nil"/>
              <w:left w:val="nil"/>
              <w:bottom w:val="single" w:sz="8" w:space="0" w:color="auto"/>
              <w:right w:val="single" w:sz="4" w:space="0" w:color="auto"/>
            </w:tcBorders>
            <w:shd w:val="clear" w:color="auto" w:fill="auto"/>
            <w:noWrap/>
            <w:vAlign w:val="bottom"/>
            <w:hideMark/>
          </w:tcPr>
          <w:p w14:paraId="7FF205CA" w14:textId="77777777" w:rsidR="00A24814" w:rsidRPr="00591367" w:rsidRDefault="00A24814" w:rsidP="00676D9A">
            <w:pPr>
              <w:spacing w:after="0" w:line="240" w:lineRule="auto"/>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 </w:t>
            </w:r>
          </w:p>
        </w:tc>
        <w:tc>
          <w:tcPr>
            <w:tcW w:w="720" w:type="dxa"/>
            <w:tcBorders>
              <w:top w:val="nil"/>
              <w:left w:val="nil"/>
              <w:bottom w:val="single" w:sz="8" w:space="0" w:color="auto"/>
              <w:right w:val="single" w:sz="8" w:space="0" w:color="auto"/>
            </w:tcBorders>
            <w:shd w:val="clear" w:color="auto" w:fill="auto"/>
            <w:noWrap/>
            <w:vAlign w:val="bottom"/>
            <w:hideMark/>
          </w:tcPr>
          <w:p w14:paraId="02D51730" w14:textId="77777777" w:rsidR="00A24814" w:rsidRPr="00591367" w:rsidRDefault="00A24814" w:rsidP="00676D9A">
            <w:pPr>
              <w:spacing w:after="0" w:line="240" w:lineRule="auto"/>
              <w:jc w:val="right"/>
              <w:rPr>
                <w:rFonts w:ascii="Times New Roman" w:hAnsi="Times New Roman" w:cs="Times New Roman"/>
                <w:b/>
                <w:bCs/>
                <w:color w:val="000000"/>
                <w:sz w:val="20"/>
                <w:szCs w:val="20"/>
              </w:rPr>
            </w:pPr>
            <w:r w:rsidRPr="00591367">
              <w:rPr>
                <w:rFonts w:ascii="Times New Roman" w:hAnsi="Times New Roman" w:cs="Times New Roman"/>
                <w:b/>
                <w:bCs/>
                <w:color w:val="000000"/>
                <w:sz w:val="20"/>
                <w:szCs w:val="20"/>
              </w:rPr>
              <w:t>477</w:t>
            </w:r>
          </w:p>
        </w:tc>
      </w:tr>
    </w:tbl>
    <w:p w14:paraId="541C4256" w14:textId="2869C4F4" w:rsidR="00D733B4" w:rsidRPr="008909DE" w:rsidRDefault="00A24814">
      <w:pPr>
        <w:rPr>
          <w:rFonts w:ascii="Times New Roman" w:hAnsi="Times New Roman" w:cs="Times New Roman"/>
        </w:rPr>
      </w:pPr>
      <w:r w:rsidRPr="00A24814">
        <w:rPr>
          <w:rFonts w:ascii="Times New Roman" w:hAnsi="Times New Roman" w:cs="Times New Roman"/>
        </w:rPr>
        <w:t>Estimation of the NAFB is based on a household of 4 people with the following assumptions regarding composition and age:  1 Female (8-9 years), 1 Male (5-6 years), 1 Man (30-59 years) and 1 Woman (18-</w:t>
      </w:r>
      <w:r w:rsidRPr="00A24814">
        <w:rPr>
          <w:rFonts w:ascii="Times New Roman" w:hAnsi="Times New Roman" w:cs="Times New Roman"/>
        </w:rPr>
        <w:lastRenderedPageBreak/>
        <w:t>29 years). Total weight is in grams (g/day) and cost is in Ghc. Blank cells in the table indicate that the food item is not used in the respective NAFB. Zero values in the cost columns indicate that the food item can be obtained without cost, for example as a byproduct from crops (e.g., crop leaves) or grown in or around the farm (e.g., mango trees).</w:t>
      </w:r>
    </w:p>
    <w:p w14:paraId="6328B1C9" w14:textId="77777777" w:rsidR="00D733B4" w:rsidRDefault="00D733B4" w:rsidP="00D733B4"/>
    <w:p w14:paraId="046FCE04" w14:textId="77777777" w:rsidR="00D733B4" w:rsidRPr="00925990" w:rsidRDefault="00D733B4" w:rsidP="00E81677">
      <w:pPr>
        <w:rPr>
          <w:rFonts w:ascii="Times New Roman" w:hAnsi="Times New Roman" w:cs="Times New Roman"/>
          <w:sz w:val="24"/>
          <w:szCs w:val="24"/>
        </w:rPr>
      </w:pPr>
    </w:p>
    <w:p w14:paraId="5E09955A" w14:textId="609F87D6" w:rsidR="000219CD" w:rsidRPr="00925990" w:rsidRDefault="003C6B49" w:rsidP="008A2AFE">
      <w:pPr>
        <w:rPr>
          <w:rFonts w:ascii="Times New Roman" w:hAnsi="Times New Roman" w:cs="Times New Roman"/>
          <w:b/>
          <w:bCs/>
          <w:sz w:val="24"/>
          <w:szCs w:val="24"/>
        </w:rPr>
      </w:pPr>
      <w:r w:rsidRPr="00797D66">
        <w:rPr>
          <w:rFonts w:ascii="Times New Roman" w:hAnsi="Times New Roman" w:cs="Times New Roman"/>
          <w:noProof/>
          <w:sz w:val="24"/>
          <w:szCs w:val="24"/>
        </w:rPr>
        <w:drawing>
          <wp:inline distT="0" distB="0" distL="0" distR="0" wp14:anchorId="5D1E8505" wp14:editId="4EFC48BF">
            <wp:extent cx="5943600" cy="4204335"/>
            <wp:effectExtent l="0" t="0" r="0" b="5715"/>
            <wp:docPr id="4100094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4204335"/>
                    </a:xfrm>
                    <a:prstGeom prst="rect">
                      <a:avLst/>
                    </a:prstGeom>
                    <a:noFill/>
                    <a:ln>
                      <a:noFill/>
                    </a:ln>
                  </pic:spPr>
                </pic:pic>
              </a:graphicData>
            </a:graphic>
          </wp:inline>
        </w:drawing>
      </w:r>
    </w:p>
    <w:p w14:paraId="7DDEAEED" w14:textId="59BBB4D0" w:rsidR="008A2AFE" w:rsidRPr="00925990" w:rsidRDefault="008A2AFE" w:rsidP="008A2AFE">
      <w:pPr>
        <w:rPr>
          <w:rFonts w:ascii="Times New Roman" w:hAnsi="Times New Roman" w:cs="Times New Roman"/>
          <w:sz w:val="24"/>
          <w:szCs w:val="24"/>
        </w:rPr>
      </w:pPr>
      <w:bookmarkStart w:id="3" w:name="OLE_LINK30"/>
      <w:r w:rsidRPr="00925990">
        <w:rPr>
          <w:rFonts w:ascii="Times New Roman" w:hAnsi="Times New Roman" w:cs="Times New Roman"/>
          <w:b/>
          <w:bCs/>
          <w:sz w:val="24"/>
          <w:szCs w:val="24"/>
        </w:rPr>
        <w:t>Figure S</w:t>
      </w:r>
      <w:r w:rsidR="00C767C2">
        <w:rPr>
          <w:rFonts w:ascii="Times New Roman" w:hAnsi="Times New Roman" w:cs="Times New Roman"/>
          <w:b/>
          <w:bCs/>
          <w:sz w:val="24"/>
          <w:szCs w:val="24"/>
        </w:rPr>
        <w:t>4</w:t>
      </w:r>
      <w:r w:rsidRPr="00925990">
        <w:rPr>
          <w:rFonts w:ascii="Times New Roman" w:hAnsi="Times New Roman" w:cs="Times New Roman"/>
          <w:b/>
          <w:bCs/>
          <w:sz w:val="24"/>
          <w:szCs w:val="24"/>
        </w:rPr>
        <w:t xml:space="preserve"> </w:t>
      </w:r>
      <w:bookmarkEnd w:id="3"/>
      <w:r w:rsidRPr="00925990">
        <w:rPr>
          <w:rFonts w:ascii="Times New Roman" w:hAnsi="Times New Roman" w:cs="Times New Roman"/>
          <w:b/>
          <w:bCs/>
          <w:sz w:val="24"/>
          <w:szCs w:val="24"/>
        </w:rPr>
        <w:t>| AEZs of Ghana</w:t>
      </w:r>
      <w:r w:rsidRPr="00925990">
        <w:rPr>
          <w:rFonts w:ascii="Times New Roman" w:hAnsi="Times New Roman" w:cs="Times New Roman"/>
          <w:sz w:val="24"/>
          <w:szCs w:val="24"/>
        </w:rPr>
        <w:t>. Study location illustrating the major agro-ecological zones.</w:t>
      </w:r>
    </w:p>
    <w:p w14:paraId="276FFA7E" w14:textId="77777777" w:rsidR="008A2AFE" w:rsidRDefault="008A2AFE">
      <w:pPr>
        <w:rPr>
          <w:rFonts w:ascii="Times New Roman" w:hAnsi="Times New Roman" w:cs="Times New Roman"/>
          <w:sz w:val="24"/>
          <w:szCs w:val="24"/>
        </w:rPr>
      </w:pPr>
    </w:p>
    <w:p w14:paraId="6BDFC119" w14:textId="77777777" w:rsidR="00D733B4" w:rsidRDefault="00D733B4">
      <w:pPr>
        <w:rPr>
          <w:rFonts w:ascii="Times New Roman" w:hAnsi="Times New Roman" w:cs="Times New Roman"/>
          <w:sz w:val="24"/>
          <w:szCs w:val="24"/>
        </w:rPr>
      </w:pPr>
      <w:r>
        <w:rPr>
          <w:rFonts w:ascii="Times New Roman" w:hAnsi="Times New Roman" w:cs="Times New Roman"/>
          <w:sz w:val="24"/>
          <w:szCs w:val="24"/>
        </w:rPr>
        <w:br w:type="page"/>
      </w:r>
    </w:p>
    <w:p w14:paraId="3A640172" w14:textId="5B29C10C" w:rsidR="00D71C79" w:rsidRPr="00D733B4" w:rsidRDefault="00D309ED">
      <w:pPr>
        <w:rPr>
          <w:rFonts w:ascii="Times New Roman" w:hAnsi="Times New Roman" w:cs="Times New Roman"/>
          <w:b/>
          <w:bCs/>
          <w:sz w:val="24"/>
          <w:szCs w:val="24"/>
        </w:rPr>
      </w:pPr>
      <w:r w:rsidRPr="00D733B4">
        <w:rPr>
          <w:rFonts w:ascii="Times New Roman" w:hAnsi="Times New Roman" w:cs="Times New Roman"/>
          <w:b/>
          <w:bCs/>
          <w:sz w:val="24"/>
          <w:szCs w:val="24"/>
        </w:rPr>
        <w:lastRenderedPageBreak/>
        <w:t>References</w:t>
      </w:r>
    </w:p>
    <w:p w14:paraId="1C10D522" w14:textId="77777777" w:rsidR="00F03D60" w:rsidRPr="00925990" w:rsidRDefault="00D309ED"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fldChar w:fldCharType="begin"/>
      </w:r>
      <w:r w:rsidR="00F03D60" w:rsidRPr="00797D66">
        <w:rPr>
          <w:rFonts w:ascii="Times New Roman" w:hAnsi="Times New Roman" w:cs="Times New Roman"/>
          <w:sz w:val="24"/>
          <w:szCs w:val="24"/>
        </w:rPr>
        <w:instrText xml:space="preserve"> ADDIN ZOTERO_BIBL {"uncited":[],"omitted":[],"custom":[]} CSL_BIBLIOGRAPHY </w:instrText>
      </w:r>
      <w:r w:rsidRPr="00925990">
        <w:rPr>
          <w:rFonts w:ascii="Times New Roman" w:hAnsi="Times New Roman" w:cs="Times New Roman"/>
          <w:sz w:val="24"/>
          <w:szCs w:val="24"/>
        </w:rPr>
        <w:fldChar w:fldCharType="separate"/>
      </w:r>
      <w:r w:rsidR="00F03D60" w:rsidRPr="00925990">
        <w:rPr>
          <w:rFonts w:ascii="Times New Roman" w:hAnsi="Times New Roman" w:cs="Times New Roman"/>
          <w:sz w:val="24"/>
          <w:szCs w:val="24"/>
        </w:rPr>
        <w:t>1.</w:t>
      </w:r>
      <w:r w:rsidR="00F03D60" w:rsidRPr="00925990">
        <w:rPr>
          <w:rFonts w:ascii="Times New Roman" w:hAnsi="Times New Roman" w:cs="Times New Roman"/>
          <w:sz w:val="24"/>
          <w:szCs w:val="24"/>
        </w:rPr>
        <w:tab/>
        <w:t>Amegashie, K. B. Response of maize grain and stover yields to tillage and different soil fertility management practices in the semi-deciduous forest zone of Ghana. (2015).</w:t>
      </w:r>
    </w:p>
    <w:p w14:paraId="4CCD4135" w14:textId="55710C83"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2.</w:t>
      </w:r>
      <w:r w:rsidRPr="00925990">
        <w:rPr>
          <w:rFonts w:ascii="Times New Roman" w:hAnsi="Times New Roman" w:cs="Times New Roman"/>
          <w:sz w:val="24"/>
          <w:szCs w:val="24"/>
        </w:rPr>
        <w:tab/>
        <w:t xml:space="preserve">Gueye, M. </w:t>
      </w:r>
      <w:r w:rsidRPr="00925990">
        <w:rPr>
          <w:rFonts w:ascii="Times New Roman" w:hAnsi="Times New Roman" w:cs="Times New Roman"/>
          <w:i/>
          <w:iCs/>
          <w:sz w:val="24"/>
          <w:szCs w:val="24"/>
        </w:rPr>
        <w:t>et al.</w:t>
      </w:r>
      <w:r w:rsidRPr="00925990">
        <w:rPr>
          <w:rFonts w:ascii="Times New Roman" w:hAnsi="Times New Roman" w:cs="Times New Roman"/>
          <w:sz w:val="24"/>
          <w:szCs w:val="24"/>
        </w:rPr>
        <w:t xml:space="preserve"> Effect of planting date on growth and grain yield of fonio millet (</w:t>
      </w:r>
      <w:r w:rsidRPr="00925990">
        <w:rPr>
          <w:rFonts w:ascii="Times New Roman" w:hAnsi="Times New Roman" w:cs="Times New Roman"/>
          <w:i/>
          <w:iCs/>
          <w:sz w:val="24"/>
          <w:szCs w:val="24"/>
        </w:rPr>
        <w:t>Digitaria exilis</w:t>
      </w:r>
      <w:r w:rsidRPr="00925990">
        <w:rPr>
          <w:rFonts w:ascii="Times New Roman" w:hAnsi="Times New Roman" w:cs="Times New Roman"/>
          <w:sz w:val="24"/>
          <w:szCs w:val="24"/>
        </w:rPr>
        <w:t xml:space="preserve"> Stapf) in the Southeast of Senegal. </w:t>
      </w:r>
      <w:r w:rsidRPr="00925990">
        <w:rPr>
          <w:rFonts w:ascii="Times New Roman" w:hAnsi="Times New Roman" w:cs="Times New Roman"/>
          <w:i/>
          <w:iCs/>
          <w:sz w:val="24"/>
          <w:szCs w:val="24"/>
        </w:rPr>
        <w:t>Int. J. Bio. Chem. Sci</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9</w:t>
      </w:r>
      <w:r w:rsidRPr="00925990">
        <w:rPr>
          <w:rFonts w:ascii="Times New Roman" w:hAnsi="Times New Roman" w:cs="Times New Roman"/>
          <w:sz w:val="24"/>
          <w:szCs w:val="24"/>
        </w:rPr>
        <w:t>, 581 (2015).</w:t>
      </w:r>
      <w:r w:rsidR="00754282">
        <w:rPr>
          <w:rFonts w:ascii="Times New Roman" w:hAnsi="Times New Roman" w:cs="Times New Roman"/>
          <w:sz w:val="24"/>
          <w:szCs w:val="24"/>
        </w:rPr>
        <w:t xml:space="preserve"> </w:t>
      </w:r>
      <w:r w:rsidR="00754282" w:rsidRPr="009C3098">
        <w:rPr>
          <w:rFonts w:ascii="Times New Roman" w:hAnsi="Times New Roman" w:cs="Times New Roman"/>
          <w:sz w:val="24"/>
          <w:szCs w:val="24"/>
        </w:rPr>
        <w:t>https://doi.org/10.4314/ijbcs.v9i2.1</w:t>
      </w:r>
    </w:p>
    <w:p w14:paraId="794B6F82" w14:textId="3F7A5268"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3.</w:t>
      </w:r>
      <w:r w:rsidRPr="00925990">
        <w:rPr>
          <w:rFonts w:ascii="Times New Roman" w:hAnsi="Times New Roman" w:cs="Times New Roman"/>
          <w:sz w:val="24"/>
          <w:szCs w:val="24"/>
        </w:rPr>
        <w:tab/>
        <w:t xml:space="preserve">Ibrahim Bio Yerima, A. R. </w:t>
      </w:r>
      <w:r w:rsidRPr="00925990">
        <w:rPr>
          <w:rFonts w:ascii="Times New Roman" w:hAnsi="Times New Roman" w:cs="Times New Roman"/>
          <w:i/>
          <w:iCs/>
          <w:sz w:val="24"/>
          <w:szCs w:val="24"/>
        </w:rPr>
        <w:t>et al.</w:t>
      </w:r>
      <w:r w:rsidRPr="00925990">
        <w:rPr>
          <w:rFonts w:ascii="Times New Roman" w:hAnsi="Times New Roman" w:cs="Times New Roman"/>
          <w:sz w:val="24"/>
          <w:szCs w:val="24"/>
        </w:rPr>
        <w:t xml:space="preserve"> Agromorphological Characterization Revealed Three Phenotypic Groups in a Region-Wide Germplasm of Fonio (Digitaria exilis (Kippist) Stapf) from West Africa. </w:t>
      </w:r>
      <w:r w:rsidRPr="00925990">
        <w:rPr>
          <w:rFonts w:ascii="Times New Roman" w:hAnsi="Times New Roman" w:cs="Times New Roman"/>
          <w:i/>
          <w:iCs/>
          <w:sz w:val="24"/>
          <w:szCs w:val="24"/>
        </w:rPr>
        <w:t>Agronomy</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10</w:t>
      </w:r>
      <w:r w:rsidRPr="00925990">
        <w:rPr>
          <w:rFonts w:ascii="Times New Roman" w:hAnsi="Times New Roman" w:cs="Times New Roman"/>
          <w:sz w:val="24"/>
          <w:szCs w:val="24"/>
        </w:rPr>
        <w:t>, 1653 (2020).</w:t>
      </w:r>
      <w:r w:rsidR="00754282">
        <w:rPr>
          <w:rFonts w:ascii="Times New Roman" w:hAnsi="Times New Roman" w:cs="Times New Roman"/>
          <w:sz w:val="24"/>
          <w:szCs w:val="24"/>
        </w:rPr>
        <w:t xml:space="preserve"> </w:t>
      </w:r>
      <w:r w:rsidR="00754282" w:rsidRPr="009C3098">
        <w:rPr>
          <w:rFonts w:ascii="Times New Roman" w:hAnsi="Times New Roman" w:cs="Times New Roman"/>
          <w:sz w:val="24"/>
          <w:szCs w:val="24"/>
        </w:rPr>
        <w:t>https://doi.org/10.3390/agronomy10111653</w:t>
      </w:r>
    </w:p>
    <w:p w14:paraId="5E01C596" w14:textId="45BB1AF0"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4.</w:t>
      </w:r>
      <w:r w:rsidRPr="00925990">
        <w:rPr>
          <w:rFonts w:ascii="Times New Roman" w:hAnsi="Times New Roman" w:cs="Times New Roman"/>
          <w:sz w:val="24"/>
          <w:szCs w:val="24"/>
        </w:rPr>
        <w:tab/>
        <w:t>Dodds, P. E. Development of a crop model to examine crop management and climate change in Senegal. (University of Leeds</w:t>
      </w:r>
      <w:r w:rsidR="0010678E">
        <w:rPr>
          <w:rFonts w:ascii="Times New Roman" w:hAnsi="Times New Roman" w:cs="Times New Roman"/>
          <w:sz w:val="24"/>
          <w:szCs w:val="24"/>
        </w:rPr>
        <w:t>)</w:t>
      </w:r>
      <w:r w:rsidRPr="00925990">
        <w:rPr>
          <w:rFonts w:ascii="Times New Roman" w:hAnsi="Times New Roman" w:cs="Times New Roman"/>
          <w:sz w:val="24"/>
          <w:szCs w:val="24"/>
        </w:rPr>
        <w:t xml:space="preserve"> 2010).</w:t>
      </w:r>
    </w:p>
    <w:p w14:paraId="0505F2F9" w14:textId="1F0365B1"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5.</w:t>
      </w:r>
      <w:r w:rsidRPr="00925990">
        <w:rPr>
          <w:rFonts w:ascii="Times New Roman" w:hAnsi="Times New Roman" w:cs="Times New Roman"/>
          <w:sz w:val="24"/>
          <w:szCs w:val="24"/>
        </w:rPr>
        <w:tab/>
        <w:t xml:space="preserve">Gómez-Dans, J. L. </w:t>
      </w:r>
      <w:r w:rsidRPr="00925990">
        <w:rPr>
          <w:rFonts w:ascii="Times New Roman" w:hAnsi="Times New Roman" w:cs="Times New Roman"/>
          <w:i/>
          <w:iCs/>
          <w:sz w:val="24"/>
          <w:szCs w:val="24"/>
        </w:rPr>
        <w:t>et al.</w:t>
      </w:r>
      <w:r w:rsidRPr="00925990">
        <w:rPr>
          <w:rFonts w:ascii="Times New Roman" w:hAnsi="Times New Roman" w:cs="Times New Roman"/>
          <w:sz w:val="24"/>
          <w:szCs w:val="24"/>
        </w:rPr>
        <w:t xml:space="preserve"> Location, biophysical and agronomic parameters for croplands in northern Ghana. </w:t>
      </w:r>
      <w:r w:rsidRPr="00925990">
        <w:rPr>
          <w:rFonts w:ascii="Times New Roman" w:hAnsi="Times New Roman" w:cs="Times New Roman"/>
          <w:i/>
          <w:iCs/>
          <w:sz w:val="24"/>
          <w:szCs w:val="24"/>
        </w:rPr>
        <w:t>Earth System Science Data</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14</w:t>
      </w:r>
      <w:r w:rsidRPr="00925990">
        <w:rPr>
          <w:rFonts w:ascii="Times New Roman" w:hAnsi="Times New Roman" w:cs="Times New Roman"/>
          <w:sz w:val="24"/>
          <w:szCs w:val="24"/>
        </w:rPr>
        <w:t>, 5387–5410 (2022).</w:t>
      </w:r>
      <w:r w:rsidR="00754282">
        <w:rPr>
          <w:rFonts w:ascii="Times New Roman" w:hAnsi="Times New Roman" w:cs="Times New Roman"/>
          <w:sz w:val="24"/>
          <w:szCs w:val="24"/>
        </w:rPr>
        <w:t xml:space="preserve"> </w:t>
      </w:r>
      <w:r w:rsidR="00754282" w:rsidRPr="005E77E4">
        <w:rPr>
          <w:rFonts w:ascii="Times New Roman" w:hAnsi="Times New Roman" w:cs="Times New Roman"/>
          <w:sz w:val="24"/>
          <w:szCs w:val="24"/>
        </w:rPr>
        <w:t>https://doi.org/10.5194/essd-14-5387-2022</w:t>
      </w:r>
    </w:p>
    <w:p w14:paraId="5046E803" w14:textId="77777777"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6.</w:t>
      </w:r>
      <w:r w:rsidRPr="00925990">
        <w:rPr>
          <w:rFonts w:ascii="Times New Roman" w:hAnsi="Times New Roman" w:cs="Times New Roman"/>
          <w:sz w:val="24"/>
          <w:szCs w:val="24"/>
        </w:rPr>
        <w:tab/>
        <w:t>Gerik, T., Bean, B. &amp; Vanderlip, R. Sorghum growth and development. (2024).</w:t>
      </w:r>
    </w:p>
    <w:p w14:paraId="4B3FA5B6" w14:textId="54997973"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7.</w:t>
      </w:r>
      <w:r w:rsidRPr="00925990">
        <w:rPr>
          <w:rFonts w:ascii="Times New Roman" w:hAnsi="Times New Roman" w:cs="Times New Roman"/>
          <w:sz w:val="24"/>
          <w:szCs w:val="24"/>
        </w:rPr>
        <w:tab/>
        <w:t xml:space="preserve">Djanaguiraman, M., Prasad, P. V. V. &amp; Seppanen, M. Selenium protects sorghum leaves from oxidative damage under high temperature stress by enhancing antioxidant defense system. </w:t>
      </w:r>
      <w:r w:rsidRPr="00925990">
        <w:rPr>
          <w:rFonts w:ascii="Times New Roman" w:hAnsi="Times New Roman" w:cs="Times New Roman"/>
          <w:i/>
          <w:iCs/>
          <w:sz w:val="24"/>
          <w:szCs w:val="24"/>
        </w:rPr>
        <w:t>Plant Physiology and Biochemistry</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48</w:t>
      </w:r>
      <w:r w:rsidRPr="00925990">
        <w:rPr>
          <w:rFonts w:ascii="Times New Roman" w:hAnsi="Times New Roman" w:cs="Times New Roman"/>
          <w:sz w:val="24"/>
          <w:szCs w:val="24"/>
        </w:rPr>
        <w:t>, 999–1007 (2010).</w:t>
      </w:r>
      <w:r w:rsidR="00754282">
        <w:rPr>
          <w:rFonts w:ascii="Times New Roman" w:hAnsi="Times New Roman" w:cs="Times New Roman"/>
          <w:sz w:val="24"/>
          <w:szCs w:val="24"/>
        </w:rPr>
        <w:t xml:space="preserve"> </w:t>
      </w:r>
      <w:r w:rsidR="00754282" w:rsidRPr="005E77E4">
        <w:rPr>
          <w:rFonts w:ascii="Times New Roman" w:hAnsi="Times New Roman" w:cs="Times New Roman"/>
          <w:sz w:val="24"/>
          <w:szCs w:val="24"/>
        </w:rPr>
        <w:t>https://doi.org/10.1016/j.plaphy.2010.09.009</w:t>
      </w:r>
    </w:p>
    <w:p w14:paraId="63C52329" w14:textId="3277A37F"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8.</w:t>
      </w:r>
      <w:r w:rsidRPr="00925990">
        <w:rPr>
          <w:rFonts w:ascii="Times New Roman" w:hAnsi="Times New Roman" w:cs="Times New Roman"/>
          <w:sz w:val="24"/>
          <w:szCs w:val="24"/>
        </w:rPr>
        <w:tab/>
        <w:t xml:space="preserve">Muchow, R. C. &amp; Sinclair, T. R. Nitrogen Response of Leaf Photosynthesis and Canopy Radiation Use Efficiency in Field-Grown Maize and Sorghum. </w:t>
      </w:r>
      <w:r w:rsidRPr="00925990">
        <w:rPr>
          <w:rFonts w:ascii="Times New Roman" w:hAnsi="Times New Roman" w:cs="Times New Roman"/>
          <w:i/>
          <w:iCs/>
          <w:sz w:val="24"/>
          <w:szCs w:val="24"/>
        </w:rPr>
        <w:t>Crop Science</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34</w:t>
      </w:r>
      <w:r w:rsidRPr="00925990">
        <w:rPr>
          <w:rFonts w:ascii="Times New Roman" w:hAnsi="Times New Roman" w:cs="Times New Roman"/>
          <w:sz w:val="24"/>
          <w:szCs w:val="24"/>
        </w:rPr>
        <w:t>, (1994).</w:t>
      </w:r>
      <w:r w:rsidR="00754282">
        <w:rPr>
          <w:rFonts w:ascii="Times New Roman" w:hAnsi="Times New Roman" w:cs="Times New Roman"/>
          <w:sz w:val="24"/>
          <w:szCs w:val="24"/>
        </w:rPr>
        <w:t xml:space="preserve"> </w:t>
      </w:r>
      <w:r w:rsidR="00754282" w:rsidRPr="00F80E8F">
        <w:rPr>
          <w:rFonts w:ascii="Times New Roman" w:hAnsi="Times New Roman" w:cs="Times New Roman"/>
          <w:sz w:val="24"/>
          <w:szCs w:val="24"/>
        </w:rPr>
        <w:t>https://doi.org/10.2135/cropsci1994.0011183x003400030022x</w:t>
      </w:r>
    </w:p>
    <w:p w14:paraId="1CE2D941" w14:textId="3C0EA9A1"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lastRenderedPageBreak/>
        <w:t>9.</w:t>
      </w:r>
      <w:r w:rsidRPr="00925990">
        <w:rPr>
          <w:rFonts w:ascii="Times New Roman" w:hAnsi="Times New Roman" w:cs="Times New Roman"/>
          <w:sz w:val="24"/>
          <w:szCs w:val="24"/>
        </w:rPr>
        <w:tab/>
        <w:t xml:space="preserve">Pereira-Flores, M. E., Justino, F. B., Pereira-Flores, M. E. &amp; Justino, F. B. Yield Components and Biomass Partition in Soybean: Climate Change Vision. in </w:t>
      </w:r>
      <w:r w:rsidRPr="00925990">
        <w:rPr>
          <w:rFonts w:ascii="Times New Roman" w:hAnsi="Times New Roman" w:cs="Times New Roman"/>
          <w:i/>
          <w:iCs/>
          <w:sz w:val="24"/>
          <w:szCs w:val="24"/>
        </w:rPr>
        <w:t>Soybean - Biomass, Yield and Productivity</w:t>
      </w:r>
      <w:r w:rsidRPr="00925990">
        <w:rPr>
          <w:rFonts w:ascii="Times New Roman" w:hAnsi="Times New Roman" w:cs="Times New Roman"/>
          <w:sz w:val="24"/>
          <w:szCs w:val="24"/>
        </w:rPr>
        <w:t xml:space="preserve"> (IntechOpen</w:t>
      </w:r>
      <w:r w:rsidR="002463F0">
        <w:rPr>
          <w:rFonts w:ascii="Times New Roman" w:hAnsi="Times New Roman" w:cs="Times New Roman"/>
          <w:sz w:val="24"/>
          <w:szCs w:val="24"/>
        </w:rPr>
        <w:t>)</w:t>
      </w:r>
      <w:r w:rsidRPr="00925990">
        <w:rPr>
          <w:rFonts w:ascii="Times New Roman" w:hAnsi="Times New Roman" w:cs="Times New Roman"/>
          <w:sz w:val="24"/>
          <w:szCs w:val="24"/>
        </w:rPr>
        <w:t xml:space="preserve"> </w:t>
      </w:r>
      <w:r w:rsidR="002463F0">
        <w:rPr>
          <w:rFonts w:ascii="Times New Roman" w:hAnsi="Times New Roman" w:cs="Times New Roman"/>
          <w:sz w:val="24"/>
          <w:szCs w:val="24"/>
        </w:rPr>
        <w:t>(</w:t>
      </w:r>
      <w:r w:rsidRPr="00925990">
        <w:rPr>
          <w:rFonts w:ascii="Times New Roman" w:hAnsi="Times New Roman" w:cs="Times New Roman"/>
          <w:sz w:val="24"/>
          <w:szCs w:val="24"/>
        </w:rPr>
        <w:t xml:space="preserve">2019). </w:t>
      </w:r>
      <w:r w:rsidR="00754282" w:rsidRPr="00C7686C">
        <w:rPr>
          <w:rFonts w:ascii="Times New Roman" w:hAnsi="Times New Roman" w:cs="Times New Roman"/>
          <w:sz w:val="24"/>
          <w:szCs w:val="24"/>
        </w:rPr>
        <w:t>https://doi.org/10.5772/intechopen.81627</w:t>
      </w:r>
    </w:p>
    <w:p w14:paraId="45B541AB" w14:textId="7F3CC057"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10.</w:t>
      </w:r>
      <w:r w:rsidRPr="00925990">
        <w:rPr>
          <w:rFonts w:ascii="Times New Roman" w:hAnsi="Times New Roman" w:cs="Times New Roman"/>
          <w:sz w:val="24"/>
          <w:szCs w:val="24"/>
        </w:rPr>
        <w:tab/>
        <w:t xml:space="preserve">Muchow, R. C., Robertson, M. J. &amp; Pengelly, B. C. Radiation-use efficiency of soybean, mugbean and cowpea under different environmental conditions. </w:t>
      </w:r>
      <w:r w:rsidRPr="00925990">
        <w:rPr>
          <w:rFonts w:ascii="Times New Roman" w:hAnsi="Times New Roman" w:cs="Times New Roman"/>
          <w:i/>
          <w:iCs/>
          <w:sz w:val="24"/>
          <w:szCs w:val="24"/>
        </w:rPr>
        <w:t>Field Crops Research</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32</w:t>
      </w:r>
      <w:r w:rsidRPr="00925990">
        <w:rPr>
          <w:rFonts w:ascii="Times New Roman" w:hAnsi="Times New Roman" w:cs="Times New Roman"/>
          <w:sz w:val="24"/>
          <w:szCs w:val="24"/>
        </w:rPr>
        <w:t>, 1–16 (1993).</w:t>
      </w:r>
      <w:r w:rsidR="00754282">
        <w:rPr>
          <w:rFonts w:ascii="Times New Roman" w:hAnsi="Times New Roman" w:cs="Times New Roman"/>
          <w:sz w:val="24"/>
          <w:szCs w:val="24"/>
        </w:rPr>
        <w:t xml:space="preserve">  </w:t>
      </w:r>
      <w:r w:rsidR="00754282" w:rsidRPr="00C7686C">
        <w:rPr>
          <w:rFonts w:ascii="Times New Roman" w:hAnsi="Times New Roman" w:cs="Times New Roman"/>
          <w:sz w:val="24"/>
          <w:szCs w:val="24"/>
        </w:rPr>
        <w:t>https://doi.org/10.1016/0378-4290(93)90017-h</w:t>
      </w:r>
    </w:p>
    <w:p w14:paraId="55A519A8" w14:textId="521C96E1"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11.</w:t>
      </w:r>
      <w:r w:rsidRPr="00925990">
        <w:rPr>
          <w:rFonts w:ascii="Times New Roman" w:hAnsi="Times New Roman" w:cs="Times New Roman"/>
          <w:sz w:val="24"/>
          <w:szCs w:val="24"/>
        </w:rPr>
        <w:tab/>
        <w:t xml:space="preserve">Majola, N. G., Gerrano, A. S. &amp; Shimelis, H. Bambara Groundnut (Vigna subterranea [L.] Verdc.) Production, Utilisation and Genetic Improvement in Sub-Saharan Africa. </w:t>
      </w:r>
      <w:r w:rsidRPr="00925990">
        <w:rPr>
          <w:rFonts w:ascii="Times New Roman" w:hAnsi="Times New Roman" w:cs="Times New Roman"/>
          <w:i/>
          <w:iCs/>
          <w:sz w:val="24"/>
          <w:szCs w:val="24"/>
        </w:rPr>
        <w:t>Agronomy</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11</w:t>
      </w:r>
      <w:r w:rsidRPr="00925990">
        <w:rPr>
          <w:rFonts w:ascii="Times New Roman" w:hAnsi="Times New Roman" w:cs="Times New Roman"/>
          <w:sz w:val="24"/>
          <w:szCs w:val="24"/>
        </w:rPr>
        <w:t>, 1345 (2021).</w:t>
      </w:r>
      <w:r w:rsidR="00754282">
        <w:rPr>
          <w:rFonts w:ascii="Times New Roman" w:hAnsi="Times New Roman" w:cs="Times New Roman"/>
          <w:sz w:val="24"/>
          <w:szCs w:val="24"/>
        </w:rPr>
        <w:t xml:space="preserve">  </w:t>
      </w:r>
      <w:r w:rsidR="00754282" w:rsidRPr="00C7686C">
        <w:rPr>
          <w:rFonts w:ascii="Times New Roman" w:hAnsi="Times New Roman" w:cs="Times New Roman"/>
          <w:sz w:val="24"/>
          <w:szCs w:val="24"/>
        </w:rPr>
        <w:t>https://doi.org/10.3390/agronomy11071345</w:t>
      </w:r>
    </w:p>
    <w:p w14:paraId="39D62862" w14:textId="583207FC"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12.</w:t>
      </w:r>
      <w:r w:rsidRPr="00925990">
        <w:rPr>
          <w:rFonts w:ascii="Times New Roman" w:hAnsi="Times New Roman" w:cs="Times New Roman"/>
          <w:sz w:val="24"/>
          <w:szCs w:val="24"/>
        </w:rPr>
        <w:tab/>
        <w:t xml:space="preserve">Mabhaudhi, T. &amp; Modi, A. T. Growth, phenological and yield responses of a bambara groundnut (Vigna subterranea (L.) Verdc.) landrace to imposed water stress under field conditions. </w:t>
      </w:r>
      <w:r w:rsidRPr="00925990">
        <w:rPr>
          <w:rFonts w:ascii="Times New Roman" w:hAnsi="Times New Roman" w:cs="Times New Roman"/>
          <w:i/>
          <w:iCs/>
          <w:sz w:val="24"/>
          <w:szCs w:val="24"/>
        </w:rPr>
        <w:t>South African Journal of Plant and Soil</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30</w:t>
      </w:r>
      <w:r w:rsidRPr="00925990">
        <w:rPr>
          <w:rFonts w:ascii="Times New Roman" w:hAnsi="Times New Roman" w:cs="Times New Roman"/>
          <w:sz w:val="24"/>
          <w:szCs w:val="24"/>
        </w:rPr>
        <w:t>, 69–79 (2013).</w:t>
      </w:r>
      <w:r w:rsidR="00754282">
        <w:rPr>
          <w:rFonts w:ascii="Times New Roman" w:hAnsi="Times New Roman" w:cs="Times New Roman"/>
          <w:sz w:val="24"/>
          <w:szCs w:val="24"/>
        </w:rPr>
        <w:t xml:space="preserve"> </w:t>
      </w:r>
      <w:r w:rsidR="00754282" w:rsidRPr="0009330D">
        <w:rPr>
          <w:rFonts w:ascii="Times New Roman" w:hAnsi="Times New Roman" w:cs="Times New Roman"/>
          <w:sz w:val="24"/>
          <w:szCs w:val="24"/>
        </w:rPr>
        <w:t>https://doi.org/10.1080/02571862.2013.790492</w:t>
      </w:r>
    </w:p>
    <w:p w14:paraId="67D81616" w14:textId="67F762AC"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13.</w:t>
      </w:r>
      <w:r w:rsidRPr="00925990">
        <w:rPr>
          <w:rFonts w:ascii="Times New Roman" w:hAnsi="Times New Roman" w:cs="Times New Roman"/>
          <w:sz w:val="24"/>
          <w:szCs w:val="24"/>
        </w:rPr>
        <w:tab/>
        <w:t xml:space="preserve">Hasan, M., Uddin, M. K., Mohamed, M. T. M. &amp; Zuan, A. T. K. Nitrogen and phosphorus management for Bambara groundnut (Vigna subterranea) production-A review. </w:t>
      </w:r>
      <w:r w:rsidRPr="00925990">
        <w:rPr>
          <w:rFonts w:ascii="Times New Roman" w:hAnsi="Times New Roman" w:cs="Times New Roman"/>
          <w:i/>
          <w:iCs/>
          <w:sz w:val="24"/>
          <w:szCs w:val="24"/>
        </w:rPr>
        <w:t>Legume Research</w:t>
      </w:r>
      <w:r w:rsidRPr="00925990">
        <w:rPr>
          <w:rFonts w:ascii="Times New Roman" w:hAnsi="Times New Roman" w:cs="Times New Roman"/>
          <w:sz w:val="24"/>
          <w:szCs w:val="24"/>
        </w:rPr>
        <w:t xml:space="preserve"> (2018).</w:t>
      </w:r>
      <w:r w:rsidR="00754282">
        <w:rPr>
          <w:rFonts w:ascii="Times New Roman" w:hAnsi="Times New Roman" w:cs="Times New Roman"/>
          <w:sz w:val="24"/>
          <w:szCs w:val="24"/>
        </w:rPr>
        <w:t xml:space="preserve"> </w:t>
      </w:r>
      <w:r w:rsidR="00754282" w:rsidRPr="0009330D">
        <w:rPr>
          <w:rFonts w:ascii="Times New Roman" w:hAnsi="Times New Roman" w:cs="Times New Roman"/>
          <w:sz w:val="24"/>
          <w:szCs w:val="24"/>
        </w:rPr>
        <w:t>https://doi.org/10.18805/lr-379</w:t>
      </w:r>
    </w:p>
    <w:p w14:paraId="67D425B4" w14:textId="42D36DC1"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14.</w:t>
      </w:r>
      <w:r w:rsidRPr="00925990">
        <w:rPr>
          <w:rFonts w:ascii="Times New Roman" w:hAnsi="Times New Roman" w:cs="Times New Roman"/>
          <w:sz w:val="24"/>
          <w:szCs w:val="24"/>
        </w:rPr>
        <w:tab/>
        <w:t>FAO Agricultural Information Management Series. https://www.fao.org/4/y0494e/Y0494e05.htm</w:t>
      </w:r>
      <w:r w:rsidR="00C924DD">
        <w:rPr>
          <w:rFonts w:ascii="Times New Roman" w:hAnsi="Times New Roman" w:cs="Times New Roman"/>
          <w:sz w:val="24"/>
          <w:szCs w:val="24"/>
        </w:rPr>
        <w:t xml:space="preserve"> </w:t>
      </w:r>
      <w:r w:rsidR="00C924DD" w:rsidRPr="00110350">
        <w:rPr>
          <w:rFonts w:ascii="Times New Roman" w:hAnsi="Times New Roman" w:cs="Times New Roman"/>
          <w:sz w:val="24"/>
          <w:szCs w:val="24"/>
        </w:rPr>
        <w:t xml:space="preserve"> </w:t>
      </w:r>
      <w:r w:rsidR="00C924DD">
        <w:rPr>
          <w:rFonts w:ascii="Times New Roman" w:hAnsi="Times New Roman" w:cs="Times New Roman"/>
          <w:sz w:val="24"/>
          <w:szCs w:val="24"/>
          <w:lang w:val="es-ES"/>
        </w:rPr>
        <w:t>(Accessed on 18-10-2023)</w:t>
      </w:r>
    </w:p>
    <w:p w14:paraId="50B750D1" w14:textId="22CAE1D6" w:rsidR="00F03D60" w:rsidRPr="00925990" w:rsidRDefault="00F03D60" w:rsidP="001B6812">
      <w:pPr>
        <w:pStyle w:val="Bibliography"/>
        <w:jc w:val="both"/>
        <w:rPr>
          <w:rFonts w:ascii="Times New Roman" w:hAnsi="Times New Roman" w:cs="Times New Roman"/>
          <w:sz w:val="24"/>
          <w:szCs w:val="24"/>
        </w:rPr>
      </w:pPr>
      <w:r w:rsidRPr="00797D66">
        <w:rPr>
          <w:rFonts w:ascii="Times New Roman" w:hAnsi="Times New Roman" w:cs="Times New Roman"/>
          <w:sz w:val="24"/>
          <w:szCs w:val="24"/>
          <w:lang w:val="de-DE"/>
        </w:rPr>
        <w:t>15.</w:t>
      </w:r>
      <w:r w:rsidRPr="00797D66">
        <w:rPr>
          <w:rFonts w:ascii="Times New Roman" w:hAnsi="Times New Roman" w:cs="Times New Roman"/>
          <w:sz w:val="24"/>
          <w:szCs w:val="24"/>
          <w:lang w:val="de-DE"/>
        </w:rPr>
        <w:tab/>
        <w:t xml:space="preserve">Soni, M. L. </w:t>
      </w:r>
      <w:r w:rsidRPr="00797D66">
        <w:rPr>
          <w:rFonts w:ascii="Times New Roman" w:hAnsi="Times New Roman" w:cs="Times New Roman"/>
          <w:i/>
          <w:iCs/>
          <w:sz w:val="24"/>
          <w:szCs w:val="24"/>
          <w:lang w:val="de-DE"/>
        </w:rPr>
        <w:t>et al.</w:t>
      </w:r>
      <w:r w:rsidRPr="00797D66">
        <w:rPr>
          <w:rFonts w:ascii="Times New Roman" w:hAnsi="Times New Roman" w:cs="Times New Roman"/>
          <w:sz w:val="24"/>
          <w:szCs w:val="24"/>
          <w:lang w:val="de-DE"/>
        </w:rPr>
        <w:t xml:space="preserve"> </w:t>
      </w:r>
      <w:r w:rsidRPr="00925990">
        <w:rPr>
          <w:rFonts w:ascii="Times New Roman" w:hAnsi="Times New Roman" w:cs="Times New Roman"/>
          <w:sz w:val="24"/>
          <w:szCs w:val="24"/>
        </w:rPr>
        <w:t xml:space="preserve">Variability in heat tolerance in Bambara groundnut (Vigna subterranea (L.) Verdc.). </w:t>
      </w:r>
      <w:r w:rsidRPr="00925990">
        <w:rPr>
          <w:rFonts w:ascii="Times New Roman" w:hAnsi="Times New Roman" w:cs="Times New Roman"/>
          <w:i/>
          <w:iCs/>
          <w:sz w:val="24"/>
          <w:szCs w:val="24"/>
        </w:rPr>
        <w:t>Ind J Plant Physiol.</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20</w:t>
      </w:r>
      <w:r w:rsidRPr="00925990">
        <w:rPr>
          <w:rFonts w:ascii="Times New Roman" w:hAnsi="Times New Roman" w:cs="Times New Roman"/>
          <w:sz w:val="24"/>
          <w:szCs w:val="24"/>
        </w:rPr>
        <w:t>, 92–96 (2015).</w:t>
      </w:r>
      <w:r w:rsidR="00C924DD" w:rsidRPr="00C924DD">
        <w:rPr>
          <w:rFonts w:ascii="Times New Roman" w:hAnsi="Times New Roman" w:cs="Times New Roman"/>
          <w:sz w:val="24"/>
          <w:szCs w:val="24"/>
        </w:rPr>
        <w:t>DOI:10.1007/s40502-015-0137-8</w:t>
      </w:r>
    </w:p>
    <w:p w14:paraId="23A44761" w14:textId="360552C3"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16.</w:t>
      </w:r>
      <w:r w:rsidRPr="00925990">
        <w:rPr>
          <w:rFonts w:ascii="Times New Roman" w:hAnsi="Times New Roman" w:cs="Times New Roman"/>
          <w:sz w:val="24"/>
          <w:szCs w:val="24"/>
        </w:rPr>
        <w:tab/>
        <w:t>Cocoyam farming complete guidlines:complete information about cocoyam - AGRIFARMBLOG.</w:t>
      </w:r>
      <w:r w:rsidR="0010678E">
        <w:rPr>
          <w:rFonts w:ascii="Times New Roman" w:hAnsi="Times New Roman" w:cs="Times New Roman"/>
          <w:sz w:val="24"/>
          <w:szCs w:val="24"/>
        </w:rPr>
        <w:t xml:space="preserve"> </w:t>
      </w:r>
      <w:r w:rsidR="0010678E" w:rsidRPr="00925990">
        <w:rPr>
          <w:rFonts w:ascii="Times New Roman" w:hAnsi="Times New Roman" w:cs="Times New Roman"/>
          <w:sz w:val="24"/>
          <w:szCs w:val="24"/>
        </w:rPr>
        <w:t>(2020)</w:t>
      </w:r>
      <w:r w:rsidRPr="00925990">
        <w:rPr>
          <w:rFonts w:ascii="Times New Roman" w:hAnsi="Times New Roman" w:cs="Times New Roman"/>
          <w:sz w:val="24"/>
          <w:szCs w:val="24"/>
        </w:rPr>
        <w:t xml:space="preserve"> https://agrifarmblog.com/cocoyam-farming-complete-guidlinescomplete-information-about-cocoyam/ .</w:t>
      </w:r>
    </w:p>
    <w:p w14:paraId="70532BD4" w14:textId="184E0825"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lastRenderedPageBreak/>
        <w:t>17.</w:t>
      </w:r>
      <w:r w:rsidRPr="00925990">
        <w:rPr>
          <w:rFonts w:ascii="Times New Roman" w:hAnsi="Times New Roman" w:cs="Times New Roman"/>
          <w:sz w:val="24"/>
          <w:szCs w:val="24"/>
        </w:rPr>
        <w:tab/>
        <w:t xml:space="preserve">Gelleh, I. D., Henry, O. U., Babalogbon, B. A. &amp; Silas, M. Y. Land Suitability Analysis For The Production Of Cocoyam Inbenue State,Nigeria. </w:t>
      </w:r>
      <w:r w:rsidRPr="00925990">
        <w:rPr>
          <w:rFonts w:ascii="Times New Roman" w:hAnsi="Times New Roman" w:cs="Times New Roman"/>
          <w:i/>
          <w:iCs/>
          <w:sz w:val="24"/>
          <w:szCs w:val="24"/>
        </w:rPr>
        <w:t>Earth Sciences Malaysia (ESMY)</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2</w:t>
      </w:r>
      <w:r w:rsidRPr="00925990">
        <w:rPr>
          <w:rFonts w:ascii="Times New Roman" w:hAnsi="Times New Roman" w:cs="Times New Roman"/>
          <w:sz w:val="24"/>
          <w:szCs w:val="24"/>
        </w:rPr>
        <w:t>, 25–30 (2018).</w:t>
      </w:r>
      <w:r w:rsidR="00C924DD" w:rsidRPr="00C924DD">
        <w:rPr>
          <w:rFonts w:ascii="Times New Roman" w:hAnsi="Times New Roman" w:cs="Times New Roman"/>
          <w:sz w:val="24"/>
          <w:szCs w:val="24"/>
        </w:rPr>
        <w:t>DOI: 10.26480/esmy.02.2018.25.30</w:t>
      </w:r>
    </w:p>
    <w:p w14:paraId="41C54AD1" w14:textId="23E63AEE" w:rsidR="00F03D60" w:rsidRPr="00C924DD"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18.</w:t>
      </w:r>
      <w:r w:rsidRPr="00925990">
        <w:rPr>
          <w:rFonts w:ascii="Times New Roman" w:hAnsi="Times New Roman" w:cs="Times New Roman"/>
          <w:sz w:val="24"/>
          <w:szCs w:val="24"/>
        </w:rPr>
        <w:tab/>
        <w:t xml:space="preserve">Rankine, D. R. </w:t>
      </w:r>
      <w:r w:rsidRPr="00925990">
        <w:rPr>
          <w:rFonts w:ascii="Times New Roman" w:hAnsi="Times New Roman" w:cs="Times New Roman"/>
          <w:i/>
          <w:iCs/>
          <w:sz w:val="24"/>
          <w:szCs w:val="24"/>
        </w:rPr>
        <w:t>et al.</w:t>
      </w:r>
      <w:r w:rsidRPr="00925990">
        <w:rPr>
          <w:rFonts w:ascii="Times New Roman" w:hAnsi="Times New Roman" w:cs="Times New Roman"/>
          <w:sz w:val="24"/>
          <w:szCs w:val="24"/>
        </w:rPr>
        <w:t xml:space="preserve"> Parameterizing the FAO AquaCrop Model for Rainfed and Irrigated Field-Grown Sweet Potato. </w:t>
      </w:r>
      <w:r w:rsidRPr="00925990">
        <w:rPr>
          <w:rFonts w:ascii="Times New Roman" w:hAnsi="Times New Roman" w:cs="Times New Roman"/>
          <w:i/>
          <w:iCs/>
          <w:sz w:val="24"/>
          <w:szCs w:val="24"/>
        </w:rPr>
        <w:t>Agronomy Journal</w:t>
      </w:r>
      <w:r w:rsidRPr="00925990">
        <w:rPr>
          <w:rFonts w:ascii="Times New Roman" w:hAnsi="Times New Roman" w:cs="Times New Roman"/>
          <w:sz w:val="24"/>
          <w:szCs w:val="24"/>
        </w:rPr>
        <w:t xml:space="preserve"> </w:t>
      </w:r>
      <w:r w:rsidRPr="00925990">
        <w:rPr>
          <w:rFonts w:ascii="Times New Roman" w:hAnsi="Times New Roman" w:cs="Times New Roman"/>
          <w:b/>
          <w:bCs/>
          <w:sz w:val="24"/>
          <w:szCs w:val="24"/>
        </w:rPr>
        <w:t>107</w:t>
      </w:r>
      <w:r w:rsidRPr="00925990">
        <w:rPr>
          <w:rFonts w:ascii="Times New Roman" w:hAnsi="Times New Roman" w:cs="Times New Roman"/>
          <w:sz w:val="24"/>
          <w:szCs w:val="24"/>
        </w:rPr>
        <w:t>, 375–387 (2015).</w:t>
      </w:r>
      <w:r w:rsidR="00C924DD">
        <w:rPr>
          <w:rFonts w:ascii="Times New Roman" w:hAnsi="Times New Roman" w:cs="Times New Roman"/>
          <w:sz w:val="24"/>
          <w:szCs w:val="24"/>
        </w:rPr>
        <w:t xml:space="preserve"> </w:t>
      </w:r>
      <w:r w:rsidR="00C924DD" w:rsidRPr="00110350">
        <w:t>https://doi.org/10.2134/agronj14.0287</w:t>
      </w:r>
    </w:p>
    <w:p w14:paraId="48D415DB" w14:textId="3B4B73D0"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19.</w:t>
      </w:r>
      <w:r w:rsidRPr="00925990">
        <w:rPr>
          <w:rFonts w:ascii="Times New Roman" w:hAnsi="Times New Roman" w:cs="Times New Roman"/>
          <w:sz w:val="24"/>
          <w:szCs w:val="24"/>
        </w:rPr>
        <w:tab/>
      </w:r>
      <w:r w:rsidR="00F61362" w:rsidRPr="00F61362">
        <w:rPr>
          <w:rFonts w:ascii="Times New Roman" w:hAnsi="Times New Roman" w:cs="Times New Roman"/>
          <w:sz w:val="24"/>
          <w:szCs w:val="24"/>
        </w:rPr>
        <w:t>Arina, I. N</w:t>
      </w:r>
      <w:r w:rsidR="00F61362">
        <w:rPr>
          <w:rFonts w:ascii="Times New Roman" w:hAnsi="Times New Roman" w:cs="Times New Roman"/>
          <w:sz w:val="24"/>
          <w:szCs w:val="24"/>
        </w:rPr>
        <w:t xml:space="preserve"> </w:t>
      </w:r>
      <w:r w:rsidR="00F61362" w:rsidRPr="00F61362">
        <w:rPr>
          <w:rFonts w:ascii="Times New Roman" w:hAnsi="Times New Roman" w:cs="Times New Roman"/>
          <w:i/>
          <w:iCs/>
          <w:sz w:val="24"/>
          <w:szCs w:val="24"/>
        </w:rPr>
        <w:t>et al</w:t>
      </w:r>
      <w:r w:rsidR="00F61362" w:rsidRPr="00F61362">
        <w:rPr>
          <w:rFonts w:ascii="Times New Roman" w:hAnsi="Times New Roman" w:cs="Times New Roman"/>
          <w:sz w:val="24"/>
          <w:szCs w:val="24"/>
        </w:rPr>
        <w:t>. </w:t>
      </w:r>
      <w:r w:rsidRPr="00925990">
        <w:rPr>
          <w:rFonts w:ascii="Times New Roman" w:hAnsi="Times New Roman" w:cs="Times New Roman"/>
          <w:sz w:val="24"/>
          <w:szCs w:val="24"/>
        </w:rPr>
        <w:t xml:space="preserve">Radiation Dynamics of Sweetpotato (Ipomoea batatas (L.) Lam) in Response to Different Cropping Systems with a </w:t>
      </w:r>
      <w:r w:rsidR="00F61362">
        <w:rPr>
          <w:rFonts w:ascii="Times New Roman" w:hAnsi="Times New Roman" w:cs="Times New Roman"/>
          <w:sz w:val="24"/>
          <w:szCs w:val="24"/>
        </w:rPr>
        <w:t>l</w:t>
      </w:r>
      <w:r w:rsidRPr="00925990">
        <w:rPr>
          <w:rFonts w:ascii="Times New Roman" w:hAnsi="Times New Roman" w:cs="Times New Roman"/>
          <w:sz w:val="24"/>
          <w:szCs w:val="24"/>
        </w:rPr>
        <w:t xml:space="preserve">egume </w:t>
      </w:r>
      <w:r w:rsidR="00F61362">
        <w:rPr>
          <w:rFonts w:ascii="Times New Roman" w:hAnsi="Times New Roman" w:cs="Times New Roman"/>
          <w:sz w:val="24"/>
          <w:szCs w:val="24"/>
        </w:rPr>
        <w:t>c</w:t>
      </w:r>
      <w:r w:rsidRPr="00925990">
        <w:rPr>
          <w:rFonts w:ascii="Times New Roman" w:hAnsi="Times New Roman" w:cs="Times New Roman"/>
          <w:sz w:val="24"/>
          <w:szCs w:val="24"/>
        </w:rPr>
        <w:t xml:space="preserve">rop. </w:t>
      </w:r>
      <w:r w:rsidR="00F61362">
        <w:rPr>
          <w:rFonts w:ascii="Times New Roman" w:hAnsi="Times New Roman" w:cs="Times New Roman"/>
          <w:sz w:val="24"/>
          <w:szCs w:val="24"/>
        </w:rPr>
        <w:t xml:space="preserve">287 - 299 (2020) </w:t>
      </w:r>
      <w:r w:rsidRPr="00925990">
        <w:rPr>
          <w:rFonts w:ascii="Times New Roman" w:hAnsi="Times New Roman" w:cs="Times New Roman"/>
          <w:sz w:val="24"/>
          <w:szCs w:val="24"/>
        </w:rPr>
        <w:t>https://scialert.net/abstract/?doi=ajps.2020.287.299 doi:10.3923/ajps.2020.287.299.</w:t>
      </w:r>
    </w:p>
    <w:p w14:paraId="0B575BE9" w14:textId="51D1336D"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20.</w:t>
      </w:r>
      <w:r w:rsidRPr="00925990">
        <w:rPr>
          <w:rFonts w:ascii="Times New Roman" w:hAnsi="Times New Roman" w:cs="Times New Roman"/>
          <w:sz w:val="24"/>
          <w:szCs w:val="24"/>
        </w:rPr>
        <w:tab/>
        <w:t xml:space="preserve">Adzoyi, F. X. Extension Handbook for Soya, Cowpea and Groundnut Production in Northern Ghana </w:t>
      </w:r>
      <w:r w:rsidR="002463F0">
        <w:rPr>
          <w:rFonts w:ascii="Times New Roman" w:hAnsi="Times New Roman" w:cs="Times New Roman"/>
          <w:sz w:val="24"/>
          <w:szCs w:val="24"/>
        </w:rPr>
        <w:t>(</w:t>
      </w:r>
      <w:r w:rsidRPr="00925990">
        <w:rPr>
          <w:rFonts w:ascii="Times New Roman" w:hAnsi="Times New Roman" w:cs="Times New Roman"/>
          <w:sz w:val="24"/>
          <w:szCs w:val="24"/>
        </w:rPr>
        <w:t>2015</w:t>
      </w:r>
      <w:r w:rsidR="002463F0">
        <w:rPr>
          <w:rFonts w:ascii="Times New Roman" w:hAnsi="Times New Roman" w:cs="Times New Roman"/>
          <w:sz w:val="24"/>
          <w:szCs w:val="24"/>
        </w:rPr>
        <w:t>)</w:t>
      </w:r>
      <w:r w:rsidRPr="00925990">
        <w:rPr>
          <w:rFonts w:ascii="Times New Roman" w:hAnsi="Times New Roman" w:cs="Times New Roman"/>
          <w:sz w:val="24"/>
          <w:szCs w:val="24"/>
        </w:rPr>
        <w:t>.</w:t>
      </w:r>
    </w:p>
    <w:p w14:paraId="316DBBF5" w14:textId="77777777"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21.</w:t>
      </w:r>
      <w:r w:rsidRPr="00925990">
        <w:rPr>
          <w:rFonts w:ascii="Times New Roman" w:hAnsi="Times New Roman" w:cs="Times New Roman"/>
          <w:sz w:val="24"/>
          <w:szCs w:val="24"/>
        </w:rPr>
        <w:tab/>
        <w:t>Adzoyi, F. X. Community Extension Agent Handbook for Maize Production, Northern Ghana. Revised Edition, 2015. (2015).</w:t>
      </w:r>
    </w:p>
    <w:p w14:paraId="59D07653" w14:textId="4C1BE9C2" w:rsidR="00F03D60" w:rsidRPr="00925990" w:rsidRDefault="00F03D60" w:rsidP="001B6812">
      <w:pPr>
        <w:pStyle w:val="Bibliography"/>
        <w:jc w:val="both"/>
        <w:rPr>
          <w:rFonts w:ascii="Times New Roman" w:hAnsi="Times New Roman" w:cs="Times New Roman"/>
          <w:sz w:val="24"/>
          <w:szCs w:val="24"/>
        </w:rPr>
      </w:pPr>
      <w:r w:rsidRPr="00925990">
        <w:rPr>
          <w:rFonts w:ascii="Times New Roman" w:hAnsi="Times New Roman" w:cs="Times New Roman"/>
          <w:sz w:val="24"/>
          <w:szCs w:val="24"/>
        </w:rPr>
        <w:t>22.</w:t>
      </w:r>
      <w:r w:rsidRPr="00925990">
        <w:rPr>
          <w:rFonts w:ascii="Times New Roman" w:hAnsi="Times New Roman" w:cs="Times New Roman"/>
          <w:sz w:val="24"/>
          <w:szCs w:val="24"/>
        </w:rPr>
        <w:tab/>
        <w:t>FAO Crop Calendar. https://cropcalendar.apps.fao.org/#/home?id=GH&amp;crops=0076.</w:t>
      </w:r>
      <w:r w:rsidR="00047DFF">
        <w:rPr>
          <w:rFonts w:ascii="Times New Roman" w:hAnsi="Times New Roman" w:cs="Times New Roman"/>
          <w:sz w:val="24"/>
          <w:szCs w:val="24"/>
        </w:rPr>
        <w:t xml:space="preserve"> </w:t>
      </w:r>
      <w:r w:rsidR="00047DFF" w:rsidRPr="00110350">
        <w:rPr>
          <w:rFonts w:ascii="Times New Roman" w:hAnsi="Times New Roman" w:cs="Times New Roman"/>
          <w:sz w:val="24"/>
          <w:szCs w:val="24"/>
        </w:rPr>
        <w:t xml:space="preserve"> </w:t>
      </w:r>
      <w:r w:rsidR="00047DFF">
        <w:rPr>
          <w:rFonts w:ascii="Times New Roman" w:hAnsi="Times New Roman" w:cs="Times New Roman"/>
          <w:sz w:val="24"/>
          <w:szCs w:val="24"/>
          <w:lang w:val="es-ES"/>
        </w:rPr>
        <w:t>(Accessed on 01-03-2024)</w:t>
      </w:r>
    </w:p>
    <w:p w14:paraId="2D584391" w14:textId="2E34529D" w:rsidR="00F03D60" w:rsidRPr="00260070" w:rsidRDefault="00F03D60" w:rsidP="001B6812">
      <w:pPr>
        <w:pStyle w:val="Bibliography"/>
        <w:jc w:val="both"/>
        <w:rPr>
          <w:rFonts w:ascii="Times New Roman" w:hAnsi="Times New Roman" w:cs="Times New Roman"/>
          <w:sz w:val="24"/>
          <w:szCs w:val="24"/>
          <w:lang w:val="es-ES"/>
        </w:rPr>
      </w:pPr>
      <w:r w:rsidRPr="00260070">
        <w:rPr>
          <w:rFonts w:ascii="Times New Roman" w:hAnsi="Times New Roman" w:cs="Times New Roman"/>
          <w:sz w:val="24"/>
          <w:szCs w:val="24"/>
          <w:lang w:val="es-ES"/>
        </w:rPr>
        <w:t>23.</w:t>
      </w:r>
      <w:r w:rsidRPr="00260070">
        <w:rPr>
          <w:rFonts w:ascii="Times New Roman" w:hAnsi="Times New Roman" w:cs="Times New Roman"/>
          <w:sz w:val="24"/>
          <w:szCs w:val="24"/>
          <w:lang w:val="es-ES"/>
        </w:rPr>
        <w:tab/>
        <w:t>AfricaagMedia. Ghana: Cassava. https://www.agricinafrica.com/2023/01/ghana-cassava.html.</w:t>
      </w:r>
      <w:r w:rsidR="00C924DD">
        <w:rPr>
          <w:rFonts w:ascii="Times New Roman" w:hAnsi="Times New Roman" w:cs="Times New Roman"/>
          <w:sz w:val="24"/>
          <w:szCs w:val="24"/>
          <w:lang w:val="es-ES"/>
        </w:rPr>
        <w:t xml:space="preserve"> (Accessed on 01-03-2024)</w:t>
      </w:r>
    </w:p>
    <w:p w14:paraId="2E24DD5B" w14:textId="60A09706" w:rsidR="00F03D60" w:rsidRPr="00797D66" w:rsidRDefault="00F03D60" w:rsidP="001B6812">
      <w:pPr>
        <w:pStyle w:val="Bibliography"/>
        <w:jc w:val="both"/>
        <w:rPr>
          <w:rFonts w:ascii="Times New Roman" w:hAnsi="Times New Roman" w:cs="Times New Roman"/>
          <w:sz w:val="24"/>
          <w:szCs w:val="24"/>
          <w:lang w:val="de-DE"/>
        </w:rPr>
      </w:pPr>
      <w:r w:rsidRPr="00925990">
        <w:rPr>
          <w:rFonts w:ascii="Times New Roman" w:hAnsi="Times New Roman" w:cs="Times New Roman"/>
          <w:sz w:val="24"/>
          <w:szCs w:val="24"/>
        </w:rPr>
        <w:t>24.</w:t>
      </w:r>
      <w:r w:rsidRPr="00925990">
        <w:rPr>
          <w:rFonts w:ascii="Times New Roman" w:hAnsi="Times New Roman" w:cs="Times New Roman"/>
          <w:sz w:val="24"/>
          <w:szCs w:val="24"/>
        </w:rPr>
        <w:tab/>
        <w:t xml:space="preserve">Food and Agriculture Organization of the United Nations. </w:t>
      </w:r>
      <w:r w:rsidRPr="00797D66">
        <w:rPr>
          <w:rFonts w:ascii="Times New Roman" w:hAnsi="Times New Roman" w:cs="Times New Roman"/>
          <w:sz w:val="24"/>
          <w:szCs w:val="24"/>
          <w:lang w:val="de-DE"/>
        </w:rPr>
        <w:t>FAOSTAT. https://www.fao.org/faostat/en/#data/QCL.</w:t>
      </w:r>
      <w:r w:rsidR="00C924DD">
        <w:rPr>
          <w:rFonts w:ascii="Times New Roman" w:hAnsi="Times New Roman" w:cs="Times New Roman"/>
          <w:sz w:val="24"/>
          <w:szCs w:val="24"/>
          <w:lang w:val="de-DE"/>
        </w:rPr>
        <w:t xml:space="preserve"> </w:t>
      </w:r>
      <w:r w:rsidR="00C924DD">
        <w:rPr>
          <w:rFonts w:ascii="Times New Roman" w:hAnsi="Times New Roman" w:cs="Times New Roman"/>
          <w:sz w:val="24"/>
          <w:szCs w:val="24"/>
          <w:lang w:val="es-ES"/>
        </w:rPr>
        <w:t>(Accessed on 01-03-2024)</w:t>
      </w:r>
    </w:p>
    <w:p w14:paraId="2C48BE71" w14:textId="3431BE2E" w:rsidR="00D309ED" w:rsidRPr="00925990" w:rsidRDefault="00D309ED" w:rsidP="001B6812">
      <w:pPr>
        <w:jc w:val="both"/>
        <w:rPr>
          <w:rFonts w:ascii="Times New Roman" w:hAnsi="Times New Roman" w:cs="Times New Roman"/>
          <w:sz w:val="24"/>
          <w:szCs w:val="24"/>
        </w:rPr>
      </w:pPr>
      <w:r w:rsidRPr="00925990">
        <w:rPr>
          <w:rFonts w:ascii="Times New Roman" w:hAnsi="Times New Roman" w:cs="Times New Roman"/>
          <w:sz w:val="24"/>
          <w:szCs w:val="24"/>
        </w:rPr>
        <w:fldChar w:fldCharType="end"/>
      </w:r>
    </w:p>
    <w:sectPr w:rsidR="00D309ED" w:rsidRPr="00925990" w:rsidSect="00797D6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2BAD0" w14:textId="77777777" w:rsidR="0021456A" w:rsidRDefault="0021456A" w:rsidP="00D76782">
      <w:pPr>
        <w:spacing w:after="0" w:line="240" w:lineRule="auto"/>
      </w:pPr>
      <w:r>
        <w:separator/>
      </w:r>
    </w:p>
  </w:endnote>
  <w:endnote w:type="continuationSeparator" w:id="0">
    <w:p w14:paraId="07CF9D88" w14:textId="77777777" w:rsidR="0021456A" w:rsidRDefault="0021456A" w:rsidP="00D767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altName w:val="Calibri"/>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4454817"/>
      <w:docPartObj>
        <w:docPartGallery w:val="Page Numbers (Bottom of Page)"/>
        <w:docPartUnique/>
      </w:docPartObj>
    </w:sdtPr>
    <w:sdtEndPr>
      <w:rPr>
        <w:noProof/>
      </w:rPr>
    </w:sdtEndPr>
    <w:sdtContent>
      <w:p w14:paraId="719E9AA2" w14:textId="30D2FD10" w:rsidR="00D76782" w:rsidRDefault="00D7678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89186B" w14:textId="77777777" w:rsidR="00D76782" w:rsidRDefault="00D767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ADAA5" w14:textId="77777777" w:rsidR="0021456A" w:rsidRDefault="0021456A" w:rsidP="00D76782">
      <w:pPr>
        <w:spacing w:after="0" w:line="240" w:lineRule="auto"/>
      </w:pPr>
      <w:r>
        <w:separator/>
      </w:r>
    </w:p>
  </w:footnote>
  <w:footnote w:type="continuationSeparator" w:id="0">
    <w:p w14:paraId="68F212BC" w14:textId="77777777" w:rsidR="0021456A" w:rsidRDefault="0021456A" w:rsidP="00D767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922"/>
    <w:rsid w:val="00003292"/>
    <w:rsid w:val="00012E78"/>
    <w:rsid w:val="0002068F"/>
    <w:rsid w:val="000219CD"/>
    <w:rsid w:val="00047DFF"/>
    <w:rsid w:val="00064FCB"/>
    <w:rsid w:val="00084146"/>
    <w:rsid w:val="000863FC"/>
    <w:rsid w:val="00087305"/>
    <w:rsid w:val="00095A82"/>
    <w:rsid w:val="000A0942"/>
    <w:rsid w:val="000C30EB"/>
    <w:rsid w:val="000C5AE3"/>
    <w:rsid w:val="000D0063"/>
    <w:rsid w:val="000D41A5"/>
    <w:rsid w:val="000D726A"/>
    <w:rsid w:val="000E6E07"/>
    <w:rsid w:val="000F12B7"/>
    <w:rsid w:val="000F18B1"/>
    <w:rsid w:val="000F7924"/>
    <w:rsid w:val="0010678E"/>
    <w:rsid w:val="00110350"/>
    <w:rsid w:val="0016198F"/>
    <w:rsid w:val="00175DA7"/>
    <w:rsid w:val="00181674"/>
    <w:rsid w:val="00184975"/>
    <w:rsid w:val="001854B8"/>
    <w:rsid w:val="00191167"/>
    <w:rsid w:val="00192749"/>
    <w:rsid w:val="001B0D74"/>
    <w:rsid w:val="001B6812"/>
    <w:rsid w:val="001D4779"/>
    <w:rsid w:val="0021456A"/>
    <w:rsid w:val="002379B9"/>
    <w:rsid w:val="002463F0"/>
    <w:rsid w:val="00247619"/>
    <w:rsid w:val="00260070"/>
    <w:rsid w:val="002720AF"/>
    <w:rsid w:val="002949D1"/>
    <w:rsid w:val="002E2ADD"/>
    <w:rsid w:val="0030031A"/>
    <w:rsid w:val="00313060"/>
    <w:rsid w:val="003276A0"/>
    <w:rsid w:val="0033731B"/>
    <w:rsid w:val="003418B5"/>
    <w:rsid w:val="0036683D"/>
    <w:rsid w:val="00381A6F"/>
    <w:rsid w:val="00395872"/>
    <w:rsid w:val="003B6022"/>
    <w:rsid w:val="003C5ABC"/>
    <w:rsid w:val="003C6B49"/>
    <w:rsid w:val="003E3ACE"/>
    <w:rsid w:val="0040328D"/>
    <w:rsid w:val="00422FB2"/>
    <w:rsid w:val="00426822"/>
    <w:rsid w:val="00442969"/>
    <w:rsid w:val="00450369"/>
    <w:rsid w:val="0047018B"/>
    <w:rsid w:val="0047381B"/>
    <w:rsid w:val="004B0BEC"/>
    <w:rsid w:val="004C1D30"/>
    <w:rsid w:val="004D6814"/>
    <w:rsid w:val="004F4FA8"/>
    <w:rsid w:val="00500AD9"/>
    <w:rsid w:val="00515A1E"/>
    <w:rsid w:val="0053550C"/>
    <w:rsid w:val="005459B3"/>
    <w:rsid w:val="0056126F"/>
    <w:rsid w:val="00567046"/>
    <w:rsid w:val="00577941"/>
    <w:rsid w:val="00591367"/>
    <w:rsid w:val="005D051D"/>
    <w:rsid w:val="005D0CE4"/>
    <w:rsid w:val="005D14EB"/>
    <w:rsid w:val="005E5719"/>
    <w:rsid w:val="0060187E"/>
    <w:rsid w:val="00616F20"/>
    <w:rsid w:val="00640900"/>
    <w:rsid w:val="00642284"/>
    <w:rsid w:val="006527E7"/>
    <w:rsid w:val="00660F99"/>
    <w:rsid w:val="00661F19"/>
    <w:rsid w:val="006D4B94"/>
    <w:rsid w:val="006D5330"/>
    <w:rsid w:val="006F28BF"/>
    <w:rsid w:val="00705431"/>
    <w:rsid w:val="007356DC"/>
    <w:rsid w:val="0075208A"/>
    <w:rsid w:val="00754282"/>
    <w:rsid w:val="00772326"/>
    <w:rsid w:val="00791C57"/>
    <w:rsid w:val="007929C1"/>
    <w:rsid w:val="00797D66"/>
    <w:rsid w:val="007C1ACF"/>
    <w:rsid w:val="007D6D9C"/>
    <w:rsid w:val="00810A2B"/>
    <w:rsid w:val="00867794"/>
    <w:rsid w:val="008707CD"/>
    <w:rsid w:val="008709D1"/>
    <w:rsid w:val="00870E31"/>
    <w:rsid w:val="00885AEC"/>
    <w:rsid w:val="008909DE"/>
    <w:rsid w:val="00891883"/>
    <w:rsid w:val="008A2AFE"/>
    <w:rsid w:val="008A2BBA"/>
    <w:rsid w:val="008A4857"/>
    <w:rsid w:val="008B5F6C"/>
    <w:rsid w:val="008F103E"/>
    <w:rsid w:val="008F7958"/>
    <w:rsid w:val="00910CD0"/>
    <w:rsid w:val="00920A6F"/>
    <w:rsid w:val="009247E5"/>
    <w:rsid w:val="00925990"/>
    <w:rsid w:val="00931DF1"/>
    <w:rsid w:val="00934E17"/>
    <w:rsid w:val="00943A1C"/>
    <w:rsid w:val="009779C3"/>
    <w:rsid w:val="00983E70"/>
    <w:rsid w:val="009B3DFC"/>
    <w:rsid w:val="009B413E"/>
    <w:rsid w:val="009C387B"/>
    <w:rsid w:val="009D2AE4"/>
    <w:rsid w:val="009F1A26"/>
    <w:rsid w:val="00A0487D"/>
    <w:rsid w:val="00A13225"/>
    <w:rsid w:val="00A13A02"/>
    <w:rsid w:val="00A1488B"/>
    <w:rsid w:val="00A24814"/>
    <w:rsid w:val="00A24A22"/>
    <w:rsid w:val="00A64E17"/>
    <w:rsid w:val="00A727D1"/>
    <w:rsid w:val="00A95173"/>
    <w:rsid w:val="00AB6689"/>
    <w:rsid w:val="00AC3919"/>
    <w:rsid w:val="00AE0253"/>
    <w:rsid w:val="00AF1177"/>
    <w:rsid w:val="00B0233E"/>
    <w:rsid w:val="00B306C3"/>
    <w:rsid w:val="00B33DA6"/>
    <w:rsid w:val="00B52042"/>
    <w:rsid w:val="00B5432D"/>
    <w:rsid w:val="00B72C29"/>
    <w:rsid w:val="00B74E20"/>
    <w:rsid w:val="00B80922"/>
    <w:rsid w:val="00B81CB9"/>
    <w:rsid w:val="00B83728"/>
    <w:rsid w:val="00B84841"/>
    <w:rsid w:val="00B9247D"/>
    <w:rsid w:val="00B97B46"/>
    <w:rsid w:val="00BB7438"/>
    <w:rsid w:val="00BD054C"/>
    <w:rsid w:val="00BD4B71"/>
    <w:rsid w:val="00BE1EA8"/>
    <w:rsid w:val="00C14AB6"/>
    <w:rsid w:val="00C32CF6"/>
    <w:rsid w:val="00C35A48"/>
    <w:rsid w:val="00C401C1"/>
    <w:rsid w:val="00C50487"/>
    <w:rsid w:val="00C65382"/>
    <w:rsid w:val="00C767C2"/>
    <w:rsid w:val="00C924DD"/>
    <w:rsid w:val="00D0234A"/>
    <w:rsid w:val="00D02B93"/>
    <w:rsid w:val="00D1524E"/>
    <w:rsid w:val="00D15774"/>
    <w:rsid w:val="00D24AEE"/>
    <w:rsid w:val="00D309ED"/>
    <w:rsid w:val="00D349FB"/>
    <w:rsid w:val="00D37213"/>
    <w:rsid w:val="00D42B8A"/>
    <w:rsid w:val="00D57B97"/>
    <w:rsid w:val="00D63E9B"/>
    <w:rsid w:val="00D71C79"/>
    <w:rsid w:val="00D733B4"/>
    <w:rsid w:val="00D76782"/>
    <w:rsid w:val="00D76B46"/>
    <w:rsid w:val="00DB5233"/>
    <w:rsid w:val="00DD16D0"/>
    <w:rsid w:val="00DD1917"/>
    <w:rsid w:val="00DF202D"/>
    <w:rsid w:val="00DF6B41"/>
    <w:rsid w:val="00E1524A"/>
    <w:rsid w:val="00E15C1C"/>
    <w:rsid w:val="00E5280C"/>
    <w:rsid w:val="00E5307E"/>
    <w:rsid w:val="00E53253"/>
    <w:rsid w:val="00E81677"/>
    <w:rsid w:val="00E92D88"/>
    <w:rsid w:val="00EB1587"/>
    <w:rsid w:val="00EE38CC"/>
    <w:rsid w:val="00EF2D7F"/>
    <w:rsid w:val="00F01F00"/>
    <w:rsid w:val="00F03D60"/>
    <w:rsid w:val="00F16F73"/>
    <w:rsid w:val="00F37E55"/>
    <w:rsid w:val="00F4774F"/>
    <w:rsid w:val="00F527A7"/>
    <w:rsid w:val="00F57119"/>
    <w:rsid w:val="00F61362"/>
    <w:rsid w:val="00F85AC0"/>
    <w:rsid w:val="00F90297"/>
    <w:rsid w:val="00F97571"/>
    <w:rsid w:val="00FA50A4"/>
    <w:rsid w:val="00FA6243"/>
    <w:rsid w:val="00FB1CD0"/>
    <w:rsid w:val="00FB55F8"/>
    <w:rsid w:val="00FC154F"/>
    <w:rsid w:val="00FC34DB"/>
    <w:rsid w:val="00FC3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90B7E0"/>
  <w15:chartTrackingRefBased/>
  <w15:docId w15:val="{D5328ADC-2C42-4A14-921C-44AB1E7EA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070"/>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8092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B80922"/>
    <w:rPr>
      <w:sz w:val="16"/>
      <w:szCs w:val="16"/>
    </w:rPr>
  </w:style>
  <w:style w:type="paragraph" w:styleId="CommentText">
    <w:name w:val="annotation text"/>
    <w:basedOn w:val="Normal"/>
    <w:link w:val="CommentTextChar"/>
    <w:uiPriority w:val="99"/>
    <w:unhideWhenUsed/>
    <w:rsid w:val="00B80922"/>
    <w:pPr>
      <w:spacing w:line="240" w:lineRule="auto"/>
    </w:pPr>
    <w:rPr>
      <w:sz w:val="20"/>
      <w:szCs w:val="20"/>
    </w:rPr>
  </w:style>
  <w:style w:type="character" w:customStyle="1" w:styleId="CommentTextChar">
    <w:name w:val="Comment Text Char"/>
    <w:basedOn w:val="DefaultParagraphFont"/>
    <w:link w:val="CommentText"/>
    <w:uiPriority w:val="99"/>
    <w:rsid w:val="00B80922"/>
    <w:rPr>
      <w:kern w:val="2"/>
      <w:sz w:val="20"/>
      <w:szCs w:val="20"/>
      <w14:ligatures w14:val="standardContextual"/>
    </w:rPr>
  </w:style>
  <w:style w:type="character" w:styleId="Hyperlink">
    <w:name w:val="Hyperlink"/>
    <w:basedOn w:val="DefaultParagraphFont"/>
    <w:uiPriority w:val="99"/>
    <w:unhideWhenUsed/>
    <w:rsid w:val="00931DF1"/>
    <w:rPr>
      <w:color w:val="0563C1" w:themeColor="hyperlink"/>
      <w:u w:val="single"/>
    </w:rPr>
  </w:style>
  <w:style w:type="character" w:styleId="UnresolvedMention">
    <w:name w:val="Unresolved Mention"/>
    <w:basedOn w:val="DefaultParagraphFont"/>
    <w:uiPriority w:val="99"/>
    <w:semiHidden/>
    <w:unhideWhenUsed/>
    <w:rsid w:val="00931DF1"/>
    <w:rPr>
      <w:color w:val="605E5C"/>
      <w:shd w:val="clear" w:color="auto" w:fill="E1DFDD"/>
    </w:rPr>
  </w:style>
  <w:style w:type="paragraph" w:styleId="Header">
    <w:name w:val="header"/>
    <w:basedOn w:val="Normal"/>
    <w:link w:val="HeaderChar"/>
    <w:uiPriority w:val="99"/>
    <w:unhideWhenUsed/>
    <w:rsid w:val="00D767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6782"/>
    <w:rPr>
      <w:kern w:val="2"/>
      <w14:ligatures w14:val="standardContextual"/>
    </w:rPr>
  </w:style>
  <w:style w:type="paragraph" w:styleId="Footer">
    <w:name w:val="footer"/>
    <w:basedOn w:val="Normal"/>
    <w:link w:val="FooterChar"/>
    <w:uiPriority w:val="99"/>
    <w:unhideWhenUsed/>
    <w:rsid w:val="00D767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6782"/>
    <w:rPr>
      <w:kern w:val="2"/>
      <w14:ligatures w14:val="standardContextual"/>
    </w:rPr>
  </w:style>
  <w:style w:type="paragraph" w:styleId="Revision">
    <w:name w:val="Revision"/>
    <w:hidden/>
    <w:uiPriority w:val="99"/>
    <w:semiHidden/>
    <w:rsid w:val="00791C57"/>
    <w:pPr>
      <w:spacing w:after="0" w:line="240" w:lineRule="auto"/>
    </w:pPr>
    <w:rPr>
      <w:kern w:val="2"/>
      <w14:ligatures w14:val="standardContextual"/>
    </w:rPr>
  </w:style>
  <w:style w:type="paragraph" w:styleId="CommentSubject">
    <w:name w:val="annotation subject"/>
    <w:basedOn w:val="CommentText"/>
    <w:next w:val="CommentText"/>
    <w:link w:val="CommentSubjectChar"/>
    <w:uiPriority w:val="99"/>
    <w:semiHidden/>
    <w:unhideWhenUsed/>
    <w:rsid w:val="00791C57"/>
    <w:rPr>
      <w:b/>
      <w:bCs/>
    </w:rPr>
  </w:style>
  <w:style w:type="character" w:customStyle="1" w:styleId="CommentSubjectChar">
    <w:name w:val="Comment Subject Char"/>
    <w:basedOn w:val="CommentTextChar"/>
    <w:link w:val="CommentSubject"/>
    <w:uiPriority w:val="99"/>
    <w:semiHidden/>
    <w:rsid w:val="00791C57"/>
    <w:rPr>
      <w:b/>
      <w:bCs/>
      <w:kern w:val="2"/>
      <w:sz w:val="20"/>
      <w:szCs w:val="20"/>
      <w14:ligatures w14:val="standardContextual"/>
    </w:rPr>
  </w:style>
  <w:style w:type="table" w:styleId="TableGrid">
    <w:name w:val="Table Grid"/>
    <w:basedOn w:val="TableNormal"/>
    <w:uiPriority w:val="39"/>
    <w:rsid w:val="000A0942"/>
    <w:pPr>
      <w:spacing w:after="0" w:line="240" w:lineRule="auto"/>
    </w:pPr>
    <w:rPr>
      <w:rFonts w:eastAsiaTheme="minorEastAsia"/>
      <w:kern w:val="2"/>
      <w:sz w:val="24"/>
      <w:szCs w:val="24"/>
      <w:lang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D309ED"/>
    <w:pPr>
      <w:tabs>
        <w:tab w:val="left" w:pos="384"/>
      </w:tabs>
      <w:spacing w:after="0" w:line="480" w:lineRule="auto"/>
      <w:ind w:left="384" w:hanging="384"/>
    </w:pPr>
  </w:style>
  <w:style w:type="paragraph" w:styleId="Caption">
    <w:name w:val="caption"/>
    <w:basedOn w:val="Normal"/>
    <w:next w:val="Normal"/>
    <w:uiPriority w:val="35"/>
    <w:unhideWhenUsed/>
    <w:qFormat/>
    <w:rsid w:val="00D733B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83562">
      <w:bodyDiv w:val="1"/>
      <w:marLeft w:val="0"/>
      <w:marRight w:val="0"/>
      <w:marTop w:val="0"/>
      <w:marBottom w:val="0"/>
      <w:divBdr>
        <w:top w:val="none" w:sz="0" w:space="0" w:color="auto"/>
        <w:left w:val="none" w:sz="0" w:space="0" w:color="auto"/>
        <w:bottom w:val="none" w:sz="0" w:space="0" w:color="auto"/>
        <w:right w:val="none" w:sz="0" w:space="0" w:color="auto"/>
      </w:divBdr>
    </w:div>
    <w:div w:id="987854689">
      <w:bodyDiv w:val="1"/>
      <w:marLeft w:val="0"/>
      <w:marRight w:val="0"/>
      <w:marTop w:val="0"/>
      <w:marBottom w:val="0"/>
      <w:divBdr>
        <w:top w:val="none" w:sz="0" w:space="0" w:color="auto"/>
        <w:left w:val="none" w:sz="0" w:space="0" w:color="auto"/>
        <w:bottom w:val="none" w:sz="0" w:space="0" w:color="auto"/>
        <w:right w:val="none" w:sz="0" w:space="0" w:color="auto"/>
      </w:divBdr>
    </w:div>
    <w:div w:id="2134205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93D4ED015D04EAB96D3EC98AA7532" ma:contentTypeVersion="11" ma:contentTypeDescription="Create a new document." ma:contentTypeScope="" ma:versionID="aedc24a5a4036e286a66bf561159d009">
  <xsd:schema xmlns:xsd="http://www.w3.org/2001/XMLSchema" xmlns:xs="http://www.w3.org/2001/XMLSchema" xmlns:p="http://schemas.microsoft.com/office/2006/metadata/properties" xmlns:ns3="85875a18-f6e5-4b47-bd44-135cd8229fe8" targetNamespace="http://schemas.microsoft.com/office/2006/metadata/properties" ma:root="true" ma:fieldsID="937516881b9988ee2d7750bbe82cb13f" ns3:_="">
    <xsd:import namespace="85875a18-f6e5-4b47-bd44-135cd8229fe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_activity"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875a18-f6e5-4b47-bd44-135cd8229f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_activity" ma:index="15" nillable="true" ma:displayName="_activity" ma:hidden="true" ma:internalName="_activity">
      <xsd:simpleType>
        <xsd:restriction base="dms:Note"/>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85875a18-f6e5-4b47-bd44-135cd8229fe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69FFD7-A1D2-4F59-A1C8-BD09BBEB17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875a18-f6e5-4b47-bd44-135cd8229f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D0781B-A3F1-B74E-B5B4-ADBB098EF1B1}">
  <ds:schemaRefs>
    <ds:schemaRef ds:uri="http://schemas.openxmlformats.org/officeDocument/2006/bibliography"/>
  </ds:schemaRefs>
</ds:datastoreItem>
</file>

<file path=customXml/itemProps3.xml><?xml version="1.0" encoding="utf-8"?>
<ds:datastoreItem xmlns:ds="http://schemas.openxmlformats.org/officeDocument/2006/customXml" ds:itemID="{E369FD88-43A5-4EFC-BF4B-408EA2A609D0}">
  <ds:schemaRefs>
    <ds:schemaRef ds:uri="http://schemas.microsoft.com/office/2006/metadata/properties"/>
    <ds:schemaRef ds:uri="http://schemas.microsoft.com/office/infopath/2007/PartnerControls"/>
    <ds:schemaRef ds:uri="85875a18-f6e5-4b47-bd44-135cd8229fe8"/>
  </ds:schemaRefs>
</ds:datastoreItem>
</file>

<file path=customXml/itemProps4.xml><?xml version="1.0" encoding="utf-8"?>
<ds:datastoreItem xmlns:ds="http://schemas.openxmlformats.org/officeDocument/2006/customXml" ds:itemID="{226B8642-DFB8-40BA-BB0F-BE86C3B918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12</Pages>
  <Words>10733</Words>
  <Characters>61182</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Dilys MacCarthy</dc:creator>
  <cp:keywords/>
  <dc:description/>
  <cp:lastModifiedBy>Dilys MacCarthy</cp:lastModifiedBy>
  <cp:revision>4</cp:revision>
  <dcterms:created xsi:type="dcterms:W3CDTF">2024-12-11T22:01:00Z</dcterms:created>
  <dcterms:modified xsi:type="dcterms:W3CDTF">2024-12-17T20:25:00Z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7afbb3b1f33433ef96ba86390d58032400b2e2bbaa7869842b779a0428a95b9a</vt:lpwstr>
  </property>
  <property fmtid="{D5CDD505-2E9C-101B-9397-08002B2CF9AE}" pid="3" name="ZOTERO_PREF_1">
    <vt:lpwstr>&lt;data data-version="3" zotero-version="6.0.36"&gt;&lt;session id="mqSqq5TW"/&gt;&lt;style id="http://www.zotero.org/styles/nature" hasBibliography="1" bibliographyStyleHasBeenSet="1"/&gt;&lt;prefs&gt;&lt;pref name="fieldType" value="Field"/&gt;&lt;/prefs&gt;&lt;/data&gt;</vt:lpwstr>
  </property>
  <property fmtid="{D5CDD505-2E9C-101B-9397-08002B2CF9AE}" pid="4" name="ContentTypeId">
    <vt:lpwstr>0x01010029893D4ED015D04EAB96D3EC98AA7532</vt:lpwstr>
  </property>
</Properties>
</file>