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DF2D8">
      <w:pPr>
        <w:suppressAutoHyphens/>
        <w:kinsoku w:val="0"/>
        <w:overflowPunct w:val="0"/>
        <w:autoSpaceDE w:val="0"/>
        <w:autoSpaceDN w:val="0"/>
        <w:adjustRightInd w:val="0"/>
        <w:snapToGrid w:val="0"/>
        <w:spacing w:line="480" w:lineRule="auto"/>
        <w:jc w:val="center"/>
        <w:rPr>
          <w:rFonts w:ascii="Times New Roman" w:hAnsi="Times New Roman" w:eastAsia="Times New Roman" w:cs="Times New Roman"/>
          <w:b/>
          <w:sz w:val="48"/>
          <w:lang w:val="en-GB"/>
        </w:rPr>
      </w:pPr>
      <w:r>
        <w:rPr>
          <w:rFonts w:ascii="Times New Roman" w:hAnsi="Times New Roman" w:eastAsia="Times New Roman" w:cs="Times New Roman"/>
          <w:b/>
          <w:sz w:val="48"/>
          <w:lang w:val="en-GB"/>
        </w:rPr>
        <w:t>Supplementary Information</w:t>
      </w:r>
    </w:p>
    <w:p w14:paraId="6CC1004D">
      <w:pPr>
        <w:kinsoku w:val="0"/>
        <w:overflowPunct w:val="0"/>
        <w:autoSpaceDE w:val="0"/>
        <w:autoSpaceDN w:val="0"/>
        <w:adjustRightInd w:val="0"/>
        <w:snapToGrid w:val="0"/>
        <w:spacing w:line="480" w:lineRule="auto"/>
        <w:jc w:val="center"/>
        <w:outlineLvl w:val="0"/>
      </w:pPr>
      <w:bookmarkStart w:id="0" w:name="_Toc762621793"/>
      <w:bookmarkStart w:id="1" w:name="_Toc1258300543"/>
      <w:bookmarkStart w:id="2" w:name="_Toc500060379"/>
      <w:bookmarkStart w:id="3" w:name="_Toc2117318821"/>
      <w:r>
        <w:rPr>
          <w:rFonts w:ascii="Times New Roman" w:hAnsi="Times New Roman" w:eastAsia="Times New Roman" w:cs="Times New Roman"/>
          <w:b/>
          <w:sz w:val="32"/>
          <w:lang w:val="en-GB"/>
        </w:rPr>
        <w:t>Table of contents</w:t>
      </w:r>
      <w:bookmarkEnd w:id="0"/>
      <w:bookmarkEnd w:id="1"/>
      <w:bookmarkEnd w:id="2"/>
      <w:bookmarkEnd w:id="3"/>
    </w:p>
    <w:sdt>
      <w:sdtPr>
        <w:rPr>
          <w:rFonts w:ascii="宋体" w:hAnsi="宋体" w:eastAsia="宋体"/>
        </w:rPr>
        <w:id w:val="566597955"/>
        <w15:color w:val="DBDBDB"/>
        <w:docPartObj>
          <w:docPartGallery w:val="Table of Contents"/>
          <w:docPartUnique/>
        </w:docPartObj>
      </w:sdtPr>
      <w:sdtEndPr>
        <w:rPr>
          <w:rFonts w:ascii="Times New Roman" w:hAnsi="Times New Roman" w:eastAsia="Times New Roman" w:cs="Times New Roman"/>
          <w:b/>
          <w:lang w:val="en-GB"/>
        </w:rPr>
      </w:sdtEndPr>
      <w:sdtContent>
        <w:p w14:paraId="5B8261FB">
          <w:pPr>
            <w:pStyle w:val="10"/>
            <w:tabs>
              <w:tab w:val="right" w:leader="dot" w:pos="8306"/>
            </w:tabs>
          </w:pPr>
          <w:r>
            <w:rPr>
              <w:rFonts w:ascii="Times New Roman" w:hAnsi="Times New Roman" w:eastAsia="Times New Roman" w:cs="Times New Roman"/>
              <w:lang w:val="en-GB"/>
            </w:rPr>
            <w:fldChar w:fldCharType="begin"/>
          </w:r>
          <w:r>
            <w:rPr>
              <w:rFonts w:ascii="Times New Roman" w:hAnsi="Times New Roman" w:eastAsia="Times New Roman" w:cs="Times New Roman"/>
              <w:lang w:val="en-GB"/>
            </w:rPr>
            <w:instrText xml:space="preserve">TOC \o "1-2" \h \u </w:instrText>
          </w:r>
          <w:r>
            <w:rPr>
              <w:rFonts w:ascii="Times New Roman" w:hAnsi="Times New Roman" w:eastAsia="Times New Roman" w:cs="Times New Roman"/>
              <w:lang w:val="en-GB"/>
            </w:rPr>
            <w:fldChar w:fldCharType="separate"/>
          </w:r>
        </w:p>
        <w:p w14:paraId="574D3409">
          <w:pPr>
            <w:pStyle w:val="10"/>
            <w:tabs>
              <w:tab w:val="right" w:leader="dot" w:pos="8306"/>
            </w:tabs>
          </w:pPr>
          <w:r>
            <w:rPr>
              <w:rFonts w:ascii="Times New Roman" w:hAnsi="Times New Roman" w:eastAsia="Times New Roman" w:cs="Times New Roman"/>
              <w:lang w:val="en-GB"/>
            </w:rPr>
            <w:fldChar w:fldCharType="begin"/>
          </w:r>
          <w:r>
            <w:rPr>
              <w:rFonts w:ascii="Times New Roman" w:hAnsi="Times New Roman" w:eastAsia="Times New Roman" w:cs="Times New Roman"/>
              <w:lang w:val="en-GB"/>
            </w:rPr>
            <w:instrText xml:space="preserve"> HYPERLINK \l _Toc1985754192 </w:instrText>
          </w:r>
          <w:r>
            <w:rPr>
              <w:rFonts w:ascii="Times New Roman" w:hAnsi="Times New Roman" w:eastAsia="Times New Roman" w:cs="Times New Roman"/>
              <w:lang w:val="en-GB"/>
            </w:rPr>
            <w:fldChar w:fldCharType="separate"/>
          </w:r>
          <w:r>
            <w:rPr>
              <w:rFonts w:ascii="Times New Roman" w:hAnsi="Times New Roman" w:eastAsia="Times New Roman" w:cs="Times New Roman"/>
              <w:lang w:val="en-GB"/>
            </w:rPr>
            <w:t>A. Research Hypotheses</w:t>
          </w:r>
          <w:r>
            <w:tab/>
          </w:r>
          <w:r>
            <w:fldChar w:fldCharType="begin"/>
          </w:r>
          <w:r>
            <w:instrText xml:space="preserve"> PAGEREF _Toc1985754192 \h </w:instrText>
          </w:r>
          <w:r>
            <w:fldChar w:fldCharType="separate"/>
          </w:r>
          <w:r>
            <w:t>2</w:t>
          </w:r>
          <w:r>
            <w:fldChar w:fldCharType="end"/>
          </w:r>
          <w:r>
            <w:rPr>
              <w:rFonts w:ascii="Times New Roman" w:hAnsi="Times New Roman" w:eastAsia="Times New Roman" w:cs="Times New Roman"/>
              <w:lang w:val="en-GB"/>
            </w:rPr>
            <w:fldChar w:fldCharType="end"/>
          </w:r>
        </w:p>
        <w:p w14:paraId="43549953">
          <w:pPr>
            <w:pStyle w:val="15"/>
            <w:tabs>
              <w:tab w:val="right" w:leader="dot" w:pos="8306"/>
            </w:tabs>
          </w:pPr>
          <w:r>
            <w:rPr>
              <w:rFonts w:ascii="Times New Roman" w:hAnsi="Times New Roman" w:eastAsia="Times New Roman" w:cs="Times New Roman"/>
              <w:lang w:val="en-GB"/>
            </w:rPr>
            <w:fldChar w:fldCharType="begin"/>
          </w:r>
          <w:r>
            <w:rPr>
              <w:rFonts w:ascii="Times New Roman" w:hAnsi="Times New Roman" w:eastAsia="Times New Roman" w:cs="Times New Roman"/>
              <w:lang w:val="en-GB"/>
            </w:rPr>
            <w:instrText xml:space="preserve"> HYPERLINK \l _Toc527346917 </w:instrText>
          </w:r>
          <w:r>
            <w:rPr>
              <w:rFonts w:ascii="Times New Roman" w:hAnsi="Times New Roman" w:eastAsia="Times New Roman" w:cs="Times New Roman"/>
              <w:lang w:val="en-GB"/>
            </w:rPr>
            <w:fldChar w:fldCharType="separate"/>
          </w:r>
          <w:r>
            <w:rPr>
              <w:rFonts w:ascii="Times New Roman" w:hAnsi="Times New Roman" w:eastAsia="Times New Roman" w:cs="Times New Roman"/>
              <w:lang w:val="en-GB"/>
            </w:rPr>
            <w:t xml:space="preserve">A.1 </w:t>
          </w:r>
          <w:r>
            <w:rPr>
              <w:rFonts w:hint="eastAsia" w:ascii="Times New Roman" w:hAnsi="Times New Roman" w:eastAsia="Songti SC" w:cs="Times New Roman Bold"/>
              <w:bCs/>
              <w:szCs w:val="28"/>
            </w:rPr>
            <w:t>Air quality information triggers travel avoidance behavio</w:t>
          </w:r>
          <w:r>
            <w:rPr>
              <w:rFonts w:hint="default" w:ascii="Times New Roman" w:hAnsi="Times New Roman" w:eastAsia="Songti SC" w:cs="Times New Roman Bold"/>
              <w:bCs/>
              <w:szCs w:val="28"/>
              <w:lang w:val="en-US"/>
            </w:rPr>
            <w:t>u</w:t>
          </w:r>
          <w:r>
            <w:rPr>
              <w:rFonts w:hint="eastAsia" w:ascii="Times New Roman" w:hAnsi="Times New Roman" w:eastAsia="Songti SC" w:cs="Times New Roman Bold"/>
              <w:bCs/>
              <w:szCs w:val="28"/>
            </w:rPr>
            <w:t>rs</w:t>
          </w:r>
          <w:r>
            <w:tab/>
          </w:r>
          <w:r>
            <w:fldChar w:fldCharType="begin"/>
          </w:r>
          <w:r>
            <w:instrText xml:space="preserve"> PAGEREF _Toc527346917 \h </w:instrText>
          </w:r>
          <w:r>
            <w:fldChar w:fldCharType="separate"/>
          </w:r>
          <w:r>
            <w:t>2</w:t>
          </w:r>
          <w:r>
            <w:fldChar w:fldCharType="end"/>
          </w:r>
          <w:r>
            <w:rPr>
              <w:rFonts w:ascii="Times New Roman" w:hAnsi="Times New Roman" w:eastAsia="Times New Roman" w:cs="Times New Roman"/>
              <w:lang w:val="en-GB"/>
            </w:rPr>
            <w:fldChar w:fldCharType="end"/>
          </w:r>
        </w:p>
        <w:p w14:paraId="487A526D">
          <w:pPr>
            <w:pStyle w:val="15"/>
            <w:tabs>
              <w:tab w:val="right" w:leader="dot" w:pos="8306"/>
            </w:tabs>
          </w:pPr>
          <w:r>
            <w:rPr>
              <w:rFonts w:ascii="Times New Roman" w:hAnsi="Times New Roman" w:eastAsia="Times New Roman" w:cs="Times New Roman"/>
              <w:lang w:val="en-GB"/>
            </w:rPr>
            <w:fldChar w:fldCharType="begin"/>
          </w:r>
          <w:r>
            <w:rPr>
              <w:rFonts w:ascii="Times New Roman" w:hAnsi="Times New Roman" w:eastAsia="Times New Roman" w:cs="Times New Roman"/>
              <w:lang w:val="en-GB"/>
            </w:rPr>
            <w:instrText xml:space="preserve"> HYPERLINK \l _Toc454622850 </w:instrText>
          </w:r>
          <w:r>
            <w:rPr>
              <w:rFonts w:ascii="Times New Roman" w:hAnsi="Times New Roman" w:eastAsia="Times New Roman" w:cs="Times New Roman"/>
              <w:lang w:val="en-GB"/>
            </w:rPr>
            <w:fldChar w:fldCharType="separate"/>
          </w:r>
          <w:r>
            <w:rPr>
              <w:rFonts w:ascii="Times New Roman" w:hAnsi="Times New Roman" w:eastAsia="Times New Roman" w:cs="Times New Roman"/>
              <w:lang w:val="en-GB"/>
            </w:rPr>
            <w:t>A.2 Unequal impact of air quality information</w:t>
          </w:r>
          <w:r>
            <w:tab/>
          </w:r>
          <w:r>
            <w:fldChar w:fldCharType="begin"/>
          </w:r>
          <w:r>
            <w:instrText xml:space="preserve"> PAGEREF _Toc454622850 \h </w:instrText>
          </w:r>
          <w:r>
            <w:fldChar w:fldCharType="separate"/>
          </w:r>
          <w:r>
            <w:t>3</w:t>
          </w:r>
          <w:r>
            <w:fldChar w:fldCharType="end"/>
          </w:r>
          <w:r>
            <w:rPr>
              <w:rFonts w:ascii="Times New Roman" w:hAnsi="Times New Roman" w:eastAsia="Times New Roman" w:cs="Times New Roman"/>
              <w:lang w:val="en-GB"/>
            </w:rPr>
            <w:fldChar w:fldCharType="end"/>
          </w:r>
        </w:p>
        <w:p w14:paraId="32B02CEA">
          <w:pPr>
            <w:pStyle w:val="10"/>
            <w:tabs>
              <w:tab w:val="right" w:leader="dot" w:pos="8306"/>
            </w:tabs>
          </w:pPr>
          <w:r>
            <w:rPr>
              <w:rFonts w:ascii="Times New Roman" w:hAnsi="Times New Roman" w:eastAsia="Times New Roman" w:cs="Times New Roman"/>
              <w:lang w:val="en-GB"/>
            </w:rPr>
            <w:fldChar w:fldCharType="begin"/>
          </w:r>
          <w:r>
            <w:rPr>
              <w:rFonts w:ascii="Times New Roman" w:hAnsi="Times New Roman" w:eastAsia="Times New Roman" w:cs="Times New Roman"/>
              <w:lang w:val="en-GB"/>
            </w:rPr>
            <w:instrText xml:space="preserve"> HYPERLINK \l _Toc99423924 </w:instrText>
          </w:r>
          <w:r>
            <w:rPr>
              <w:rFonts w:ascii="Times New Roman" w:hAnsi="Times New Roman" w:eastAsia="Times New Roman" w:cs="Times New Roman"/>
              <w:lang w:val="en-GB"/>
            </w:rPr>
            <w:fldChar w:fldCharType="separate"/>
          </w:r>
          <w:r>
            <w:rPr>
              <w:rFonts w:ascii="Times New Roman" w:hAnsi="Times New Roman" w:eastAsia="Times New Roman" w:cs="Times New Roman"/>
              <w:lang w:val="en-GB"/>
            </w:rPr>
            <w:t xml:space="preserve">B. China’s air quality monitoring program and </w:t>
          </w:r>
          <w:r>
            <w:rPr>
              <w:rFonts w:hint="default" w:ascii="Times New Roman" w:hAnsi="Times New Roman" w:eastAsia="Times New Roman" w:cs="Times New Roman"/>
              <w:lang w:val="en-US"/>
            </w:rPr>
            <w:t xml:space="preserve">the </w:t>
          </w:r>
          <w:r>
            <w:rPr>
              <w:rFonts w:ascii="Times New Roman" w:hAnsi="Times New Roman" w:eastAsia="Times New Roman" w:cs="Times New Roman"/>
              <w:lang w:val="en-GB"/>
            </w:rPr>
            <w:t>AQI</w:t>
          </w:r>
          <w:r>
            <w:tab/>
          </w:r>
          <w:r>
            <w:fldChar w:fldCharType="begin"/>
          </w:r>
          <w:r>
            <w:instrText xml:space="preserve"> PAGEREF _Toc99423924 \h </w:instrText>
          </w:r>
          <w:r>
            <w:fldChar w:fldCharType="separate"/>
          </w:r>
          <w:r>
            <w:t>5</w:t>
          </w:r>
          <w:r>
            <w:fldChar w:fldCharType="end"/>
          </w:r>
          <w:r>
            <w:rPr>
              <w:rFonts w:ascii="Times New Roman" w:hAnsi="Times New Roman" w:eastAsia="Times New Roman" w:cs="Times New Roman"/>
              <w:lang w:val="en-GB"/>
            </w:rPr>
            <w:fldChar w:fldCharType="end"/>
          </w:r>
        </w:p>
        <w:p w14:paraId="277D4A0C">
          <w:pPr>
            <w:pStyle w:val="10"/>
            <w:tabs>
              <w:tab w:val="right" w:leader="dot" w:pos="8306"/>
            </w:tabs>
          </w:pPr>
          <w:r>
            <w:rPr>
              <w:rFonts w:ascii="Times New Roman" w:hAnsi="Times New Roman" w:eastAsia="Times New Roman" w:cs="Times New Roman"/>
              <w:lang w:val="en-GB"/>
            </w:rPr>
            <w:fldChar w:fldCharType="begin"/>
          </w:r>
          <w:r>
            <w:rPr>
              <w:rFonts w:ascii="Times New Roman" w:hAnsi="Times New Roman" w:eastAsia="Times New Roman" w:cs="Times New Roman"/>
              <w:lang w:val="en-GB"/>
            </w:rPr>
            <w:instrText xml:space="preserve"> HYPERLINK \l _Toc275613302 </w:instrText>
          </w:r>
          <w:r>
            <w:rPr>
              <w:rFonts w:ascii="Times New Roman" w:hAnsi="Times New Roman" w:eastAsia="Times New Roman" w:cs="Times New Roman"/>
              <w:lang w:val="en-GB"/>
            </w:rPr>
            <w:fldChar w:fldCharType="separate"/>
          </w:r>
          <w:r>
            <w:rPr>
              <w:rFonts w:ascii="Times New Roman" w:hAnsi="Times New Roman" w:eastAsia="Times New Roman" w:cs="Times New Roman"/>
              <w:lang w:val="en-GB"/>
            </w:rPr>
            <w:t>C. Data characteristics</w:t>
          </w:r>
          <w:r>
            <w:tab/>
          </w:r>
          <w:r>
            <w:fldChar w:fldCharType="begin"/>
          </w:r>
          <w:r>
            <w:instrText xml:space="preserve"> PAGEREF _Toc275613302 \h </w:instrText>
          </w:r>
          <w:r>
            <w:fldChar w:fldCharType="separate"/>
          </w:r>
          <w:r>
            <w:t>9</w:t>
          </w:r>
          <w:r>
            <w:fldChar w:fldCharType="end"/>
          </w:r>
          <w:r>
            <w:rPr>
              <w:rFonts w:ascii="Times New Roman" w:hAnsi="Times New Roman" w:eastAsia="Times New Roman" w:cs="Times New Roman"/>
              <w:lang w:val="en-GB"/>
            </w:rPr>
            <w:fldChar w:fldCharType="end"/>
          </w:r>
        </w:p>
        <w:p w14:paraId="5EC08BD8">
          <w:pPr>
            <w:pStyle w:val="15"/>
            <w:tabs>
              <w:tab w:val="right" w:leader="dot" w:pos="8306"/>
            </w:tabs>
          </w:pPr>
          <w:r>
            <w:rPr>
              <w:rFonts w:ascii="Times New Roman" w:hAnsi="Times New Roman" w:eastAsia="Times New Roman" w:cs="Times New Roman"/>
              <w:lang w:val="en-GB"/>
            </w:rPr>
            <w:fldChar w:fldCharType="begin"/>
          </w:r>
          <w:r>
            <w:rPr>
              <w:rFonts w:ascii="Times New Roman" w:hAnsi="Times New Roman" w:eastAsia="Times New Roman" w:cs="Times New Roman"/>
              <w:lang w:val="en-GB"/>
            </w:rPr>
            <w:instrText xml:space="preserve"> HYPERLINK \l _Toc110540135 </w:instrText>
          </w:r>
          <w:r>
            <w:rPr>
              <w:rFonts w:ascii="Times New Roman" w:hAnsi="Times New Roman" w:eastAsia="Times New Roman" w:cs="Times New Roman"/>
              <w:lang w:val="en-GB"/>
            </w:rPr>
            <w:fldChar w:fldCharType="separate"/>
          </w:r>
          <w:r>
            <w:rPr>
              <w:rFonts w:ascii="Times New Roman" w:hAnsi="Times New Roman" w:eastAsia="Times New Roman" w:cs="Times New Roman"/>
              <w:lang w:val="en-GB"/>
            </w:rPr>
            <w:t>C.1 Descriptive statistics</w:t>
          </w:r>
          <w:r>
            <w:tab/>
          </w:r>
          <w:r>
            <w:fldChar w:fldCharType="begin"/>
          </w:r>
          <w:r>
            <w:instrText xml:space="preserve"> PAGEREF _Toc110540135 \h </w:instrText>
          </w:r>
          <w:r>
            <w:fldChar w:fldCharType="separate"/>
          </w:r>
          <w:r>
            <w:t>9</w:t>
          </w:r>
          <w:r>
            <w:fldChar w:fldCharType="end"/>
          </w:r>
          <w:r>
            <w:rPr>
              <w:rFonts w:ascii="Times New Roman" w:hAnsi="Times New Roman" w:eastAsia="Times New Roman" w:cs="Times New Roman"/>
              <w:lang w:val="en-GB"/>
            </w:rPr>
            <w:fldChar w:fldCharType="end"/>
          </w:r>
        </w:p>
        <w:p w14:paraId="6D327254">
          <w:pPr>
            <w:pStyle w:val="15"/>
            <w:tabs>
              <w:tab w:val="right" w:leader="dot" w:pos="8306"/>
            </w:tabs>
          </w:pPr>
          <w:r>
            <w:rPr>
              <w:rFonts w:ascii="Times New Roman" w:hAnsi="Times New Roman" w:eastAsia="Times New Roman" w:cs="Times New Roman"/>
              <w:lang w:val="en-GB"/>
            </w:rPr>
            <w:fldChar w:fldCharType="begin"/>
          </w:r>
          <w:r>
            <w:rPr>
              <w:rFonts w:ascii="Times New Roman" w:hAnsi="Times New Roman" w:eastAsia="Times New Roman" w:cs="Times New Roman"/>
              <w:lang w:val="en-GB"/>
            </w:rPr>
            <w:instrText xml:space="preserve"> HYPERLINK \l _Toc274694290 </w:instrText>
          </w:r>
          <w:r>
            <w:rPr>
              <w:rFonts w:ascii="Times New Roman" w:hAnsi="Times New Roman" w:eastAsia="Times New Roman" w:cs="Times New Roman"/>
              <w:lang w:val="en-GB"/>
            </w:rPr>
            <w:fldChar w:fldCharType="separate"/>
          </w:r>
          <w:r>
            <w:rPr>
              <w:rFonts w:ascii="Times New Roman" w:hAnsi="Times New Roman" w:eastAsia="Times New Roman" w:cs="Times New Roman"/>
              <w:lang w:val="en-GB"/>
            </w:rPr>
            <w:t>C.2 Sample distribution characteristics</w:t>
          </w:r>
          <w:r>
            <w:tab/>
          </w:r>
          <w:r>
            <w:fldChar w:fldCharType="begin"/>
          </w:r>
          <w:r>
            <w:instrText xml:space="preserve"> PAGEREF _Toc274694290 \h </w:instrText>
          </w:r>
          <w:r>
            <w:fldChar w:fldCharType="separate"/>
          </w:r>
          <w:r>
            <w:t>10</w:t>
          </w:r>
          <w:r>
            <w:fldChar w:fldCharType="end"/>
          </w:r>
          <w:r>
            <w:rPr>
              <w:rFonts w:ascii="Times New Roman" w:hAnsi="Times New Roman" w:eastAsia="Times New Roman" w:cs="Times New Roman"/>
              <w:lang w:val="en-GB"/>
            </w:rPr>
            <w:fldChar w:fldCharType="end"/>
          </w:r>
        </w:p>
        <w:p w14:paraId="19369B33">
          <w:pPr>
            <w:pStyle w:val="10"/>
            <w:tabs>
              <w:tab w:val="right" w:leader="dot" w:pos="8306"/>
            </w:tabs>
          </w:pPr>
          <w:r>
            <w:rPr>
              <w:rFonts w:ascii="Times New Roman" w:hAnsi="Times New Roman" w:eastAsia="Times New Roman" w:cs="Times New Roman"/>
              <w:lang w:val="en-GB"/>
            </w:rPr>
            <w:fldChar w:fldCharType="begin"/>
          </w:r>
          <w:r>
            <w:rPr>
              <w:rFonts w:ascii="Times New Roman" w:hAnsi="Times New Roman" w:eastAsia="Times New Roman" w:cs="Times New Roman"/>
              <w:lang w:val="en-GB"/>
            </w:rPr>
            <w:instrText xml:space="preserve"> HYPERLINK \l _Toc1844574627 </w:instrText>
          </w:r>
          <w:r>
            <w:rPr>
              <w:rFonts w:ascii="Times New Roman" w:hAnsi="Times New Roman" w:eastAsia="Times New Roman" w:cs="Times New Roman"/>
              <w:lang w:val="en-GB"/>
            </w:rPr>
            <w:fldChar w:fldCharType="separate"/>
          </w:r>
          <w:r>
            <w:rPr>
              <w:rFonts w:ascii="Times New Roman" w:hAnsi="Times New Roman" w:eastAsia="Times New Roman" w:cs="Times New Roman"/>
              <w:lang w:val="en-GB"/>
            </w:rPr>
            <w:t>D. Robustness tests</w:t>
          </w:r>
          <w:r>
            <w:tab/>
          </w:r>
          <w:r>
            <w:fldChar w:fldCharType="begin"/>
          </w:r>
          <w:r>
            <w:instrText xml:space="preserve"> PAGEREF _Toc1844574627 \h </w:instrText>
          </w:r>
          <w:r>
            <w:fldChar w:fldCharType="separate"/>
          </w:r>
          <w:r>
            <w:t>11</w:t>
          </w:r>
          <w:r>
            <w:fldChar w:fldCharType="end"/>
          </w:r>
          <w:r>
            <w:rPr>
              <w:rFonts w:ascii="Times New Roman" w:hAnsi="Times New Roman" w:eastAsia="Times New Roman" w:cs="Times New Roman"/>
              <w:lang w:val="en-GB"/>
            </w:rPr>
            <w:fldChar w:fldCharType="end"/>
          </w:r>
        </w:p>
        <w:p w14:paraId="2DB44895">
          <w:pPr>
            <w:pStyle w:val="15"/>
            <w:tabs>
              <w:tab w:val="right" w:leader="dot" w:pos="8306"/>
            </w:tabs>
          </w:pPr>
          <w:r>
            <w:rPr>
              <w:rFonts w:ascii="Times New Roman" w:hAnsi="Times New Roman" w:eastAsia="Times New Roman" w:cs="Times New Roman"/>
              <w:lang w:val="en-GB"/>
            </w:rPr>
            <w:fldChar w:fldCharType="begin"/>
          </w:r>
          <w:r>
            <w:rPr>
              <w:rFonts w:ascii="Times New Roman" w:hAnsi="Times New Roman" w:eastAsia="Times New Roman" w:cs="Times New Roman"/>
              <w:lang w:val="en-GB"/>
            </w:rPr>
            <w:instrText xml:space="preserve"> HYPERLINK \l _Toc691827897 </w:instrText>
          </w:r>
          <w:r>
            <w:rPr>
              <w:rFonts w:ascii="Times New Roman" w:hAnsi="Times New Roman" w:eastAsia="Times New Roman" w:cs="Times New Roman"/>
              <w:lang w:val="en-GB"/>
            </w:rPr>
            <w:fldChar w:fldCharType="separate"/>
          </w:r>
          <w:r>
            <w:rPr>
              <w:rFonts w:ascii="Times New Roman" w:hAnsi="Times New Roman" w:eastAsia="Times New Roman" w:cs="Times New Roman"/>
              <w:lang w:val="en-GB"/>
            </w:rPr>
            <w:t>D.1 Covariate balance test</w:t>
          </w:r>
          <w:r>
            <w:tab/>
          </w:r>
          <w:r>
            <w:fldChar w:fldCharType="begin"/>
          </w:r>
          <w:r>
            <w:instrText xml:space="preserve"> PAGEREF _Toc691827897 \h </w:instrText>
          </w:r>
          <w:r>
            <w:fldChar w:fldCharType="separate"/>
          </w:r>
          <w:r>
            <w:t>11</w:t>
          </w:r>
          <w:r>
            <w:fldChar w:fldCharType="end"/>
          </w:r>
          <w:r>
            <w:rPr>
              <w:rFonts w:ascii="Times New Roman" w:hAnsi="Times New Roman" w:eastAsia="Times New Roman" w:cs="Times New Roman"/>
              <w:lang w:val="en-GB"/>
            </w:rPr>
            <w:fldChar w:fldCharType="end"/>
          </w:r>
        </w:p>
        <w:p w14:paraId="324DAE26">
          <w:pPr>
            <w:pStyle w:val="15"/>
            <w:tabs>
              <w:tab w:val="right" w:leader="dot" w:pos="8306"/>
            </w:tabs>
          </w:pPr>
          <w:r>
            <w:rPr>
              <w:rFonts w:ascii="Times New Roman" w:hAnsi="Times New Roman" w:eastAsia="Times New Roman" w:cs="Times New Roman"/>
              <w:lang w:val="en-GB"/>
            </w:rPr>
            <w:fldChar w:fldCharType="begin"/>
          </w:r>
          <w:r>
            <w:rPr>
              <w:rFonts w:ascii="Times New Roman" w:hAnsi="Times New Roman" w:eastAsia="Times New Roman" w:cs="Times New Roman"/>
              <w:lang w:val="en-GB"/>
            </w:rPr>
            <w:instrText xml:space="preserve"> HYPERLINK \l _Toc1075000021 </w:instrText>
          </w:r>
          <w:r>
            <w:rPr>
              <w:rFonts w:ascii="Times New Roman" w:hAnsi="Times New Roman" w:eastAsia="Times New Roman" w:cs="Times New Roman"/>
              <w:lang w:val="en-GB"/>
            </w:rPr>
            <w:fldChar w:fldCharType="separate"/>
          </w:r>
          <w:r>
            <w:rPr>
              <w:rFonts w:ascii="Times New Roman" w:hAnsi="Times New Roman" w:eastAsia="Times New Roman" w:cs="Times New Roman"/>
              <w:lang w:val="en-GB"/>
            </w:rPr>
            <w:t>D.2 Manipulation test</w:t>
          </w:r>
          <w:r>
            <w:tab/>
          </w:r>
          <w:r>
            <w:fldChar w:fldCharType="begin"/>
          </w:r>
          <w:r>
            <w:instrText xml:space="preserve"> PAGEREF _Toc1075000021 \h </w:instrText>
          </w:r>
          <w:r>
            <w:fldChar w:fldCharType="separate"/>
          </w:r>
          <w:r>
            <w:t>13</w:t>
          </w:r>
          <w:r>
            <w:fldChar w:fldCharType="end"/>
          </w:r>
          <w:r>
            <w:rPr>
              <w:rFonts w:ascii="Times New Roman" w:hAnsi="Times New Roman" w:eastAsia="Times New Roman" w:cs="Times New Roman"/>
              <w:lang w:val="en-GB"/>
            </w:rPr>
            <w:fldChar w:fldCharType="end"/>
          </w:r>
        </w:p>
        <w:p w14:paraId="0BC31E7F">
          <w:pPr>
            <w:pStyle w:val="15"/>
            <w:tabs>
              <w:tab w:val="right" w:leader="dot" w:pos="8306"/>
            </w:tabs>
          </w:pPr>
          <w:r>
            <w:rPr>
              <w:rFonts w:ascii="Times New Roman" w:hAnsi="Times New Roman" w:eastAsia="Times New Roman" w:cs="Times New Roman"/>
              <w:lang w:val="en-GB"/>
            </w:rPr>
            <w:fldChar w:fldCharType="begin"/>
          </w:r>
          <w:r>
            <w:rPr>
              <w:rFonts w:ascii="Times New Roman" w:hAnsi="Times New Roman" w:eastAsia="Times New Roman" w:cs="Times New Roman"/>
              <w:lang w:val="en-GB"/>
            </w:rPr>
            <w:instrText xml:space="preserve"> HYPERLINK \l _Toc745430736 </w:instrText>
          </w:r>
          <w:r>
            <w:rPr>
              <w:rFonts w:ascii="Times New Roman" w:hAnsi="Times New Roman" w:eastAsia="Times New Roman" w:cs="Times New Roman"/>
              <w:lang w:val="en-GB"/>
            </w:rPr>
            <w:fldChar w:fldCharType="separate"/>
          </w:r>
          <w:r>
            <w:rPr>
              <w:rFonts w:ascii="Times New Roman" w:hAnsi="Times New Roman" w:eastAsia="Times New Roman" w:cs="Times New Roman"/>
              <w:lang w:val="en-GB"/>
            </w:rPr>
            <w:t>D.3 Local randomization approach to RD analysis</w:t>
          </w:r>
          <w:r>
            <w:tab/>
          </w:r>
          <w:r>
            <w:fldChar w:fldCharType="begin"/>
          </w:r>
          <w:r>
            <w:instrText xml:space="preserve"> PAGEREF _Toc745430736 \h </w:instrText>
          </w:r>
          <w:r>
            <w:fldChar w:fldCharType="separate"/>
          </w:r>
          <w:r>
            <w:t>14</w:t>
          </w:r>
          <w:r>
            <w:fldChar w:fldCharType="end"/>
          </w:r>
          <w:r>
            <w:rPr>
              <w:rFonts w:ascii="Times New Roman" w:hAnsi="Times New Roman" w:eastAsia="Times New Roman" w:cs="Times New Roman"/>
              <w:lang w:val="en-GB"/>
            </w:rPr>
            <w:fldChar w:fldCharType="end"/>
          </w:r>
        </w:p>
        <w:p w14:paraId="7B07AA11">
          <w:pPr>
            <w:pStyle w:val="10"/>
            <w:tabs>
              <w:tab w:val="right" w:leader="dot" w:pos="8306"/>
            </w:tabs>
          </w:pPr>
          <w:r>
            <w:rPr>
              <w:rFonts w:ascii="Times New Roman" w:hAnsi="Times New Roman" w:eastAsia="Times New Roman" w:cs="Times New Roman"/>
              <w:lang w:val="en-GB"/>
            </w:rPr>
            <w:fldChar w:fldCharType="begin"/>
          </w:r>
          <w:r>
            <w:rPr>
              <w:rFonts w:ascii="Times New Roman" w:hAnsi="Times New Roman" w:eastAsia="Times New Roman" w:cs="Times New Roman"/>
              <w:lang w:val="en-GB"/>
            </w:rPr>
            <w:instrText xml:space="preserve"> HYPERLINK \l _Toc34783354 </w:instrText>
          </w:r>
          <w:r>
            <w:rPr>
              <w:rFonts w:ascii="Times New Roman" w:hAnsi="Times New Roman" w:eastAsia="Times New Roman" w:cs="Times New Roman"/>
              <w:lang w:val="en-GB"/>
            </w:rPr>
            <w:fldChar w:fldCharType="separate"/>
          </w:r>
          <w:r>
            <w:rPr>
              <w:rFonts w:ascii="Times New Roman" w:hAnsi="Times New Roman" w:eastAsia="Times New Roman" w:cs="Times New Roman"/>
              <w:lang w:val="en-GB"/>
            </w:rPr>
            <w:t>E. Regression results</w:t>
          </w:r>
          <w:r>
            <w:tab/>
          </w:r>
          <w:r>
            <w:fldChar w:fldCharType="begin"/>
          </w:r>
          <w:r>
            <w:instrText xml:space="preserve"> PAGEREF _Toc34783354 \h </w:instrText>
          </w:r>
          <w:r>
            <w:fldChar w:fldCharType="separate"/>
          </w:r>
          <w:r>
            <w:t>17</w:t>
          </w:r>
          <w:r>
            <w:fldChar w:fldCharType="end"/>
          </w:r>
          <w:r>
            <w:rPr>
              <w:rFonts w:ascii="Times New Roman" w:hAnsi="Times New Roman" w:eastAsia="Times New Roman" w:cs="Times New Roman"/>
              <w:lang w:val="en-GB"/>
            </w:rPr>
            <w:fldChar w:fldCharType="end"/>
          </w:r>
        </w:p>
        <w:p w14:paraId="1C6CFCF1">
          <w:pPr>
            <w:pStyle w:val="10"/>
            <w:tabs>
              <w:tab w:val="right" w:leader="dot" w:pos="8306"/>
            </w:tabs>
          </w:pPr>
          <w:r>
            <w:rPr>
              <w:rFonts w:ascii="Times New Roman" w:hAnsi="Times New Roman" w:eastAsia="Times New Roman" w:cs="Times New Roman"/>
              <w:lang w:val="en-GB"/>
            </w:rPr>
            <w:fldChar w:fldCharType="begin"/>
          </w:r>
          <w:r>
            <w:rPr>
              <w:rFonts w:ascii="Times New Roman" w:hAnsi="Times New Roman" w:eastAsia="Times New Roman" w:cs="Times New Roman"/>
              <w:lang w:val="en-GB"/>
            </w:rPr>
            <w:instrText xml:space="preserve"> HYPERLINK \l _Toc488278694 </w:instrText>
          </w:r>
          <w:r>
            <w:rPr>
              <w:rFonts w:ascii="Times New Roman" w:hAnsi="Times New Roman" w:eastAsia="Times New Roman" w:cs="Times New Roman"/>
              <w:lang w:val="en-GB"/>
            </w:rPr>
            <w:fldChar w:fldCharType="separate"/>
          </w:r>
          <w:r>
            <w:rPr>
              <w:rFonts w:ascii="Times New Roman" w:hAnsi="Times New Roman" w:eastAsia="Times New Roman" w:cs="Times New Roman"/>
              <w:lang w:val="en-GB"/>
            </w:rPr>
            <w:t>F. Source of Data on Dissemination of Air Quality Information to the Public</w:t>
          </w:r>
          <w:r>
            <w:tab/>
          </w:r>
          <w:r>
            <w:fldChar w:fldCharType="begin"/>
          </w:r>
          <w:r>
            <w:instrText xml:space="preserve"> PAGEREF _Toc488278694 \h </w:instrText>
          </w:r>
          <w:r>
            <w:fldChar w:fldCharType="separate"/>
          </w:r>
          <w:r>
            <w:t>20</w:t>
          </w:r>
          <w:r>
            <w:fldChar w:fldCharType="end"/>
          </w:r>
          <w:r>
            <w:rPr>
              <w:rFonts w:ascii="Times New Roman" w:hAnsi="Times New Roman" w:eastAsia="Times New Roman" w:cs="Times New Roman"/>
              <w:lang w:val="en-GB"/>
            </w:rPr>
            <w:fldChar w:fldCharType="end"/>
          </w:r>
        </w:p>
        <w:p w14:paraId="6337CFFB">
          <w:pPr>
            <w:pStyle w:val="10"/>
            <w:tabs>
              <w:tab w:val="right" w:leader="dot" w:pos="8306"/>
            </w:tabs>
          </w:pPr>
          <w:r>
            <w:rPr>
              <w:rFonts w:ascii="Times New Roman" w:hAnsi="Times New Roman" w:eastAsia="Times New Roman" w:cs="Times New Roman"/>
              <w:lang w:val="en-GB"/>
            </w:rPr>
            <w:fldChar w:fldCharType="begin"/>
          </w:r>
          <w:r>
            <w:rPr>
              <w:rFonts w:ascii="Times New Roman" w:hAnsi="Times New Roman" w:eastAsia="Times New Roman" w:cs="Times New Roman"/>
              <w:lang w:val="en-GB"/>
            </w:rPr>
            <w:instrText xml:space="preserve"> HYPERLINK \l _Toc964994871 </w:instrText>
          </w:r>
          <w:r>
            <w:rPr>
              <w:rFonts w:ascii="Times New Roman" w:hAnsi="Times New Roman" w:eastAsia="Times New Roman" w:cs="Times New Roman"/>
              <w:lang w:val="en-GB"/>
            </w:rPr>
            <w:fldChar w:fldCharType="separate"/>
          </w:r>
          <w:r>
            <w:rPr>
              <w:rFonts w:ascii="Times New Roman" w:hAnsi="Times New Roman" w:eastAsia="Times New Roman" w:cs="Times New Roman"/>
              <w:lang w:val="en-GB"/>
            </w:rPr>
            <w:t>References</w:t>
          </w:r>
          <w:r>
            <w:tab/>
          </w:r>
          <w:r>
            <w:fldChar w:fldCharType="begin"/>
          </w:r>
          <w:r>
            <w:instrText xml:space="preserve"> PAGEREF _Toc964994871 \h </w:instrText>
          </w:r>
          <w:r>
            <w:fldChar w:fldCharType="separate"/>
          </w:r>
          <w:r>
            <w:t>21</w:t>
          </w:r>
          <w:r>
            <w:fldChar w:fldCharType="end"/>
          </w:r>
          <w:r>
            <w:rPr>
              <w:rFonts w:ascii="Times New Roman" w:hAnsi="Times New Roman" w:eastAsia="Times New Roman" w:cs="Times New Roman"/>
              <w:lang w:val="en-GB"/>
            </w:rPr>
            <w:fldChar w:fldCharType="end"/>
          </w:r>
        </w:p>
        <w:p w14:paraId="1DEADAD8">
          <w:pPr>
            <w:suppressAutoHyphens/>
            <w:kinsoku w:val="0"/>
            <w:overflowPunct w:val="0"/>
            <w:autoSpaceDE w:val="0"/>
            <w:autoSpaceDN w:val="0"/>
            <w:adjustRightInd w:val="0"/>
            <w:snapToGrid w:val="0"/>
            <w:spacing w:line="480" w:lineRule="auto"/>
            <w:jc w:val="center"/>
            <w:outlineLvl w:val="0"/>
            <w:rPr>
              <w:rFonts w:ascii="Times New Roman" w:hAnsi="Times New Roman" w:eastAsia="Times New Roman" w:cs="Times New Roman"/>
              <w:b/>
              <w:lang w:val="en-GB"/>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eastAsia="Times New Roman" w:cs="Times New Roman"/>
              <w:lang w:val="en-GB"/>
            </w:rPr>
            <w:fldChar w:fldCharType="end"/>
          </w:r>
        </w:p>
      </w:sdtContent>
    </w:sdt>
    <w:p w14:paraId="1889591A">
      <w:pPr>
        <w:suppressAutoHyphens/>
        <w:kinsoku w:val="0"/>
        <w:overflowPunct w:val="0"/>
        <w:autoSpaceDE w:val="0"/>
        <w:autoSpaceDN w:val="0"/>
        <w:adjustRightInd w:val="0"/>
        <w:snapToGrid w:val="0"/>
        <w:spacing w:line="480" w:lineRule="auto"/>
        <w:outlineLvl w:val="0"/>
        <w:rPr>
          <w:rFonts w:ascii="Times New Roman" w:hAnsi="Times New Roman" w:eastAsia="Times New Roman" w:cs="Times New Roman"/>
          <w:b/>
          <w:sz w:val="28"/>
          <w:lang w:val="en-GB"/>
        </w:rPr>
      </w:pPr>
      <w:bookmarkStart w:id="4" w:name="_Toc1411279142"/>
      <w:bookmarkStart w:id="5" w:name="_Toc1985754192"/>
      <w:bookmarkStart w:id="6" w:name="_Toc1973393757"/>
      <w:bookmarkStart w:id="7" w:name="_Toc1202069655"/>
      <w:r>
        <w:rPr>
          <w:rFonts w:ascii="Times New Roman" w:hAnsi="Times New Roman" w:eastAsia="Times New Roman" w:cs="Times New Roman"/>
          <w:b/>
          <w:sz w:val="32"/>
          <w:lang w:val="en-GB"/>
        </w:rPr>
        <w:t>A. Research Hypotheses</w:t>
      </w:r>
      <w:bookmarkEnd w:id="4"/>
      <w:bookmarkEnd w:id="5"/>
      <w:bookmarkEnd w:id="6"/>
      <w:bookmarkEnd w:id="7"/>
    </w:p>
    <w:p w14:paraId="682BF76F">
      <w:pPr>
        <w:suppressAutoHyphens/>
        <w:kinsoku w:val="0"/>
        <w:overflowPunct w:val="0"/>
        <w:autoSpaceDE w:val="0"/>
        <w:autoSpaceDN w:val="0"/>
        <w:adjustRightInd w:val="0"/>
        <w:snapToGrid w:val="0"/>
        <w:spacing w:line="480" w:lineRule="auto"/>
        <w:outlineLvl w:val="1"/>
        <w:rPr>
          <w:rFonts w:ascii="Times New Roman" w:hAnsi="Times New Roman" w:eastAsia="Times New Roman" w:cs="Times New Roman"/>
          <w:b/>
          <w:sz w:val="28"/>
          <w:lang w:val="en-GB"/>
        </w:rPr>
      </w:pPr>
      <w:bookmarkStart w:id="8" w:name="_Toc1806024256"/>
      <w:bookmarkStart w:id="9" w:name="_Toc527346917"/>
      <w:bookmarkStart w:id="10" w:name="_Toc411658479"/>
      <w:bookmarkStart w:id="11" w:name="_Toc1091429631"/>
      <w:r>
        <w:rPr>
          <w:rFonts w:ascii="Times New Roman" w:hAnsi="Times New Roman" w:eastAsia="Times New Roman" w:cs="Times New Roman"/>
          <w:b/>
          <w:sz w:val="28"/>
          <w:lang w:val="en-GB"/>
        </w:rPr>
        <w:t xml:space="preserve">A.1 </w:t>
      </w:r>
      <w:r>
        <w:rPr>
          <w:rFonts w:hint="eastAsia" w:ascii="Times New Roman" w:hAnsi="Times New Roman" w:eastAsia="Songti SC" w:cs="Times New Roman Bold"/>
          <w:b/>
          <w:bCs/>
          <w:sz w:val="28"/>
          <w:szCs w:val="28"/>
        </w:rPr>
        <w:t>Air quality information triggers travel avoidance behavio</w:t>
      </w:r>
      <w:r>
        <w:rPr>
          <w:rFonts w:hint="default" w:ascii="Times New Roman" w:hAnsi="Times New Roman" w:eastAsia="Songti SC" w:cs="Times New Roman Bold"/>
          <w:b/>
          <w:bCs/>
          <w:sz w:val="28"/>
          <w:szCs w:val="28"/>
          <w:lang w:val="en-US"/>
        </w:rPr>
        <w:t>u</w:t>
      </w:r>
      <w:r>
        <w:rPr>
          <w:rFonts w:hint="eastAsia" w:ascii="Times New Roman" w:hAnsi="Times New Roman" w:eastAsia="Songti SC" w:cs="Times New Roman Bold"/>
          <w:b/>
          <w:bCs/>
          <w:sz w:val="28"/>
          <w:szCs w:val="28"/>
        </w:rPr>
        <w:t>rs</w:t>
      </w:r>
      <w:bookmarkEnd w:id="8"/>
      <w:bookmarkEnd w:id="9"/>
      <w:bookmarkEnd w:id="10"/>
      <w:bookmarkEnd w:id="11"/>
    </w:p>
    <w:p w14:paraId="79C057FB">
      <w:p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r>
        <w:rPr>
          <w:rFonts w:ascii="Times New Roman" w:hAnsi="Times New Roman" w:eastAsia="Times New Roman" w:cs="Times New Roman"/>
          <w:sz w:val="24"/>
          <w:lang w:val="en-GB"/>
        </w:rPr>
        <w:t>Environmental information disclosure is a fundamental measure of environmental governance. The disclosure of air quality information alleviates the gap between public perception and actual levels of air pollution</w:t>
      </w:r>
      <w:r>
        <w:rPr>
          <w:rFonts w:hint="default" w:ascii="Times New Roman" w:hAnsi="Times New Roman" w:eastAsia="Times New Roman" w:cs="Times New Roman"/>
          <w:sz w:val="24"/>
          <w:vertAlign w:val="superscript"/>
          <w:lang w:val="en-GB"/>
        </w:rPr>
        <w:fldChar w:fldCharType="begin"/>
      </w:r>
      <w:r>
        <w:rPr>
          <w:rFonts w:hint="default" w:ascii="Times New Roman" w:hAnsi="Times New Roman" w:eastAsia="Times New Roman" w:cs="Times New Roman"/>
          <w:sz w:val="24"/>
          <w:vertAlign w:val="superscript"/>
          <w:lang w:val="en-GB"/>
        </w:rPr>
        <w:instrText xml:space="preserve"> REF _Ref1125060209 \n \h </w:instrText>
      </w:r>
      <w:r>
        <w:rPr>
          <w:rFonts w:hint="default" w:ascii="Times New Roman" w:hAnsi="Times New Roman" w:eastAsia="Times New Roman" w:cs="Times New Roman"/>
          <w:sz w:val="24"/>
          <w:vertAlign w:val="superscript"/>
          <w:lang w:val="en-GB"/>
        </w:rPr>
        <w:fldChar w:fldCharType="separate"/>
      </w:r>
      <w:r>
        <w:rPr>
          <w:rFonts w:hint="default" w:ascii="Times New Roman" w:hAnsi="Times New Roman" w:eastAsia="Times New Roman" w:cs="Times New Roman"/>
          <w:sz w:val="24"/>
          <w:vertAlign w:val="superscript"/>
          <w:lang w:val="en-GB"/>
        </w:rPr>
        <w:t>1</w:t>
      </w:r>
      <w:r>
        <w:rPr>
          <w:rFonts w:hint="default" w:ascii="Times New Roman" w:hAnsi="Times New Roman" w:eastAsia="Times New Roman" w:cs="Times New Roman"/>
          <w:sz w:val="24"/>
          <w:vertAlign w:val="superscript"/>
          <w:lang w:val="en-GB"/>
        </w:rPr>
        <w:fldChar w:fldCharType="end"/>
      </w:r>
      <w:r>
        <w:rPr>
          <w:rFonts w:ascii="Times New Roman" w:hAnsi="Times New Roman" w:eastAsia="Times New Roman" w:cs="Times New Roman"/>
          <w:sz w:val="24"/>
          <w:lang w:val="en-GB"/>
        </w:rPr>
        <w:t>. For instance, particulate matter (PM) causes visible haze and respiratory discomfort, making it perceptible, whereas harmful gases, such as CO and NO2, are not easily detected by the public. Thus, air quality information disclosure helps the public make optimal behavioural decisions. Consequently, governments worldwide have adopted various measures, such as air pollution alerts, to disclose air pollution information to the public.</w:t>
      </w:r>
    </w:p>
    <w:p w14:paraId="223DCB70">
      <w:pPr>
        <w:suppressAutoHyphens/>
        <w:kinsoku w:val="0"/>
        <w:overflowPunct w:val="0"/>
        <w:autoSpaceDE w:val="0"/>
        <w:autoSpaceDN w:val="0"/>
        <w:adjustRightInd w:val="0"/>
        <w:snapToGrid w:val="0"/>
        <w:spacing w:line="480" w:lineRule="auto"/>
        <w:ind w:firstLine="480"/>
        <w:rPr>
          <w:rFonts w:ascii="Times New Roman" w:hAnsi="Times New Roman" w:eastAsia="Times New Roman" w:cs="Times New Roman"/>
          <w:sz w:val="24"/>
          <w:lang w:val="en-GB"/>
        </w:rPr>
      </w:pPr>
      <w:r>
        <w:rPr>
          <w:rFonts w:ascii="Times New Roman" w:hAnsi="Times New Roman" w:eastAsia="Times New Roman" w:cs="Times New Roman"/>
          <w:sz w:val="24"/>
          <w:lang w:val="en-GB"/>
        </w:rPr>
        <w:t>As part of the war against pollution, China has implemented an air quality monitoring program and has been disclosing air quality information since 2013. This air quality monitoring program deploys a nationwide network of monitoring equipment and provides a real-time Air Quality Index (AQI) to the public</w:t>
      </w:r>
      <w:r>
        <w:rPr>
          <w:rFonts w:hint="default" w:ascii="Times New Roman" w:hAnsi="Times New Roman" w:eastAsia="Times New Roman" w:cs="Times New Roman"/>
          <w:sz w:val="24"/>
          <w:vertAlign w:val="superscript"/>
          <w:lang w:val="en-GB"/>
        </w:rPr>
        <w:fldChar w:fldCharType="begin"/>
      </w:r>
      <w:r>
        <w:rPr>
          <w:rFonts w:hint="default" w:ascii="Times New Roman" w:hAnsi="Times New Roman" w:eastAsia="Times New Roman" w:cs="Times New Roman"/>
          <w:sz w:val="24"/>
          <w:vertAlign w:val="superscript"/>
          <w:lang w:val="en-GB"/>
        </w:rPr>
        <w:instrText xml:space="preserve"> REF _Ref1125278700 \n \h </w:instrText>
      </w:r>
      <w:r>
        <w:rPr>
          <w:rFonts w:hint="default" w:ascii="Times New Roman" w:hAnsi="Times New Roman" w:eastAsia="Times New Roman" w:cs="Times New Roman"/>
          <w:sz w:val="24"/>
          <w:vertAlign w:val="superscript"/>
          <w:lang w:val="en-GB"/>
        </w:rPr>
        <w:fldChar w:fldCharType="separate"/>
      </w:r>
      <w:r>
        <w:rPr>
          <w:rFonts w:hint="default" w:ascii="Times New Roman" w:hAnsi="Times New Roman" w:eastAsia="Times New Roman" w:cs="Times New Roman"/>
          <w:sz w:val="24"/>
          <w:vertAlign w:val="superscript"/>
          <w:lang w:val="en-GB"/>
        </w:rPr>
        <w:t>2</w:t>
      </w:r>
      <w:r>
        <w:rPr>
          <w:rFonts w:hint="default" w:ascii="Times New Roman" w:hAnsi="Times New Roman" w:eastAsia="Times New Roman" w:cs="Times New Roman"/>
          <w:sz w:val="24"/>
          <w:vertAlign w:val="superscript"/>
          <w:lang w:val="en-GB"/>
        </w:rPr>
        <w:fldChar w:fldCharType="end"/>
      </w:r>
      <w:r>
        <w:rPr>
          <w:rFonts w:ascii="Times New Roman" w:hAnsi="Times New Roman" w:eastAsia="Times New Roman" w:cs="Times New Roman"/>
          <w:sz w:val="24"/>
          <w:lang w:val="en-GB"/>
        </w:rPr>
        <w:t xml:space="preserve">. </w:t>
      </w:r>
      <w:r>
        <w:rPr>
          <w:rFonts w:hint="eastAsia" w:ascii="Times New Roman" w:hAnsi="Times New Roman" w:eastAsia="Times New Roman" w:cs="Times New Roman"/>
          <w:sz w:val="24"/>
          <w:lang w:val="en-GB"/>
        </w:rPr>
        <w:t xml:space="preserve">The AQI is a comprehensive index that represents the overall level of air pollution, based on which air quality can </w:t>
      </w:r>
      <w:r>
        <w:rPr>
          <w:rFonts w:ascii="Times New Roman" w:hAnsi="Times New Roman" w:eastAsia="Times New Roman" w:cs="Times New Roman"/>
          <w:sz w:val="24"/>
        </w:rPr>
        <w:t>be</w:t>
      </w:r>
      <w:r>
        <w:rPr>
          <w:rFonts w:hint="eastAsia" w:ascii="Times New Roman" w:hAnsi="Times New Roman" w:eastAsia="Times New Roman" w:cs="Times New Roman"/>
          <w:sz w:val="24"/>
          <w:lang w:val="en-GB"/>
        </w:rPr>
        <w:t xml:space="preserve"> divided into six different levels. Moreover, the program provides information on corresponding health hazards and recommended actions for each air quality </w:t>
      </w:r>
      <w:r>
        <w:rPr>
          <w:rFonts w:ascii="Times New Roman" w:hAnsi="Times New Roman" w:eastAsia="Times New Roman" w:cs="Times New Roman"/>
          <w:sz w:val="24"/>
        </w:rPr>
        <w:t xml:space="preserve">category </w:t>
      </w:r>
      <w:r>
        <w:rPr>
          <w:rFonts w:hint="eastAsia" w:ascii="Times New Roman" w:hAnsi="Times New Roman" w:eastAsia="Times New Roman" w:cs="Times New Roman"/>
          <w:sz w:val="24"/>
          <w:lang w:val="en-GB"/>
        </w:rPr>
        <w:t xml:space="preserve">(Table B2).  </w:t>
      </w:r>
    </w:p>
    <w:p w14:paraId="5AA75E71">
      <w:pPr>
        <w:suppressAutoHyphens/>
        <w:kinsoku w:val="0"/>
        <w:overflowPunct w:val="0"/>
        <w:autoSpaceDE w:val="0"/>
        <w:autoSpaceDN w:val="0"/>
        <w:adjustRightInd w:val="0"/>
        <w:snapToGrid w:val="0"/>
        <w:spacing w:line="480" w:lineRule="auto"/>
        <w:ind w:firstLine="480"/>
        <w:rPr>
          <w:rFonts w:ascii="Times New Roman" w:hAnsi="Times New Roman" w:eastAsia="Times New Roman" w:cs="Times New Roman"/>
          <w:sz w:val="24"/>
          <w:lang w:val="en-GB"/>
        </w:rPr>
      </w:pPr>
      <w:r>
        <w:rPr>
          <w:rFonts w:ascii="Times New Roman" w:hAnsi="Times New Roman" w:eastAsia="Times New Roman" w:cs="Times New Roman"/>
          <w:sz w:val="24"/>
          <w:lang w:val="en-GB"/>
        </w:rPr>
        <w:t>Air quality information can raise awareness and willingness for self-protection</w:t>
      </w:r>
      <w:r>
        <w:rPr>
          <w:rFonts w:hint="default" w:ascii="Times New Roman" w:hAnsi="Times New Roman" w:eastAsia="Times New Roman" w:cs="Times New Roman"/>
          <w:sz w:val="24"/>
          <w:vertAlign w:val="superscript"/>
          <w:lang w:val="en-GB"/>
        </w:rPr>
        <w:fldChar w:fldCharType="begin"/>
      </w:r>
      <w:r>
        <w:rPr>
          <w:rFonts w:hint="default" w:ascii="Times New Roman" w:hAnsi="Times New Roman" w:eastAsia="Times New Roman" w:cs="Times New Roman"/>
          <w:sz w:val="24"/>
          <w:vertAlign w:val="superscript"/>
          <w:lang w:val="en-GB"/>
        </w:rPr>
        <w:instrText xml:space="preserve"> REF _Ref1125480384 \n \h </w:instrText>
      </w:r>
      <w:r>
        <w:rPr>
          <w:rFonts w:hint="default" w:ascii="Times New Roman" w:hAnsi="Times New Roman" w:eastAsia="Times New Roman" w:cs="Times New Roman"/>
          <w:sz w:val="24"/>
          <w:vertAlign w:val="superscript"/>
          <w:lang w:val="en-GB"/>
        </w:rPr>
        <w:fldChar w:fldCharType="separate"/>
      </w:r>
      <w:r>
        <w:rPr>
          <w:rFonts w:hint="default" w:ascii="Times New Roman" w:hAnsi="Times New Roman" w:eastAsia="Times New Roman" w:cs="Times New Roman"/>
          <w:sz w:val="24"/>
          <w:vertAlign w:val="superscript"/>
          <w:lang w:val="en-GB"/>
        </w:rPr>
        <w:t>3</w:t>
      </w:r>
      <w:r>
        <w:rPr>
          <w:rFonts w:hint="default" w:ascii="Times New Roman" w:hAnsi="Times New Roman" w:eastAsia="Times New Roman" w:cs="Times New Roman"/>
          <w:sz w:val="24"/>
          <w:vertAlign w:val="superscript"/>
          <w:lang w:val="en-GB"/>
        </w:rPr>
        <w:fldChar w:fldCharType="end"/>
      </w:r>
      <w:r>
        <w:rPr>
          <w:rFonts w:ascii="Times New Roman" w:hAnsi="Times New Roman" w:eastAsia="Times New Roman" w:cs="Times New Roman"/>
          <w:sz w:val="24"/>
          <w:lang w:val="en-GB"/>
        </w:rPr>
        <w:t xml:space="preserve"> and behavioural changes</w:t>
      </w:r>
      <w:r>
        <w:rPr>
          <w:rFonts w:hint="default" w:ascii="Times New Roman" w:hAnsi="Times New Roman" w:eastAsia="Times New Roman" w:cs="Times New Roman"/>
          <w:sz w:val="24"/>
          <w:vertAlign w:val="superscript"/>
          <w:lang w:val="en-GB"/>
        </w:rPr>
        <w:fldChar w:fldCharType="begin"/>
      </w:r>
      <w:r>
        <w:rPr>
          <w:rFonts w:hint="default" w:ascii="Times New Roman" w:hAnsi="Times New Roman" w:eastAsia="Times New Roman" w:cs="Times New Roman"/>
          <w:sz w:val="24"/>
          <w:vertAlign w:val="superscript"/>
          <w:lang w:val="en-GB"/>
        </w:rPr>
        <w:instrText xml:space="preserve"> REF _Ref1125648454 \n \h </w:instrText>
      </w:r>
      <w:r>
        <w:rPr>
          <w:rFonts w:hint="default" w:ascii="Times New Roman" w:hAnsi="Times New Roman" w:eastAsia="Times New Roman" w:cs="Times New Roman"/>
          <w:sz w:val="24"/>
          <w:vertAlign w:val="superscript"/>
          <w:lang w:val="en-GB"/>
        </w:rPr>
        <w:fldChar w:fldCharType="separate"/>
      </w:r>
      <w:r>
        <w:rPr>
          <w:rFonts w:hint="default" w:ascii="Times New Roman" w:hAnsi="Times New Roman" w:eastAsia="Times New Roman" w:cs="Times New Roman"/>
          <w:sz w:val="24"/>
          <w:vertAlign w:val="superscript"/>
          <w:lang w:val="en-GB"/>
        </w:rPr>
        <w:t>4</w:t>
      </w:r>
      <w:r>
        <w:rPr>
          <w:rFonts w:hint="default" w:ascii="Times New Roman" w:hAnsi="Times New Roman" w:eastAsia="Times New Roman" w:cs="Times New Roman"/>
          <w:sz w:val="24"/>
          <w:vertAlign w:val="superscript"/>
          <w:lang w:val="en-GB"/>
        </w:rPr>
        <w:fldChar w:fldCharType="end"/>
      </w:r>
      <w:r>
        <w:rPr>
          <w:rFonts w:ascii="Times New Roman" w:hAnsi="Times New Roman" w:eastAsia="Times New Roman" w:cs="Times New Roman"/>
          <w:sz w:val="24"/>
          <w:lang w:val="en-GB"/>
        </w:rPr>
        <w:t>. Air quality alerts, such as smog alerts, reduce outdoor activities and time spent outdoors</w:t>
      </w:r>
      <w:r>
        <w:rPr>
          <w:rFonts w:hint="default" w:ascii="Times New Roman" w:hAnsi="Times New Roman" w:eastAsia="Times New Roman" w:cs="Times New Roman"/>
          <w:sz w:val="24"/>
          <w:vertAlign w:val="superscript"/>
          <w:lang w:val="en-GB"/>
        </w:rPr>
        <w:fldChar w:fldCharType="begin"/>
      </w:r>
      <w:r>
        <w:rPr>
          <w:rFonts w:hint="default" w:ascii="Times New Roman" w:hAnsi="Times New Roman" w:eastAsia="Times New Roman" w:cs="Times New Roman"/>
          <w:sz w:val="24"/>
          <w:vertAlign w:val="superscript"/>
          <w:lang w:val="en-GB"/>
        </w:rPr>
        <w:instrText xml:space="preserve"> REF _Ref1125799717 \n \h </w:instrText>
      </w:r>
      <w:r>
        <w:rPr>
          <w:rFonts w:hint="default" w:ascii="Times New Roman" w:hAnsi="Times New Roman" w:eastAsia="Times New Roman" w:cs="Times New Roman"/>
          <w:sz w:val="24"/>
          <w:vertAlign w:val="superscript"/>
          <w:lang w:val="en-GB"/>
        </w:rPr>
        <w:fldChar w:fldCharType="separate"/>
      </w:r>
      <w:r>
        <w:rPr>
          <w:rFonts w:hint="default" w:ascii="Times New Roman" w:hAnsi="Times New Roman" w:eastAsia="Times New Roman" w:cs="Times New Roman"/>
          <w:sz w:val="24"/>
          <w:vertAlign w:val="superscript"/>
          <w:lang w:val="en-GB"/>
        </w:rPr>
        <w:t>5</w:t>
      </w:r>
      <w:r>
        <w:rPr>
          <w:rFonts w:hint="default" w:ascii="Times New Roman" w:hAnsi="Times New Roman" w:eastAsia="Times New Roman" w:cs="Times New Roman"/>
          <w:sz w:val="24"/>
          <w:vertAlign w:val="superscript"/>
          <w:lang w:val="en-GB"/>
        </w:rPr>
        <w:fldChar w:fldCharType="end"/>
      </w:r>
      <w:r>
        <w:rPr>
          <w:rFonts w:ascii="Times New Roman" w:hAnsi="Times New Roman" w:eastAsia="Times New Roman" w:cs="Times New Roman"/>
          <w:sz w:val="24"/>
          <w:vertAlign w:val="superscript"/>
          <w:lang w:val="en-GB"/>
        </w:rPr>
        <w:t>,</w:t>
      </w:r>
      <w:r>
        <w:rPr>
          <w:rFonts w:hint="default" w:ascii="Times New Roman" w:hAnsi="Times New Roman" w:eastAsia="Times New Roman" w:cs="Times New Roman"/>
          <w:sz w:val="24"/>
          <w:vertAlign w:val="superscript"/>
          <w:lang w:val="en-GB"/>
        </w:rPr>
        <w:fldChar w:fldCharType="begin"/>
      </w:r>
      <w:r>
        <w:rPr>
          <w:rFonts w:hint="default" w:ascii="Times New Roman" w:hAnsi="Times New Roman" w:eastAsia="Times New Roman" w:cs="Times New Roman"/>
          <w:sz w:val="24"/>
          <w:vertAlign w:val="superscript"/>
          <w:lang w:val="en-GB"/>
        </w:rPr>
        <w:instrText xml:space="preserve"> REF _Ref1125950980 \n \h </w:instrText>
      </w:r>
      <w:r>
        <w:rPr>
          <w:rFonts w:hint="default" w:ascii="Times New Roman" w:hAnsi="Times New Roman" w:eastAsia="Times New Roman" w:cs="Times New Roman"/>
          <w:sz w:val="24"/>
          <w:vertAlign w:val="superscript"/>
          <w:lang w:val="en-GB"/>
        </w:rPr>
        <w:fldChar w:fldCharType="separate"/>
      </w:r>
      <w:r>
        <w:rPr>
          <w:rFonts w:hint="default" w:ascii="Times New Roman" w:hAnsi="Times New Roman" w:eastAsia="Times New Roman" w:cs="Times New Roman"/>
          <w:sz w:val="24"/>
          <w:vertAlign w:val="superscript"/>
          <w:lang w:val="en-GB"/>
        </w:rPr>
        <w:t>6</w:t>
      </w:r>
      <w:r>
        <w:rPr>
          <w:rFonts w:hint="default" w:ascii="Times New Roman" w:hAnsi="Times New Roman" w:eastAsia="Times New Roman" w:cs="Times New Roman"/>
          <w:sz w:val="24"/>
          <w:vertAlign w:val="superscript"/>
          <w:lang w:val="en-GB"/>
        </w:rPr>
        <w:fldChar w:fldCharType="end"/>
      </w:r>
      <w:r>
        <w:rPr>
          <w:rFonts w:ascii="Times New Roman" w:hAnsi="Times New Roman" w:eastAsia="Times New Roman" w:cs="Times New Roman"/>
          <w:sz w:val="24"/>
          <w:lang w:val="en-GB"/>
        </w:rPr>
        <w:t xml:space="preserve">. </w:t>
      </w:r>
      <w:r>
        <w:rPr>
          <w:rFonts w:ascii="Times New Roman" w:hAnsi="Times New Roman" w:eastAsia="Songti SC"/>
          <w:sz w:val="24"/>
        </w:rPr>
        <w:t>In our context, the change in air quality is information that the public can easily notice.</w:t>
      </w:r>
      <w:r>
        <w:rPr>
          <w:rFonts w:hint="eastAsia" w:ascii="Times New Roman" w:hAnsi="Times New Roman" w:eastAsia="Songti SC"/>
          <w:sz w:val="24"/>
          <w:lang w:val="en-US" w:eastAsia="zh-CN"/>
        </w:rPr>
        <w:t xml:space="preserve"> </w:t>
      </w:r>
      <w:r>
        <w:rPr>
          <w:rFonts w:ascii="Times New Roman" w:hAnsi="Times New Roman" w:eastAsia="Times New Roman" w:cs="Times New Roman"/>
          <w:sz w:val="24"/>
          <w:lang w:val="en-GB"/>
        </w:rPr>
        <w:t xml:space="preserve">There is a dramatic change in the air </w:t>
      </w:r>
      <w:r>
        <w:rPr>
          <w:rFonts w:hint="eastAsia" w:ascii="Times New Roman" w:hAnsi="Times New Roman" w:eastAsia="宋体" w:cs="Times New Roman"/>
          <w:sz w:val="24"/>
          <w:lang w:val="en-US" w:eastAsia="zh-CN"/>
        </w:rPr>
        <w:t xml:space="preserve">quality </w:t>
      </w:r>
      <w:r>
        <w:rPr>
          <w:rFonts w:hint="default" w:ascii="Times New Roman" w:hAnsi="Times New Roman" w:eastAsia="宋体" w:cs="Times New Roman"/>
          <w:sz w:val="24"/>
          <w:lang w:val="en-US" w:eastAsia="zh-CN"/>
        </w:rPr>
        <w:t xml:space="preserve">category </w:t>
      </w:r>
      <w:r>
        <w:rPr>
          <w:rFonts w:ascii="Times New Roman" w:hAnsi="Times New Roman" w:eastAsia="Times New Roman" w:cs="Times New Roman"/>
          <w:sz w:val="24"/>
          <w:lang w:val="en-GB"/>
        </w:rPr>
        <w:t>and health risks perceived by the public, on different sides of the cutoff, although air pollution changes slightly. For example, when the AQI is 99, the air quality level is “Good” and only a very small minority of exceptionally sensitive individuals are recommended to reduce outdoor activities. However, when the AQI reaches 101, the air quality level becomes “Lightly Polluted”. A broader group, including children, the elderly, and individuals with heart or respiratory diseases, is advised to reduce prolonged and high-intensity outdoor exercises, as shown in Table B2. Consequently, air quality c</w:t>
      </w:r>
      <w:r>
        <w:rPr>
          <w:rFonts w:ascii="Times New Roman" w:hAnsi="Times New Roman" w:eastAsia="Times New Roman" w:cs="Times New Roman"/>
          <w:sz w:val="24"/>
        </w:rPr>
        <w:t>ould</w:t>
      </w:r>
      <w:r>
        <w:rPr>
          <w:rFonts w:ascii="Times New Roman" w:hAnsi="Times New Roman" w:eastAsia="Times New Roman" w:cs="Times New Roman"/>
          <w:sz w:val="24"/>
          <w:lang w:val="en-GB"/>
        </w:rPr>
        <w:t xml:space="preserve"> significantly trigger avoidance behaviours, including travel. Therefore, we propose the following hypothesis:</w:t>
      </w:r>
    </w:p>
    <w:p w14:paraId="445A17BA">
      <w:pPr>
        <w:suppressAutoHyphens/>
        <w:kinsoku w:val="0"/>
        <w:overflowPunct w:val="0"/>
        <w:autoSpaceDE w:val="0"/>
        <w:autoSpaceDN w:val="0"/>
        <w:adjustRightInd w:val="0"/>
        <w:snapToGrid w:val="0"/>
        <w:spacing w:line="480" w:lineRule="auto"/>
        <w:ind w:firstLine="480"/>
        <w:rPr>
          <w:rFonts w:ascii="Times New Roman" w:hAnsi="Times New Roman" w:eastAsia="Times New Roman" w:cs="Times New Roman"/>
          <w:sz w:val="24"/>
          <w:lang w:val="en-GB"/>
        </w:rPr>
      </w:pPr>
      <w:r>
        <w:rPr>
          <w:rFonts w:ascii="Times New Roman" w:hAnsi="Times New Roman" w:eastAsia="Times New Roman" w:cs="Times New Roman"/>
          <w:b/>
          <w:sz w:val="24"/>
          <w:lang w:val="en-GB"/>
        </w:rPr>
        <w:t>Hypothesis 1:</w:t>
      </w:r>
      <w:r>
        <w:rPr>
          <w:rFonts w:ascii="Times New Roman" w:hAnsi="Times New Roman" w:eastAsia="Times New Roman" w:cs="Times New Roman"/>
          <w:sz w:val="24"/>
          <w:lang w:val="en-GB"/>
        </w:rPr>
        <w:t xml:space="preserve"> Air pollution information triggers travel avoidance behaviours.</w:t>
      </w:r>
    </w:p>
    <w:p w14:paraId="4F4D02A7">
      <w:pPr>
        <w:suppressAutoHyphens/>
        <w:kinsoku w:val="0"/>
        <w:overflowPunct w:val="0"/>
        <w:autoSpaceDE w:val="0"/>
        <w:autoSpaceDN w:val="0"/>
        <w:adjustRightInd w:val="0"/>
        <w:snapToGrid w:val="0"/>
        <w:spacing w:line="480" w:lineRule="auto"/>
        <w:outlineLvl w:val="1"/>
        <w:rPr>
          <w:rFonts w:ascii="Times New Roman" w:hAnsi="Times New Roman" w:eastAsia="Times New Roman" w:cs="Times New Roman"/>
          <w:sz w:val="24"/>
          <w:lang w:val="en-GB"/>
        </w:rPr>
      </w:pPr>
      <w:bookmarkStart w:id="12" w:name="_Toc1315803894"/>
      <w:bookmarkStart w:id="13" w:name="_Toc1699229566"/>
      <w:bookmarkStart w:id="14" w:name="_Toc454622850"/>
      <w:bookmarkStart w:id="15" w:name="_Toc1999979190"/>
      <w:r>
        <w:rPr>
          <w:rFonts w:ascii="Times New Roman" w:hAnsi="Times New Roman" w:eastAsia="Times New Roman" w:cs="Times New Roman"/>
          <w:b/>
          <w:sz w:val="28"/>
          <w:lang w:val="en-GB"/>
        </w:rPr>
        <w:t>A.2 Unequal impact of air quality information</w:t>
      </w:r>
      <w:bookmarkEnd w:id="12"/>
      <w:bookmarkEnd w:id="13"/>
      <w:bookmarkEnd w:id="14"/>
      <w:bookmarkEnd w:id="15"/>
    </w:p>
    <w:p w14:paraId="3192103B">
      <w:p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r>
        <w:rPr>
          <w:rFonts w:ascii="Times New Roman" w:hAnsi="Times New Roman" w:eastAsia="Times New Roman" w:cs="Times New Roman"/>
          <w:sz w:val="24"/>
          <w:lang w:val="en-GB"/>
        </w:rPr>
        <w:t>Although high AQI levels significantly increase people’s precaution intentions</w:t>
      </w:r>
      <w:r>
        <w:rPr>
          <w:rFonts w:hint="default" w:ascii="Times New Roman" w:hAnsi="Times New Roman" w:eastAsia="Times New Roman" w:cs="Times New Roman"/>
          <w:sz w:val="24"/>
          <w:vertAlign w:val="superscript"/>
          <w:lang w:val="en-GB"/>
        </w:rPr>
        <w:fldChar w:fldCharType="begin"/>
      </w:r>
      <w:r>
        <w:rPr>
          <w:rFonts w:hint="default" w:ascii="Times New Roman" w:hAnsi="Times New Roman" w:eastAsia="Times New Roman" w:cs="Times New Roman"/>
          <w:sz w:val="24"/>
          <w:vertAlign w:val="superscript"/>
          <w:lang w:val="en-GB"/>
        </w:rPr>
        <w:instrText xml:space="preserve"> REF _Ref1795130193 \n \h </w:instrText>
      </w:r>
      <w:r>
        <w:rPr>
          <w:rFonts w:hint="default" w:ascii="Times New Roman" w:hAnsi="Times New Roman" w:eastAsia="Times New Roman" w:cs="Times New Roman"/>
          <w:sz w:val="24"/>
          <w:vertAlign w:val="superscript"/>
          <w:lang w:val="en-GB"/>
        </w:rPr>
        <w:fldChar w:fldCharType="separate"/>
      </w:r>
      <w:r>
        <w:rPr>
          <w:rFonts w:hint="default" w:ascii="Times New Roman" w:hAnsi="Times New Roman" w:eastAsia="Times New Roman" w:cs="Times New Roman"/>
          <w:sz w:val="24"/>
          <w:vertAlign w:val="superscript"/>
          <w:lang w:val="en-GB"/>
        </w:rPr>
        <w:t>7</w:t>
      </w:r>
      <w:r>
        <w:rPr>
          <w:rFonts w:hint="default" w:ascii="Times New Roman" w:hAnsi="Times New Roman" w:eastAsia="Times New Roman" w:cs="Times New Roman"/>
          <w:sz w:val="24"/>
          <w:vertAlign w:val="superscript"/>
          <w:lang w:val="en-GB"/>
        </w:rPr>
        <w:fldChar w:fldCharType="end"/>
      </w:r>
      <w:r>
        <w:rPr>
          <w:rFonts w:ascii="Times New Roman" w:hAnsi="Times New Roman" w:eastAsia="Times New Roman" w:cs="Times New Roman"/>
          <w:sz w:val="24"/>
          <w:vertAlign w:val="superscript"/>
          <w:lang w:val="en-GB"/>
        </w:rPr>
        <w:t>-</w:t>
      </w:r>
      <w:r>
        <w:rPr>
          <w:rFonts w:hint="default" w:ascii="Times New Roman" w:hAnsi="Times New Roman" w:eastAsia="Times New Roman" w:cs="Times New Roman"/>
          <w:sz w:val="24"/>
          <w:vertAlign w:val="superscript"/>
          <w:lang w:val="en-GB"/>
        </w:rPr>
        <w:fldChar w:fldCharType="begin"/>
      </w:r>
      <w:r>
        <w:rPr>
          <w:rFonts w:hint="default" w:ascii="Times New Roman" w:hAnsi="Times New Roman" w:eastAsia="Times New Roman" w:cs="Times New Roman"/>
          <w:sz w:val="24"/>
          <w:vertAlign w:val="superscript"/>
          <w:lang w:val="en-GB"/>
        </w:rPr>
        <w:instrText xml:space="preserve"> REF _Ref1795247842 \n \h </w:instrText>
      </w:r>
      <w:r>
        <w:rPr>
          <w:rFonts w:hint="default" w:ascii="Times New Roman" w:hAnsi="Times New Roman" w:eastAsia="Times New Roman" w:cs="Times New Roman"/>
          <w:sz w:val="24"/>
          <w:vertAlign w:val="superscript"/>
          <w:lang w:val="en-GB"/>
        </w:rPr>
        <w:fldChar w:fldCharType="separate"/>
      </w:r>
      <w:r>
        <w:rPr>
          <w:rFonts w:hint="default" w:ascii="Times New Roman" w:hAnsi="Times New Roman" w:eastAsia="Times New Roman" w:cs="Times New Roman"/>
          <w:sz w:val="24"/>
          <w:vertAlign w:val="superscript"/>
          <w:lang w:val="en-GB"/>
        </w:rPr>
        <w:t>9</w:t>
      </w:r>
      <w:r>
        <w:rPr>
          <w:rFonts w:hint="default" w:ascii="Times New Roman" w:hAnsi="Times New Roman" w:eastAsia="Times New Roman" w:cs="Times New Roman"/>
          <w:sz w:val="24"/>
          <w:vertAlign w:val="superscript"/>
          <w:lang w:val="en-GB"/>
        </w:rPr>
        <w:fldChar w:fldCharType="end"/>
      </w:r>
      <w:r>
        <w:rPr>
          <w:rFonts w:ascii="Times New Roman" w:hAnsi="Times New Roman" w:eastAsia="Times New Roman" w:cs="Times New Roman"/>
          <w:sz w:val="24"/>
          <w:lang w:val="en-GB"/>
        </w:rPr>
        <w:t>, avoidance behaviours may differ based on income. Triggering avoidance behaviour</w:t>
      </w:r>
      <w:r>
        <w:rPr>
          <w:rFonts w:hint="default" w:ascii="Times New Roman" w:hAnsi="Times New Roman" w:eastAsia="Times New Roman" w:cs="Times New Roman"/>
          <w:sz w:val="24"/>
          <w:lang w:val="en-US"/>
        </w:rPr>
        <w:t>s</w:t>
      </w:r>
      <w:r>
        <w:rPr>
          <w:rFonts w:ascii="Times New Roman" w:hAnsi="Times New Roman" w:eastAsia="Times New Roman" w:cs="Times New Roman"/>
          <w:sz w:val="24"/>
          <w:lang w:val="en-GB"/>
        </w:rPr>
        <w:t xml:space="preserve"> using information may require both avoidance awareness and capability. Varying levels of environmental and health concerns contribute to awareness disparities between income groups. Compared to low-income individuals, high-income individuals tend to be more concerned about the environment</w:t>
      </w:r>
      <w:r>
        <w:rPr>
          <w:rFonts w:hint="default" w:ascii="Times New Roman" w:hAnsi="Times New Roman" w:eastAsia="Times New Roman" w:cs="Times New Roman"/>
          <w:sz w:val="24"/>
          <w:vertAlign w:val="superscript"/>
          <w:lang w:val="en-GB"/>
        </w:rPr>
        <w:fldChar w:fldCharType="begin"/>
      </w:r>
      <w:r>
        <w:rPr>
          <w:rFonts w:hint="default" w:ascii="Times New Roman" w:hAnsi="Times New Roman" w:eastAsia="Times New Roman" w:cs="Times New Roman"/>
          <w:sz w:val="24"/>
          <w:vertAlign w:val="superscript"/>
          <w:lang w:val="en-GB"/>
        </w:rPr>
        <w:instrText xml:space="preserve"> REF _Ref1795617596 \n \h </w:instrText>
      </w:r>
      <w:r>
        <w:rPr>
          <w:rFonts w:hint="default" w:ascii="Times New Roman" w:hAnsi="Times New Roman" w:eastAsia="Times New Roman" w:cs="Times New Roman"/>
          <w:sz w:val="24"/>
          <w:vertAlign w:val="superscript"/>
          <w:lang w:val="en-GB"/>
        </w:rPr>
        <w:fldChar w:fldCharType="separate"/>
      </w:r>
      <w:r>
        <w:rPr>
          <w:rFonts w:hint="default" w:ascii="Times New Roman" w:hAnsi="Times New Roman" w:eastAsia="Times New Roman" w:cs="Times New Roman"/>
          <w:sz w:val="24"/>
          <w:vertAlign w:val="superscript"/>
          <w:lang w:val="en-GB"/>
        </w:rPr>
        <w:t>10</w:t>
      </w:r>
      <w:r>
        <w:rPr>
          <w:rFonts w:hint="default" w:ascii="Times New Roman" w:hAnsi="Times New Roman" w:eastAsia="Times New Roman" w:cs="Times New Roman"/>
          <w:sz w:val="24"/>
          <w:vertAlign w:val="superscript"/>
          <w:lang w:val="en-GB"/>
        </w:rPr>
        <w:fldChar w:fldCharType="end"/>
      </w:r>
      <w:r>
        <w:rPr>
          <w:rFonts w:ascii="Times New Roman" w:hAnsi="Times New Roman" w:eastAsia="Times New Roman" w:cs="Times New Roman"/>
          <w:sz w:val="24"/>
          <w:vertAlign w:val="superscript"/>
        </w:rPr>
        <w:t>,</w:t>
      </w:r>
      <w:r>
        <w:rPr>
          <w:rFonts w:hint="default" w:ascii="Times New Roman" w:hAnsi="Times New Roman" w:eastAsia="Times New Roman" w:cs="Times New Roman"/>
          <w:sz w:val="24"/>
          <w:vertAlign w:val="superscript"/>
          <w:lang w:val="en-US"/>
        </w:rPr>
        <w:fldChar w:fldCharType="begin"/>
      </w:r>
      <w:r>
        <w:rPr>
          <w:rFonts w:hint="default" w:ascii="Times New Roman" w:hAnsi="Times New Roman" w:eastAsia="Times New Roman" w:cs="Times New Roman"/>
          <w:sz w:val="24"/>
          <w:vertAlign w:val="superscript"/>
          <w:lang w:val="en-US"/>
        </w:rPr>
        <w:instrText xml:space="preserve"> REF _Ref1795735245 \n \h </w:instrText>
      </w:r>
      <w:r>
        <w:rPr>
          <w:rFonts w:hint="default" w:ascii="Times New Roman" w:hAnsi="Times New Roman" w:eastAsia="Times New Roman" w:cs="Times New Roman"/>
          <w:sz w:val="24"/>
          <w:vertAlign w:val="superscript"/>
          <w:lang w:val="en-US"/>
        </w:rPr>
        <w:fldChar w:fldCharType="separate"/>
      </w:r>
      <w:r>
        <w:rPr>
          <w:rFonts w:hint="default" w:ascii="Times New Roman" w:hAnsi="Times New Roman" w:eastAsia="Times New Roman" w:cs="Times New Roman"/>
          <w:sz w:val="24"/>
          <w:vertAlign w:val="superscript"/>
          <w:lang w:val="en-US"/>
        </w:rPr>
        <w:t>11</w:t>
      </w:r>
      <w:r>
        <w:rPr>
          <w:rFonts w:hint="default" w:ascii="Times New Roman" w:hAnsi="Times New Roman" w:eastAsia="Times New Roman" w:cs="Times New Roman"/>
          <w:sz w:val="24"/>
          <w:vertAlign w:val="superscript"/>
          <w:lang w:val="en-US"/>
        </w:rPr>
        <w:fldChar w:fldCharType="end"/>
      </w:r>
      <w:r>
        <w:rPr>
          <w:rFonts w:ascii="Times New Roman" w:hAnsi="Times New Roman" w:eastAsia="Times New Roman" w:cs="Times New Roman"/>
          <w:sz w:val="24"/>
          <w:lang w:val="en-GB"/>
        </w:rPr>
        <w:t>, have greater awareness of air pollution indicators</w:t>
      </w:r>
      <w:r>
        <w:rPr>
          <w:rFonts w:hint="default" w:ascii="Times New Roman" w:hAnsi="Times New Roman" w:eastAsia="Times New Roman" w:cs="Times New Roman"/>
          <w:sz w:val="24"/>
          <w:vertAlign w:val="superscript"/>
          <w:lang w:val="en-GB"/>
        </w:rPr>
        <w:fldChar w:fldCharType="begin"/>
      </w:r>
      <w:r>
        <w:rPr>
          <w:rFonts w:hint="default" w:ascii="Times New Roman" w:hAnsi="Times New Roman" w:eastAsia="Times New Roman" w:cs="Times New Roman"/>
          <w:sz w:val="24"/>
          <w:vertAlign w:val="superscript"/>
          <w:lang w:val="en-GB"/>
        </w:rPr>
        <w:instrText xml:space="preserve"> REF _Ref1795936929 \n \h </w:instrText>
      </w:r>
      <w:r>
        <w:rPr>
          <w:rFonts w:hint="default" w:ascii="Times New Roman" w:hAnsi="Times New Roman" w:eastAsia="Times New Roman" w:cs="Times New Roman"/>
          <w:sz w:val="24"/>
          <w:vertAlign w:val="superscript"/>
          <w:lang w:val="en-GB"/>
        </w:rPr>
        <w:fldChar w:fldCharType="separate"/>
      </w:r>
      <w:r>
        <w:rPr>
          <w:rFonts w:hint="default" w:ascii="Times New Roman" w:hAnsi="Times New Roman" w:eastAsia="Times New Roman" w:cs="Times New Roman"/>
          <w:sz w:val="24"/>
          <w:vertAlign w:val="superscript"/>
          <w:lang w:val="en-GB"/>
        </w:rPr>
        <w:t>12</w:t>
      </w:r>
      <w:r>
        <w:rPr>
          <w:rFonts w:hint="default" w:ascii="Times New Roman" w:hAnsi="Times New Roman" w:eastAsia="Times New Roman" w:cs="Times New Roman"/>
          <w:sz w:val="24"/>
          <w:vertAlign w:val="superscript"/>
          <w:lang w:val="en-GB"/>
        </w:rPr>
        <w:fldChar w:fldCharType="end"/>
      </w:r>
      <w:r>
        <w:rPr>
          <w:rFonts w:ascii="Times New Roman" w:hAnsi="Times New Roman" w:eastAsia="Times New Roman" w:cs="Times New Roman"/>
          <w:sz w:val="24"/>
          <w:lang w:val="en-GB"/>
        </w:rPr>
        <w:t>, and possess higher health protection consciousness</w:t>
      </w:r>
      <w:r>
        <w:rPr>
          <w:rFonts w:hint="default" w:ascii="Times New Roman" w:hAnsi="Times New Roman" w:eastAsia="Times New Roman" w:cs="Times New Roman"/>
          <w:sz w:val="24"/>
          <w:vertAlign w:val="superscript"/>
          <w:lang w:val="en-GB"/>
        </w:rPr>
        <w:fldChar w:fldCharType="begin"/>
      </w:r>
      <w:r>
        <w:rPr>
          <w:rFonts w:hint="default" w:ascii="Times New Roman" w:hAnsi="Times New Roman" w:eastAsia="Times New Roman" w:cs="Times New Roman"/>
          <w:sz w:val="24"/>
          <w:vertAlign w:val="superscript"/>
          <w:lang w:val="en-GB"/>
        </w:rPr>
        <w:instrText xml:space="preserve"> REF _Ref1796710051 \n \h </w:instrText>
      </w:r>
      <w:r>
        <w:rPr>
          <w:rFonts w:hint="default" w:ascii="Times New Roman" w:hAnsi="Times New Roman" w:eastAsia="Times New Roman" w:cs="Times New Roman"/>
          <w:sz w:val="24"/>
          <w:vertAlign w:val="superscript"/>
          <w:lang w:val="en-GB"/>
        </w:rPr>
        <w:fldChar w:fldCharType="separate"/>
      </w:r>
      <w:r>
        <w:rPr>
          <w:rFonts w:hint="default" w:ascii="Times New Roman" w:hAnsi="Times New Roman" w:eastAsia="Times New Roman" w:cs="Times New Roman"/>
          <w:sz w:val="24"/>
          <w:vertAlign w:val="superscript"/>
          <w:lang w:val="en-GB"/>
        </w:rPr>
        <w:t>13</w:t>
      </w:r>
      <w:r>
        <w:rPr>
          <w:rFonts w:hint="default" w:ascii="Times New Roman" w:hAnsi="Times New Roman" w:eastAsia="Times New Roman" w:cs="Times New Roman"/>
          <w:sz w:val="24"/>
          <w:vertAlign w:val="superscript"/>
          <w:lang w:val="en-GB"/>
        </w:rPr>
        <w:fldChar w:fldCharType="end"/>
      </w:r>
      <w:r>
        <w:rPr>
          <w:rFonts w:ascii="Times New Roman" w:hAnsi="Times New Roman" w:eastAsia="Times New Roman" w:cs="Times New Roman"/>
          <w:sz w:val="24"/>
          <w:lang w:val="en-GB"/>
        </w:rPr>
        <w:t xml:space="preserve">. Thus, high-income individuals are more likely to develop avoidance awareness related to varying </w:t>
      </w:r>
      <w:r>
        <w:rPr>
          <w:rFonts w:hint="default" w:ascii="Times New Roman" w:hAnsi="Times New Roman" w:eastAsia="Times New Roman" w:cs="Times New Roman"/>
          <w:sz w:val="24"/>
          <w:lang w:val="en-US"/>
        </w:rPr>
        <w:t>air quality information</w:t>
      </w:r>
      <w:r>
        <w:rPr>
          <w:rFonts w:ascii="Times New Roman" w:hAnsi="Times New Roman" w:eastAsia="Times New Roman" w:cs="Times New Roman"/>
          <w:sz w:val="24"/>
          <w:lang w:val="en-GB"/>
        </w:rPr>
        <w:t>.</w:t>
      </w:r>
    </w:p>
    <w:p w14:paraId="4B856998">
      <w:pPr>
        <w:suppressAutoHyphens/>
        <w:kinsoku w:val="0"/>
        <w:overflowPunct w:val="0"/>
        <w:autoSpaceDE w:val="0"/>
        <w:autoSpaceDN w:val="0"/>
        <w:adjustRightInd w:val="0"/>
        <w:snapToGrid w:val="0"/>
        <w:spacing w:line="480" w:lineRule="auto"/>
        <w:ind w:firstLine="480"/>
        <w:rPr>
          <w:rFonts w:ascii="Times New Roman" w:hAnsi="Times New Roman" w:eastAsia="Times New Roman" w:cs="Times New Roman"/>
          <w:sz w:val="24"/>
          <w:lang w:val="en-GB"/>
        </w:rPr>
      </w:pPr>
      <w:r>
        <w:rPr>
          <w:rFonts w:ascii="Times New Roman" w:hAnsi="Times New Roman" w:eastAsia="Times New Roman" w:cs="Times New Roman"/>
          <w:sz w:val="24"/>
          <w:lang w:val="en-GB"/>
        </w:rPr>
        <w:t>Furthermore, financial constraints create avoidance capability disparities between income groups. To mitigate health damage in response to worsening air pollution, people may choose to migrate</w:t>
      </w:r>
      <w:r>
        <w:rPr>
          <w:rFonts w:hint="default" w:ascii="Times New Roman" w:hAnsi="Times New Roman" w:eastAsia="Times New Roman" w:cs="Times New Roman"/>
          <w:sz w:val="24"/>
          <w:vertAlign w:val="superscript"/>
          <w:lang w:val="en-GB"/>
        </w:rPr>
        <w:fldChar w:fldCharType="begin"/>
      </w:r>
      <w:r>
        <w:rPr>
          <w:rFonts w:hint="default" w:ascii="Times New Roman" w:hAnsi="Times New Roman" w:eastAsia="Times New Roman" w:cs="Times New Roman"/>
          <w:sz w:val="24"/>
          <w:vertAlign w:val="superscript"/>
          <w:lang w:val="en-GB"/>
        </w:rPr>
        <w:instrText xml:space="preserve"> REF _Ref1797079805 \n \h </w:instrText>
      </w:r>
      <w:r>
        <w:rPr>
          <w:rFonts w:hint="default" w:ascii="Times New Roman" w:hAnsi="Times New Roman" w:eastAsia="Times New Roman" w:cs="Times New Roman"/>
          <w:sz w:val="24"/>
          <w:vertAlign w:val="superscript"/>
          <w:lang w:val="en-GB"/>
        </w:rPr>
        <w:fldChar w:fldCharType="separate"/>
      </w:r>
      <w:r>
        <w:rPr>
          <w:rFonts w:hint="default" w:ascii="Times New Roman" w:hAnsi="Times New Roman" w:eastAsia="Times New Roman" w:cs="Times New Roman"/>
          <w:sz w:val="24"/>
          <w:vertAlign w:val="superscript"/>
          <w:lang w:val="en-GB"/>
        </w:rPr>
        <w:t>14</w:t>
      </w:r>
      <w:r>
        <w:rPr>
          <w:rFonts w:hint="default" w:ascii="Times New Roman" w:hAnsi="Times New Roman" w:eastAsia="Times New Roman" w:cs="Times New Roman"/>
          <w:sz w:val="24"/>
          <w:vertAlign w:val="superscript"/>
          <w:lang w:val="en-GB"/>
        </w:rPr>
        <w:fldChar w:fldCharType="end"/>
      </w:r>
      <w:r>
        <w:rPr>
          <w:rFonts w:ascii="Times New Roman" w:hAnsi="Times New Roman" w:eastAsia="Times New Roman" w:cs="Times New Roman"/>
          <w:sz w:val="24"/>
          <w:lang w:val="en-GB"/>
        </w:rPr>
        <w:t>, increase short-distance travel</w:t>
      </w:r>
      <w:r>
        <w:rPr>
          <w:rFonts w:hint="default" w:ascii="Times New Roman" w:hAnsi="Times New Roman" w:eastAsia="Times New Roman" w:cs="Times New Roman"/>
          <w:sz w:val="24"/>
          <w:vertAlign w:val="superscript"/>
          <w:lang w:val="en-GB"/>
        </w:rPr>
        <w:fldChar w:fldCharType="begin"/>
      </w:r>
      <w:r>
        <w:rPr>
          <w:rFonts w:hint="default" w:ascii="Times New Roman" w:hAnsi="Times New Roman" w:eastAsia="Times New Roman" w:cs="Times New Roman"/>
          <w:sz w:val="24"/>
          <w:vertAlign w:val="superscript"/>
          <w:lang w:val="en-GB"/>
        </w:rPr>
        <w:instrText xml:space="preserve"> REF _Ref1797567208 \n \h </w:instrText>
      </w:r>
      <w:r>
        <w:rPr>
          <w:rFonts w:hint="default" w:ascii="Times New Roman" w:hAnsi="Times New Roman" w:eastAsia="Times New Roman" w:cs="Times New Roman"/>
          <w:sz w:val="24"/>
          <w:vertAlign w:val="superscript"/>
          <w:lang w:val="en-GB"/>
        </w:rPr>
        <w:fldChar w:fldCharType="separate"/>
      </w:r>
      <w:r>
        <w:rPr>
          <w:rFonts w:hint="default" w:ascii="Times New Roman" w:hAnsi="Times New Roman" w:eastAsia="Times New Roman" w:cs="Times New Roman"/>
          <w:sz w:val="24"/>
          <w:vertAlign w:val="superscript"/>
          <w:lang w:val="en-GB"/>
        </w:rPr>
        <w:t>15</w:t>
      </w:r>
      <w:r>
        <w:rPr>
          <w:rFonts w:hint="default" w:ascii="Times New Roman" w:hAnsi="Times New Roman" w:eastAsia="Times New Roman" w:cs="Times New Roman"/>
          <w:sz w:val="24"/>
          <w:vertAlign w:val="superscript"/>
          <w:lang w:val="en-GB"/>
        </w:rPr>
        <w:fldChar w:fldCharType="end"/>
      </w:r>
      <w:r>
        <w:rPr>
          <w:rFonts w:ascii="Times New Roman" w:hAnsi="Times New Roman" w:eastAsia="Times New Roman" w:cs="Times New Roman"/>
          <w:sz w:val="24"/>
          <w:vertAlign w:val="superscript"/>
        </w:rPr>
        <w:t>,</w:t>
      </w:r>
      <w:r>
        <w:rPr>
          <w:rFonts w:hint="default" w:ascii="Times New Roman" w:hAnsi="Times New Roman" w:eastAsia="Times New Roman" w:cs="Times New Roman"/>
          <w:sz w:val="24"/>
          <w:vertAlign w:val="superscript"/>
          <w:lang w:val="en-US"/>
        </w:rPr>
        <w:fldChar w:fldCharType="begin"/>
      </w:r>
      <w:r>
        <w:rPr>
          <w:rFonts w:hint="default" w:ascii="Times New Roman" w:hAnsi="Times New Roman" w:eastAsia="Times New Roman" w:cs="Times New Roman"/>
          <w:sz w:val="24"/>
          <w:vertAlign w:val="superscript"/>
          <w:lang w:val="en-US"/>
        </w:rPr>
        <w:instrText xml:space="preserve"> REF _Ref1127648487 \n \h </w:instrText>
      </w:r>
      <w:r>
        <w:rPr>
          <w:rFonts w:hint="default" w:ascii="Times New Roman" w:hAnsi="Times New Roman" w:eastAsia="Times New Roman" w:cs="Times New Roman"/>
          <w:sz w:val="24"/>
          <w:vertAlign w:val="superscript"/>
          <w:lang w:val="en-US"/>
        </w:rPr>
        <w:fldChar w:fldCharType="separate"/>
      </w:r>
      <w:r>
        <w:rPr>
          <w:rFonts w:hint="default" w:ascii="Times New Roman" w:hAnsi="Times New Roman" w:eastAsia="Times New Roman" w:cs="Times New Roman"/>
          <w:sz w:val="24"/>
          <w:vertAlign w:val="superscript"/>
          <w:lang w:val="en-US"/>
        </w:rPr>
        <w:t>16</w:t>
      </w:r>
      <w:r>
        <w:rPr>
          <w:rFonts w:hint="default" w:ascii="Times New Roman" w:hAnsi="Times New Roman" w:eastAsia="Times New Roman" w:cs="Times New Roman"/>
          <w:sz w:val="24"/>
          <w:vertAlign w:val="superscript"/>
          <w:lang w:val="en-US"/>
        </w:rPr>
        <w:fldChar w:fldCharType="end"/>
      </w:r>
      <w:r>
        <w:rPr>
          <w:rFonts w:ascii="Times New Roman" w:hAnsi="Times New Roman" w:eastAsia="Times New Roman" w:cs="Times New Roman"/>
          <w:sz w:val="24"/>
          <w:lang w:val="en-GB"/>
        </w:rPr>
        <w:t>, purchase air purifiers</w:t>
      </w:r>
      <w:r>
        <w:rPr>
          <w:rFonts w:hint="default" w:ascii="Times New Roman" w:hAnsi="Times New Roman" w:eastAsia="Times New Roman" w:cs="Times New Roman"/>
          <w:sz w:val="24"/>
          <w:vertAlign w:val="superscript"/>
          <w:lang w:val="en-GB"/>
        </w:rPr>
        <w:fldChar w:fldCharType="begin"/>
      </w:r>
      <w:r>
        <w:rPr>
          <w:rFonts w:hint="default" w:ascii="Times New Roman" w:hAnsi="Times New Roman" w:eastAsia="Times New Roman" w:cs="Times New Roman"/>
          <w:sz w:val="24"/>
          <w:vertAlign w:val="superscript"/>
          <w:lang w:val="en-GB"/>
        </w:rPr>
        <w:instrText xml:space="preserve"> REF _Ref1798491593 \n \h </w:instrText>
      </w:r>
      <w:r>
        <w:rPr>
          <w:rFonts w:hint="default" w:ascii="Times New Roman" w:hAnsi="Times New Roman" w:eastAsia="Times New Roman" w:cs="Times New Roman"/>
          <w:sz w:val="24"/>
          <w:vertAlign w:val="superscript"/>
          <w:lang w:val="en-GB"/>
        </w:rPr>
        <w:fldChar w:fldCharType="separate"/>
      </w:r>
      <w:r>
        <w:rPr>
          <w:rFonts w:hint="default" w:ascii="Times New Roman" w:hAnsi="Times New Roman" w:eastAsia="Times New Roman" w:cs="Times New Roman"/>
          <w:sz w:val="24"/>
          <w:vertAlign w:val="superscript"/>
          <w:lang w:val="en-GB"/>
        </w:rPr>
        <w:t>17</w:t>
      </w:r>
      <w:r>
        <w:rPr>
          <w:rFonts w:hint="default" w:ascii="Times New Roman" w:hAnsi="Times New Roman" w:eastAsia="Times New Roman" w:cs="Times New Roman"/>
          <w:sz w:val="24"/>
          <w:vertAlign w:val="superscript"/>
          <w:lang w:val="en-GB"/>
        </w:rPr>
        <w:fldChar w:fldCharType="end"/>
      </w:r>
      <w:r>
        <w:rPr>
          <w:rFonts w:ascii="Times New Roman" w:hAnsi="Times New Roman" w:eastAsia="Times New Roman" w:cs="Times New Roman"/>
          <w:sz w:val="24"/>
          <w:lang w:val="en-GB"/>
        </w:rPr>
        <w:t>, buy insurance</w:t>
      </w:r>
      <w:r>
        <w:rPr>
          <w:rFonts w:hint="default" w:ascii="Times New Roman" w:hAnsi="Times New Roman" w:eastAsia="Times New Roman" w:cs="Times New Roman"/>
          <w:sz w:val="24"/>
          <w:vertAlign w:val="superscript"/>
          <w:lang w:val="en-GB"/>
        </w:rPr>
        <w:fldChar w:fldCharType="begin"/>
      </w:r>
      <w:r>
        <w:rPr>
          <w:rFonts w:hint="default" w:ascii="Times New Roman" w:hAnsi="Times New Roman" w:eastAsia="Times New Roman" w:cs="Times New Roman"/>
          <w:sz w:val="24"/>
          <w:vertAlign w:val="superscript"/>
          <w:lang w:val="en-GB"/>
        </w:rPr>
        <w:instrText xml:space="preserve"> REF _Ref1798693277 \n \h </w:instrText>
      </w:r>
      <w:r>
        <w:rPr>
          <w:rFonts w:hint="default" w:ascii="Times New Roman" w:hAnsi="Times New Roman" w:eastAsia="Times New Roman" w:cs="Times New Roman"/>
          <w:sz w:val="24"/>
          <w:vertAlign w:val="superscript"/>
          <w:lang w:val="en-GB"/>
        </w:rPr>
        <w:fldChar w:fldCharType="separate"/>
      </w:r>
      <w:r>
        <w:rPr>
          <w:rFonts w:hint="default" w:ascii="Times New Roman" w:hAnsi="Times New Roman" w:eastAsia="Times New Roman" w:cs="Times New Roman"/>
          <w:sz w:val="24"/>
          <w:vertAlign w:val="superscript"/>
          <w:lang w:val="en-GB"/>
        </w:rPr>
        <w:t>18</w:t>
      </w:r>
      <w:r>
        <w:rPr>
          <w:rFonts w:hint="default" w:ascii="Times New Roman" w:hAnsi="Times New Roman" w:eastAsia="Times New Roman" w:cs="Times New Roman"/>
          <w:sz w:val="24"/>
          <w:vertAlign w:val="superscript"/>
          <w:lang w:val="en-GB"/>
        </w:rPr>
        <w:fldChar w:fldCharType="end"/>
      </w:r>
      <w:r>
        <w:rPr>
          <w:rFonts w:ascii="Times New Roman" w:hAnsi="Times New Roman" w:eastAsia="Times New Roman" w:cs="Times New Roman"/>
          <w:sz w:val="24"/>
          <w:lang w:val="en-GB"/>
        </w:rPr>
        <w:t>, and reduce labour supply</w:t>
      </w:r>
      <w:r>
        <w:rPr>
          <w:rFonts w:hint="default" w:ascii="Times New Roman" w:hAnsi="Times New Roman" w:eastAsia="Times New Roman" w:cs="Times New Roman"/>
          <w:sz w:val="24"/>
          <w:vertAlign w:val="superscript"/>
          <w:lang w:val="en-GB"/>
        </w:rPr>
        <w:fldChar w:fldCharType="begin"/>
      </w:r>
      <w:r>
        <w:rPr>
          <w:rFonts w:hint="default" w:ascii="Times New Roman" w:hAnsi="Times New Roman" w:eastAsia="Times New Roman" w:cs="Times New Roman"/>
          <w:sz w:val="24"/>
          <w:vertAlign w:val="superscript"/>
          <w:lang w:val="en-GB"/>
        </w:rPr>
        <w:instrText xml:space="preserve"> REF _Ref1798911768 \n \h </w:instrText>
      </w:r>
      <w:r>
        <w:rPr>
          <w:rFonts w:hint="default" w:ascii="Times New Roman" w:hAnsi="Times New Roman" w:eastAsia="Times New Roman" w:cs="Times New Roman"/>
          <w:sz w:val="24"/>
          <w:vertAlign w:val="superscript"/>
          <w:lang w:val="en-GB"/>
        </w:rPr>
        <w:fldChar w:fldCharType="separate"/>
      </w:r>
      <w:r>
        <w:rPr>
          <w:rFonts w:hint="default" w:ascii="Times New Roman" w:hAnsi="Times New Roman" w:eastAsia="Times New Roman" w:cs="Times New Roman"/>
          <w:sz w:val="24"/>
          <w:vertAlign w:val="superscript"/>
          <w:lang w:val="en-GB"/>
        </w:rPr>
        <w:t>19</w:t>
      </w:r>
      <w:r>
        <w:rPr>
          <w:rFonts w:hint="default" w:ascii="Times New Roman" w:hAnsi="Times New Roman" w:eastAsia="Times New Roman" w:cs="Times New Roman"/>
          <w:sz w:val="24"/>
          <w:vertAlign w:val="superscript"/>
          <w:lang w:val="en-GB"/>
        </w:rPr>
        <w:fldChar w:fldCharType="end"/>
      </w:r>
      <w:r>
        <w:rPr>
          <w:rFonts w:ascii="Times New Roman" w:hAnsi="Times New Roman" w:eastAsia="Times New Roman" w:cs="Times New Roman"/>
          <w:sz w:val="24"/>
          <w:lang w:val="en-GB"/>
        </w:rPr>
        <w:t xml:space="preserve">. However, engaging in these avoidance behaviours requires sufficient economic resources, providing high-income individuals a clear advantage. Thus, high-income individuals are likely to have greater avoidance capabilities than low-income ones, leading to more pronounced travel avoidance behaviours. </w:t>
      </w:r>
    </w:p>
    <w:p w14:paraId="5830D4F8">
      <w:pPr>
        <w:suppressAutoHyphens/>
        <w:kinsoku w:val="0"/>
        <w:overflowPunct w:val="0"/>
        <w:autoSpaceDE w:val="0"/>
        <w:autoSpaceDN w:val="0"/>
        <w:adjustRightInd w:val="0"/>
        <w:snapToGrid w:val="0"/>
        <w:spacing w:line="480" w:lineRule="auto"/>
        <w:ind w:firstLine="480"/>
        <w:rPr>
          <w:rFonts w:ascii="Times New Roman" w:hAnsi="Times New Roman" w:eastAsia="Times New Roman" w:cs="Times New Roman"/>
          <w:sz w:val="24"/>
          <w:lang w:val="en-GB"/>
        </w:rPr>
      </w:pPr>
      <w:r>
        <w:rPr>
          <w:rFonts w:ascii="Times New Roman" w:hAnsi="Times New Roman" w:eastAsia="Times New Roman" w:cs="Times New Roman"/>
          <w:sz w:val="24"/>
          <w:lang w:val="en-GB"/>
        </w:rPr>
        <w:t>People’s responses to air pollution information depend on a combination of their priorities regarding air pollution and health and their utility maximisation after considering the costs and benefits. Therefore, we propose the following hypotheses:</w:t>
      </w:r>
    </w:p>
    <w:p w14:paraId="64670562">
      <w:pPr>
        <w:suppressAutoHyphens/>
        <w:kinsoku w:val="0"/>
        <w:overflowPunct w:val="0"/>
        <w:autoSpaceDE w:val="0"/>
        <w:autoSpaceDN w:val="0"/>
        <w:adjustRightInd w:val="0"/>
        <w:snapToGrid w:val="0"/>
        <w:spacing w:line="480" w:lineRule="auto"/>
        <w:ind w:firstLine="480"/>
        <w:rPr>
          <w:rFonts w:ascii="Times New Roman" w:hAnsi="Times New Roman" w:eastAsia="Times New Roman" w:cs="Times New Roman"/>
          <w:sz w:val="24"/>
          <w:lang w:val="en-GB"/>
        </w:rPr>
      </w:pPr>
      <w:r>
        <w:rPr>
          <w:rFonts w:ascii="Times New Roman" w:hAnsi="Times New Roman" w:eastAsia="Times New Roman" w:cs="Times New Roman"/>
          <w:b/>
          <w:sz w:val="24"/>
          <w:lang w:val="en-GB"/>
        </w:rPr>
        <w:t>Hypothesis 2:</w:t>
      </w:r>
      <w:r>
        <w:rPr>
          <w:rFonts w:ascii="Times New Roman" w:hAnsi="Times New Roman" w:eastAsia="Times New Roman" w:cs="Times New Roman"/>
          <w:sz w:val="24"/>
          <w:lang w:val="en-GB"/>
        </w:rPr>
        <w:t xml:space="preserve"> Air pollution information affects avoidance behaviours more significantly in the high-income group than in the low-income group. </w:t>
      </w:r>
    </w:p>
    <w:p w14:paraId="5F4671E4">
      <w:pPr>
        <w:suppressAutoHyphens/>
        <w:kinsoku w:val="0"/>
        <w:overflowPunct w:val="0"/>
        <w:autoSpaceDE w:val="0"/>
        <w:autoSpaceDN w:val="0"/>
        <w:adjustRightInd w:val="0"/>
        <w:snapToGrid w:val="0"/>
        <w:spacing w:line="480" w:lineRule="auto"/>
        <w:ind w:firstLine="480"/>
        <w:rPr>
          <w:rFonts w:ascii="Times New Roman" w:hAnsi="Times New Roman" w:eastAsia="Times New Roman" w:cs="Times New Roman"/>
          <w:sz w:val="24"/>
          <w:lang w:val="en-GB"/>
        </w:rPr>
      </w:pPr>
      <w:r>
        <w:rPr>
          <w:rFonts w:ascii="Times New Roman" w:hAnsi="Times New Roman" w:eastAsia="Times New Roman" w:cs="Times New Roman"/>
          <w:b/>
          <w:sz w:val="24"/>
          <w:lang w:val="en-GB"/>
        </w:rPr>
        <w:t>Hypothesis 3:</w:t>
      </w:r>
      <w:r>
        <w:rPr>
          <w:rFonts w:ascii="Times New Roman" w:hAnsi="Times New Roman" w:eastAsia="Times New Roman" w:cs="Times New Roman"/>
          <w:sz w:val="24"/>
          <w:lang w:val="en-GB"/>
        </w:rPr>
        <w:t xml:space="preserve"> This disparity arises because high-income individuals have greater avoidance awareness and capability</w:t>
      </w:r>
      <w:r>
        <w:rPr>
          <w:rFonts w:hint="default" w:ascii="Times New Roman" w:hAnsi="Times New Roman" w:eastAsia="Times New Roman" w:cs="Times New Roman"/>
          <w:sz w:val="24"/>
          <w:lang w:val="en-US"/>
        </w:rPr>
        <w:t xml:space="preserve"> </w:t>
      </w:r>
      <w:r>
        <w:rPr>
          <w:rFonts w:ascii="Times New Roman" w:hAnsi="Times New Roman" w:eastAsia="Times New Roman" w:cs="Times New Roman"/>
          <w:sz w:val="24"/>
          <w:lang w:val="en-GB"/>
        </w:rPr>
        <w:t>than low-income individuals.</w:t>
      </w:r>
    </w:p>
    <w:p w14:paraId="183D7460">
      <w:pPr>
        <w:suppressAutoHyphens/>
        <w:kinsoku w:val="0"/>
        <w:overflowPunct w:val="0"/>
        <w:autoSpaceDE w:val="0"/>
        <w:autoSpaceDN w:val="0"/>
        <w:adjustRightInd w:val="0"/>
        <w:snapToGrid w:val="0"/>
        <w:spacing w:line="480" w:lineRule="auto"/>
        <w:rPr>
          <w:rFonts w:ascii="Times New Roman" w:hAnsi="Times New Roman" w:eastAsia="Times New Roman" w:cs="Times New Roman"/>
          <w:lang w:val="en-GB"/>
        </w:rPr>
      </w:pPr>
    </w:p>
    <w:p w14:paraId="5BF2473A">
      <w:pPr>
        <w:suppressAutoHyphens/>
        <w:rPr>
          <w:rFonts w:ascii="Times New Roman" w:hAnsi="Times New Roman" w:eastAsia="Times New Roman" w:cs="Times New Roman"/>
          <w:b/>
          <w:sz w:val="32"/>
          <w:lang w:val="en-GB"/>
        </w:rPr>
      </w:pPr>
      <w:r>
        <w:rPr>
          <w:rFonts w:ascii="Times New Roman" w:hAnsi="Times New Roman" w:eastAsia="Times New Roman" w:cs="Times New Roman"/>
          <w:b/>
          <w:sz w:val="32"/>
          <w:lang w:val="en-GB"/>
        </w:rPr>
        <w:br w:type="page"/>
      </w:r>
    </w:p>
    <w:p w14:paraId="08A65747">
      <w:pPr>
        <w:suppressAutoHyphens/>
        <w:kinsoku w:val="0"/>
        <w:overflowPunct w:val="0"/>
        <w:autoSpaceDE w:val="0"/>
        <w:autoSpaceDN w:val="0"/>
        <w:adjustRightInd w:val="0"/>
        <w:snapToGrid w:val="0"/>
        <w:spacing w:line="480" w:lineRule="auto"/>
        <w:outlineLvl w:val="0"/>
        <w:rPr>
          <w:rFonts w:ascii="Times New Roman" w:hAnsi="Times New Roman" w:eastAsia="Times New Roman" w:cs="Times New Roman"/>
          <w:b/>
          <w:sz w:val="32"/>
          <w:lang w:val="en-GB"/>
        </w:rPr>
      </w:pPr>
      <w:bookmarkStart w:id="16" w:name="_Toc2076933299"/>
      <w:bookmarkStart w:id="17" w:name="_Toc99423924"/>
      <w:bookmarkStart w:id="18" w:name="_Toc1236203486"/>
      <w:bookmarkStart w:id="19" w:name="_Toc1713777956"/>
      <w:r>
        <w:rPr>
          <w:rFonts w:ascii="Times New Roman" w:hAnsi="Times New Roman" w:eastAsia="Times New Roman" w:cs="Times New Roman"/>
          <w:b/>
          <w:sz w:val="32"/>
          <w:lang w:val="en-GB"/>
        </w:rPr>
        <w:t xml:space="preserve">B. China’s air quality monitoring program and </w:t>
      </w:r>
      <w:r>
        <w:rPr>
          <w:rFonts w:hint="default" w:ascii="Times New Roman" w:hAnsi="Times New Roman" w:eastAsia="Times New Roman" w:cs="Times New Roman"/>
          <w:b/>
          <w:sz w:val="32"/>
          <w:lang w:val="en-US"/>
        </w:rPr>
        <w:t xml:space="preserve">the </w:t>
      </w:r>
      <w:r>
        <w:rPr>
          <w:rFonts w:ascii="Times New Roman" w:hAnsi="Times New Roman" w:eastAsia="Times New Roman" w:cs="Times New Roman"/>
          <w:b/>
          <w:sz w:val="32"/>
          <w:lang w:val="en-GB"/>
        </w:rPr>
        <w:t>AQI</w:t>
      </w:r>
      <w:bookmarkEnd w:id="16"/>
      <w:bookmarkEnd w:id="17"/>
      <w:bookmarkEnd w:id="18"/>
      <w:bookmarkEnd w:id="19"/>
    </w:p>
    <w:p w14:paraId="706EEE72">
      <w:p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r>
        <w:rPr>
          <w:rFonts w:ascii="Times New Roman" w:hAnsi="Times New Roman" w:eastAsia="Times New Roman" w:cs="Times New Roman"/>
          <w:sz w:val="24"/>
          <w:lang w:val="en-GB"/>
        </w:rPr>
        <w:t xml:space="preserve">In 2013, China implemented an air quality monitoring program. The primary objective of this initiative is to establish air quality monitoring stations nationwide, enabling real-time air quality monitoring and providing the public with updated information. To support the implementation of the program, the Ministry of Ecology and Environment (formerly the Ministry of Environmental Protection) issued two foundational documents: </w:t>
      </w:r>
      <w:r>
        <w:rPr>
          <w:rFonts w:ascii="Times New Roman Italic" w:hAnsi="Times New Roman Italic" w:eastAsia="Times New Roman Italic" w:cs="Times New Roman Italic"/>
          <w:i/>
          <w:iCs/>
          <w:sz w:val="24"/>
          <w:lang w:val="en-GB"/>
        </w:rPr>
        <w:t>Ambient Air Quality Standards (GB 3095-2012)</w:t>
      </w:r>
      <w:r>
        <w:rPr>
          <w:rFonts w:hint="default" w:ascii="Times New Roman" w:hAnsi="Times New Roman" w:eastAsia="Times New Roman Italic" w:cs="Times New Roman"/>
          <w:i w:val="0"/>
          <w:iCs w:val="0"/>
          <w:sz w:val="24"/>
          <w:vertAlign w:val="superscript"/>
          <w:lang w:val="en-GB"/>
        </w:rPr>
        <w:fldChar w:fldCharType="begin"/>
      </w:r>
      <w:r>
        <w:rPr>
          <w:rFonts w:hint="default" w:ascii="Times New Roman" w:hAnsi="Times New Roman" w:eastAsia="Times New Roman Italic" w:cs="Times New Roman"/>
          <w:i w:val="0"/>
          <w:iCs w:val="0"/>
          <w:sz w:val="24"/>
          <w:vertAlign w:val="superscript"/>
          <w:lang w:val="en-GB"/>
        </w:rPr>
        <w:instrText xml:space="preserve"> REF _Ref1529557114 \n \h </w:instrText>
      </w:r>
      <w:r>
        <w:rPr>
          <w:rFonts w:hint="default" w:ascii="Times New Roman" w:hAnsi="Times New Roman" w:eastAsia="Times New Roman Italic" w:cs="Times New Roman"/>
          <w:i w:val="0"/>
          <w:iCs w:val="0"/>
          <w:sz w:val="24"/>
          <w:vertAlign w:val="superscript"/>
          <w:lang w:val="en-GB"/>
        </w:rPr>
        <w:fldChar w:fldCharType="separate"/>
      </w:r>
      <w:r>
        <w:rPr>
          <w:rFonts w:hint="default" w:ascii="Times New Roman" w:hAnsi="Times New Roman" w:eastAsia="Times New Roman Italic" w:cs="Times New Roman"/>
          <w:i w:val="0"/>
          <w:iCs w:val="0"/>
          <w:sz w:val="24"/>
          <w:vertAlign w:val="superscript"/>
          <w:lang w:val="en-GB"/>
        </w:rPr>
        <w:t>20</w:t>
      </w:r>
      <w:r>
        <w:rPr>
          <w:rFonts w:hint="default" w:ascii="Times New Roman" w:hAnsi="Times New Roman" w:eastAsia="Times New Roman Italic" w:cs="Times New Roman"/>
          <w:i w:val="0"/>
          <w:iCs w:val="0"/>
          <w:sz w:val="24"/>
          <w:vertAlign w:val="superscript"/>
          <w:lang w:val="en-GB"/>
        </w:rPr>
        <w:fldChar w:fldCharType="end"/>
      </w:r>
      <w:r>
        <w:rPr>
          <w:rFonts w:ascii="Times New Roman" w:hAnsi="Times New Roman" w:eastAsia="Times New Roman" w:cs="Times New Roman"/>
          <w:sz w:val="24"/>
          <w:lang w:val="en-GB"/>
        </w:rPr>
        <w:t xml:space="preserve"> and </w:t>
      </w:r>
      <w:r>
        <w:rPr>
          <w:rFonts w:ascii="Times New Roman Italic" w:hAnsi="Times New Roman Italic" w:eastAsia="Times New Roman Italic" w:cs="Times New Roman Italic"/>
          <w:i/>
          <w:iCs/>
          <w:sz w:val="24"/>
          <w:lang w:val="en-GB"/>
        </w:rPr>
        <w:t>Technical Regulation on Ambient Air Quality Index (</w:t>
      </w:r>
      <w:r>
        <w:rPr>
          <w:rFonts w:ascii="Times New Roman Italic" w:hAnsi="Times New Roman Italic" w:eastAsia="Times New Roman Italic" w:cs="Times New Roman Italic"/>
          <w:i/>
          <w:iCs/>
          <w:sz w:val="24"/>
        </w:rPr>
        <w:t>on t</w:t>
      </w:r>
      <w:r>
        <w:rPr>
          <w:rFonts w:ascii="Times New Roman Italic" w:hAnsi="Times New Roman Italic" w:eastAsia="Times New Roman Italic" w:cs="Times New Roman Italic"/>
          <w:i/>
          <w:iCs/>
          <w:sz w:val="24"/>
          <w:lang w:val="en-GB"/>
        </w:rPr>
        <w:t>rial) (HJ 633-2012)</w:t>
      </w:r>
      <w:r>
        <w:rPr>
          <w:rFonts w:hint="default" w:ascii="Times New Roman" w:hAnsi="Times New Roman" w:eastAsia="Times New Roman Italic" w:cs="Times New Roman"/>
          <w:i w:val="0"/>
          <w:iCs/>
          <w:sz w:val="24"/>
          <w:vertAlign w:val="superscript"/>
          <w:lang w:val="en-GB"/>
        </w:rPr>
        <w:fldChar w:fldCharType="begin"/>
      </w:r>
      <w:r>
        <w:rPr>
          <w:rFonts w:hint="default" w:ascii="Times New Roman" w:hAnsi="Times New Roman" w:eastAsia="Times New Roman Italic" w:cs="Times New Roman"/>
          <w:i w:val="0"/>
          <w:iCs/>
          <w:sz w:val="24"/>
          <w:vertAlign w:val="superscript"/>
          <w:lang w:val="en-GB"/>
        </w:rPr>
        <w:instrText xml:space="preserve"> REF _Ref1530027710 \n \h </w:instrText>
      </w:r>
      <w:r>
        <w:rPr>
          <w:rFonts w:hint="default" w:ascii="Times New Roman" w:hAnsi="Times New Roman" w:eastAsia="Times New Roman Italic" w:cs="Times New Roman"/>
          <w:i w:val="0"/>
          <w:iCs/>
          <w:sz w:val="24"/>
          <w:vertAlign w:val="superscript"/>
          <w:lang w:val="en-GB"/>
        </w:rPr>
        <w:fldChar w:fldCharType="separate"/>
      </w:r>
      <w:r>
        <w:rPr>
          <w:rFonts w:hint="default" w:ascii="Times New Roman" w:hAnsi="Times New Roman" w:eastAsia="Times New Roman Italic" w:cs="Times New Roman"/>
          <w:i w:val="0"/>
          <w:iCs/>
          <w:sz w:val="24"/>
          <w:vertAlign w:val="superscript"/>
          <w:lang w:val="en-GB"/>
        </w:rPr>
        <w:t>21</w:t>
      </w:r>
      <w:r>
        <w:rPr>
          <w:rFonts w:hint="default" w:ascii="Times New Roman" w:hAnsi="Times New Roman" w:eastAsia="Times New Roman Italic" w:cs="Times New Roman"/>
          <w:i w:val="0"/>
          <w:iCs/>
          <w:sz w:val="24"/>
          <w:vertAlign w:val="superscript"/>
          <w:lang w:val="en-GB"/>
        </w:rPr>
        <w:fldChar w:fldCharType="end"/>
      </w:r>
      <w:r>
        <w:rPr>
          <w:rFonts w:ascii="Times New Roman Italic" w:hAnsi="Times New Roman Italic" w:eastAsia="Times New Roman" w:cs="Times New Roman Italic"/>
          <w:i/>
          <w:iCs/>
          <w:sz w:val="24"/>
          <w:lang w:val="en-GB"/>
        </w:rPr>
        <w:t>.</w:t>
      </w:r>
      <w:r>
        <w:rPr>
          <w:rFonts w:ascii="Times New Roman" w:hAnsi="Times New Roman" w:eastAsia="Times New Roman" w:cs="Times New Roman"/>
          <w:sz w:val="24"/>
          <w:lang w:val="en-GB"/>
        </w:rPr>
        <w:t xml:space="preserve"> These documents provide detailed guidelines on pollutant indicators, monitoring methods, and AQI grading and serve as the cornerstone of air quality monitoring initiatives.</w:t>
      </w:r>
    </w:p>
    <w:p w14:paraId="28419DB4">
      <w:pPr>
        <w:suppressAutoHyphens/>
        <w:kinsoku w:val="0"/>
        <w:overflowPunct w:val="0"/>
        <w:autoSpaceDE w:val="0"/>
        <w:autoSpaceDN w:val="0"/>
        <w:adjustRightInd w:val="0"/>
        <w:snapToGrid w:val="0"/>
        <w:spacing w:line="480" w:lineRule="auto"/>
        <w:ind w:firstLine="480"/>
        <w:rPr>
          <w:rFonts w:ascii="Times New Roman" w:hAnsi="Times New Roman" w:eastAsia="Times New Roman" w:cs="Times New Roman"/>
          <w:sz w:val="24"/>
          <w:lang w:val="en-GB"/>
        </w:rPr>
      </w:pPr>
      <w:r>
        <w:rPr>
          <w:rFonts w:ascii="Times New Roman" w:hAnsi="Times New Roman" w:eastAsia="Times New Roman" w:cs="Times New Roman"/>
          <w:sz w:val="24"/>
          <w:lang w:val="en-GB"/>
        </w:rPr>
        <w:t>This study focuse</w:t>
      </w:r>
      <w:r>
        <w:rPr>
          <w:rFonts w:ascii="Times New Roman" w:hAnsi="Times New Roman" w:eastAsia="Times New Roman" w:cs="Times New Roman"/>
          <w:sz w:val="24"/>
        </w:rPr>
        <w:t>s</w:t>
      </w:r>
      <w:r>
        <w:rPr>
          <w:rFonts w:ascii="Times New Roman" w:hAnsi="Times New Roman" w:eastAsia="Times New Roman" w:cs="Times New Roman"/>
          <w:sz w:val="24"/>
          <w:lang w:val="en-GB"/>
        </w:rPr>
        <w:t xml:space="preserve"> on the AQI. According to the </w:t>
      </w:r>
      <w:r>
        <w:rPr>
          <w:rFonts w:ascii="Times New Roman Italic" w:hAnsi="Times New Roman Italic" w:eastAsia="Times New Roman Italic" w:cs="Times New Roman Italic"/>
          <w:i/>
          <w:iCs/>
          <w:sz w:val="24"/>
          <w:lang w:val="en-GB"/>
        </w:rPr>
        <w:t>Technical Regulation on Ambient Air Quality Index (</w:t>
      </w:r>
      <w:r>
        <w:rPr>
          <w:rFonts w:ascii="Times New Roman Italic" w:hAnsi="Times New Roman Italic" w:eastAsia="Times New Roman Italic" w:cs="Times New Roman Italic"/>
          <w:i/>
          <w:iCs/>
          <w:sz w:val="24"/>
        </w:rPr>
        <w:t>on t</w:t>
      </w:r>
      <w:r>
        <w:rPr>
          <w:rFonts w:ascii="Times New Roman Italic" w:hAnsi="Times New Roman Italic" w:eastAsia="Times New Roman Italic" w:cs="Times New Roman Italic"/>
          <w:i/>
          <w:iCs/>
          <w:sz w:val="24"/>
          <w:lang w:val="en-GB"/>
        </w:rPr>
        <w:t>rial) (HJ 633-2012)</w:t>
      </w:r>
      <w:r>
        <w:rPr>
          <w:rFonts w:hint="default" w:ascii="Times New Roman" w:hAnsi="Times New Roman" w:eastAsia="Times New Roman Italic" w:cs="Times New Roman"/>
          <w:i w:val="0"/>
          <w:iCs w:val="0"/>
          <w:sz w:val="24"/>
          <w:vertAlign w:val="superscript"/>
          <w:lang w:val="en-GB"/>
        </w:rPr>
        <w:fldChar w:fldCharType="begin"/>
      </w:r>
      <w:r>
        <w:rPr>
          <w:rFonts w:hint="default" w:ascii="Times New Roman" w:hAnsi="Times New Roman" w:eastAsia="Times New Roman Italic" w:cs="Times New Roman"/>
          <w:i w:val="0"/>
          <w:iCs w:val="0"/>
          <w:sz w:val="24"/>
          <w:vertAlign w:val="superscript"/>
          <w:lang w:val="en-GB"/>
        </w:rPr>
        <w:instrText xml:space="preserve"> REF _Ref1530027710 \n \h </w:instrText>
      </w:r>
      <w:r>
        <w:rPr>
          <w:rFonts w:hint="default" w:ascii="Times New Roman" w:hAnsi="Times New Roman" w:eastAsia="Times New Roman Italic" w:cs="Times New Roman"/>
          <w:i w:val="0"/>
          <w:iCs w:val="0"/>
          <w:sz w:val="24"/>
          <w:vertAlign w:val="superscript"/>
          <w:lang w:val="en-GB"/>
        </w:rPr>
        <w:fldChar w:fldCharType="separate"/>
      </w:r>
      <w:r>
        <w:rPr>
          <w:rFonts w:hint="default" w:ascii="Times New Roman" w:hAnsi="Times New Roman" w:eastAsia="Times New Roman Italic" w:cs="Times New Roman"/>
          <w:i w:val="0"/>
          <w:iCs w:val="0"/>
          <w:sz w:val="24"/>
          <w:vertAlign w:val="superscript"/>
          <w:lang w:val="en-GB"/>
        </w:rPr>
        <w:t>21</w:t>
      </w:r>
      <w:r>
        <w:rPr>
          <w:rFonts w:hint="default" w:ascii="Times New Roman" w:hAnsi="Times New Roman" w:eastAsia="Times New Roman Italic" w:cs="Times New Roman"/>
          <w:i w:val="0"/>
          <w:iCs w:val="0"/>
          <w:sz w:val="24"/>
          <w:vertAlign w:val="superscript"/>
          <w:lang w:val="en-GB"/>
        </w:rPr>
        <w:fldChar w:fldCharType="end"/>
      </w:r>
      <w:r>
        <w:rPr>
          <w:rFonts w:ascii="Times New Roman" w:hAnsi="Times New Roman" w:eastAsia="Times New Roman" w:cs="Times New Roman"/>
          <w:iCs/>
          <w:sz w:val="24"/>
          <w:lang w:val="en-GB"/>
        </w:rPr>
        <w:t>,</w:t>
      </w:r>
      <w:r>
        <w:rPr>
          <w:rFonts w:ascii="Times New Roman" w:hAnsi="Times New Roman" w:eastAsia="Times New Roman" w:cs="Times New Roman"/>
          <w:sz w:val="24"/>
          <w:lang w:val="en-GB"/>
        </w:rPr>
        <w:t xml:space="preserve"> the AQI is calculated by evaluating six key dimensions: SO</w:t>
      </w:r>
      <w:r>
        <w:rPr>
          <w:rFonts w:ascii="Times New Roman" w:hAnsi="Times New Roman" w:eastAsia="Times New Roman" w:cs="Times New Roman"/>
          <w:sz w:val="24"/>
          <w:vertAlign w:val="subscript"/>
          <w:lang w:val="en-GB"/>
        </w:rPr>
        <w:t>2</w:t>
      </w:r>
      <w:r>
        <w:rPr>
          <w:rFonts w:ascii="Times New Roman" w:hAnsi="Times New Roman" w:eastAsia="Times New Roman" w:cs="Times New Roman"/>
          <w:sz w:val="24"/>
          <w:lang w:val="en-GB"/>
        </w:rPr>
        <w:t>, NO</w:t>
      </w:r>
      <w:r>
        <w:rPr>
          <w:rFonts w:ascii="Times New Roman" w:hAnsi="Times New Roman" w:eastAsia="Times New Roman" w:cs="Times New Roman"/>
          <w:sz w:val="24"/>
          <w:vertAlign w:val="subscript"/>
          <w:lang w:val="en-GB"/>
        </w:rPr>
        <w:t>2</w:t>
      </w:r>
      <w:r>
        <w:rPr>
          <w:rFonts w:ascii="Times New Roman" w:hAnsi="Times New Roman" w:eastAsia="Times New Roman" w:cs="Times New Roman"/>
          <w:sz w:val="24"/>
          <w:lang w:val="en-GB"/>
        </w:rPr>
        <w:t>, CO, O</w:t>
      </w:r>
      <w:r>
        <w:rPr>
          <w:rFonts w:ascii="Times New Roman" w:hAnsi="Times New Roman" w:eastAsia="Times New Roman" w:cs="Times New Roman"/>
          <w:sz w:val="24"/>
          <w:vertAlign w:val="subscript"/>
          <w:lang w:val="en-GB"/>
        </w:rPr>
        <w:t>3</w:t>
      </w:r>
      <w:r>
        <w:rPr>
          <w:rFonts w:ascii="Times New Roman" w:hAnsi="Times New Roman" w:eastAsia="Times New Roman" w:cs="Times New Roman"/>
          <w:sz w:val="24"/>
          <w:lang w:val="en-GB"/>
        </w:rPr>
        <w:t>, PM</w:t>
      </w:r>
      <w:r>
        <w:rPr>
          <w:rFonts w:ascii="Times New Roman" w:hAnsi="Times New Roman" w:eastAsia="Times New Roman" w:cs="Times New Roman"/>
          <w:sz w:val="24"/>
          <w:vertAlign w:val="subscript"/>
          <w:lang w:val="en-GB"/>
        </w:rPr>
        <w:t>10</w:t>
      </w:r>
      <w:r>
        <w:rPr>
          <w:rFonts w:ascii="Times New Roman" w:hAnsi="Times New Roman" w:eastAsia="Times New Roman" w:cs="Times New Roman"/>
          <w:sz w:val="24"/>
          <w:lang w:val="en-GB"/>
        </w:rPr>
        <w:t>, and PM</w:t>
      </w:r>
      <w:r>
        <w:rPr>
          <w:rFonts w:ascii="Times New Roman" w:hAnsi="Times New Roman" w:eastAsia="Times New Roman" w:cs="Times New Roman"/>
          <w:sz w:val="24"/>
          <w:vertAlign w:val="subscript"/>
          <w:lang w:val="en-GB"/>
        </w:rPr>
        <w:t>2.5</w:t>
      </w:r>
      <w:r>
        <w:rPr>
          <w:rFonts w:ascii="Times New Roman" w:hAnsi="Times New Roman" w:eastAsia="Times New Roman" w:cs="Times New Roman"/>
          <w:sz w:val="24"/>
          <w:lang w:val="en-GB"/>
        </w:rPr>
        <w:t>. The AQI is determined by first calculating the Individual Air Quality Index (</w:t>
      </w:r>
      <m:oMath>
        <m:sSub>
          <m:sSubPr>
            <m:ctrlPr>
              <w:rPr>
                <w:rFonts w:ascii="DejaVu Math TeX Gyre" w:hAnsi="DejaVu Math TeX Gyre" w:eastAsia="Times New Roman" w:cs="Times New Roman"/>
                <w:i/>
                <w:lang w:val="en-GB"/>
              </w:rPr>
            </m:ctrlPr>
          </m:sSubPr>
          <m:e>
            <m:r>
              <m:rPr/>
              <w:rPr>
                <w:rFonts w:ascii="DejaVu Math TeX Gyre" w:hAnsi="DejaVu Math TeX Gyre" w:eastAsia="Times New Roman" w:cs="Times New Roman"/>
                <w:lang w:val="en-GB"/>
              </w:rPr>
              <m:t>IAQI</m:t>
            </m:r>
            <m:ctrlPr>
              <w:rPr>
                <w:rFonts w:ascii="DejaVu Math TeX Gyre" w:hAnsi="DejaVu Math TeX Gyre" w:eastAsia="Times New Roman" w:cs="Times New Roman"/>
                <w:i/>
                <w:lang w:val="en-GB"/>
              </w:rPr>
            </m:ctrlPr>
          </m:e>
          <m:sub>
            <m:r>
              <m:rPr/>
              <w:rPr>
                <w:rFonts w:ascii="DejaVu Math TeX Gyre" w:hAnsi="DejaVu Math TeX Gyre" w:eastAsia="Times New Roman" w:cs="Times New Roman"/>
                <w:lang w:val="en-GB"/>
              </w:rPr>
              <m:t>P</m:t>
            </m:r>
            <m:ctrlPr>
              <w:rPr>
                <w:rFonts w:ascii="DejaVu Math TeX Gyre" w:hAnsi="DejaVu Math TeX Gyre" w:eastAsia="Times New Roman" w:cs="Times New Roman"/>
                <w:i/>
                <w:lang w:val="en-GB"/>
              </w:rPr>
            </m:ctrlPr>
          </m:sub>
        </m:sSub>
      </m:oMath>
      <w:r>
        <w:rPr>
          <w:rFonts w:ascii="Times New Roman" w:hAnsi="Times New Roman" w:eastAsia="Times New Roman" w:cs="Times New Roman"/>
          <w:sz w:val="24"/>
          <w:lang w:val="en-GB"/>
        </w:rPr>
        <w:t xml:space="preserve">) for each pollutant based on its concentration and then identifying the maximum </w:t>
      </w:r>
      <m:oMath>
        <m:sSub>
          <m:sSubPr>
            <m:ctrlPr>
              <w:rPr>
                <w:rFonts w:ascii="DejaVu Math TeX Gyre" w:hAnsi="DejaVu Math TeX Gyre" w:eastAsia="Times New Roman" w:cs="Times New Roman"/>
                <w:i/>
                <w:lang w:val="en-GB"/>
              </w:rPr>
            </m:ctrlPr>
          </m:sSubPr>
          <m:e>
            <m:r>
              <m:rPr/>
              <w:rPr>
                <w:rFonts w:ascii="DejaVu Math TeX Gyre" w:hAnsi="DejaVu Math TeX Gyre" w:eastAsia="Times New Roman" w:cs="Times New Roman"/>
                <w:lang w:val="en-GB"/>
              </w:rPr>
              <m:t>IAQI</m:t>
            </m:r>
            <m:ctrlPr>
              <w:rPr>
                <w:rFonts w:ascii="DejaVu Math TeX Gyre" w:hAnsi="DejaVu Math TeX Gyre" w:eastAsia="Times New Roman" w:cs="Times New Roman"/>
                <w:i/>
                <w:lang w:val="en-GB"/>
              </w:rPr>
            </m:ctrlPr>
          </m:e>
          <m:sub>
            <m:r>
              <m:rPr/>
              <w:rPr>
                <w:rFonts w:ascii="DejaVu Math TeX Gyre" w:hAnsi="DejaVu Math TeX Gyre" w:eastAsia="Times New Roman" w:cs="Times New Roman"/>
                <w:lang w:val="en-GB"/>
              </w:rPr>
              <m:t>P</m:t>
            </m:r>
            <m:ctrlPr>
              <w:rPr>
                <w:rFonts w:ascii="DejaVu Math TeX Gyre" w:hAnsi="DejaVu Math TeX Gyre" w:eastAsia="Times New Roman" w:cs="Times New Roman"/>
                <w:i/>
                <w:lang w:val="en-GB"/>
              </w:rPr>
            </m:ctrlPr>
          </m:sub>
        </m:sSub>
      </m:oMath>
      <w:r>
        <w:rPr>
          <w:rFonts w:ascii="Times New Roman" w:hAnsi="Times New Roman" w:eastAsia="Times New Roman" w:cs="Times New Roman"/>
          <w:sz w:val="24"/>
          <w:lang w:val="en-GB"/>
        </w:rPr>
        <w:t xml:space="preserve"> among these pollutants. </w:t>
      </w:r>
    </w:p>
    <w:p w14:paraId="1D241FA5">
      <w:pPr>
        <w:suppressAutoHyphens/>
        <w:kinsoku w:val="0"/>
        <w:overflowPunct w:val="0"/>
        <w:autoSpaceDE w:val="0"/>
        <w:autoSpaceDN w:val="0"/>
        <w:adjustRightInd w:val="0"/>
        <w:snapToGrid w:val="0"/>
        <w:spacing w:line="480" w:lineRule="auto"/>
        <w:ind w:firstLine="480"/>
        <w:rPr>
          <w:rFonts w:ascii="Times New Roman" w:hAnsi="Times New Roman" w:eastAsia="Times New Roman" w:cs="Times New Roman"/>
          <w:sz w:val="24"/>
          <w:lang w:val="en-GB"/>
        </w:rPr>
      </w:pPr>
      <w:r>
        <w:rPr>
          <w:rFonts w:ascii="Times New Roman" w:hAnsi="Times New Roman" w:eastAsia="Times New Roman" w:cs="Times New Roman"/>
          <w:sz w:val="24"/>
          <w:lang w:val="en-GB"/>
        </w:rPr>
        <w:t xml:space="preserve">IAQI levels and the corresponding pollutant concentration limits are presented in Table B1. </w:t>
      </w:r>
      <m:oMath>
        <m:sSub>
          <m:sSubPr>
            <m:ctrlPr>
              <w:rPr>
                <w:rFonts w:ascii="Cambria Math" w:hAnsi="Cambria Math" w:eastAsia="Times New Roman" w:cs="Times New Roman"/>
                <w:i/>
                <w:lang w:val="en-GB"/>
              </w:rPr>
            </m:ctrlPr>
          </m:sSubPr>
          <m:e>
            <m:r>
              <m:rPr/>
              <w:rPr>
                <w:rFonts w:ascii="Cambria Math" w:hAnsi="Cambria Math" w:eastAsia="Times New Roman" w:cs="Times New Roman"/>
                <w:lang w:val="en-GB"/>
              </w:rPr>
              <m:t>IAQI</m:t>
            </m:r>
            <m:ctrlPr>
              <w:rPr>
                <w:rFonts w:ascii="Cambria Math" w:hAnsi="Cambria Math" w:eastAsia="Times New Roman" w:cs="Times New Roman"/>
                <w:i/>
                <w:lang w:val="en-GB"/>
              </w:rPr>
            </m:ctrlPr>
          </m:e>
          <m:sub>
            <m:r>
              <m:rPr/>
              <w:rPr>
                <w:rFonts w:ascii="Cambria Math" w:hAnsi="Cambria Math" w:eastAsia="Times New Roman" w:cs="Times New Roman"/>
                <w:lang w:val="en-GB"/>
              </w:rPr>
              <m:t>P</m:t>
            </m:r>
            <m:ctrlPr>
              <w:rPr>
                <w:rFonts w:ascii="Cambria Math" w:hAnsi="Cambria Math" w:eastAsia="Times New Roman" w:cs="Times New Roman"/>
                <w:i/>
                <w:lang w:val="en-GB"/>
              </w:rPr>
            </m:ctrlPr>
          </m:sub>
        </m:sSub>
      </m:oMath>
      <w:r>
        <w:rPr>
          <w:rFonts w:ascii="Times New Roman" w:hAnsi="Times New Roman" w:eastAsia="Times New Roman" w:cs="Times New Roman"/>
          <w:sz w:val="24"/>
          <w:lang w:val="en-GB"/>
        </w:rPr>
        <w:t xml:space="preserve"> </w:t>
      </w:r>
      <w:r>
        <w:rPr>
          <w:rFonts w:ascii="Times New Roman" w:hAnsi="Times New Roman" w:eastAsia="Times New Roman" w:cs="Times New Roman"/>
          <w:sz w:val="24"/>
        </w:rPr>
        <w:t>is</w:t>
      </w:r>
      <w:r>
        <w:rPr>
          <w:rFonts w:ascii="Times New Roman" w:hAnsi="Times New Roman" w:eastAsia="Times New Roman" w:cs="Times New Roman"/>
          <w:sz w:val="24"/>
          <w:lang w:val="en-GB"/>
        </w:rPr>
        <w:t xml:space="preserve"> calculated as follows:</w:t>
      </w:r>
    </w:p>
    <w:p w14:paraId="5805ACA0">
      <w:pPr>
        <w:pStyle w:val="39"/>
        <w:suppressAutoHyphens/>
        <w:kinsoku w:val="0"/>
        <w:overflowPunct w:val="0"/>
        <w:autoSpaceDE w:val="0"/>
        <w:autoSpaceDN w:val="0"/>
        <w:adjustRightInd w:val="0"/>
        <w:rPr>
          <w:rFonts w:ascii="Times New Roman" w:hAnsi="Times New Roman" w:cs="Times New Roman"/>
          <w:lang w:val="en-GB"/>
        </w:rPr>
      </w:pPr>
      <w:r>
        <w:rPr>
          <w:rFonts w:ascii="Times New Roman" w:hAnsi="Times New Roman" w:cs="Times New Roman"/>
          <w:lang w:val="en-GB"/>
        </w:rPr>
        <w:tab/>
      </w:r>
      <m:oMath>
        <m:sSub>
          <m:sSubPr>
            <m:ctrlPr>
              <w:rPr>
                <w:rFonts w:ascii="Cambria Math" w:hAnsi="Cambria Math" w:eastAsia="Times New Roman" w:cs="Times New Roman"/>
                <w:i/>
                <w:lang w:val="en-GB"/>
              </w:rPr>
            </m:ctrlPr>
          </m:sSubPr>
          <m:e>
            <m:r>
              <m:rPr/>
              <w:rPr>
                <w:rFonts w:ascii="Cambria Math" w:hAnsi="Cambria Math" w:eastAsia="Times New Roman" w:cs="Times New Roman"/>
                <w:lang w:val="en-GB"/>
              </w:rPr>
              <m:t>IAQI</m:t>
            </m:r>
            <m:ctrlPr>
              <w:rPr>
                <w:rFonts w:ascii="Cambria Math" w:hAnsi="Cambria Math" w:eastAsia="Times New Roman" w:cs="Times New Roman"/>
                <w:i/>
                <w:lang w:val="en-GB"/>
              </w:rPr>
            </m:ctrlPr>
          </m:e>
          <m:sub>
            <m:r>
              <m:rPr/>
              <w:rPr>
                <w:rFonts w:ascii="Cambria Math" w:hAnsi="Cambria Math" w:eastAsia="Times New Roman" w:cs="Times New Roman"/>
                <w:lang w:val="en-GB"/>
              </w:rPr>
              <m:t>P</m:t>
            </m:r>
            <m:ctrlPr>
              <w:rPr>
                <w:rFonts w:ascii="Cambria Math" w:hAnsi="Cambria Math" w:eastAsia="Times New Roman" w:cs="Times New Roman"/>
                <w:i/>
                <w:lang w:val="en-GB"/>
              </w:rPr>
            </m:ctrlPr>
          </m:sub>
        </m:sSub>
        <m:r>
          <m:rPr>
            <m:sty m:val="p"/>
          </m:rPr>
          <w:rPr>
            <w:rFonts w:ascii="Cambria Math" w:hAnsi="Cambria Math" w:eastAsia="Times New Roman" w:cs="Times New Roman"/>
            <w:lang w:val="en-GB"/>
          </w:rPr>
          <m:t>=</m:t>
        </m:r>
        <m:f>
          <m:fPr>
            <m:ctrlPr>
              <w:rPr>
                <w:rFonts w:ascii="Cambria Math" w:hAnsi="Cambria Math" w:eastAsia="Times New Roman" w:cs="Times New Roman"/>
                <w:i/>
                <w:lang w:val="en-GB"/>
              </w:rPr>
            </m:ctrlPr>
          </m:fPr>
          <m:num>
            <m:sSub>
              <m:sSubPr>
                <m:ctrlPr>
                  <w:rPr>
                    <w:rFonts w:ascii="Cambria Math" w:hAnsi="Cambria Math" w:eastAsia="Times New Roman" w:cs="Times New Roman"/>
                    <w:i/>
                    <w:lang w:val="en-GB"/>
                  </w:rPr>
                </m:ctrlPr>
              </m:sSubPr>
              <m:e>
                <m:r>
                  <m:rPr/>
                  <w:rPr>
                    <w:rFonts w:ascii="Cambria Math" w:hAnsi="Cambria Math" w:eastAsia="Times New Roman" w:cs="Times New Roman"/>
                    <w:lang w:val="en-GB"/>
                  </w:rPr>
                  <m:t>IAQI</m:t>
                </m:r>
                <m:ctrlPr>
                  <w:rPr>
                    <w:rFonts w:ascii="Cambria Math" w:hAnsi="Cambria Math" w:eastAsia="Times New Roman" w:cs="Times New Roman"/>
                    <w:i/>
                    <w:lang w:val="en-GB"/>
                  </w:rPr>
                </m:ctrlPr>
              </m:e>
              <m:sub>
                <m:r>
                  <m:rPr/>
                  <w:rPr>
                    <w:rFonts w:ascii="Cambria Math" w:hAnsi="Cambria Math" w:eastAsia="Times New Roman" w:cs="Times New Roman"/>
                    <w:lang w:val="en-GB"/>
                  </w:rPr>
                  <m:t>Hi</m:t>
                </m:r>
                <m:ctrlPr>
                  <w:rPr>
                    <w:rFonts w:ascii="Cambria Math" w:hAnsi="Cambria Math" w:eastAsia="Times New Roman" w:cs="Times New Roman"/>
                    <w:i/>
                    <w:lang w:val="en-GB"/>
                  </w:rPr>
                </m:ctrlPr>
              </m:sub>
            </m:sSub>
            <m:r>
              <m:rPr>
                <m:sty m:val="p"/>
              </m:rPr>
              <w:rPr>
                <w:rFonts w:ascii="Cambria Math" w:hAnsi="Cambria Math" w:eastAsia="Times New Roman" w:cs="Times New Roman"/>
                <w:lang w:val="en-GB"/>
              </w:rPr>
              <m:t>−</m:t>
            </m:r>
            <m:sSub>
              <m:sSubPr>
                <m:ctrlPr>
                  <w:rPr>
                    <w:rFonts w:ascii="Cambria Math" w:hAnsi="Cambria Math" w:eastAsia="Times New Roman" w:cs="Times New Roman"/>
                    <w:i/>
                    <w:lang w:val="en-GB"/>
                  </w:rPr>
                </m:ctrlPr>
              </m:sSubPr>
              <m:e>
                <m:r>
                  <m:rPr/>
                  <w:rPr>
                    <w:rFonts w:ascii="Cambria Math" w:hAnsi="Cambria Math" w:eastAsia="Times New Roman" w:cs="Times New Roman"/>
                    <w:lang w:val="en-GB"/>
                  </w:rPr>
                  <m:t>IAQI</m:t>
                </m:r>
                <m:ctrlPr>
                  <w:rPr>
                    <w:rFonts w:ascii="Cambria Math" w:hAnsi="Cambria Math" w:eastAsia="Times New Roman" w:cs="Times New Roman"/>
                    <w:i/>
                    <w:lang w:val="en-GB"/>
                  </w:rPr>
                </m:ctrlPr>
              </m:e>
              <m:sub>
                <m:r>
                  <m:rPr/>
                  <w:rPr>
                    <w:rFonts w:ascii="Cambria Math" w:hAnsi="Cambria Math" w:eastAsia="Times New Roman" w:cs="Times New Roman"/>
                    <w:lang w:val="en-GB"/>
                  </w:rPr>
                  <m:t>Lo</m:t>
                </m:r>
                <m:ctrlPr>
                  <w:rPr>
                    <w:rFonts w:ascii="Cambria Math" w:hAnsi="Cambria Math" w:eastAsia="Times New Roman" w:cs="Times New Roman"/>
                    <w:i/>
                    <w:lang w:val="en-GB"/>
                  </w:rPr>
                </m:ctrlPr>
              </m:sub>
            </m:sSub>
            <m:ctrlPr>
              <w:rPr>
                <w:rFonts w:ascii="Cambria Math" w:hAnsi="Cambria Math" w:eastAsia="Times New Roman" w:cs="Times New Roman"/>
                <w:i/>
                <w:lang w:val="en-GB"/>
              </w:rPr>
            </m:ctrlPr>
          </m:num>
          <m:den>
            <m:sSub>
              <m:sSubPr>
                <m:ctrlPr>
                  <w:rPr>
                    <w:rFonts w:ascii="Cambria Math" w:hAnsi="Cambria Math" w:eastAsia="Times New Roman" w:cs="Times New Roman"/>
                    <w:i/>
                    <w:lang w:val="en-GB"/>
                  </w:rPr>
                </m:ctrlPr>
              </m:sSubPr>
              <m:e>
                <m:r>
                  <m:rPr/>
                  <w:rPr>
                    <w:rFonts w:ascii="Cambria Math" w:hAnsi="Cambria Math" w:eastAsia="Times New Roman" w:cs="Times New Roman"/>
                    <w:lang w:val="en-GB"/>
                  </w:rPr>
                  <m:t>BP</m:t>
                </m:r>
                <m:ctrlPr>
                  <w:rPr>
                    <w:rFonts w:ascii="Cambria Math" w:hAnsi="Cambria Math" w:eastAsia="Times New Roman" w:cs="Times New Roman"/>
                    <w:i/>
                    <w:lang w:val="en-GB"/>
                  </w:rPr>
                </m:ctrlPr>
              </m:e>
              <m:sub>
                <m:r>
                  <m:rPr/>
                  <w:rPr>
                    <w:rFonts w:ascii="Cambria Math" w:hAnsi="Cambria Math" w:eastAsia="Times New Roman" w:cs="Times New Roman"/>
                    <w:lang w:val="en-GB"/>
                  </w:rPr>
                  <m:t>Hi</m:t>
                </m:r>
                <m:ctrlPr>
                  <w:rPr>
                    <w:rFonts w:ascii="Cambria Math" w:hAnsi="Cambria Math" w:eastAsia="Times New Roman" w:cs="Times New Roman"/>
                    <w:i/>
                    <w:lang w:val="en-GB"/>
                  </w:rPr>
                </m:ctrlPr>
              </m:sub>
            </m:sSub>
            <m:r>
              <m:rPr>
                <m:sty m:val="p"/>
              </m:rPr>
              <w:rPr>
                <w:rFonts w:ascii="Cambria Math" w:hAnsi="Cambria Math" w:eastAsia="Times New Roman" w:cs="Times New Roman"/>
                <w:lang w:val="en-GB"/>
              </w:rPr>
              <m:t>−</m:t>
            </m:r>
            <m:sSub>
              <m:sSubPr>
                <m:ctrlPr>
                  <w:rPr>
                    <w:rFonts w:ascii="Cambria Math" w:hAnsi="Cambria Math" w:eastAsia="Times New Roman" w:cs="Times New Roman"/>
                    <w:i/>
                    <w:lang w:val="en-GB"/>
                  </w:rPr>
                </m:ctrlPr>
              </m:sSubPr>
              <m:e>
                <m:r>
                  <m:rPr/>
                  <w:rPr>
                    <w:rFonts w:ascii="Cambria Math" w:hAnsi="Cambria Math" w:eastAsia="Times New Roman" w:cs="Times New Roman"/>
                    <w:lang w:val="en-GB"/>
                  </w:rPr>
                  <m:t>BP</m:t>
                </m:r>
                <m:ctrlPr>
                  <w:rPr>
                    <w:rFonts w:ascii="Cambria Math" w:hAnsi="Cambria Math" w:eastAsia="Times New Roman" w:cs="Times New Roman"/>
                    <w:i/>
                    <w:lang w:val="en-GB"/>
                  </w:rPr>
                </m:ctrlPr>
              </m:e>
              <m:sub>
                <m:r>
                  <m:rPr/>
                  <w:rPr>
                    <w:rFonts w:ascii="Cambria Math" w:hAnsi="Cambria Math" w:eastAsia="Times New Roman" w:cs="Times New Roman"/>
                    <w:lang w:val="en-GB"/>
                  </w:rPr>
                  <m:t>Lo</m:t>
                </m:r>
                <m:ctrlPr>
                  <w:rPr>
                    <w:rFonts w:ascii="Cambria Math" w:hAnsi="Cambria Math" w:eastAsia="Times New Roman" w:cs="Times New Roman"/>
                    <w:i/>
                    <w:lang w:val="en-GB"/>
                  </w:rPr>
                </m:ctrlPr>
              </m:sub>
            </m:sSub>
            <m:ctrlPr>
              <w:rPr>
                <w:rFonts w:ascii="Cambria Math" w:hAnsi="Cambria Math" w:eastAsia="Times New Roman" w:cs="Times New Roman"/>
                <w:i/>
                <w:lang w:val="en-GB"/>
              </w:rPr>
            </m:ctrlPr>
          </m:den>
        </m:f>
        <m:r>
          <m:rPr>
            <m:sty m:val="p"/>
          </m:rPr>
          <w:rPr>
            <w:rFonts w:ascii="Cambria Math" w:hAnsi="Cambria Math" w:eastAsia="Times New Roman" w:cs="Times New Roman"/>
            <w:lang w:val="en-GB"/>
          </w:rPr>
          <m:t>(</m:t>
        </m:r>
        <m:sSub>
          <m:sSubPr>
            <m:ctrlPr>
              <w:rPr>
                <w:rFonts w:ascii="Cambria Math" w:hAnsi="Cambria Math" w:eastAsia="Times New Roman" w:cs="Times New Roman"/>
                <w:i/>
                <w:lang w:val="en-GB"/>
              </w:rPr>
            </m:ctrlPr>
          </m:sSubPr>
          <m:e>
            <m:r>
              <m:rPr/>
              <w:rPr>
                <w:rFonts w:ascii="Cambria Math" w:hAnsi="Cambria Math" w:eastAsia="Times New Roman" w:cs="Times New Roman"/>
                <w:lang w:val="en-GB"/>
              </w:rPr>
              <m:t>C</m:t>
            </m:r>
            <m:ctrlPr>
              <w:rPr>
                <w:rFonts w:ascii="Cambria Math" w:hAnsi="Cambria Math" w:eastAsia="Times New Roman" w:cs="Times New Roman"/>
                <w:i/>
                <w:lang w:val="en-GB"/>
              </w:rPr>
            </m:ctrlPr>
          </m:e>
          <m:sub>
            <m:r>
              <m:rPr/>
              <w:rPr>
                <w:rFonts w:ascii="Cambria Math" w:hAnsi="Cambria Math" w:eastAsia="Times New Roman" w:cs="Times New Roman"/>
                <w:lang w:val="en-GB"/>
              </w:rPr>
              <m:t>P</m:t>
            </m:r>
            <m:ctrlPr>
              <w:rPr>
                <w:rFonts w:ascii="Cambria Math" w:hAnsi="Cambria Math" w:eastAsia="Times New Roman" w:cs="Times New Roman"/>
                <w:i/>
                <w:lang w:val="en-GB"/>
              </w:rPr>
            </m:ctrlPr>
          </m:sub>
        </m:sSub>
        <m:r>
          <m:rPr>
            <m:sty m:val="p"/>
          </m:rPr>
          <w:rPr>
            <w:rFonts w:ascii="Cambria Math" w:hAnsi="Cambria Math" w:eastAsia="Times New Roman" w:cs="Times New Roman"/>
            <w:lang w:val="en-GB"/>
          </w:rPr>
          <m:t>−</m:t>
        </m:r>
        <m:sSub>
          <m:sSubPr>
            <m:ctrlPr>
              <w:rPr>
                <w:rFonts w:ascii="Cambria Math" w:hAnsi="Cambria Math" w:eastAsia="Times New Roman" w:cs="Times New Roman"/>
                <w:i/>
                <w:lang w:val="en-GB"/>
              </w:rPr>
            </m:ctrlPr>
          </m:sSubPr>
          <m:e>
            <m:r>
              <m:rPr/>
              <w:rPr>
                <w:rFonts w:ascii="Cambria Math" w:hAnsi="Cambria Math" w:eastAsia="Times New Roman" w:cs="Times New Roman"/>
                <w:lang w:val="en-GB"/>
              </w:rPr>
              <m:t>BP</m:t>
            </m:r>
            <m:ctrlPr>
              <w:rPr>
                <w:rFonts w:ascii="Cambria Math" w:hAnsi="Cambria Math" w:eastAsia="Times New Roman" w:cs="Times New Roman"/>
                <w:i/>
                <w:lang w:val="en-GB"/>
              </w:rPr>
            </m:ctrlPr>
          </m:e>
          <m:sub>
            <m:r>
              <m:rPr/>
              <w:rPr>
                <w:rFonts w:ascii="Cambria Math" w:hAnsi="Cambria Math" w:eastAsia="Times New Roman" w:cs="Times New Roman"/>
                <w:lang w:val="en-GB"/>
              </w:rPr>
              <m:t>Lo</m:t>
            </m:r>
            <m:ctrlPr>
              <w:rPr>
                <w:rFonts w:ascii="Cambria Math" w:hAnsi="Cambria Math" w:eastAsia="Times New Roman" w:cs="Times New Roman"/>
                <w:i/>
                <w:lang w:val="en-GB"/>
              </w:rPr>
            </m:ctrlPr>
          </m:sub>
        </m:sSub>
        <m:r>
          <m:rPr>
            <m:sty m:val="p"/>
          </m:rPr>
          <w:rPr>
            <w:rFonts w:ascii="Cambria Math" w:hAnsi="Cambria Math" w:eastAsia="Times New Roman" w:cs="Times New Roman"/>
            <w:lang w:val="en-GB"/>
          </w:rPr>
          <m:t>)+</m:t>
        </m:r>
        <m:sSub>
          <m:sSubPr>
            <m:ctrlPr>
              <w:rPr>
                <w:rFonts w:ascii="Cambria Math" w:hAnsi="Cambria Math" w:eastAsia="Times New Roman" w:cs="Times New Roman"/>
                <w:i/>
                <w:lang w:val="en-GB"/>
              </w:rPr>
            </m:ctrlPr>
          </m:sSubPr>
          <m:e>
            <m:r>
              <m:rPr/>
              <w:rPr>
                <w:rFonts w:ascii="Cambria Math" w:hAnsi="Cambria Math" w:eastAsia="Times New Roman" w:cs="Times New Roman"/>
                <w:lang w:val="en-GB"/>
              </w:rPr>
              <m:t>IAQI</m:t>
            </m:r>
            <m:ctrlPr>
              <w:rPr>
                <w:rFonts w:ascii="Cambria Math" w:hAnsi="Cambria Math" w:eastAsia="Times New Roman" w:cs="Times New Roman"/>
                <w:i/>
                <w:lang w:val="en-GB"/>
              </w:rPr>
            </m:ctrlPr>
          </m:e>
          <m:sub>
            <m:r>
              <m:rPr/>
              <w:rPr>
                <w:rFonts w:ascii="Cambria Math" w:hAnsi="Cambria Math" w:eastAsia="Times New Roman" w:cs="Times New Roman"/>
                <w:lang w:val="en-GB"/>
              </w:rPr>
              <m:t>Lo</m:t>
            </m:r>
            <m:ctrlPr>
              <w:rPr>
                <w:rFonts w:ascii="Cambria Math" w:hAnsi="Cambria Math" w:eastAsia="Times New Roman" w:cs="Times New Roman"/>
                <w:i/>
                <w:lang w:val="en-GB"/>
              </w:rPr>
            </m:ctrlPr>
          </m:sub>
        </m:sSub>
      </m:oMath>
      <w:r>
        <w:rPr>
          <w:rFonts w:ascii="Times New Roman" w:hAnsi="Times New Roman" w:cs="Times New Roman"/>
          <w:lang w:val="en-GB"/>
        </w:rPr>
        <w:t xml:space="preserve">  </w:t>
      </w:r>
      <w:r>
        <w:rPr>
          <w:rFonts w:ascii="Times New Roman" w:hAnsi="Times New Roman" w:cs="Times New Roman"/>
          <w:lang w:val="en-GB"/>
        </w:rPr>
        <w:tab/>
      </w:r>
      <w:r>
        <w:rPr>
          <w:rFonts w:ascii="Times New Roman" w:hAnsi="Times New Roman" w:cs="Times New Roman"/>
          <w:lang w:val="en-GB"/>
        </w:rPr>
        <w:t xml:space="preserve"> (S1)</w:t>
      </w:r>
    </w:p>
    <w:p w14:paraId="0F30C196">
      <w:pPr>
        <w:suppressAutoHyphens/>
        <w:kinsoku w:val="0"/>
        <w:overflowPunct w:val="0"/>
        <w:autoSpaceDE w:val="0"/>
        <w:autoSpaceDN w:val="0"/>
        <w:adjustRightInd w:val="0"/>
        <w:snapToGrid w:val="0"/>
        <w:spacing w:line="480" w:lineRule="auto"/>
        <w:rPr>
          <w:rFonts w:ascii="Times New Roman" w:hAnsi="Times New Roman" w:eastAsia="Times New Roman Bold" w:cs="Times New Roman"/>
          <w:b/>
          <w:lang w:val="en-GB"/>
        </w:rPr>
      </w:pPr>
      <w:r>
        <w:rPr>
          <w:rFonts w:ascii="Times New Roman" w:hAnsi="Times New Roman" w:eastAsia="Times New Roman" w:cs="Times New Roman"/>
          <w:sz w:val="24"/>
          <w:lang w:val="en-GB"/>
        </w:rPr>
        <w:t>where</w:t>
      </w:r>
      <w:r>
        <w:rPr>
          <w:rFonts w:ascii="Times New Roman" w:hAnsi="Times New Roman" w:cs="Times New Roman"/>
          <w:sz w:val="24"/>
          <w:lang w:val="en-GB"/>
        </w:rPr>
        <w:t xml:space="preserve"> </w:t>
      </w:r>
      <m:oMath>
        <m:sSub>
          <m:sSubPr>
            <m:ctrlPr>
              <w:rPr>
                <w:rFonts w:ascii="Cambria Math" w:hAnsi="Cambria Math" w:eastAsia="Times New Roman" w:cs="Times New Roman"/>
                <w:i/>
                <w:iCs/>
                <w:sz w:val="24"/>
                <w:lang w:val="en-GB"/>
              </w:rPr>
            </m:ctrlPr>
          </m:sSubPr>
          <m:e>
            <m:r>
              <m:rPr/>
              <w:rPr>
                <w:rFonts w:ascii="Cambria Math" w:hAnsi="Cambria Math" w:eastAsia="Times New Roman" w:cs="Times New Roman"/>
                <w:sz w:val="24"/>
                <w:lang w:val="en-GB"/>
              </w:rPr>
              <m:t>IAQI</m:t>
            </m:r>
            <m:ctrlPr>
              <w:rPr>
                <w:rFonts w:ascii="Cambria Math" w:hAnsi="Cambria Math" w:eastAsia="Times New Roman" w:cs="Times New Roman"/>
                <w:i/>
                <w:iCs/>
                <w:sz w:val="24"/>
                <w:lang w:val="en-GB"/>
              </w:rPr>
            </m:ctrlPr>
          </m:e>
          <m:sub>
            <m:r>
              <m:rPr/>
              <w:rPr>
                <w:rFonts w:ascii="Cambria Math" w:hAnsi="Cambria Math" w:eastAsia="Times New Roman" w:cs="Times New Roman"/>
                <w:sz w:val="24"/>
                <w:lang w:val="en-GB"/>
              </w:rPr>
              <m:t>P</m:t>
            </m:r>
            <m:ctrlPr>
              <w:rPr>
                <w:rFonts w:ascii="Cambria Math" w:hAnsi="Cambria Math" w:eastAsia="Times New Roman" w:cs="Times New Roman"/>
                <w:i/>
                <w:iCs/>
                <w:sz w:val="24"/>
                <w:lang w:val="en-GB"/>
              </w:rPr>
            </m:ctrlPr>
          </m:sub>
        </m:sSub>
      </m:oMath>
      <w:r>
        <w:rPr>
          <w:rFonts w:ascii="Times New Roman" w:hAnsi="Times New Roman" w:cs="Times New Roman"/>
          <w:sz w:val="24"/>
          <w:lang w:val="en-GB"/>
        </w:rPr>
        <w:t xml:space="preserve"> </w:t>
      </w:r>
      <w:r>
        <w:rPr>
          <w:rFonts w:ascii="Times New Roman" w:hAnsi="Times New Roman" w:eastAsia="Times New Roman" w:cs="Times New Roman"/>
          <w:sz w:val="24"/>
          <w:lang w:val="en-GB"/>
        </w:rPr>
        <w:t>is</w:t>
      </w:r>
      <w:r>
        <w:rPr>
          <w:rFonts w:ascii="Times New Roman" w:hAnsi="Times New Roman" w:cs="Times New Roman"/>
          <w:sz w:val="24"/>
          <w:lang w:val="en-GB"/>
        </w:rPr>
        <w:t xml:space="preserve"> </w:t>
      </w:r>
      <w:r>
        <w:rPr>
          <w:rFonts w:ascii="Times New Roman" w:hAnsi="Times New Roman" w:eastAsia="Times New Roman" w:cs="Times New Roman"/>
          <w:sz w:val="24"/>
          <w:lang w:val="en-GB"/>
        </w:rPr>
        <w:t xml:space="preserve">the IAQI of pollutant </w:t>
      </w:r>
      <w:r>
        <w:rPr>
          <w:rFonts w:ascii="Times New Roman" w:hAnsi="Times New Roman" w:eastAsia="DejaVu Math TeX Gyre" w:cs="Times New Roman"/>
          <w:i/>
          <w:sz w:val="24"/>
          <w:lang w:val="en-GB"/>
        </w:rPr>
        <w:t xml:space="preserve">P; </w:t>
      </w:r>
      <m:oMath>
        <m:sSub>
          <m:sSubPr>
            <m:ctrlPr>
              <w:rPr>
                <w:rFonts w:ascii="Cambria Math" w:hAnsi="Cambria Math" w:eastAsia="Times New Roman" w:cs="Times New Roman"/>
                <w:i/>
                <w:iCs/>
                <w:sz w:val="24"/>
                <w:lang w:val="en-GB"/>
              </w:rPr>
            </m:ctrlPr>
          </m:sSubPr>
          <m:e>
            <m:r>
              <m:rPr/>
              <w:rPr>
                <w:rFonts w:ascii="Cambria Math" w:hAnsi="Cambria Math" w:eastAsia="Times New Roman" w:cs="Times New Roman"/>
                <w:sz w:val="24"/>
                <w:lang w:val="en-GB"/>
              </w:rPr>
              <m:t>C</m:t>
            </m:r>
            <m:ctrlPr>
              <w:rPr>
                <w:rFonts w:ascii="Cambria Math" w:hAnsi="Cambria Math" w:eastAsia="Times New Roman" w:cs="Times New Roman"/>
                <w:i/>
                <w:iCs/>
                <w:sz w:val="24"/>
                <w:lang w:val="en-GB"/>
              </w:rPr>
            </m:ctrlPr>
          </m:e>
          <m:sub>
            <m:r>
              <m:rPr/>
              <w:rPr>
                <w:rFonts w:ascii="Cambria Math" w:hAnsi="Cambria Math" w:eastAsia="Times New Roman" w:cs="Times New Roman"/>
                <w:sz w:val="24"/>
                <w:lang w:val="en-GB"/>
              </w:rPr>
              <m:t>P</m:t>
            </m:r>
            <m:ctrlPr>
              <w:rPr>
                <w:rFonts w:ascii="Cambria Math" w:hAnsi="Cambria Math" w:eastAsia="Times New Roman" w:cs="Times New Roman"/>
                <w:i/>
                <w:iCs/>
                <w:sz w:val="24"/>
                <w:lang w:val="en-GB"/>
              </w:rPr>
            </m:ctrlPr>
          </m:sub>
        </m:sSub>
      </m:oMath>
      <w:r>
        <w:rPr>
          <w:rFonts w:ascii="Times New Roman" w:hAnsi="Times New Roman" w:cs="Times New Roman"/>
          <w:sz w:val="24"/>
          <w:lang w:val="en-GB"/>
        </w:rPr>
        <w:t xml:space="preserve"> </w:t>
      </w:r>
      <w:r>
        <w:rPr>
          <w:rFonts w:ascii="Times New Roman" w:hAnsi="Times New Roman" w:eastAsia="Times New Roman" w:cs="Times New Roman"/>
          <w:sz w:val="24"/>
          <w:lang w:val="en-GB"/>
        </w:rPr>
        <w:t xml:space="preserve">is the mass concentration value of pollutant </w:t>
      </w:r>
      <w:r>
        <w:rPr>
          <w:rFonts w:ascii="Times New Roman" w:hAnsi="Times New Roman" w:eastAsia="DejaVu Math TeX Gyre" w:cs="Times New Roman"/>
          <w:i/>
          <w:sz w:val="24"/>
          <w:lang w:val="en-GB"/>
        </w:rPr>
        <w:t>P</w:t>
      </w:r>
      <w:r>
        <w:rPr>
          <w:rFonts w:ascii="Times New Roman" w:hAnsi="Times New Roman" w:eastAsia="Times New Roman" w:cs="Times New Roman"/>
          <w:sz w:val="24"/>
          <w:lang w:val="en-GB"/>
        </w:rPr>
        <w:t xml:space="preserve">; </w:t>
      </w:r>
      <m:oMath>
        <m:sSub>
          <m:sSubPr>
            <m:ctrlPr>
              <w:rPr>
                <w:rFonts w:ascii="Cambria Math" w:hAnsi="Cambria Math" w:eastAsia="Times New Roman" w:cs="Times New Roman"/>
                <w:i/>
                <w:iCs/>
                <w:sz w:val="24"/>
                <w:lang w:val="en-GB"/>
              </w:rPr>
            </m:ctrlPr>
          </m:sSubPr>
          <m:e>
            <m:r>
              <m:rPr/>
              <w:rPr>
                <w:rFonts w:ascii="Cambria Math" w:hAnsi="Cambria Math" w:eastAsia="Times New Roman" w:cs="Times New Roman"/>
                <w:sz w:val="24"/>
                <w:lang w:val="en-GB"/>
              </w:rPr>
              <m:t>BP</m:t>
            </m:r>
            <m:ctrlPr>
              <w:rPr>
                <w:rFonts w:ascii="Cambria Math" w:hAnsi="Cambria Math" w:eastAsia="Times New Roman" w:cs="Times New Roman"/>
                <w:i/>
                <w:iCs/>
                <w:sz w:val="24"/>
                <w:lang w:val="en-GB"/>
              </w:rPr>
            </m:ctrlPr>
          </m:e>
          <m:sub>
            <m:r>
              <m:rPr/>
              <w:rPr>
                <w:rFonts w:ascii="Cambria Math" w:hAnsi="Cambria Math" w:eastAsia="Times New Roman" w:cs="Times New Roman"/>
                <w:sz w:val="24"/>
                <w:lang w:val="en-GB"/>
              </w:rPr>
              <m:t>Hi</m:t>
            </m:r>
            <m:ctrlPr>
              <w:rPr>
                <w:rFonts w:ascii="Cambria Math" w:hAnsi="Cambria Math" w:eastAsia="Times New Roman" w:cs="Times New Roman"/>
                <w:i/>
                <w:iCs/>
                <w:sz w:val="24"/>
                <w:lang w:val="en-GB"/>
              </w:rPr>
            </m:ctrlPr>
          </m:sub>
        </m:sSub>
      </m:oMath>
      <w:r>
        <w:rPr>
          <w:rFonts w:ascii="Times New Roman" w:hAnsi="Times New Roman" w:cs="Times New Roman"/>
          <w:sz w:val="24"/>
          <w:lang w:val="en-GB"/>
        </w:rPr>
        <w:t xml:space="preserve"> </w:t>
      </w:r>
      <w:r>
        <w:rPr>
          <w:rFonts w:ascii="Times New Roman" w:hAnsi="Times New Roman" w:eastAsia="Times New Roman" w:cs="Times New Roman"/>
          <w:sz w:val="24"/>
          <w:lang w:val="en-GB"/>
        </w:rPr>
        <w:t xml:space="preserve">is the high value of the concentration limits of pollutants, corresponding to </w:t>
      </w:r>
      <m:oMath>
        <m:sSub>
          <m:sSubPr>
            <m:ctrlPr>
              <w:rPr>
                <w:rFonts w:ascii="Cambria Math" w:hAnsi="Cambria Math" w:eastAsia="Times New Roman" w:cs="Times New Roman"/>
                <w:i/>
                <w:iCs/>
                <w:sz w:val="24"/>
                <w:lang w:val="en-GB"/>
              </w:rPr>
            </m:ctrlPr>
          </m:sSubPr>
          <m:e>
            <m:r>
              <m:rPr/>
              <w:rPr>
                <w:rFonts w:ascii="Cambria Math" w:hAnsi="Cambria Math" w:eastAsia="Times New Roman" w:cs="Times New Roman"/>
                <w:sz w:val="24"/>
                <w:lang w:val="en-GB"/>
              </w:rPr>
              <m:t>C</m:t>
            </m:r>
            <m:ctrlPr>
              <w:rPr>
                <w:rFonts w:ascii="Cambria Math" w:hAnsi="Cambria Math" w:eastAsia="Times New Roman" w:cs="Times New Roman"/>
                <w:i/>
                <w:iCs/>
                <w:sz w:val="24"/>
                <w:lang w:val="en-GB"/>
              </w:rPr>
            </m:ctrlPr>
          </m:e>
          <m:sub>
            <m:r>
              <m:rPr/>
              <w:rPr>
                <w:rFonts w:ascii="Cambria Math" w:hAnsi="Cambria Math" w:eastAsia="Times New Roman" w:cs="Times New Roman"/>
                <w:sz w:val="24"/>
                <w:lang w:val="en-GB"/>
              </w:rPr>
              <m:t>P</m:t>
            </m:r>
            <m:ctrlPr>
              <w:rPr>
                <w:rFonts w:ascii="Cambria Math" w:hAnsi="Cambria Math" w:eastAsia="Times New Roman" w:cs="Times New Roman"/>
                <w:i/>
                <w:iCs/>
                <w:sz w:val="24"/>
                <w:lang w:val="en-GB"/>
              </w:rPr>
            </m:ctrlPr>
          </m:sub>
        </m:sSub>
      </m:oMath>
      <w:r>
        <w:rPr>
          <w:rFonts w:ascii="Times New Roman" w:hAnsi="Times New Roman" w:eastAsia="Times New Roman" w:cs="Times New Roman"/>
          <w:sz w:val="24"/>
          <w:lang w:val="en-GB"/>
        </w:rPr>
        <w:t xml:space="preserve"> in Table B1; </w:t>
      </w:r>
      <m:oMath>
        <m:sSub>
          <m:sSubPr>
            <m:ctrlPr>
              <w:rPr>
                <w:rFonts w:ascii="Cambria Math" w:hAnsi="Cambria Math" w:eastAsia="Times New Roman" w:cs="Times New Roman"/>
                <w:i/>
                <w:iCs/>
                <w:sz w:val="24"/>
                <w:lang w:val="en-GB"/>
              </w:rPr>
            </m:ctrlPr>
          </m:sSubPr>
          <m:e>
            <m:r>
              <m:rPr/>
              <w:rPr>
                <w:rFonts w:ascii="Cambria Math" w:hAnsi="Cambria Math" w:eastAsia="Times New Roman" w:cs="Times New Roman"/>
                <w:sz w:val="24"/>
                <w:lang w:val="en-GB"/>
              </w:rPr>
              <m:t>BP</m:t>
            </m:r>
            <m:ctrlPr>
              <w:rPr>
                <w:rFonts w:ascii="Cambria Math" w:hAnsi="Cambria Math" w:eastAsia="Times New Roman" w:cs="Times New Roman"/>
                <w:i/>
                <w:iCs/>
                <w:sz w:val="24"/>
                <w:lang w:val="en-GB"/>
              </w:rPr>
            </m:ctrlPr>
          </m:e>
          <m:sub>
            <m:r>
              <m:rPr/>
              <w:rPr>
                <w:rFonts w:ascii="Cambria Math" w:hAnsi="Cambria Math" w:eastAsia="Times New Roman" w:cs="Times New Roman"/>
                <w:sz w:val="24"/>
                <w:lang w:val="en-GB"/>
              </w:rPr>
              <m:t>Lo</m:t>
            </m:r>
            <m:ctrlPr>
              <w:rPr>
                <w:rFonts w:ascii="Cambria Math" w:hAnsi="Cambria Math" w:eastAsia="Times New Roman" w:cs="Times New Roman"/>
                <w:i/>
                <w:iCs/>
                <w:sz w:val="24"/>
                <w:lang w:val="en-GB"/>
              </w:rPr>
            </m:ctrlPr>
          </m:sub>
        </m:sSub>
      </m:oMath>
      <w:r>
        <w:rPr>
          <w:rFonts w:ascii="Times New Roman" w:hAnsi="Times New Roman" w:cs="Times New Roman"/>
          <w:sz w:val="24"/>
          <w:lang w:val="en-GB"/>
        </w:rPr>
        <w:t xml:space="preserve"> </w:t>
      </w:r>
      <w:r>
        <w:rPr>
          <w:rFonts w:ascii="Times New Roman" w:hAnsi="Times New Roman" w:eastAsia="Times New Roman" w:cs="Times New Roman"/>
          <w:sz w:val="24"/>
          <w:lang w:val="en-GB"/>
        </w:rPr>
        <w:t xml:space="preserve">is the low value of the low-concentration limit of pollutants, corresponding to </w:t>
      </w:r>
      <m:oMath>
        <m:sSub>
          <m:sSubPr>
            <m:ctrlPr>
              <w:rPr>
                <w:rFonts w:ascii="Cambria Math" w:hAnsi="Cambria Math" w:eastAsia="Times New Roman" w:cs="Times New Roman"/>
                <w:i/>
                <w:iCs/>
                <w:sz w:val="24"/>
                <w:lang w:val="en-GB"/>
              </w:rPr>
            </m:ctrlPr>
          </m:sSubPr>
          <m:e>
            <m:r>
              <m:rPr/>
              <w:rPr>
                <w:rFonts w:ascii="Cambria Math" w:hAnsi="Cambria Math" w:eastAsia="Times New Roman" w:cs="Times New Roman"/>
                <w:sz w:val="24"/>
                <w:lang w:val="en-GB"/>
              </w:rPr>
              <m:t>C</m:t>
            </m:r>
            <m:ctrlPr>
              <w:rPr>
                <w:rFonts w:ascii="Cambria Math" w:hAnsi="Cambria Math" w:eastAsia="Times New Roman" w:cs="Times New Roman"/>
                <w:i/>
                <w:iCs/>
                <w:sz w:val="24"/>
                <w:lang w:val="en-GB"/>
              </w:rPr>
            </m:ctrlPr>
          </m:e>
          <m:sub>
            <m:r>
              <m:rPr/>
              <w:rPr>
                <w:rFonts w:ascii="Cambria Math" w:hAnsi="Cambria Math" w:eastAsia="Times New Roman" w:cs="Times New Roman"/>
                <w:sz w:val="24"/>
                <w:lang w:val="en-GB"/>
              </w:rPr>
              <m:t>P</m:t>
            </m:r>
            <m:ctrlPr>
              <w:rPr>
                <w:rFonts w:ascii="Cambria Math" w:hAnsi="Cambria Math" w:eastAsia="Times New Roman" w:cs="Times New Roman"/>
                <w:i/>
                <w:iCs/>
                <w:sz w:val="24"/>
                <w:lang w:val="en-GB"/>
              </w:rPr>
            </m:ctrlPr>
          </m:sub>
        </m:sSub>
      </m:oMath>
      <w:r>
        <w:rPr>
          <w:rFonts w:ascii="Times New Roman" w:hAnsi="Times New Roman" w:eastAsia="Times New Roman" w:cs="Times New Roman"/>
          <w:sz w:val="24"/>
          <w:lang w:val="en-GB"/>
        </w:rPr>
        <w:t xml:space="preserve"> in Table B1; </w:t>
      </w:r>
      <m:oMath>
        <m:sSub>
          <m:sSubPr>
            <m:ctrlPr>
              <w:rPr>
                <w:rFonts w:ascii="Cambria Math" w:hAnsi="Cambria Math" w:eastAsia="Times New Roman" w:cs="Times New Roman"/>
                <w:i/>
                <w:iCs/>
                <w:sz w:val="24"/>
                <w:lang w:val="en-GB"/>
              </w:rPr>
            </m:ctrlPr>
          </m:sSubPr>
          <m:e>
            <m:r>
              <m:rPr/>
              <w:rPr>
                <w:rFonts w:ascii="Cambria Math" w:hAnsi="Cambria Math" w:eastAsia="Times New Roman" w:cs="Times New Roman"/>
                <w:sz w:val="24"/>
                <w:lang w:val="en-GB"/>
              </w:rPr>
              <m:t>IAQI</m:t>
            </m:r>
            <m:ctrlPr>
              <w:rPr>
                <w:rFonts w:ascii="Cambria Math" w:hAnsi="Cambria Math" w:eastAsia="Times New Roman" w:cs="Times New Roman"/>
                <w:i/>
                <w:iCs/>
                <w:sz w:val="24"/>
                <w:lang w:val="en-GB"/>
              </w:rPr>
            </m:ctrlPr>
          </m:e>
          <m:sub>
            <m:r>
              <m:rPr/>
              <w:rPr>
                <w:rFonts w:ascii="Cambria Math" w:hAnsi="Cambria Math" w:eastAsia="Times New Roman" w:cs="Times New Roman"/>
                <w:sz w:val="24"/>
                <w:lang w:val="en-GB"/>
              </w:rPr>
              <m:t>Hi</m:t>
            </m:r>
            <m:ctrlPr>
              <w:rPr>
                <w:rFonts w:ascii="Cambria Math" w:hAnsi="Cambria Math" w:eastAsia="Times New Roman" w:cs="Times New Roman"/>
                <w:i/>
                <w:iCs/>
                <w:sz w:val="24"/>
                <w:lang w:val="en-GB"/>
              </w:rPr>
            </m:ctrlPr>
          </m:sub>
        </m:sSub>
      </m:oMath>
      <w:r>
        <w:rPr>
          <w:rFonts w:ascii="Times New Roman" w:hAnsi="Times New Roman" w:cs="Times New Roman"/>
          <w:sz w:val="24"/>
          <w:lang w:val="en-GB"/>
        </w:rPr>
        <w:t xml:space="preserve"> </w:t>
      </w:r>
      <w:r>
        <w:rPr>
          <w:rFonts w:ascii="Times New Roman" w:hAnsi="Times New Roman" w:eastAsia="Times New Roman" w:cs="Times New Roman"/>
          <w:sz w:val="24"/>
          <w:lang w:val="en-GB"/>
        </w:rPr>
        <w:t xml:space="preserve">is the IAQI corresponding to </w:t>
      </w:r>
      <m:oMath>
        <m:sSub>
          <m:sSubPr>
            <m:ctrlPr>
              <w:rPr>
                <w:rFonts w:ascii="Cambria Math" w:hAnsi="Cambria Math" w:eastAsia="Times New Roman" w:cs="Times New Roman"/>
                <w:i/>
                <w:iCs/>
                <w:sz w:val="24"/>
                <w:lang w:val="en-GB"/>
              </w:rPr>
            </m:ctrlPr>
          </m:sSubPr>
          <m:e>
            <m:r>
              <m:rPr/>
              <w:rPr>
                <w:rFonts w:ascii="Cambria Math" w:hAnsi="Cambria Math" w:eastAsia="Times New Roman" w:cs="Times New Roman"/>
                <w:sz w:val="24"/>
                <w:lang w:val="en-GB"/>
              </w:rPr>
              <m:t>BP</m:t>
            </m:r>
            <m:ctrlPr>
              <w:rPr>
                <w:rFonts w:ascii="Cambria Math" w:hAnsi="Cambria Math" w:eastAsia="Times New Roman" w:cs="Times New Roman"/>
                <w:i/>
                <w:iCs/>
                <w:sz w:val="24"/>
                <w:lang w:val="en-GB"/>
              </w:rPr>
            </m:ctrlPr>
          </m:e>
          <m:sub>
            <m:r>
              <m:rPr/>
              <w:rPr>
                <w:rFonts w:ascii="Cambria Math" w:hAnsi="Cambria Math" w:eastAsia="Times New Roman" w:cs="Times New Roman"/>
                <w:sz w:val="24"/>
                <w:lang w:val="en-GB"/>
              </w:rPr>
              <m:t>Hi</m:t>
            </m:r>
            <m:ctrlPr>
              <w:rPr>
                <w:rFonts w:ascii="Cambria Math" w:hAnsi="Cambria Math" w:eastAsia="Times New Roman" w:cs="Times New Roman"/>
                <w:i/>
                <w:iCs/>
                <w:sz w:val="24"/>
                <w:lang w:val="en-GB"/>
              </w:rPr>
            </m:ctrlPr>
          </m:sub>
        </m:sSub>
      </m:oMath>
      <w:r>
        <w:rPr>
          <w:rFonts w:ascii="Times New Roman" w:hAnsi="Times New Roman" w:eastAsia="Times New Roman" w:cs="Times New Roman"/>
          <w:sz w:val="24"/>
          <w:lang w:val="en-GB"/>
        </w:rPr>
        <w:t xml:space="preserve"> in Table B1; and </w:t>
      </w:r>
      <m:oMath>
        <m:sSub>
          <m:sSubPr>
            <m:ctrlPr>
              <w:rPr>
                <w:rFonts w:ascii="Cambria Math" w:hAnsi="Cambria Math" w:eastAsia="Times New Roman" w:cs="Times New Roman"/>
                <w:i/>
                <w:iCs/>
                <w:sz w:val="24"/>
                <w:lang w:val="en-GB"/>
              </w:rPr>
            </m:ctrlPr>
          </m:sSubPr>
          <m:e>
            <m:r>
              <m:rPr/>
              <w:rPr>
                <w:rFonts w:ascii="Cambria Math" w:hAnsi="Cambria Math" w:eastAsia="Times New Roman" w:cs="Times New Roman"/>
                <w:sz w:val="24"/>
                <w:lang w:val="en-GB"/>
              </w:rPr>
              <m:t>IAQI</m:t>
            </m:r>
            <m:ctrlPr>
              <w:rPr>
                <w:rFonts w:ascii="Cambria Math" w:hAnsi="Cambria Math" w:eastAsia="Times New Roman" w:cs="Times New Roman"/>
                <w:i/>
                <w:iCs/>
                <w:sz w:val="24"/>
                <w:lang w:val="en-GB"/>
              </w:rPr>
            </m:ctrlPr>
          </m:e>
          <m:sub>
            <m:r>
              <m:rPr/>
              <w:rPr>
                <w:rFonts w:ascii="Cambria Math" w:hAnsi="Cambria Math" w:eastAsia="Times New Roman" w:cs="Times New Roman"/>
                <w:sz w:val="24"/>
                <w:lang w:val="en-GB"/>
              </w:rPr>
              <m:t>Lo</m:t>
            </m:r>
            <m:ctrlPr>
              <w:rPr>
                <w:rFonts w:ascii="Cambria Math" w:hAnsi="Cambria Math" w:eastAsia="Times New Roman" w:cs="Times New Roman"/>
                <w:i/>
                <w:iCs/>
                <w:sz w:val="24"/>
                <w:lang w:val="en-GB"/>
              </w:rPr>
            </m:ctrlPr>
          </m:sub>
        </m:sSub>
      </m:oMath>
      <w:r>
        <w:rPr>
          <w:rFonts w:ascii="Times New Roman" w:hAnsi="Times New Roman" w:cs="Times New Roman"/>
          <w:sz w:val="24"/>
          <w:lang w:val="en-GB"/>
        </w:rPr>
        <w:t xml:space="preserve"> </w:t>
      </w:r>
      <w:r>
        <w:rPr>
          <w:rFonts w:ascii="Times New Roman" w:hAnsi="Times New Roman" w:eastAsia="Times New Roman" w:cs="Times New Roman"/>
          <w:sz w:val="24"/>
          <w:lang w:val="en-GB"/>
        </w:rPr>
        <w:t xml:space="preserve">is the IAQI corresponding to </w:t>
      </w:r>
      <m:oMath>
        <m:sSub>
          <m:sSubPr>
            <m:ctrlPr>
              <w:rPr>
                <w:rFonts w:ascii="Cambria Math" w:hAnsi="Cambria Math" w:eastAsia="Times New Roman" w:cs="Times New Roman"/>
                <w:i/>
                <w:iCs/>
                <w:sz w:val="24"/>
                <w:lang w:val="en-GB"/>
              </w:rPr>
            </m:ctrlPr>
          </m:sSubPr>
          <m:e>
            <m:r>
              <m:rPr/>
              <w:rPr>
                <w:rFonts w:ascii="Cambria Math" w:hAnsi="Cambria Math" w:eastAsia="Times New Roman" w:cs="Times New Roman"/>
                <w:sz w:val="24"/>
                <w:lang w:val="en-GB"/>
              </w:rPr>
              <m:t>BP</m:t>
            </m:r>
            <m:ctrlPr>
              <w:rPr>
                <w:rFonts w:ascii="Cambria Math" w:hAnsi="Cambria Math" w:eastAsia="Times New Roman" w:cs="Times New Roman"/>
                <w:i/>
                <w:iCs/>
                <w:sz w:val="24"/>
                <w:lang w:val="en-GB"/>
              </w:rPr>
            </m:ctrlPr>
          </m:e>
          <m:sub>
            <m:r>
              <m:rPr/>
              <w:rPr>
                <w:rFonts w:ascii="Cambria Math" w:hAnsi="Cambria Math" w:eastAsia="Times New Roman" w:cs="Times New Roman"/>
                <w:sz w:val="24"/>
                <w:lang w:val="en-GB"/>
              </w:rPr>
              <m:t>Lo</m:t>
            </m:r>
            <m:ctrlPr>
              <w:rPr>
                <w:rFonts w:ascii="Cambria Math" w:hAnsi="Cambria Math" w:eastAsia="Times New Roman" w:cs="Times New Roman"/>
                <w:i/>
                <w:iCs/>
                <w:sz w:val="24"/>
                <w:lang w:val="en-GB"/>
              </w:rPr>
            </m:ctrlPr>
          </m:sub>
        </m:sSub>
      </m:oMath>
      <w:r>
        <w:rPr>
          <w:rFonts w:ascii="Times New Roman" w:hAnsi="Times New Roman" w:eastAsia="Times New Roman" w:cs="Times New Roman"/>
          <w:sz w:val="24"/>
          <w:lang w:val="en-GB"/>
        </w:rPr>
        <w:t xml:space="preserve"> in Table B1.</w:t>
      </w:r>
    </w:p>
    <w:p w14:paraId="54CD1D36">
      <w:pPr>
        <w:widowControl/>
        <w:adjustRightInd w:val="0"/>
        <w:snapToGrid w:val="0"/>
        <w:spacing w:line="480" w:lineRule="auto"/>
        <w:ind w:firstLine="480" w:firstLineChars="200"/>
        <w:rPr>
          <w:rFonts w:ascii="Times New Roman" w:hAnsi="Times New Roman" w:eastAsia="Songti SC"/>
          <w:sz w:val="24"/>
        </w:rPr>
      </w:pPr>
      <w:r>
        <w:rPr>
          <w:rFonts w:ascii="Times New Roman" w:hAnsi="Times New Roman" w:eastAsia="Songti SC"/>
          <w:sz w:val="24"/>
        </w:rPr>
        <w:t>As previously mentioned,</w:t>
      </w:r>
      <w:r>
        <w:rPr>
          <w:rFonts w:hint="eastAsia" w:ascii="Times New Roman" w:hAnsi="Times New Roman" w:eastAsia="Songti SC"/>
          <w:sz w:val="24"/>
          <w:lang w:eastAsia="zh-CN"/>
        </w:rPr>
        <w:t xml:space="preserve"> </w:t>
      </w:r>
      <w:r>
        <w:rPr>
          <w:rFonts w:ascii="Times New Roman" w:hAnsi="Times New Roman" w:eastAsia="Songti SC"/>
          <w:sz w:val="24"/>
        </w:rPr>
        <w:t xml:space="preserve">the AQI is defined as the maximum </w:t>
      </w:r>
      <m:oMath>
        <m:sSub>
          <m:sSubPr>
            <m:ctrlPr>
              <w:rPr>
                <w:rFonts w:ascii="DejaVu Math TeX Gyre" w:hAnsi="DejaVu Math TeX Gyre" w:eastAsia="Times New Roman" w:cs="Times New Roman"/>
                <w:i/>
              </w:rPr>
            </m:ctrlPr>
          </m:sSubPr>
          <m:e>
            <m:r>
              <m:rPr/>
              <w:rPr>
                <w:rFonts w:ascii="DejaVu Math TeX Gyre" w:hAnsi="DejaVu Math TeX Gyre" w:eastAsia="Times New Roman" w:cs="Times New Roman"/>
              </w:rPr>
              <m:t>IAQI</m:t>
            </m:r>
            <m:ctrlPr>
              <w:rPr>
                <w:rFonts w:ascii="DejaVu Math TeX Gyre" w:hAnsi="DejaVu Math TeX Gyre" w:eastAsia="Times New Roman" w:cs="Times New Roman"/>
                <w:i/>
              </w:rPr>
            </m:ctrlPr>
          </m:e>
          <m:sub>
            <m:r>
              <m:rPr/>
              <w:rPr>
                <w:rFonts w:ascii="DejaVu Math TeX Gyre" w:hAnsi="DejaVu Math TeX Gyre" w:eastAsia="Times New Roman" w:cs="Times New Roman"/>
              </w:rPr>
              <m:t>P</m:t>
            </m:r>
            <m:ctrlPr>
              <w:rPr>
                <w:rFonts w:ascii="DejaVu Math TeX Gyre" w:hAnsi="DejaVu Math TeX Gyre" w:eastAsia="Times New Roman" w:cs="Times New Roman"/>
                <w:i/>
              </w:rPr>
            </m:ctrlPr>
          </m:sub>
        </m:sSub>
      </m:oMath>
      <w:r>
        <w:rPr>
          <w:rFonts w:ascii="Times New Roman" w:hAnsi="Times New Roman" w:eastAsia="Songti SC"/>
          <w:sz w:val="24"/>
        </w:rPr>
        <w:t xml:space="preserve"> among these pollutants.</w:t>
      </w:r>
      <w:r>
        <w:rPr>
          <w:rFonts w:hint="eastAsia" w:ascii="Times New Roman" w:hAnsi="Times New Roman" w:eastAsia="Songti SC"/>
          <w:sz w:val="24"/>
        </w:rPr>
        <w:t xml:space="preserve"> After calculating the AQI, it is categori</w:t>
      </w:r>
      <w:r>
        <w:rPr>
          <w:rFonts w:hint="default" w:ascii="Times New Roman" w:hAnsi="Times New Roman" w:eastAsia="Songti SC"/>
          <w:sz w:val="24"/>
          <w:lang w:val="en-US"/>
        </w:rPr>
        <w:t>s</w:t>
      </w:r>
      <w:r>
        <w:rPr>
          <w:rFonts w:hint="eastAsia" w:ascii="Times New Roman" w:hAnsi="Times New Roman" w:eastAsia="Songti SC"/>
          <w:sz w:val="24"/>
        </w:rPr>
        <w:t>ed into six levels based on thresholds of 50, 100, 150, 200, and 300: Excellent, Good, Lightly Polluted, Moderately Polluted, Heavily Polluted, and Severely Polluted. Each level is accompanied by specific action recommendations, as shown in Table B2.</w:t>
      </w:r>
    </w:p>
    <w:p w14:paraId="4DB577D5">
      <w:pPr>
        <w:suppressAutoHyphens/>
        <w:kinsoku w:val="0"/>
        <w:overflowPunct w:val="0"/>
        <w:autoSpaceDE w:val="0"/>
        <w:autoSpaceDN w:val="0"/>
        <w:adjustRightInd w:val="0"/>
        <w:snapToGrid w:val="0"/>
        <w:spacing w:line="480" w:lineRule="auto"/>
        <w:jc w:val="center"/>
        <w:rPr>
          <w:rFonts w:ascii="Times New Roman" w:hAnsi="Times New Roman" w:eastAsia="Times New Roman Bold" w:cs="Times New Roman"/>
          <w:b/>
          <w:lang w:val="en-GB"/>
        </w:rPr>
        <w:sectPr>
          <w:pgSz w:w="11906" w:h="16838"/>
          <w:pgMar w:top="1440" w:right="1800" w:bottom="1440" w:left="1800" w:header="851" w:footer="992" w:gutter="0"/>
          <w:cols w:space="425" w:num="1"/>
          <w:docGrid w:type="lines" w:linePitch="312" w:charSpace="0"/>
        </w:sectPr>
      </w:pPr>
    </w:p>
    <w:p w14:paraId="76C73940">
      <w:pPr>
        <w:suppressAutoHyphens/>
        <w:kinsoku w:val="0"/>
        <w:overflowPunct w:val="0"/>
        <w:autoSpaceDE w:val="0"/>
        <w:autoSpaceDN w:val="0"/>
        <w:adjustRightInd w:val="0"/>
        <w:snapToGrid w:val="0"/>
        <w:spacing w:line="480" w:lineRule="auto"/>
        <w:rPr>
          <w:rFonts w:ascii="Times New Roman" w:hAnsi="Times New Roman" w:eastAsia="Times New Roman Bold" w:cs="Times New Roman"/>
          <w:b/>
          <w:sz w:val="24"/>
          <w:szCs w:val="24"/>
          <w:lang w:val="en-GB"/>
        </w:rPr>
      </w:pPr>
      <w:r>
        <w:rPr>
          <w:rFonts w:ascii="Times New Roman" w:hAnsi="Times New Roman" w:eastAsia="Times New Roman Bold" w:cs="Times New Roman"/>
          <w:b/>
          <w:sz w:val="24"/>
          <w:szCs w:val="24"/>
          <w:lang w:val="en-GB"/>
        </w:rPr>
        <w:t>Table B1 Classification of Individual Air Quality Index (IAQI)</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335"/>
        <w:gridCol w:w="1335"/>
        <w:gridCol w:w="1335"/>
        <w:gridCol w:w="1335"/>
        <w:gridCol w:w="1335"/>
        <w:gridCol w:w="1336"/>
        <w:gridCol w:w="1336"/>
        <w:gridCol w:w="1336"/>
        <w:gridCol w:w="1336"/>
        <w:gridCol w:w="1336"/>
      </w:tblGrid>
      <w:tr w14:paraId="42CC0F87">
        <w:tc>
          <w:tcPr>
            <w:tcW w:w="289" w:type="pct"/>
          </w:tcPr>
          <w:p w14:paraId="53EC4B07">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IAQI</w:t>
            </w:r>
          </w:p>
        </w:tc>
        <w:tc>
          <w:tcPr>
            <w:tcW w:w="471" w:type="pct"/>
          </w:tcPr>
          <w:p w14:paraId="4E205C07">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SO</w:t>
            </w:r>
            <w:r>
              <w:rPr>
                <w:rFonts w:ascii="Times New Roman" w:hAnsi="Times New Roman" w:eastAsia="Times New Roman" w:cs="Times New Roman"/>
                <w:sz w:val="20"/>
                <w:szCs w:val="21"/>
                <w:vertAlign w:val="subscript"/>
                <w:lang w:val="en-GB"/>
              </w:rPr>
              <w:t>2</w:t>
            </w:r>
            <w:r>
              <w:rPr>
                <w:rFonts w:ascii="Times New Roman" w:hAnsi="Times New Roman" w:eastAsia="Times New Roman" w:cs="Times New Roman"/>
                <w:sz w:val="20"/>
                <w:szCs w:val="21"/>
                <w:lang w:val="en-GB"/>
              </w:rPr>
              <w:t xml:space="preserve"> 24-hour average / (μg/m</w:t>
            </w:r>
            <w:r>
              <w:rPr>
                <w:rFonts w:ascii="Times New Roman" w:hAnsi="Times New Roman" w:eastAsia="Times New Roman" w:cs="Times New Roman"/>
                <w:sz w:val="20"/>
                <w:szCs w:val="21"/>
                <w:vertAlign w:val="superscript"/>
                <w:lang w:val="en-GB"/>
              </w:rPr>
              <w:t>3</w:t>
            </w:r>
            <w:r>
              <w:rPr>
                <w:rFonts w:ascii="Times New Roman" w:hAnsi="Times New Roman" w:eastAsia="Times New Roman" w:cs="Times New Roman"/>
                <w:sz w:val="20"/>
                <w:szCs w:val="21"/>
                <w:lang w:val="en-GB"/>
              </w:rPr>
              <w:t>)</w:t>
            </w:r>
          </w:p>
        </w:tc>
        <w:tc>
          <w:tcPr>
            <w:tcW w:w="471" w:type="pct"/>
          </w:tcPr>
          <w:p w14:paraId="61916963">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SO</w:t>
            </w:r>
            <w:r>
              <w:rPr>
                <w:rFonts w:ascii="Times New Roman" w:hAnsi="Times New Roman" w:eastAsia="Times New Roman" w:cs="Times New Roman"/>
                <w:sz w:val="20"/>
                <w:szCs w:val="21"/>
                <w:vertAlign w:val="subscript"/>
                <w:lang w:val="en-GB"/>
              </w:rPr>
              <w:t>2</w:t>
            </w:r>
            <w:r>
              <w:rPr>
                <w:rFonts w:ascii="Times New Roman" w:hAnsi="Times New Roman" w:eastAsia="Times New Roman" w:cs="Times New Roman"/>
                <w:sz w:val="20"/>
                <w:szCs w:val="21"/>
                <w:lang w:val="en-GB"/>
              </w:rPr>
              <w:t xml:space="preserve"> one-hour average / (μg/m</w:t>
            </w:r>
            <w:r>
              <w:rPr>
                <w:rFonts w:ascii="Times New Roman" w:hAnsi="Times New Roman" w:eastAsia="Times New Roman" w:cs="Times New Roman"/>
                <w:sz w:val="20"/>
                <w:szCs w:val="21"/>
                <w:vertAlign w:val="superscript"/>
                <w:lang w:val="en-GB"/>
              </w:rPr>
              <w:t>3</w:t>
            </w:r>
            <w:r>
              <w:rPr>
                <w:rFonts w:ascii="Times New Roman" w:hAnsi="Times New Roman" w:eastAsia="Times New Roman" w:cs="Times New Roman"/>
                <w:sz w:val="20"/>
                <w:szCs w:val="21"/>
                <w:lang w:val="en-GB"/>
              </w:rPr>
              <w:t>)</w:t>
            </w:r>
            <w:r>
              <w:rPr>
                <w:rFonts w:ascii="Times New Roman" w:hAnsi="Times New Roman" w:eastAsia="Times New Roman" w:cs="Times New Roman"/>
                <w:sz w:val="20"/>
                <w:szCs w:val="21"/>
                <w:vertAlign w:val="superscript"/>
                <w:lang w:val="en-GB"/>
              </w:rPr>
              <w:t>a</w:t>
            </w:r>
          </w:p>
        </w:tc>
        <w:tc>
          <w:tcPr>
            <w:tcW w:w="471" w:type="pct"/>
          </w:tcPr>
          <w:p w14:paraId="61BE7CA3">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NO</w:t>
            </w:r>
            <w:r>
              <w:rPr>
                <w:rFonts w:ascii="Times New Roman" w:hAnsi="Times New Roman" w:eastAsia="Times New Roman" w:cs="Times New Roman"/>
                <w:sz w:val="20"/>
                <w:szCs w:val="21"/>
                <w:vertAlign w:val="subscript"/>
                <w:lang w:val="en-GB"/>
              </w:rPr>
              <w:t>2</w:t>
            </w:r>
            <w:r>
              <w:rPr>
                <w:rFonts w:ascii="Times New Roman" w:hAnsi="Times New Roman" w:eastAsia="Times New Roman" w:cs="Times New Roman"/>
                <w:sz w:val="20"/>
                <w:szCs w:val="21"/>
                <w:lang w:val="en-GB"/>
              </w:rPr>
              <w:t xml:space="preserve"> 24-hour average / (μg/m</w:t>
            </w:r>
            <w:r>
              <w:rPr>
                <w:rFonts w:ascii="Times New Roman" w:hAnsi="Times New Roman" w:eastAsia="Times New Roman" w:cs="Times New Roman"/>
                <w:sz w:val="20"/>
                <w:szCs w:val="21"/>
                <w:vertAlign w:val="superscript"/>
                <w:lang w:val="en-GB"/>
              </w:rPr>
              <w:t>3</w:t>
            </w:r>
            <w:r>
              <w:rPr>
                <w:rFonts w:ascii="Times New Roman" w:hAnsi="Times New Roman" w:eastAsia="Times New Roman" w:cs="Times New Roman"/>
                <w:sz w:val="20"/>
                <w:szCs w:val="21"/>
                <w:lang w:val="en-GB"/>
              </w:rPr>
              <w:t>)</w:t>
            </w:r>
          </w:p>
        </w:tc>
        <w:tc>
          <w:tcPr>
            <w:tcW w:w="471" w:type="pct"/>
          </w:tcPr>
          <w:p w14:paraId="6797AB37">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NO</w:t>
            </w:r>
            <w:r>
              <w:rPr>
                <w:rFonts w:ascii="Times New Roman" w:hAnsi="Times New Roman" w:eastAsia="Times New Roman" w:cs="Times New Roman"/>
                <w:sz w:val="20"/>
                <w:szCs w:val="21"/>
                <w:vertAlign w:val="subscript"/>
                <w:lang w:val="en-GB"/>
              </w:rPr>
              <w:t>2</w:t>
            </w:r>
            <w:r>
              <w:rPr>
                <w:rFonts w:ascii="Times New Roman" w:hAnsi="Times New Roman" w:eastAsia="Times New Roman" w:cs="Times New Roman"/>
                <w:sz w:val="20"/>
                <w:szCs w:val="21"/>
                <w:lang w:val="en-GB"/>
              </w:rPr>
              <w:t xml:space="preserve"> one-hour average / (μg/m</w:t>
            </w:r>
            <w:r>
              <w:rPr>
                <w:rFonts w:ascii="Times New Roman" w:hAnsi="Times New Roman" w:eastAsia="Times New Roman" w:cs="Times New Roman"/>
                <w:sz w:val="20"/>
                <w:szCs w:val="21"/>
                <w:vertAlign w:val="superscript"/>
                <w:lang w:val="en-GB"/>
              </w:rPr>
              <w:t>3</w:t>
            </w:r>
            <w:r>
              <w:rPr>
                <w:rFonts w:ascii="Times New Roman" w:hAnsi="Times New Roman" w:eastAsia="Times New Roman" w:cs="Times New Roman"/>
                <w:sz w:val="20"/>
                <w:szCs w:val="21"/>
                <w:lang w:val="en-GB"/>
              </w:rPr>
              <w:t>)</w:t>
            </w:r>
            <w:r>
              <w:rPr>
                <w:rFonts w:hint="eastAsia" w:ascii="Times New Roman" w:hAnsi="Times New Roman" w:eastAsia="宋体" w:cs="Times New Roman"/>
                <w:sz w:val="20"/>
                <w:szCs w:val="21"/>
                <w:vertAlign w:val="superscript"/>
                <w:lang w:eastAsia="zh-CN"/>
              </w:rPr>
              <w:t>a</w:t>
            </w:r>
          </w:p>
        </w:tc>
        <w:tc>
          <w:tcPr>
            <w:tcW w:w="471" w:type="pct"/>
          </w:tcPr>
          <w:p w14:paraId="61BD7316">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PM</w:t>
            </w:r>
            <w:r>
              <w:rPr>
                <w:rFonts w:ascii="Times New Roman" w:hAnsi="Times New Roman" w:eastAsia="Times New Roman" w:cs="Times New Roman"/>
                <w:sz w:val="20"/>
                <w:szCs w:val="21"/>
                <w:vertAlign w:val="subscript"/>
                <w:lang w:val="en-GB"/>
              </w:rPr>
              <w:t>10</w:t>
            </w:r>
            <w:r>
              <w:rPr>
                <w:rFonts w:ascii="Times New Roman" w:hAnsi="Times New Roman" w:eastAsia="Times New Roman" w:cs="Times New Roman"/>
                <w:sz w:val="20"/>
                <w:szCs w:val="21"/>
                <w:lang w:val="en-GB"/>
              </w:rPr>
              <w:t>24-hour average / (μg/m</w:t>
            </w:r>
            <w:r>
              <w:rPr>
                <w:rFonts w:ascii="Times New Roman" w:hAnsi="Times New Roman" w:eastAsia="Times New Roman" w:cs="Times New Roman"/>
                <w:sz w:val="20"/>
                <w:szCs w:val="21"/>
                <w:vertAlign w:val="superscript"/>
                <w:lang w:val="en-GB"/>
              </w:rPr>
              <w:t>3</w:t>
            </w:r>
            <w:r>
              <w:rPr>
                <w:rFonts w:ascii="Times New Roman" w:hAnsi="Times New Roman" w:eastAsia="Times New Roman" w:cs="Times New Roman"/>
                <w:sz w:val="20"/>
                <w:szCs w:val="21"/>
                <w:lang w:val="en-GB"/>
              </w:rPr>
              <w:t>)</w:t>
            </w:r>
          </w:p>
        </w:tc>
        <w:tc>
          <w:tcPr>
            <w:tcW w:w="471" w:type="pct"/>
          </w:tcPr>
          <w:p w14:paraId="41871283">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CO 24-hour average / (mg/m</w:t>
            </w:r>
            <w:r>
              <w:rPr>
                <w:rFonts w:ascii="Times New Roman" w:hAnsi="Times New Roman" w:eastAsia="Times New Roman" w:cs="Times New Roman"/>
                <w:sz w:val="20"/>
                <w:szCs w:val="21"/>
                <w:vertAlign w:val="superscript"/>
                <w:lang w:val="en-GB"/>
              </w:rPr>
              <w:t>3</w:t>
            </w:r>
            <w:r>
              <w:rPr>
                <w:rFonts w:ascii="Times New Roman" w:hAnsi="Times New Roman" w:eastAsia="Times New Roman" w:cs="Times New Roman"/>
                <w:sz w:val="20"/>
                <w:szCs w:val="21"/>
                <w:lang w:val="en-GB"/>
              </w:rPr>
              <w:t>)</w:t>
            </w:r>
          </w:p>
        </w:tc>
        <w:tc>
          <w:tcPr>
            <w:tcW w:w="471" w:type="pct"/>
          </w:tcPr>
          <w:p w14:paraId="6160A02F">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rPr>
            </w:pPr>
            <w:r>
              <w:rPr>
                <w:rFonts w:ascii="Times New Roman" w:hAnsi="Times New Roman" w:eastAsia="Times New Roman" w:cs="Times New Roman"/>
                <w:sz w:val="20"/>
                <w:szCs w:val="21"/>
                <w:lang w:val="en-GB"/>
              </w:rPr>
              <w:t>CO one-hour average / (mg/m</w:t>
            </w:r>
            <w:r>
              <w:rPr>
                <w:rFonts w:ascii="Times New Roman" w:hAnsi="Times New Roman" w:eastAsia="Times New Roman" w:cs="Times New Roman"/>
                <w:sz w:val="20"/>
                <w:szCs w:val="21"/>
                <w:vertAlign w:val="superscript"/>
                <w:lang w:val="en-GB"/>
              </w:rPr>
              <w:t>3</w:t>
            </w:r>
            <w:r>
              <w:rPr>
                <w:rFonts w:ascii="Times New Roman" w:hAnsi="Times New Roman" w:eastAsia="Times New Roman" w:cs="Times New Roman"/>
                <w:sz w:val="20"/>
                <w:szCs w:val="21"/>
                <w:lang w:val="en-GB"/>
              </w:rPr>
              <w:t>)</w:t>
            </w:r>
            <w:r>
              <w:rPr>
                <w:rFonts w:ascii="Times New Roman" w:hAnsi="Times New Roman" w:eastAsia="Times New Roman" w:cs="Times New Roman"/>
                <w:sz w:val="20"/>
                <w:szCs w:val="21"/>
                <w:vertAlign w:val="superscript"/>
              </w:rPr>
              <w:t>a</w:t>
            </w:r>
          </w:p>
        </w:tc>
        <w:tc>
          <w:tcPr>
            <w:tcW w:w="471" w:type="pct"/>
          </w:tcPr>
          <w:p w14:paraId="7088BADA">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O</w:t>
            </w:r>
            <w:r>
              <w:rPr>
                <w:rFonts w:ascii="Times New Roman" w:hAnsi="Times New Roman" w:eastAsia="Times New Roman" w:cs="Times New Roman"/>
                <w:sz w:val="20"/>
                <w:szCs w:val="21"/>
                <w:vertAlign w:val="subscript"/>
                <w:lang w:val="en-GB"/>
              </w:rPr>
              <w:t>3</w:t>
            </w:r>
            <w:r>
              <w:rPr>
                <w:rFonts w:hint="default" w:ascii="Times New Roman" w:hAnsi="Times New Roman" w:eastAsia="Times New Roman" w:cs="Times New Roman"/>
                <w:sz w:val="20"/>
                <w:szCs w:val="21"/>
                <w:vertAlign w:val="subscript"/>
                <w:lang w:val="en-US"/>
              </w:rPr>
              <w:t xml:space="preserve"> </w:t>
            </w:r>
            <w:r>
              <w:rPr>
                <w:rFonts w:ascii="Times New Roman" w:hAnsi="Times New Roman" w:eastAsia="Times New Roman" w:cs="Times New Roman"/>
                <w:sz w:val="20"/>
                <w:szCs w:val="21"/>
                <w:lang w:val="en-GB"/>
              </w:rPr>
              <w:t>one-hour average / (μg/m</w:t>
            </w:r>
            <w:r>
              <w:rPr>
                <w:rFonts w:ascii="Times New Roman" w:hAnsi="Times New Roman" w:eastAsia="Times New Roman" w:cs="Times New Roman"/>
                <w:sz w:val="20"/>
                <w:szCs w:val="21"/>
                <w:vertAlign w:val="superscript"/>
                <w:lang w:val="en-GB"/>
              </w:rPr>
              <w:t>3</w:t>
            </w:r>
            <w:r>
              <w:rPr>
                <w:rFonts w:ascii="Times New Roman" w:hAnsi="Times New Roman" w:eastAsia="Times New Roman" w:cs="Times New Roman"/>
                <w:sz w:val="20"/>
                <w:szCs w:val="21"/>
                <w:lang w:val="en-GB"/>
              </w:rPr>
              <w:t>)</w:t>
            </w:r>
          </w:p>
        </w:tc>
        <w:tc>
          <w:tcPr>
            <w:tcW w:w="471" w:type="pct"/>
          </w:tcPr>
          <w:p w14:paraId="55599CDF">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O</w:t>
            </w:r>
            <w:r>
              <w:rPr>
                <w:rFonts w:ascii="Times New Roman" w:hAnsi="Times New Roman" w:eastAsia="Times New Roman" w:cs="Times New Roman"/>
                <w:sz w:val="20"/>
                <w:szCs w:val="21"/>
                <w:vertAlign w:val="subscript"/>
                <w:lang w:val="en-GB"/>
              </w:rPr>
              <w:t>3</w:t>
            </w:r>
            <w:r>
              <w:rPr>
                <w:rFonts w:hint="default" w:ascii="Times New Roman" w:hAnsi="Times New Roman" w:eastAsia="Times New Roman" w:cs="Times New Roman"/>
                <w:sz w:val="20"/>
                <w:szCs w:val="21"/>
                <w:vertAlign w:val="subscript"/>
                <w:lang w:val="en-US"/>
              </w:rPr>
              <w:t xml:space="preserve"> </w:t>
            </w:r>
            <w:r>
              <w:rPr>
                <w:rFonts w:ascii="Times New Roman" w:hAnsi="Times New Roman" w:eastAsia="Times New Roman" w:cs="Times New Roman"/>
                <w:sz w:val="20"/>
                <w:szCs w:val="21"/>
                <w:lang w:val="en-GB"/>
              </w:rPr>
              <w:t>eight-hour average / (μg/m</w:t>
            </w:r>
            <w:r>
              <w:rPr>
                <w:rFonts w:ascii="Times New Roman" w:hAnsi="Times New Roman" w:eastAsia="Times New Roman" w:cs="Times New Roman"/>
                <w:sz w:val="20"/>
                <w:szCs w:val="21"/>
                <w:vertAlign w:val="superscript"/>
                <w:lang w:val="en-GB"/>
              </w:rPr>
              <w:t>3</w:t>
            </w:r>
            <w:r>
              <w:rPr>
                <w:rFonts w:ascii="Times New Roman" w:hAnsi="Times New Roman" w:eastAsia="Times New Roman" w:cs="Times New Roman"/>
                <w:sz w:val="20"/>
                <w:szCs w:val="21"/>
                <w:lang w:val="en-GB"/>
              </w:rPr>
              <w:t>)</w:t>
            </w:r>
          </w:p>
        </w:tc>
        <w:tc>
          <w:tcPr>
            <w:tcW w:w="471" w:type="pct"/>
          </w:tcPr>
          <w:p w14:paraId="6A4DB956">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PM</w:t>
            </w:r>
            <w:r>
              <w:rPr>
                <w:rFonts w:ascii="Times New Roman" w:hAnsi="Times New Roman" w:eastAsia="Times New Roman" w:cs="Times New Roman"/>
                <w:sz w:val="20"/>
                <w:szCs w:val="21"/>
                <w:vertAlign w:val="subscript"/>
                <w:lang w:val="en-GB"/>
              </w:rPr>
              <w:t>2.5</w:t>
            </w:r>
            <w:r>
              <w:rPr>
                <w:rFonts w:ascii="Times New Roman" w:hAnsi="Times New Roman" w:eastAsia="Times New Roman" w:cs="Times New Roman"/>
                <w:sz w:val="20"/>
                <w:szCs w:val="21"/>
                <w:lang w:val="en-GB"/>
              </w:rPr>
              <w:t xml:space="preserve"> 24-hour average / (μg/m</w:t>
            </w:r>
            <w:r>
              <w:rPr>
                <w:rFonts w:ascii="Times New Roman" w:hAnsi="Times New Roman" w:eastAsia="Times New Roman" w:cs="Times New Roman"/>
                <w:sz w:val="20"/>
                <w:szCs w:val="21"/>
                <w:vertAlign w:val="superscript"/>
                <w:lang w:val="en-GB"/>
              </w:rPr>
              <w:t>3</w:t>
            </w:r>
            <w:r>
              <w:rPr>
                <w:rFonts w:ascii="Times New Roman" w:hAnsi="Times New Roman" w:eastAsia="Times New Roman" w:cs="Times New Roman"/>
                <w:sz w:val="20"/>
                <w:szCs w:val="21"/>
                <w:lang w:val="en-GB"/>
              </w:rPr>
              <w:t>)</w:t>
            </w:r>
          </w:p>
        </w:tc>
      </w:tr>
      <w:tr w14:paraId="782C96BF">
        <w:tc>
          <w:tcPr>
            <w:tcW w:w="289" w:type="pct"/>
          </w:tcPr>
          <w:p w14:paraId="297C8E7A">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0</w:t>
            </w:r>
          </w:p>
        </w:tc>
        <w:tc>
          <w:tcPr>
            <w:tcW w:w="471" w:type="pct"/>
          </w:tcPr>
          <w:p w14:paraId="2A72AF65">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0</w:t>
            </w:r>
          </w:p>
        </w:tc>
        <w:tc>
          <w:tcPr>
            <w:tcW w:w="471" w:type="pct"/>
          </w:tcPr>
          <w:p w14:paraId="0CBF7DB3">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0</w:t>
            </w:r>
          </w:p>
        </w:tc>
        <w:tc>
          <w:tcPr>
            <w:tcW w:w="471" w:type="pct"/>
          </w:tcPr>
          <w:p w14:paraId="294604DC">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0</w:t>
            </w:r>
          </w:p>
        </w:tc>
        <w:tc>
          <w:tcPr>
            <w:tcW w:w="471" w:type="pct"/>
          </w:tcPr>
          <w:p w14:paraId="7E3534AC">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0</w:t>
            </w:r>
          </w:p>
        </w:tc>
        <w:tc>
          <w:tcPr>
            <w:tcW w:w="471" w:type="pct"/>
          </w:tcPr>
          <w:p w14:paraId="5A32B8FF">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0</w:t>
            </w:r>
          </w:p>
        </w:tc>
        <w:tc>
          <w:tcPr>
            <w:tcW w:w="471" w:type="pct"/>
          </w:tcPr>
          <w:p w14:paraId="66EFFB0E">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0</w:t>
            </w:r>
          </w:p>
        </w:tc>
        <w:tc>
          <w:tcPr>
            <w:tcW w:w="471" w:type="pct"/>
          </w:tcPr>
          <w:p w14:paraId="1F7F41EC">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0</w:t>
            </w:r>
          </w:p>
        </w:tc>
        <w:tc>
          <w:tcPr>
            <w:tcW w:w="471" w:type="pct"/>
          </w:tcPr>
          <w:p w14:paraId="7010BB8B">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0</w:t>
            </w:r>
          </w:p>
        </w:tc>
        <w:tc>
          <w:tcPr>
            <w:tcW w:w="471" w:type="pct"/>
          </w:tcPr>
          <w:p w14:paraId="4CF7C845">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0</w:t>
            </w:r>
          </w:p>
        </w:tc>
        <w:tc>
          <w:tcPr>
            <w:tcW w:w="471" w:type="pct"/>
          </w:tcPr>
          <w:p w14:paraId="58CAD3CF">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0</w:t>
            </w:r>
          </w:p>
        </w:tc>
      </w:tr>
      <w:tr w14:paraId="0ED9BB55">
        <w:tc>
          <w:tcPr>
            <w:tcW w:w="289" w:type="pct"/>
          </w:tcPr>
          <w:p w14:paraId="61A00277">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50</w:t>
            </w:r>
          </w:p>
        </w:tc>
        <w:tc>
          <w:tcPr>
            <w:tcW w:w="471" w:type="pct"/>
          </w:tcPr>
          <w:p w14:paraId="528B6A6B">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50</w:t>
            </w:r>
          </w:p>
        </w:tc>
        <w:tc>
          <w:tcPr>
            <w:tcW w:w="471" w:type="pct"/>
          </w:tcPr>
          <w:p w14:paraId="497E66E2">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150</w:t>
            </w:r>
          </w:p>
        </w:tc>
        <w:tc>
          <w:tcPr>
            <w:tcW w:w="471" w:type="pct"/>
          </w:tcPr>
          <w:p w14:paraId="113DC80B">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40</w:t>
            </w:r>
          </w:p>
        </w:tc>
        <w:tc>
          <w:tcPr>
            <w:tcW w:w="471" w:type="pct"/>
          </w:tcPr>
          <w:p w14:paraId="0A2FFC9B">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100</w:t>
            </w:r>
          </w:p>
        </w:tc>
        <w:tc>
          <w:tcPr>
            <w:tcW w:w="471" w:type="pct"/>
          </w:tcPr>
          <w:p w14:paraId="6DFA7908">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50</w:t>
            </w:r>
          </w:p>
        </w:tc>
        <w:tc>
          <w:tcPr>
            <w:tcW w:w="471" w:type="pct"/>
          </w:tcPr>
          <w:p w14:paraId="3D0226FC">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2</w:t>
            </w:r>
          </w:p>
        </w:tc>
        <w:tc>
          <w:tcPr>
            <w:tcW w:w="471" w:type="pct"/>
          </w:tcPr>
          <w:p w14:paraId="169E6DC9">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5</w:t>
            </w:r>
          </w:p>
        </w:tc>
        <w:tc>
          <w:tcPr>
            <w:tcW w:w="471" w:type="pct"/>
          </w:tcPr>
          <w:p w14:paraId="56E6827F">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160</w:t>
            </w:r>
          </w:p>
        </w:tc>
        <w:tc>
          <w:tcPr>
            <w:tcW w:w="471" w:type="pct"/>
          </w:tcPr>
          <w:p w14:paraId="6429311B">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100</w:t>
            </w:r>
          </w:p>
        </w:tc>
        <w:tc>
          <w:tcPr>
            <w:tcW w:w="471" w:type="pct"/>
          </w:tcPr>
          <w:p w14:paraId="1B4DB306">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35</w:t>
            </w:r>
          </w:p>
        </w:tc>
      </w:tr>
      <w:tr w14:paraId="5F25E737">
        <w:tc>
          <w:tcPr>
            <w:tcW w:w="289" w:type="pct"/>
          </w:tcPr>
          <w:p w14:paraId="51F470AA">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100</w:t>
            </w:r>
          </w:p>
        </w:tc>
        <w:tc>
          <w:tcPr>
            <w:tcW w:w="471" w:type="pct"/>
          </w:tcPr>
          <w:p w14:paraId="2992F9DC">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150</w:t>
            </w:r>
          </w:p>
        </w:tc>
        <w:tc>
          <w:tcPr>
            <w:tcW w:w="471" w:type="pct"/>
          </w:tcPr>
          <w:p w14:paraId="06882712">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500</w:t>
            </w:r>
          </w:p>
        </w:tc>
        <w:tc>
          <w:tcPr>
            <w:tcW w:w="471" w:type="pct"/>
          </w:tcPr>
          <w:p w14:paraId="304F8F38">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80</w:t>
            </w:r>
          </w:p>
        </w:tc>
        <w:tc>
          <w:tcPr>
            <w:tcW w:w="471" w:type="pct"/>
          </w:tcPr>
          <w:p w14:paraId="77361B3A">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200</w:t>
            </w:r>
          </w:p>
        </w:tc>
        <w:tc>
          <w:tcPr>
            <w:tcW w:w="471" w:type="pct"/>
          </w:tcPr>
          <w:p w14:paraId="71BF6FA3">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150</w:t>
            </w:r>
          </w:p>
        </w:tc>
        <w:tc>
          <w:tcPr>
            <w:tcW w:w="471" w:type="pct"/>
          </w:tcPr>
          <w:p w14:paraId="582AABE3">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4</w:t>
            </w:r>
          </w:p>
        </w:tc>
        <w:tc>
          <w:tcPr>
            <w:tcW w:w="471" w:type="pct"/>
          </w:tcPr>
          <w:p w14:paraId="7810FE0D">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10</w:t>
            </w:r>
          </w:p>
        </w:tc>
        <w:tc>
          <w:tcPr>
            <w:tcW w:w="471" w:type="pct"/>
          </w:tcPr>
          <w:p w14:paraId="3EEF29B7">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200</w:t>
            </w:r>
          </w:p>
        </w:tc>
        <w:tc>
          <w:tcPr>
            <w:tcW w:w="471" w:type="pct"/>
          </w:tcPr>
          <w:p w14:paraId="78202805">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160</w:t>
            </w:r>
          </w:p>
        </w:tc>
        <w:tc>
          <w:tcPr>
            <w:tcW w:w="471" w:type="pct"/>
          </w:tcPr>
          <w:p w14:paraId="04AC4028">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75</w:t>
            </w:r>
          </w:p>
        </w:tc>
      </w:tr>
      <w:tr w14:paraId="2BDCC56D">
        <w:tc>
          <w:tcPr>
            <w:tcW w:w="289" w:type="pct"/>
          </w:tcPr>
          <w:p w14:paraId="4C241B05">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150</w:t>
            </w:r>
          </w:p>
        </w:tc>
        <w:tc>
          <w:tcPr>
            <w:tcW w:w="471" w:type="pct"/>
          </w:tcPr>
          <w:p w14:paraId="202D7A31">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475</w:t>
            </w:r>
          </w:p>
        </w:tc>
        <w:tc>
          <w:tcPr>
            <w:tcW w:w="471" w:type="pct"/>
          </w:tcPr>
          <w:p w14:paraId="0BB56872">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650</w:t>
            </w:r>
          </w:p>
        </w:tc>
        <w:tc>
          <w:tcPr>
            <w:tcW w:w="471" w:type="pct"/>
          </w:tcPr>
          <w:p w14:paraId="49748B32">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180</w:t>
            </w:r>
          </w:p>
        </w:tc>
        <w:tc>
          <w:tcPr>
            <w:tcW w:w="471" w:type="pct"/>
          </w:tcPr>
          <w:p w14:paraId="170CD655">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700</w:t>
            </w:r>
          </w:p>
        </w:tc>
        <w:tc>
          <w:tcPr>
            <w:tcW w:w="471" w:type="pct"/>
          </w:tcPr>
          <w:p w14:paraId="62873433">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250</w:t>
            </w:r>
          </w:p>
        </w:tc>
        <w:tc>
          <w:tcPr>
            <w:tcW w:w="471" w:type="pct"/>
          </w:tcPr>
          <w:p w14:paraId="77EA60A4">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14</w:t>
            </w:r>
          </w:p>
        </w:tc>
        <w:tc>
          <w:tcPr>
            <w:tcW w:w="471" w:type="pct"/>
          </w:tcPr>
          <w:p w14:paraId="758A64CB">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35</w:t>
            </w:r>
          </w:p>
        </w:tc>
        <w:tc>
          <w:tcPr>
            <w:tcW w:w="471" w:type="pct"/>
          </w:tcPr>
          <w:p w14:paraId="5949AB44">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300</w:t>
            </w:r>
          </w:p>
        </w:tc>
        <w:tc>
          <w:tcPr>
            <w:tcW w:w="471" w:type="pct"/>
          </w:tcPr>
          <w:p w14:paraId="7A3C42B7">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215</w:t>
            </w:r>
          </w:p>
        </w:tc>
        <w:tc>
          <w:tcPr>
            <w:tcW w:w="471" w:type="pct"/>
          </w:tcPr>
          <w:p w14:paraId="74D85FB6">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115</w:t>
            </w:r>
          </w:p>
        </w:tc>
      </w:tr>
      <w:tr w14:paraId="3183F917">
        <w:tc>
          <w:tcPr>
            <w:tcW w:w="289" w:type="pct"/>
          </w:tcPr>
          <w:p w14:paraId="4F8EA743">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200</w:t>
            </w:r>
          </w:p>
        </w:tc>
        <w:tc>
          <w:tcPr>
            <w:tcW w:w="471" w:type="pct"/>
          </w:tcPr>
          <w:p w14:paraId="2EB385D0">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800</w:t>
            </w:r>
          </w:p>
        </w:tc>
        <w:tc>
          <w:tcPr>
            <w:tcW w:w="471" w:type="pct"/>
          </w:tcPr>
          <w:p w14:paraId="3821598D">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800</w:t>
            </w:r>
          </w:p>
        </w:tc>
        <w:tc>
          <w:tcPr>
            <w:tcW w:w="471" w:type="pct"/>
          </w:tcPr>
          <w:p w14:paraId="727539A8">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280</w:t>
            </w:r>
          </w:p>
        </w:tc>
        <w:tc>
          <w:tcPr>
            <w:tcW w:w="471" w:type="pct"/>
          </w:tcPr>
          <w:p w14:paraId="1631CE28">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1200</w:t>
            </w:r>
          </w:p>
        </w:tc>
        <w:tc>
          <w:tcPr>
            <w:tcW w:w="471" w:type="pct"/>
          </w:tcPr>
          <w:p w14:paraId="0FBE8C35">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350</w:t>
            </w:r>
          </w:p>
        </w:tc>
        <w:tc>
          <w:tcPr>
            <w:tcW w:w="471" w:type="pct"/>
          </w:tcPr>
          <w:p w14:paraId="1C157F29">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24</w:t>
            </w:r>
          </w:p>
        </w:tc>
        <w:tc>
          <w:tcPr>
            <w:tcW w:w="471" w:type="pct"/>
          </w:tcPr>
          <w:p w14:paraId="7FBBFA51">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60</w:t>
            </w:r>
          </w:p>
        </w:tc>
        <w:tc>
          <w:tcPr>
            <w:tcW w:w="471" w:type="pct"/>
          </w:tcPr>
          <w:p w14:paraId="697EFEFE">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400</w:t>
            </w:r>
          </w:p>
        </w:tc>
        <w:tc>
          <w:tcPr>
            <w:tcW w:w="471" w:type="pct"/>
          </w:tcPr>
          <w:p w14:paraId="480942FF">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265</w:t>
            </w:r>
          </w:p>
        </w:tc>
        <w:tc>
          <w:tcPr>
            <w:tcW w:w="471" w:type="pct"/>
          </w:tcPr>
          <w:p w14:paraId="265BF99E">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150</w:t>
            </w:r>
          </w:p>
        </w:tc>
      </w:tr>
      <w:tr w14:paraId="7A4F9C2D">
        <w:tc>
          <w:tcPr>
            <w:tcW w:w="289" w:type="pct"/>
          </w:tcPr>
          <w:p w14:paraId="2EF7C744">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300</w:t>
            </w:r>
          </w:p>
        </w:tc>
        <w:tc>
          <w:tcPr>
            <w:tcW w:w="471" w:type="pct"/>
          </w:tcPr>
          <w:p w14:paraId="72A4425C">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1600</w:t>
            </w:r>
          </w:p>
        </w:tc>
        <w:tc>
          <w:tcPr>
            <w:tcW w:w="471" w:type="pct"/>
          </w:tcPr>
          <w:p w14:paraId="2292A847">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vertAlign w:val="superscript"/>
              </w:rPr>
              <w:t>b</w:t>
            </w:r>
          </w:p>
        </w:tc>
        <w:tc>
          <w:tcPr>
            <w:tcW w:w="471" w:type="pct"/>
          </w:tcPr>
          <w:p w14:paraId="6F4E7226">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565</w:t>
            </w:r>
          </w:p>
        </w:tc>
        <w:tc>
          <w:tcPr>
            <w:tcW w:w="471" w:type="pct"/>
          </w:tcPr>
          <w:p w14:paraId="2F7E0B26">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2340</w:t>
            </w:r>
          </w:p>
        </w:tc>
        <w:tc>
          <w:tcPr>
            <w:tcW w:w="471" w:type="pct"/>
          </w:tcPr>
          <w:p w14:paraId="117E87A6">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420</w:t>
            </w:r>
          </w:p>
        </w:tc>
        <w:tc>
          <w:tcPr>
            <w:tcW w:w="471" w:type="pct"/>
          </w:tcPr>
          <w:p w14:paraId="3E26B2C9">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36</w:t>
            </w:r>
          </w:p>
        </w:tc>
        <w:tc>
          <w:tcPr>
            <w:tcW w:w="471" w:type="pct"/>
          </w:tcPr>
          <w:p w14:paraId="6DA5ADCC">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90</w:t>
            </w:r>
          </w:p>
        </w:tc>
        <w:tc>
          <w:tcPr>
            <w:tcW w:w="471" w:type="pct"/>
          </w:tcPr>
          <w:p w14:paraId="080950B7">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800</w:t>
            </w:r>
          </w:p>
        </w:tc>
        <w:tc>
          <w:tcPr>
            <w:tcW w:w="471" w:type="pct"/>
          </w:tcPr>
          <w:p w14:paraId="686A3BA5">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800</w:t>
            </w:r>
          </w:p>
        </w:tc>
        <w:tc>
          <w:tcPr>
            <w:tcW w:w="471" w:type="pct"/>
          </w:tcPr>
          <w:p w14:paraId="4E7F0780">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250</w:t>
            </w:r>
          </w:p>
        </w:tc>
      </w:tr>
      <w:tr w14:paraId="1D9A1C66">
        <w:tc>
          <w:tcPr>
            <w:tcW w:w="289" w:type="pct"/>
          </w:tcPr>
          <w:p w14:paraId="5B277304">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400</w:t>
            </w:r>
          </w:p>
        </w:tc>
        <w:tc>
          <w:tcPr>
            <w:tcW w:w="471" w:type="pct"/>
          </w:tcPr>
          <w:p w14:paraId="13744649">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2100</w:t>
            </w:r>
          </w:p>
        </w:tc>
        <w:tc>
          <w:tcPr>
            <w:tcW w:w="471" w:type="pct"/>
          </w:tcPr>
          <w:p w14:paraId="6EB90C39">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vertAlign w:val="superscript"/>
              </w:rPr>
              <w:t>b</w:t>
            </w:r>
          </w:p>
        </w:tc>
        <w:tc>
          <w:tcPr>
            <w:tcW w:w="471" w:type="pct"/>
          </w:tcPr>
          <w:p w14:paraId="4C16DF44">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750</w:t>
            </w:r>
          </w:p>
        </w:tc>
        <w:tc>
          <w:tcPr>
            <w:tcW w:w="471" w:type="pct"/>
          </w:tcPr>
          <w:p w14:paraId="24801796">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3090</w:t>
            </w:r>
          </w:p>
        </w:tc>
        <w:tc>
          <w:tcPr>
            <w:tcW w:w="471" w:type="pct"/>
          </w:tcPr>
          <w:p w14:paraId="61158DD6">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500</w:t>
            </w:r>
          </w:p>
        </w:tc>
        <w:tc>
          <w:tcPr>
            <w:tcW w:w="471" w:type="pct"/>
          </w:tcPr>
          <w:p w14:paraId="12EF3B5D">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48</w:t>
            </w:r>
          </w:p>
        </w:tc>
        <w:tc>
          <w:tcPr>
            <w:tcW w:w="471" w:type="pct"/>
          </w:tcPr>
          <w:p w14:paraId="7EC5127B">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120</w:t>
            </w:r>
          </w:p>
        </w:tc>
        <w:tc>
          <w:tcPr>
            <w:tcW w:w="471" w:type="pct"/>
          </w:tcPr>
          <w:p w14:paraId="6963059F">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1000</w:t>
            </w:r>
          </w:p>
        </w:tc>
        <w:tc>
          <w:tcPr>
            <w:tcW w:w="471" w:type="pct"/>
          </w:tcPr>
          <w:p w14:paraId="16DB983B">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vertAlign w:val="superscript"/>
              </w:rPr>
              <w:t>c</w:t>
            </w:r>
          </w:p>
        </w:tc>
        <w:tc>
          <w:tcPr>
            <w:tcW w:w="471" w:type="pct"/>
          </w:tcPr>
          <w:p w14:paraId="016BBF64">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350</w:t>
            </w:r>
          </w:p>
        </w:tc>
      </w:tr>
      <w:tr w14:paraId="0B73D4B8">
        <w:tc>
          <w:tcPr>
            <w:tcW w:w="289" w:type="pct"/>
          </w:tcPr>
          <w:p w14:paraId="3C4029F5">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500</w:t>
            </w:r>
          </w:p>
        </w:tc>
        <w:tc>
          <w:tcPr>
            <w:tcW w:w="471" w:type="pct"/>
          </w:tcPr>
          <w:p w14:paraId="04966420">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2620</w:t>
            </w:r>
          </w:p>
        </w:tc>
        <w:tc>
          <w:tcPr>
            <w:tcW w:w="471" w:type="pct"/>
          </w:tcPr>
          <w:p w14:paraId="188BDFC4">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vertAlign w:val="superscript"/>
              </w:rPr>
              <w:t>b</w:t>
            </w:r>
          </w:p>
        </w:tc>
        <w:tc>
          <w:tcPr>
            <w:tcW w:w="471" w:type="pct"/>
          </w:tcPr>
          <w:p w14:paraId="49142843">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940</w:t>
            </w:r>
          </w:p>
        </w:tc>
        <w:tc>
          <w:tcPr>
            <w:tcW w:w="471" w:type="pct"/>
          </w:tcPr>
          <w:p w14:paraId="255965D0">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3840</w:t>
            </w:r>
          </w:p>
        </w:tc>
        <w:tc>
          <w:tcPr>
            <w:tcW w:w="471" w:type="pct"/>
          </w:tcPr>
          <w:p w14:paraId="71A39D5F">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600</w:t>
            </w:r>
          </w:p>
        </w:tc>
        <w:tc>
          <w:tcPr>
            <w:tcW w:w="471" w:type="pct"/>
          </w:tcPr>
          <w:p w14:paraId="2CD94A49">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60</w:t>
            </w:r>
          </w:p>
        </w:tc>
        <w:tc>
          <w:tcPr>
            <w:tcW w:w="471" w:type="pct"/>
          </w:tcPr>
          <w:p w14:paraId="2703A744">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150</w:t>
            </w:r>
          </w:p>
        </w:tc>
        <w:tc>
          <w:tcPr>
            <w:tcW w:w="471" w:type="pct"/>
          </w:tcPr>
          <w:p w14:paraId="52349FE3">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1200</w:t>
            </w:r>
          </w:p>
        </w:tc>
        <w:tc>
          <w:tcPr>
            <w:tcW w:w="471" w:type="pct"/>
          </w:tcPr>
          <w:p w14:paraId="47E6AC8B">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vertAlign w:val="superscript"/>
              </w:rPr>
              <w:t>c</w:t>
            </w:r>
          </w:p>
        </w:tc>
        <w:tc>
          <w:tcPr>
            <w:tcW w:w="471" w:type="pct"/>
          </w:tcPr>
          <w:p w14:paraId="77762B9B">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sz w:val="20"/>
                <w:szCs w:val="21"/>
                <w:lang w:val="en-GB"/>
              </w:rPr>
            </w:pPr>
            <w:r>
              <w:rPr>
                <w:rFonts w:ascii="Times New Roman" w:hAnsi="Times New Roman" w:eastAsia="Times New Roman" w:cs="Times New Roman"/>
                <w:sz w:val="20"/>
                <w:szCs w:val="21"/>
                <w:lang w:val="en-GB"/>
              </w:rPr>
              <w:t>500</w:t>
            </w:r>
          </w:p>
        </w:tc>
      </w:tr>
    </w:tbl>
    <w:p w14:paraId="23973599">
      <w:p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vertAlign w:val="superscript"/>
          <w:lang w:val="en-GB"/>
        </w:rPr>
        <w:t xml:space="preserve">a </w:t>
      </w:r>
      <w:r>
        <w:rPr>
          <w:rFonts w:ascii="Times New Roman" w:hAnsi="Times New Roman" w:eastAsia="Times New Roman" w:cs="Times New Roman"/>
          <w:sz w:val="24"/>
          <w:szCs w:val="24"/>
          <w:lang w:val="en-GB"/>
        </w:rPr>
        <w:t>One-hour average concentration limits for SO</w:t>
      </w:r>
      <w:r>
        <w:rPr>
          <w:rFonts w:ascii="Times New Roman" w:hAnsi="Times New Roman" w:eastAsia="Times New Roman" w:cs="Times New Roman"/>
          <w:sz w:val="24"/>
          <w:szCs w:val="24"/>
          <w:vertAlign w:val="subscript"/>
          <w:lang w:val="en-GB"/>
        </w:rPr>
        <w:t>2</w:t>
      </w:r>
      <w:r>
        <w:rPr>
          <w:rFonts w:ascii="Times New Roman" w:hAnsi="Times New Roman" w:eastAsia="Times New Roman" w:cs="Times New Roman"/>
          <w:sz w:val="24"/>
          <w:szCs w:val="24"/>
          <w:lang w:val="en-GB"/>
        </w:rPr>
        <w:t>, NO</w:t>
      </w:r>
      <w:r>
        <w:rPr>
          <w:rFonts w:ascii="Times New Roman" w:hAnsi="Times New Roman" w:eastAsia="Times New Roman" w:cs="Times New Roman"/>
          <w:sz w:val="24"/>
          <w:szCs w:val="24"/>
          <w:vertAlign w:val="subscript"/>
          <w:lang w:val="en-GB"/>
        </w:rPr>
        <w:t>2</w:t>
      </w:r>
      <w:r>
        <w:rPr>
          <w:rFonts w:ascii="Times New Roman" w:hAnsi="Times New Roman" w:eastAsia="Times New Roman" w:cs="Times New Roman"/>
          <w:sz w:val="24"/>
          <w:szCs w:val="24"/>
          <w:lang w:val="en-GB"/>
        </w:rPr>
        <w:t xml:space="preserve">, and CO </w:t>
      </w:r>
      <w:r>
        <w:rPr>
          <w:rFonts w:ascii="Times New Roman" w:hAnsi="Times New Roman" w:eastAsia="Times New Roman" w:cs="Times New Roman"/>
          <w:sz w:val="24"/>
          <w:szCs w:val="24"/>
        </w:rPr>
        <w:t>are</w:t>
      </w:r>
      <w:r>
        <w:rPr>
          <w:rFonts w:ascii="Times New Roman" w:hAnsi="Times New Roman" w:eastAsia="Times New Roman" w:cs="Times New Roman"/>
          <w:sz w:val="24"/>
          <w:szCs w:val="24"/>
          <w:lang w:val="en-GB"/>
        </w:rPr>
        <w:t xml:space="preserve"> used in hourly reports only; 24-hour average concentration limits for the corresponding pollutants </w:t>
      </w:r>
      <w:r>
        <w:rPr>
          <w:rFonts w:ascii="Times New Roman" w:hAnsi="Times New Roman" w:eastAsia="Times New Roman" w:cs="Times New Roman"/>
          <w:sz w:val="24"/>
          <w:szCs w:val="24"/>
        </w:rPr>
        <w:t>are</w:t>
      </w:r>
      <w:r>
        <w:rPr>
          <w:rFonts w:ascii="Times New Roman" w:hAnsi="Times New Roman" w:eastAsia="Times New Roman" w:cs="Times New Roman"/>
          <w:sz w:val="24"/>
          <w:szCs w:val="24"/>
          <w:lang w:val="en-GB"/>
        </w:rPr>
        <w:t xml:space="preserve"> used in daily reports.</w:t>
      </w:r>
    </w:p>
    <w:p w14:paraId="7AF00246">
      <w:p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vertAlign w:val="superscript"/>
          <w:lang w:val="en-GB"/>
        </w:rPr>
        <w:t xml:space="preserve">b </w:t>
      </w:r>
      <w:r>
        <w:rPr>
          <w:rFonts w:ascii="Times New Roman" w:hAnsi="Times New Roman" w:eastAsia="Times New Roman" w:cs="Times New Roman"/>
          <w:sz w:val="24"/>
          <w:szCs w:val="24"/>
          <w:lang w:val="en-GB"/>
        </w:rPr>
        <w:t>If the one-hour average concentration of SO</w:t>
      </w:r>
      <w:r>
        <w:rPr>
          <w:rFonts w:ascii="Times New Roman" w:hAnsi="Times New Roman" w:eastAsia="Times New Roman" w:cs="Times New Roman"/>
          <w:sz w:val="24"/>
          <w:szCs w:val="24"/>
          <w:vertAlign w:val="subscript"/>
          <w:lang w:val="en-GB"/>
        </w:rPr>
        <w:t>2</w:t>
      </w:r>
      <w:r>
        <w:rPr>
          <w:rFonts w:ascii="Times New Roman" w:hAnsi="Times New Roman" w:eastAsia="Times New Roman" w:cs="Times New Roman"/>
          <w:sz w:val="24"/>
          <w:szCs w:val="24"/>
          <w:lang w:val="en-GB"/>
        </w:rPr>
        <w:t xml:space="preserve"> </w:t>
      </w:r>
      <w:r>
        <w:rPr>
          <w:rFonts w:ascii="Times New Roman" w:hAnsi="Times New Roman" w:eastAsia="Times New Roman" w:cs="Times New Roman"/>
          <w:sz w:val="24"/>
          <w:szCs w:val="24"/>
        </w:rPr>
        <w:t>is</w:t>
      </w:r>
      <w:r>
        <w:rPr>
          <w:rFonts w:ascii="Times New Roman" w:hAnsi="Times New Roman" w:eastAsia="Times New Roman" w:cs="Times New Roman"/>
          <w:sz w:val="24"/>
          <w:szCs w:val="24"/>
          <w:lang w:val="en-GB"/>
        </w:rPr>
        <w:t xml:space="preserve"> higher than 800μg/m</w:t>
      </w:r>
      <w:r>
        <w:rPr>
          <w:rFonts w:ascii="Times New Roman" w:hAnsi="Times New Roman" w:eastAsia="Times New Roman" w:cs="Times New Roman"/>
          <w:sz w:val="24"/>
          <w:szCs w:val="24"/>
          <w:vertAlign w:val="superscript"/>
          <w:lang w:val="en-GB"/>
        </w:rPr>
        <w:t>3</w:t>
      </w:r>
      <w:r>
        <w:rPr>
          <w:rFonts w:ascii="Times New Roman" w:hAnsi="Times New Roman" w:eastAsia="Times New Roman" w:cs="Times New Roman"/>
          <w:sz w:val="24"/>
          <w:szCs w:val="24"/>
          <w:lang w:val="en-GB"/>
        </w:rPr>
        <w:t>, then IAQI of SO</w:t>
      </w:r>
      <w:r>
        <w:rPr>
          <w:rFonts w:ascii="Times New Roman" w:hAnsi="Times New Roman" w:eastAsia="Times New Roman" w:cs="Times New Roman"/>
          <w:sz w:val="24"/>
          <w:szCs w:val="24"/>
          <w:vertAlign w:val="subscript"/>
          <w:lang w:val="en-GB"/>
        </w:rPr>
        <w:t>2</w:t>
      </w:r>
      <w:r>
        <w:rPr>
          <w:rFonts w:ascii="Times New Roman" w:hAnsi="Times New Roman" w:eastAsia="Times New Roman" w:cs="Times New Roman"/>
          <w:sz w:val="24"/>
          <w:szCs w:val="24"/>
          <w:lang w:val="en-GB"/>
        </w:rPr>
        <w:t xml:space="preserve"> one-hour average </w:t>
      </w:r>
      <w:r>
        <w:rPr>
          <w:rFonts w:ascii="Times New Roman" w:hAnsi="Times New Roman" w:eastAsia="Times New Roman" w:cs="Times New Roman"/>
          <w:sz w:val="24"/>
          <w:szCs w:val="24"/>
        </w:rPr>
        <w:t xml:space="preserve">is </w:t>
      </w:r>
      <w:r>
        <w:rPr>
          <w:rFonts w:ascii="Times New Roman" w:hAnsi="Times New Roman" w:eastAsia="Times New Roman" w:cs="Times New Roman"/>
          <w:sz w:val="24"/>
          <w:szCs w:val="24"/>
          <w:lang w:val="en-GB"/>
        </w:rPr>
        <w:t>not calculated. IAQI of SO</w:t>
      </w:r>
      <w:r>
        <w:rPr>
          <w:rFonts w:ascii="Times New Roman" w:hAnsi="Times New Roman" w:eastAsia="Times New Roman" w:cs="Times New Roman"/>
          <w:sz w:val="24"/>
          <w:szCs w:val="24"/>
          <w:vertAlign w:val="subscript"/>
          <w:lang w:val="en-GB"/>
        </w:rPr>
        <w:t>2</w:t>
      </w:r>
      <w:r>
        <w:rPr>
          <w:rFonts w:ascii="Times New Roman" w:hAnsi="Times New Roman" w:eastAsia="Times New Roman" w:cs="Times New Roman"/>
          <w:sz w:val="24"/>
          <w:szCs w:val="24"/>
          <w:lang w:val="en-GB"/>
        </w:rPr>
        <w:t xml:space="preserve"> is reported based on the 24-hour average concentration.</w:t>
      </w:r>
    </w:p>
    <w:p w14:paraId="13FA3F6A">
      <w:p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vertAlign w:val="superscript"/>
          <w:lang w:val="en-GB"/>
        </w:rPr>
        <w:t xml:space="preserve">c </w:t>
      </w:r>
      <w:r>
        <w:rPr>
          <w:rFonts w:ascii="Times New Roman" w:hAnsi="Times New Roman" w:eastAsia="Times New Roman" w:cs="Times New Roman"/>
          <w:sz w:val="24"/>
          <w:szCs w:val="24"/>
          <w:lang w:val="en-GB"/>
        </w:rPr>
        <w:t>If the eight-hour average concentration of O</w:t>
      </w:r>
      <w:r>
        <w:rPr>
          <w:rFonts w:ascii="Times New Roman" w:hAnsi="Times New Roman" w:eastAsia="Times New Roman" w:cs="Times New Roman"/>
          <w:sz w:val="24"/>
          <w:szCs w:val="24"/>
          <w:vertAlign w:val="subscript"/>
          <w:lang w:val="en-GB"/>
        </w:rPr>
        <w:t>3</w:t>
      </w:r>
      <w:r>
        <w:rPr>
          <w:rFonts w:ascii="Times New Roman" w:hAnsi="Times New Roman" w:eastAsia="Times New Roman" w:cs="Times New Roman"/>
          <w:sz w:val="24"/>
          <w:szCs w:val="24"/>
          <w:lang w:val="en-GB"/>
        </w:rPr>
        <w:t xml:space="preserve"> </w:t>
      </w:r>
      <w:r>
        <w:rPr>
          <w:rFonts w:ascii="Times New Roman" w:hAnsi="Times New Roman" w:eastAsia="Times New Roman" w:cs="Times New Roman"/>
          <w:sz w:val="24"/>
          <w:szCs w:val="24"/>
        </w:rPr>
        <w:t>is</w:t>
      </w:r>
      <w:r>
        <w:rPr>
          <w:rFonts w:ascii="Times New Roman" w:hAnsi="Times New Roman" w:eastAsia="Times New Roman" w:cs="Times New Roman"/>
          <w:sz w:val="24"/>
          <w:szCs w:val="24"/>
          <w:lang w:val="en-GB"/>
        </w:rPr>
        <w:t xml:space="preserve"> higher than 800 μg/m</w:t>
      </w:r>
      <w:r>
        <w:rPr>
          <w:rFonts w:ascii="Times New Roman" w:hAnsi="Times New Roman" w:eastAsia="Times New Roman" w:cs="Times New Roman"/>
          <w:sz w:val="24"/>
          <w:szCs w:val="24"/>
          <w:vertAlign w:val="superscript"/>
          <w:lang w:val="en-GB"/>
        </w:rPr>
        <w:t>3</w:t>
      </w:r>
      <w:r>
        <w:rPr>
          <w:rFonts w:ascii="Times New Roman" w:hAnsi="Times New Roman" w:eastAsia="Times New Roman" w:cs="Times New Roman"/>
          <w:sz w:val="24"/>
          <w:szCs w:val="24"/>
          <w:lang w:val="en-GB"/>
        </w:rPr>
        <w:t>, then IAQI of O</w:t>
      </w:r>
      <w:r>
        <w:rPr>
          <w:rFonts w:ascii="Times New Roman" w:hAnsi="Times New Roman" w:eastAsia="Times New Roman" w:cs="Times New Roman"/>
          <w:sz w:val="24"/>
          <w:szCs w:val="24"/>
          <w:vertAlign w:val="subscript"/>
          <w:lang w:val="en-GB"/>
        </w:rPr>
        <w:t>3</w:t>
      </w:r>
      <w:r>
        <w:rPr>
          <w:rFonts w:ascii="Times New Roman" w:hAnsi="Times New Roman" w:eastAsia="Times New Roman" w:cs="Times New Roman"/>
          <w:sz w:val="24"/>
          <w:szCs w:val="24"/>
          <w:lang w:val="en-GB"/>
        </w:rPr>
        <w:t xml:space="preserve"> eight-hour average </w:t>
      </w:r>
      <w:r>
        <w:rPr>
          <w:rFonts w:ascii="Times New Roman" w:hAnsi="Times New Roman" w:eastAsia="Times New Roman" w:cs="Times New Roman"/>
          <w:sz w:val="24"/>
          <w:szCs w:val="24"/>
        </w:rPr>
        <w:t>is</w:t>
      </w:r>
      <w:r>
        <w:rPr>
          <w:rFonts w:ascii="Times New Roman" w:hAnsi="Times New Roman" w:eastAsia="Times New Roman" w:cs="Times New Roman"/>
          <w:sz w:val="24"/>
          <w:szCs w:val="24"/>
          <w:lang w:val="en-GB"/>
        </w:rPr>
        <w:t xml:space="preserve"> not calculated. IAQI of O</w:t>
      </w:r>
      <w:r>
        <w:rPr>
          <w:rFonts w:ascii="Times New Roman" w:hAnsi="Times New Roman" w:eastAsia="Times New Roman" w:cs="Times New Roman"/>
          <w:sz w:val="24"/>
          <w:szCs w:val="24"/>
          <w:vertAlign w:val="subscript"/>
          <w:lang w:val="en-GB"/>
        </w:rPr>
        <w:t>3</w:t>
      </w:r>
      <w:r>
        <w:rPr>
          <w:rFonts w:ascii="Times New Roman" w:hAnsi="Times New Roman" w:eastAsia="Times New Roman" w:cs="Times New Roman"/>
          <w:sz w:val="24"/>
          <w:szCs w:val="24"/>
          <w:lang w:val="en-GB"/>
        </w:rPr>
        <w:t xml:space="preserve"> is reported based on the one-hour average concentration.</w:t>
      </w:r>
    </w:p>
    <w:p w14:paraId="0BD47479">
      <w:pPr>
        <w:suppressAutoHyphens/>
        <w:kinsoku w:val="0"/>
        <w:overflowPunct w:val="0"/>
        <w:autoSpaceDE w:val="0"/>
        <w:autoSpaceDN w:val="0"/>
        <w:adjustRightInd w:val="0"/>
        <w:snapToGrid w:val="0"/>
        <w:spacing w:line="480" w:lineRule="auto"/>
        <w:jc w:val="left"/>
        <w:rPr>
          <w:rFonts w:ascii="Times New Roman" w:hAnsi="Times New Roman" w:eastAsia="Times New Roman" w:cs="Times New Roman"/>
          <w:sz w:val="24"/>
          <w:szCs w:val="24"/>
          <w:lang w:val="en-GB"/>
        </w:rPr>
        <w:sectPr>
          <w:pgSz w:w="16838" w:h="11906" w:orient="landscape"/>
          <w:pgMar w:top="1440" w:right="1440" w:bottom="1440" w:left="1440" w:header="850" w:footer="994" w:gutter="0"/>
          <w:cols w:space="425" w:num="1"/>
          <w:docGrid w:type="linesAndChars" w:linePitch="312" w:charSpace="0"/>
        </w:sectPr>
      </w:pPr>
    </w:p>
    <w:p w14:paraId="12649C96">
      <w:pPr>
        <w:suppressAutoHyphens/>
        <w:kinsoku w:val="0"/>
        <w:overflowPunct w:val="0"/>
        <w:autoSpaceDE w:val="0"/>
        <w:autoSpaceDN w:val="0"/>
        <w:adjustRightInd w:val="0"/>
        <w:snapToGrid w:val="0"/>
        <w:spacing w:line="480" w:lineRule="auto"/>
        <w:rPr>
          <w:rFonts w:ascii="Times New Roman" w:hAnsi="Times New Roman" w:eastAsia="Times New Roman Bold" w:cs="Times New Roman"/>
          <w:b/>
          <w:sz w:val="24"/>
          <w:szCs w:val="24"/>
          <w:lang w:val="en-GB"/>
        </w:rPr>
      </w:pPr>
      <w:r>
        <w:rPr>
          <w:rFonts w:ascii="Times New Roman" w:hAnsi="Times New Roman" w:eastAsia="Times New Roman Bold" w:cs="Times New Roman"/>
          <w:b/>
          <w:sz w:val="24"/>
          <w:szCs w:val="24"/>
          <w:lang w:val="en-GB"/>
        </w:rPr>
        <w:t>Table B2 Air Quality Index (AQI) and related information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802"/>
        <w:gridCol w:w="1353"/>
        <w:gridCol w:w="881"/>
        <w:gridCol w:w="5089"/>
        <w:gridCol w:w="5090"/>
      </w:tblGrid>
      <w:tr w14:paraId="7C4DEEAF">
        <w:tc>
          <w:tcPr>
            <w:tcW w:w="733" w:type="dxa"/>
            <w:vAlign w:val="center"/>
          </w:tcPr>
          <w:p w14:paraId="38D7CECE">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AQI</w:t>
            </w:r>
          </w:p>
        </w:tc>
        <w:tc>
          <w:tcPr>
            <w:tcW w:w="802" w:type="dxa"/>
            <w:vAlign w:val="center"/>
          </w:tcPr>
          <w:p w14:paraId="4A258409">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AQI levels</w:t>
            </w:r>
          </w:p>
        </w:tc>
        <w:tc>
          <w:tcPr>
            <w:tcW w:w="2234" w:type="dxa"/>
            <w:gridSpan w:val="2"/>
            <w:vAlign w:val="center"/>
          </w:tcPr>
          <w:p w14:paraId="1C4726E3">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AQI categories and colours</w:t>
            </w:r>
          </w:p>
        </w:tc>
        <w:tc>
          <w:tcPr>
            <w:tcW w:w="5089" w:type="dxa"/>
            <w:vAlign w:val="center"/>
          </w:tcPr>
          <w:p w14:paraId="70AB8F3B">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Health effect</w:t>
            </w:r>
          </w:p>
        </w:tc>
        <w:tc>
          <w:tcPr>
            <w:tcW w:w="5090" w:type="dxa"/>
            <w:vAlign w:val="center"/>
          </w:tcPr>
          <w:p w14:paraId="00A2B031">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Recommended activities</w:t>
            </w:r>
          </w:p>
        </w:tc>
      </w:tr>
      <w:tr w14:paraId="65D60355">
        <w:tc>
          <w:tcPr>
            <w:tcW w:w="733" w:type="dxa"/>
            <w:vAlign w:val="center"/>
          </w:tcPr>
          <w:p w14:paraId="54CABA31">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0–50</w:t>
            </w:r>
          </w:p>
        </w:tc>
        <w:tc>
          <w:tcPr>
            <w:tcW w:w="802" w:type="dxa"/>
            <w:vAlign w:val="center"/>
          </w:tcPr>
          <w:p w14:paraId="0055D088">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One</w:t>
            </w:r>
          </w:p>
        </w:tc>
        <w:tc>
          <w:tcPr>
            <w:tcW w:w="1353" w:type="dxa"/>
            <w:vAlign w:val="center"/>
          </w:tcPr>
          <w:p w14:paraId="772DA601">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Excellent</w:t>
            </w:r>
          </w:p>
        </w:tc>
        <w:tc>
          <w:tcPr>
            <w:tcW w:w="881" w:type="dxa"/>
            <w:vAlign w:val="center"/>
          </w:tcPr>
          <w:p w14:paraId="2D4661D6">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Green</w:t>
            </w:r>
          </w:p>
        </w:tc>
        <w:tc>
          <w:tcPr>
            <w:tcW w:w="5089" w:type="dxa"/>
          </w:tcPr>
          <w:p w14:paraId="00241F25">
            <w:pPr>
              <w:suppressAutoHyphens/>
              <w:kinsoku w:val="0"/>
              <w:overflowPunct w:val="0"/>
              <w:autoSpaceDE w:val="0"/>
              <w:autoSpaceDN w:val="0"/>
              <w:adjustRightInd w:val="0"/>
              <w:snapToGrid w:val="0"/>
              <w:spacing w:line="300" w:lineRule="auto"/>
              <w:rPr>
                <w:rFonts w:ascii="Times New Roman" w:hAnsi="Times New Roman" w:eastAsia="Times New Roman" w:cs="Times New Roman"/>
                <w:lang w:val="en-GB"/>
              </w:rPr>
            </w:pPr>
            <w:r>
              <w:rPr>
                <w:rFonts w:ascii="Times New Roman" w:hAnsi="Times New Roman" w:eastAsia="Times New Roman" w:cs="Times New Roman"/>
                <w:lang w:val="en-GB"/>
              </w:rPr>
              <w:t>The air quality is satisfactory, with minimal air pollution.</w:t>
            </w:r>
          </w:p>
          <w:p w14:paraId="04CB7E1A">
            <w:pPr>
              <w:suppressAutoHyphens/>
              <w:kinsoku w:val="0"/>
              <w:overflowPunct w:val="0"/>
              <w:autoSpaceDE w:val="0"/>
              <w:autoSpaceDN w:val="0"/>
              <w:adjustRightInd w:val="0"/>
              <w:snapToGrid w:val="0"/>
              <w:spacing w:line="300" w:lineRule="auto"/>
              <w:rPr>
                <w:rFonts w:ascii="Times New Roman" w:hAnsi="Times New Roman" w:eastAsia="Times New Roman" w:cs="Times New Roman"/>
                <w:lang w:val="en-GB"/>
              </w:rPr>
            </w:pPr>
          </w:p>
        </w:tc>
        <w:tc>
          <w:tcPr>
            <w:tcW w:w="5090" w:type="dxa"/>
          </w:tcPr>
          <w:p w14:paraId="0DB14CA5">
            <w:pPr>
              <w:suppressAutoHyphens/>
              <w:kinsoku w:val="0"/>
              <w:overflowPunct w:val="0"/>
              <w:autoSpaceDE w:val="0"/>
              <w:autoSpaceDN w:val="0"/>
              <w:adjustRightInd w:val="0"/>
              <w:snapToGrid w:val="0"/>
              <w:spacing w:line="300" w:lineRule="auto"/>
              <w:rPr>
                <w:rFonts w:ascii="Times New Roman" w:hAnsi="Times New Roman" w:eastAsia="Times New Roman" w:cs="Times New Roman"/>
                <w:lang w:val="en-GB"/>
              </w:rPr>
            </w:pPr>
            <w:r>
              <w:rPr>
                <w:rFonts w:ascii="Times New Roman" w:hAnsi="Times New Roman" w:eastAsia="Times New Roman" w:cs="Times New Roman"/>
                <w:lang w:val="en-GB"/>
              </w:rPr>
              <w:t>All people can engage in regular activities without restriction.</w:t>
            </w:r>
          </w:p>
        </w:tc>
      </w:tr>
      <w:tr w14:paraId="5B464AB9">
        <w:tc>
          <w:tcPr>
            <w:tcW w:w="733" w:type="dxa"/>
            <w:vAlign w:val="center"/>
          </w:tcPr>
          <w:p w14:paraId="5E4AC009">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51–100</w:t>
            </w:r>
          </w:p>
        </w:tc>
        <w:tc>
          <w:tcPr>
            <w:tcW w:w="802" w:type="dxa"/>
            <w:vAlign w:val="center"/>
          </w:tcPr>
          <w:p w14:paraId="74B60DDB">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Two</w:t>
            </w:r>
          </w:p>
        </w:tc>
        <w:tc>
          <w:tcPr>
            <w:tcW w:w="1353" w:type="dxa"/>
            <w:vAlign w:val="center"/>
          </w:tcPr>
          <w:p w14:paraId="073E7CAE">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Good</w:t>
            </w:r>
          </w:p>
        </w:tc>
        <w:tc>
          <w:tcPr>
            <w:tcW w:w="881" w:type="dxa"/>
            <w:vAlign w:val="center"/>
          </w:tcPr>
          <w:p w14:paraId="0341C4E7">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Yellow</w:t>
            </w:r>
          </w:p>
        </w:tc>
        <w:tc>
          <w:tcPr>
            <w:tcW w:w="5089" w:type="dxa"/>
          </w:tcPr>
          <w:p w14:paraId="0D2B9369">
            <w:pPr>
              <w:suppressAutoHyphens/>
              <w:kinsoku w:val="0"/>
              <w:overflowPunct w:val="0"/>
              <w:autoSpaceDE w:val="0"/>
              <w:autoSpaceDN w:val="0"/>
              <w:adjustRightInd w:val="0"/>
              <w:snapToGrid w:val="0"/>
              <w:spacing w:line="300" w:lineRule="auto"/>
              <w:rPr>
                <w:rFonts w:ascii="Times New Roman" w:hAnsi="Times New Roman" w:eastAsia="Times New Roman" w:cs="Times New Roman"/>
                <w:lang w:val="en-GB"/>
              </w:rPr>
            </w:pPr>
            <w:r>
              <w:rPr>
                <w:rFonts w:ascii="Times New Roman" w:hAnsi="Times New Roman" w:eastAsia="Times New Roman" w:cs="Times New Roman"/>
                <w:lang w:val="en-GB"/>
              </w:rPr>
              <w:t>The air quality is acceptable; however, certain pollutants may have a slight impact on the health of a small group of exceptionally sensitive individuals.</w:t>
            </w:r>
          </w:p>
        </w:tc>
        <w:tc>
          <w:tcPr>
            <w:tcW w:w="5090" w:type="dxa"/>
          </w:tcPr>
          <w:p w14:paraId="5BC2CD2E">
            <w:pPr>
              <w:suppressAutoHyphens/>
              <w:kinsoku w:val="0"/>
              <w:overflowPunct w:val="0"/>
              <w:autoSpaceDE w:val="0"/>
              <w:autoSpaceDN w:val="0"/>
              <w:adjustRightInd w:val="0"/>
              <w:snapToGrid w:val="0"/>
              <w:spacing w:line="300" w:lineRule="auto"/>
              <w:rPr>
                <w:rFonts w:ascii="Times New Roman" w:hAnsi="Times New Roman" w:eastAsia="Times New Roman" w:cs="Times New Roman"/>
                <w:lang w:val="en-GB"/>
              </w:rPr>
            </w:pPr>
            <w:r>
              <w:rPr>
                <w:rFonts w:ascii="Times New Roman" w:hAnsi="Times New Roman" w:eastAsia="Times New Roman" w:cs="Times New Roman"/>
                <w:lang w:val="en-GB"/>
              </w:rPr>
              <w:t>A small group of exceptionally sensitive individuals should reduce outdoor activities.</w:t>
            </w:r>
          </w:p>
        </w:tc>
      </w:tr>
      <w:tr w14:paraId="057A6D9E">
        <w:tc>
          <w:tcPr>
            <w:tcW w:w="733" w:type="dxa"/>
            <w:vAlign w:val="center"/>
          </w:tcPr>
          <w:p w14:paraId="32AD70C7">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101–150</w:t>
            </w:r>
          </w:p>
        </w:tc>
        <w:tc>
          <w:tcPr>
            <w:tcW w:w="802" w:type="dxa"/>
            <w:vAlign w:val="center"/>
          </w:tcPr>
          <w:p w14:paraId="42CC4667">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Three</w:t>
            </w:r>
          </w:p>
        </w:tc>
        <w:tc>
          <w:tcPr>
            <w:tcW w:w="1353" w:type="dxa"/>
            <w:vAlign w:val="center"/>
          </w:tcPr>
          <w:p w14:paraId="31B5BB87">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Lightly Polluted</w:t>
            </w:r>
          </w:p>
        </w:tc>
        <w:tc>
          <w:tcPr>
            <w:tcW w:w="881" w:type="dxa"/>
            <w:vAlign w:val="center"/>
          </w:tcPr>
          <w:p w14:paraId="23E80947">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Orange</w:t>
            </w:r>
          </w:p>
        </w:tc>
        <w:tc>
          <w:tcPr>
            <w:tcW w:w="5089" w:type="dxa"/>
          </w:tcPr>
          <w:p w14:paraId="17B8BD77">
            <w:pPr>
              <w:suppressAutoHyphens/>
              <w:kinsoku w:val="0"/>
              <w:overflowPunct w:val="0"/>
              <w:autoSpaceDE w:val="0"/>
              <w:autoSpaceDN w:val="0"/>
              <w:adjustRightInd w:val="0"/>
              <w:snapToGrid w:val="0"/>
              <w:spacing w:line="300" w:lineRule="auto"/>
              <w:rPr>
                <w:rFonts w:ascii="Times New Roman" w:hAnsi="Times New Roman" w:eastAsia="Times New Roman" w:cs="Times New Roman"/>
                <w:lang w:val="en-GB"/>
              </w:rPr>
            </w:pPr>
            <w:r>
              <w:rPr>
                <w:rFonts w:ascii="Times New Roman" w:hAnsi="Times New Roman" w:eastAsia="Times New Roman" w:cs="Times New Roman"/>
                <w:lang w:val="en-GB"/>
              </w:rPr>
              <w:t>Symptoms in sensitive individuals may worsen slightly, and healthy individuals may experience mild irritation symptoms.</w:t>
            </w:r>
          </w:p>
        </w:tc>
        <w:tc>
          <w:tcPr>
            <w:tcW w:w="5090" w:type="dxa"/>
          </w:tcPr>
          <w:p w14:paraId="25493B73">
            <w:pPr>
              <w:suppressAutoHyphens/>
              <w:kinsoku w:val="0"/>
              <w:overflowPunct w:val="0"/>
              <w:autoSpaceDE w:val="0"/>
              <w:autoSpaceDN w:val="0"/>
              <w:adjustRightInd w:val="0"/>
              <w:snapToGrid w:val="0"/>
              <w:spacing w:line="300" w:lineRule="auto"/>
              <w:rPr>
                <w:rFonts w:ascii="Times New Roman" w:hAnsi="Times New Roman" w:eastAsia="Times New Roman" w:cs="Times New Roman"/>
                <w:lang w:val="en-GB"/>
              </w:rPr>
            </w:pPr>
            <w:r>
              <w:rPr>
                <w:rFonts w:ascii="Times New Roman" w:hAnsi="Times New Roman" w:eastAsia="Times New Roman" w:cs="Times New Roman"/>
                <w:lang w:val="en-GB"/>
              </w:rPr>
              <w:t>Children, older individuals, and individuals with heart or respiratory system diseases should reduce prolonged and high-intensity outdoor exercises.</w:t>
            </w:r>
          </w:p>
        </w:tc>
      </w:tr>
      <w:tr w14:paraId="351D70FA">
        <w:tc>
          <w:tcPr>
            <w:tcW w:w="733" w:type="dxa"/>
            <w:vAlign w:val="center"/>
          </w:tcPr>
          <w:p w14:paraId="44CBFAC6">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151–200</w:t>
            </w:r>
          </w:p>
        </w:tc>
        <w:tc>
          <w:tcPr>
            <w:tcW w:w="802" w:type="dxa"/>
            <w:vAlign w:val="center"/>
          </w:tcPr>
          <w:p w14:paraId="6060567E">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Four</w:t>
            </w:r>
          </w:p>
        </w:tc>
        <w:tc>
          <w:tcPr>
            <w:tcW w:w="1353" w:type="dxa"/>
            <w:vAlign w:val="center"/>
          </w:tcPr>
          <w:p w14:paraId="6AE3146F">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Moderately Polluted</w:t>
            </w:r>
          </w:p>
        </w:tc>
        <w:tc>
          <w:tcPr>
            <w:tcW w:w="881" w:type="dxa"/>
            <w:vAlign w:val="center"/>
          </w:tcPr>
          <w:p w14:paraId="2493DF69">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Red</w:t>
            </w:r>
          </w:p>
        </w:tc>
        <w:tc>
          <w:tcPr>
            <w:tcW w:w="5089" w:type="dxa"/>
          </w:tcPr>
          <w:p w14:paraId="57EE8700">
            <w:pPr>
              <w:suppressAutoHyphens/>
              <w:kinsoku w:val="0"/>
              <w:overflowPunct w:val="0"/>
              <w:autoSpaceDE w:val="0"/>
              <w:autoSpaceDN w:val="0"/>
              <w:adjustRightInd w:val="0"/>
              <w:snapToGrid w:val="0"/>
              <w:spacing w:line="300" w:lineRule="auto"/>
              <w:rPr>
                <w:rFonts w:ascii="Times New Roman" w:hAnsi="Times New Roman" w:eastAsia="Times New Roman" w:cs="Times New Roman"/>
                <w:lang w:val="en-GB"/>
              </w:rPr>
            </w:pPr>
            <w:r>
              <w:rPr>
                <w:rFonts w:ascii="Times New Roman" w:hAnsi="Times New Roman" w:eastAsia="Times New Roman" w:cs="Times New Roman"/>
                <w:lang w:val="en-GB"/>
              </w:rPr>
              <w:t>Further exacerbation of symptoms in sensitive individuals is possible, with potential effects on the cardiovascular and respiratory systems of healthy individuals.</w:t>
            </w:r>
          </w:p>
        </w:tc>
        <w:tc>
          <w:tcPr>
            <w:tcW w:w="5090" w:type="dxa"/>
          </w:tcPr>
          <w:p w14:paraId="74BDEC41">
            <w:pPr>
              <w:suppressAutoHyphens/>
              <w:kinsoku w:val="0"/>
              <w:overflowPunct w:val="0"/>
              <w:autoSpaceDE w:val="0"/>
              <w:autoSpaceDN w:val="0"/>
              <w:adjustRightInd w:val="0"/>
              <w:snapToGrid w:val="0"/>
              <w:spacing w:line="300" w:lineRule="auto"/>
              <w:rPr>
                <w:rFonts w:ascii="Times New Roman" w:hAnsi="Times New Roman" w:eastAsia="Times New Roman" w:cs="Times New Roman"/>
                <w:lang w:val="en-GB"/>
              </w:rPr>
            </w:pPr>
            <w:r>
              <w:rPr>
                <w:rFonts w:ascii="Times New Roman" w:hAnsi="Times New Roman" w:eastAsia="Times New Roman" w:cs="Times New Roman"/>
                <w:lang w:val="en-GB"/>
              </w:rPr>
              <w:t>Children, older individuals, and individuals with heart or respiratory system diseases should avoid prolonged and high-intensity outdoor exercises, and the general population should moderately reduce outdoor activities.</w:t>
            </w:r>
          </w:p>
        </w:tc>
      </w:tr>
      <w:tr w14:paraId="180C224F">
        <w:tc>
          <w:tcPr>
            <w:tcW w:w="733" w:type="dxa"/>
            <w:vAlign w:val="center"/>
          </w:tcPr>
          <w:p w14:paraId="4583E7EF">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201–300</w:t>
            </w:r>
          </w:p>
        </w:tc>
        <w:tc>
          <w:tcPr>
            <w:tcW w:w="802" w:type="dxa"/>
            <w:vAlign w:val="center"/>
          </w:tcPr>
          <w:p w14:paraId="70658FBE">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Five</w:t>
            </w:r>
          </w:p>
        </w:tc>
        <w:tc>
          <w:tcPr>
            <w:tcW w:w="1353" w:type="dxa"/>
            <w:vAlign w:val="center"/>
          </w:tcPr>
          <w:p w14:paraId="034856A7">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Heavily Polluted</w:t>
            </w:r>
          </w:p>
        </w:tc>
        <w:tc>
          <w:tcPr>
            <w:tcW w:w="881" w:type="dxa"/>
            <w:vAlign w:val="center"/>
          </w:tcPr>
          <w:p w14:paraId="0930E411">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Purple</w:t>
            </w:r>
          </w:p>
        </w:tc>
        <w:tc>
          <w:tcPr>
            <w:tcW w:w="5089" w:type="dxa"/>
          </w:tcPr>
          <w:p w14:paraId="33AA17C7">
            <w:pPr>
              <w:suppressAutoHyphens/>
              <w:kinsoku w:val="0"/>
              <w:overflowPunct w:val="0"/>
              <w:autoSpaceDE w:val="0"/>
              <w:autoSpaceDN w:val="0"/>
              <w:adjustRightInd w:val="0"/>
              <w:snapToGrid w:val="0"/>
              <w:spacing w:line="300" w:lineRule="auto"/>
              <w:rPr>
                <w:rFonts w:ascii="Times New Roman" w:hAnsi="Times New Roman" w:eastAsia="Times New Roman" w:cs="Times New Roman"/>
                <w:lang w:val="en-GB"/>
              </w:rPr>
            </w:pPr>
            <w:r>
              <w:rPr>
                <w:rFonts w:ascii="Times New Roman" w:hAnsi="Times New Roman" w:eastAsia="Times New Roman" w:cs="Times New Roman"/>
                <w:lang w:val="en-GB"/>
              </w:rPr>
              <w:t>Symptoms in individuals with heart and lung diseases are significantly exacerbated, including reduced exercise tolerance, and symptoms are prevalent among the general population.</w:t>
            </w:r>
          </w:p>
        </w:tc>
        <w:tc>
          <w:tcPr>
            <w:tcW w:w="5090" w:type="dxa"/>
          </w:tcPr>
          <w:p w14:paraId="1F5EEF39">
            <w:pPr>
              <w:suppressAutoHyphens/>
              <w:kinsoku w:val="0"/>
              <w:overflowPunct w:val="0"/>
              <w:autoSpaceDE w:val="0"/>
              <w:autoSpaceDN w:val="0"/>
              <w:adjustRightInd w:val="0"/>
              <w:snapToGrid w:val="0"/>
              <w:spacing w:line="300" w:lineRule="auto"/>
              <w:rPr>
                <w:rFonts w:ascii="Times New Roman" w:hAnsi="Times New Roman" w:eastAsia="Times New Roman" w:cs="Times New Roman"/>
                <w:lang w:val="en-GB"/>
              </w:rPr>
            </w:pPr>
            <w:r>
              <w:rPr>
                <w:rFonts w:ascii="Times New Roman" w:hAnsi="Times New Roman" w:eastAsia="Times New Roman" w:cs="Times New Roman"/>
                <w:lang w:val="en-GB"/>
              </w:rPr>
              <w:t>Children, older individuals, and individuals with heart or lung conditions should remain indoors and refrain from outdoor activities. The general population should reduce outdoor activities.</w:t>
            </w:r>
          </w:p>
        </w:tc>
      </w:tr>
      <w:tr w14:paraId="2BDF184B">
        <w:tc>
          <w:tcPr>
            <w:tcW w:w="733" w:type="dxa"/>
            <w:vAlign w:val="center"/>
          </w:tcPr>
          <w:p w14:paraId="248CDC32">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&gt;300</w:t>
            </w:r>
          </w:p>
        </w:tc>
        <w:tc>
          <w:tcPr>
            <w:tcW w:w="802" w:type="dxa"/>
            <w:vAlign w:val="center"/>
          </w:tcPr>
          <w:p w14:paraId="4AE841CB">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Six</w:t>
            </w:r>
          </w:p>
        </w:tc>
        <w:tc>
          <w:tcPr>
            <w:tcW w:w="1353" w:type="dxa"/>
            <w:vAlign w:val="center"/>
          </w:tcPr>
          <w:p w14:paraId="4B30DFDA">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Severely Polluted</w:t>
            </w:r>
          </w:p>
        </w:tc>
        <w:tc>
          <w:tcPr>
            <w:tcW w:w="881" w:type="dxa"/>
            <w:vAlign w:val="center"/>
          </w:tcPr>
          <w:p w14:paraId="2D087AEC">
            <w:pPr>
              <w:suppressAutoHyphens/>
              <w:kinsoku w:val="0"/>
              <w:overflowPunct w:val="0"/>
              <w:autoSpaceDE w:val="0"/>
              <w:autoSpaceDN w:val="0"/>
              <w:adjustRightInd w:val="0"/>
              <w:snapToGrid w:val="0"/>
              <w:spacing w:line="300" w:lineRule="auto"/>
              <w:jc w:val="center"/>
              <w:rPr>
                <w:rFonts w:ascii="Times New Roman" w:hAnsi="Times New Roman" w:eastAsia="Times New Roman" w:cs="Times New Roman"/>
                <w:lang w:val="en-GB"/>
              </w:rPr>
            </w:pPr>
            <w:r>
              <w:rPr>
                <w:rFonts w:ascii="Times New Roman" w:hAnsi="Times New Roman" w:eastAsia="Times New Roman" w:cs="Times New Roman"/>
                <w:lang w:val="en-GB"/>
              </w:rPr>
              <w:t>Maroon</w:t>
            </w:r>
          </w:p>
        </w:tc>
        <w:tc>
          <w:tcPr>
            <w:tcW w:w="5089" w:type="dxa"/>
          </w:tcPr>
          <w:p w14:paraId="39608993">
            <w:pPr>
              <w:suppressAutoHyphens/>
              <w:kinsoku w:val="0"/>
              <w:overflowPunct w:val="0"/>
              <w:autoSpaceDE w:val="0"/>
              <w:autoSpaceDN w:val="0"/>
              <w:adjustRightInd w:val="0"/>
              <w:snapToGrid w:val="0"/>
              <w:spacing w:line="300" w:lineRule="auto"/>
              <w:rPr>
                <w:rFonts w:ascii="Times New Roman" w:hAnsi="Times New Roman" w:eastAsia="Times New Roman" w:cs="Times New Roman"/>
                <w:lang w:val="en-GB"/>
              </w:rPr>
            </w:pPr>
            <w:r>
              <w:rPr>
                <w:rFonts w:ascii="Times New Roman" w:hAnsi="Times New Roman" w:eastAsia="Times New Roman" w:cs="Times New Roman"/>
                <w:lang w:val="en-GB"/>
              </w:rPr>
              <w:t>Healthy individuals experience reduced exercise tolerance and exhibit noticeable and intense symptoms, predisposing them to the early onset of certain diseases.</w:t>
            </w:r>
          </w:p>
        </w:tc>
        <w:tc>
          <w:tcPr>
            <w:tcW w:w="5090" w:type="dxa"/>
          </w:tcPr>
          <w:p w14:paraId="478A9E13">
            <w:pPr>
              <w:suppressAutoHyphens/>
              <w:kinsoku w:val="0"/>
              <w:overflowPunct w:val="0"/>
              <w:autoSpaceDE w:val="0"/>
              <w:autoSpaceDN w:val="0"/>
              <w:adjustRightInd w:val="0"/>
              <w:snapToGrid w:val="0"/>
              <w:spacing w:line="300" w:lineRule="auto"/>
              <w:rPr>
                <w:rFonts w:ascii="Times New Roman" w:hAnsi="Times New Roman" w:eastAsia="Times New Roman" w:cs="Times New Roman"/>
                <w:lang w:val="en-GB"/>
              </w:rPr>
            </w:pPr>
            <w:r>
              <w:rPr>
                <w:rFonts w:ascii="Times New Roman" w:hAnsi="Times New Roman" w:eastAsia="Times New Roman" w:cs="Times New Roman"/>
                <w:lang w:val="en-GB"/>
              </w:rPr>
              <w:t>Children, older individuals, and individuals with illnesses should stay indoors to avoid physical exertion, while the general population should refrain from outdoor activities.</w:t>
            </w:r>
          </w:p>
        </w:tc>
      </w:tr>
    </w:tbl>
    <w:p w14:paraId="168B0C79">
      <w:pPr>
        <w:suppressAutoHyphens/>
        <w:kinsoku w:val="0"/>
        <w:overflowPunct w:val="0"/>
        <w:autoSpaceDE w:val="0"/>
        <w:autoSpaceDN w:val="0"/>
        <w:adjustRightInd w:val="0"/>
        <w:snapToGrid w:val="0"/>
        <w:rPr>
          <w:rFonts w:ascii="Times New Roman" w:hAnsi="Times New Roman" w:eastAsia="Times New Roman" w:cs="Times New Roman"/>
          <w:b/>
          <w:sz w:val="32"/>
          <w:lang w:val="en-GB"/>
        </w:rPr>
      </w:pPr>
    </w:p>
    <w:p w14:paraId="086B14EE">
      <w:pPr>
        <w:widowControl/>
        <w:jc w:val="left"/>
        <w:rPr>
          <w:rFonts w:ascii="Times New Roman" w:hAnsi="Times New Roman" w:eastAsia="Times New Roman" w:cs="Times New Roman"/>
          <w:b/>
          <w:sz w:val="32"/>
          <w:lang w:val="en-GB"/>
        </w:rPr>
        <w:sectPr>
          <w:pgSz w:w="16838" w:h="11906" w:orient="landscape"/>
          <w:pgMar w:top="1800" w:right="1440" w:bottom="1800" w:left="1440" w:header="850" w:footer="994" w:gutter="0"/>
          <w:cols w:space="425" w:num="1"/>
          <w:docGrid w:type="linesAndChars" w:linePitch="312" w:charSpace="0"/>
        </w:sectPr>
      </w:pPr>
    </w:p>
    <w:p w14:paraId="28B3C379">
      <w:pPr>
        <w:suppressAutoHyphens/>
        <w:kinsoku w:val="0"/>
        <w:overflowPunct w:val="0"/>
        <w:autoSpaceDE w:val="0"/>
        <w:autoSpaceDN w:val="0"/>
        <w:adjustRightInd w:val="0"/>
        <w:snapToGrid w:val="0"/>
        <w:outlineLvl w:val="0"/>
        <w:rPr>
          <w:rFonts w:ascii="Times New Roman" w:hAnsi="Times New Roman" w:eastAsia="Times New Roman" w:cs="Times New Roman"/>
          <w:lang w:val="en-GB"/>
        </w:rPr>
      </w:pPr>
      <w:bookmarkStart w:id="20" w:name="_Toc275613302"/>
      <w:bookmarkStart w:id="21" w:name="_Toc1818757955"/>
      <w:bookmarkStart w:id="22" w:name="_Toc1415432928"/>
      <w:bookmarkStart w:id="23" w:name="_Toc2115188124"/>
      <w:r>
        <w:rPr>
          <w:rFonts w:ascii="Times New Roman" w:hAnsi="Times New Roman" w:eastAsia="Times New Roman" w:cs="Times New Roman"/>
          <w:b/>
          <w:sz w:val="32"/>
          <w:lang w:val="en-GB"/>
        </w:rPr>
        <w:t>C. Data characteristics</w:t>
      </w:r>
      <w:bookmarkEnd w:id="20"/>
      <w:bookmarkEnd w:id="21"/>
      <w:bookmarkEnd w:id="22"/>
      <w:bookmarkEnd w:id="23"/>
      <w:r>
        <w:rPr>
          <w:rFonts w:ascii="Times New Roman" w:hAnsi="Times New Roman" w:eastAsia="Times New Roman" w:cs="Times New Roman"/>
          <w:b/>
          <w:sz w:val="32"/>
          <w:lang w:val="en-GB"/>
        </w:rPr>
        <w:t xml:space="preserve"> </w:t>
      </w:r>
    </w:p>
    <w:p w14:paraId="135EC4B6">
      <w:pPr>
        <w:suppressAutoHyphens/>
        <w:kinsoku w:val="0"/>
        <w:overflowPunct w:val="0"/>
        <w:autoSpaceDE w:val="0"/>
        <w:autoSpaceDN w:val="0"/>
        <w:adjustRightInd w:val="0"/>
        <w:snapToGrid w:val="0"/>
        <w:spacing w:line="480" w:lineRule="auto"/>
        <w:outlineLvl w:val="1"/>
        <w:rPr>
          <w:rFonts w:ascii="Times New Roman" w:hAnsi="Times New Roman" w:eastAsia="Times New Roman" w:cs="Times New Roman"/>
          <w:b/>
          <w:sz w:val="28"/>
          <w:lang w:val="en-GB"/>
        </w:rPr>
      </w:pPr>
      <w:bookmarkStart w:id="24" w:name="_Toc110540135"/>
      <w:bookmarkStart w:id="25" w:name="_Toc522507630"/>
      <w:bookmarkStart w:id="26" w:name="_Toc582718287"/>
      <w:bookmarkStart w:id="27" w:name="_Toc1504863077"/>
      <w:r>
        <w:rPr>
          <w:rFonts w:ascii="Times New Roman" w:hAnsi="Times New Roman" w:eastAsia="Times New Roman" w:cs="Times New Roman"/>
          <w:b/>
          <w:sz w:val="28"/>
          <w:lang w:val="en-GB"/>
        </w:rPr>
        <w:t>C.1 Descriptive statistics</w:t>
      </w:r>
      <w:bookmarkEnd w:id="24"/>
      <w:bookmarkEnd w:id="25"/>
      <w:bookmarkEnd w:id="26"/>
      <w:bookmarkEnd w:id="27"/>
    </w:p>
    <w:p w14:paraId="6EF9B23D">
      <w:pPr>
        <w:suppressAutoHyphens/>
        <w:kinsoku w:val="0"/>
        <w:overflowPunct w:val="0"/>
        <w:autoSpaceDE w:val="0"/>
        <w:autoSpaceDN w:val="0"/>
        <w:adjustRightInd w:val="0"/>
        <w:snapToGrid w:val="0"/>
        <w:spacing w:line="480" w:lineRule="auto"/>
        <w:rPr>
          <w:rFonts w:ascii="Times New Roman" w:hAnsi="Times New Roman" w:eastAsia="Times New Roman Bold" w:cs="Times New Roman"/>
          <w:b/>
          <w:sz w:val="24"/>
          <w:szCs w:val="24"/>
          <w:lang w:val="en-GB"/>
        </w:rPr>
      </w:pPr>
      <w:bookmarkStart w:id="28" w:name="_Toc1220819289"/>
      <w:r>
        <w:rPr>
          <w:rFonts w:ascii="Times New Roman" w:hAnsi="Times New Roman" w:eastAsia="Times New Roman Bold" w:cs="Times New Roman"/>
          <w:b/>
          <w:sz w:val="24"/>
          <w:szCs w:val="24"/>
          <w:lang w:val="en-GB"/>
        </w:rPr>
        <w:t>Table C1 Descriptive statistics</w:t>
      </w:r>
      <w:bookmarkEnd w:id="28"/>
    </w:p>
    <w:tbl>
      <w:tblPr>
        <w:tblStyle w:val="19"/>
        <w:tblW w:w="4997" w:type="pct"/>
        <w:tblInd w:w="0" w:type="dxa"/>
        <w:tblLayout w:type="fixed"/>
        <w:tblCellMar>
          <w:top w:w="0" w:type="dxa"/>
          <w:left w:w="75" w:type="dxa"/>
          <w:bottom w:w="0" w:type="dxa"/>
          <w:right w:w="75" w:type="dxa"/>
        </w:tblCellMar>
      </w:tblPr>
      <w:tblGrid>
        <w:gridCol w:w="2158"/>
        <w:gridCol w:w="959"/>
        <w:gridCol w:w="1067"/>
        <w:gridCol w:w="1244"/>
        <w:gridCol w:w="1244"/>
        <w:gridCol w:w="712"/>
        <w:gridCol w:w="1067"/>
      </w:tblGrid>
      <w:tr w14:paraId="500A0140">
        <w:trPr>
          <w:trHeight w:val="293" w:hRule="atLeast"/>
        </w:trPr>
        <w:tc>
          <w:tcPr>
            <w:tcW w:w="2158" w:type="dxa"/>
            <w:tcBorders>
              <w:top w:val="single" w:color="auto" w:sz="6" w:space="0"/>
              <w:left w:val="nil"/>
              <w:bottom w:val="single" w:color="auto" w:sz="6" w:space="0"/>
              <w:right w:val="nil"/>
            </w:tcBorders>
            <w:shd w:val="clear" w:color="auto" w:fill="auto"/>
            <w:vAlign w:val="top"/>
          </w:tcPr>
          <w:p w14:paraId="1438D63C">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Variable</w:t>
            </w:r>
          </w:p>
        </w:tc>
        <w:tc>
          <w:tcPr>
            <w:tcW w:w="959" w:type="dxa"/>
            <w:tcBorders>
              <w:top w:val="single" w:color="auto" w:sz="6" w:space="0"/>
              <w:left w:val="nil"/>
              <w:bottom w:val="single" w:color="auto" w:sz="6" w:space="0"/>
              <w:right w:val="nil"/>
            </w:tcBorders>
            <w:shd w:val="clear" w:color="auto" w:fill="auto"/>
            <w:vAlign w:val="top"/>
          </w:tcPr>
          <w:p w14:paraId="1888F9CD">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N</w:t>
            </w:r>
          </w:p>
        </w:tc>
        <w:tc>
          <w:tcPr>
            <w:tcW w:w="1067" w:type="dxa"/>
            <w:tcBorders>
              <w:top w:val="single" w:color="auto" w:sz="6" w:space="0"/>
              <w:left w:val="nil"/>
              <w:bottom w:val="single" w:color="auto" w:sz="6" w:space="0"/>
              <w:right w:val="nil"/>
            </w:tcBorders>
            <w:shd w:val="clear" w:color="auto" w:fill="auto"/>
            <w:vAlign w:val="top"/>
          </w:tcPr>
          <w:p w14:paraId="712C430F">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Mean</w:t>
            </w:r>
          </w:p>
        </w:tc>
        <w:tc>
          <w:tcPr>
            <w:tcW w:w="1244" w:type="dxa"/>
            <w:tcBorders>
              <w:top w:val="single" w:color="auto" w:sz="6" w:space="0"/>
              <w:left w:val="nil"/>
              <w:bottom w:val="single" w:color="auto" w:sz="6" w:space="0"/>
              <w:right w:val="nil"/>
            </w:tcBorders>
            <w:shd w:val="clear" w:color="auto" w:fill="auto"/>
            <w:vAlign w:val="top"/>
          </w:tcPr>
          <w:p w14:paraId="37DBC7EF">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Median</w:t>
            </w:r>
          </w:p>
        </w:tc>
        <w:tc>
          <w:tcPr>
            <w:tcW w:w="1244" w:type="dxa"/>
            <w:tcBorders>
              <w:top w:val="single" w:color="auto" w:sz="6" w:space="0"/>
              <w:left w:val="nil"/>
              <w:bottom w:val="single" w:color="auto" w:sz="6" w:space="0"/>
              <w:right w:val="nil"/>
            </w:tcBorders>
            <w:shd w:val="clear" w:color="auto" w:fill="auto"/>
            <w:vAlign w:val="top"/>
          </w:tcPr>
          <w:p w14:paraId="61B8653B">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SD</w:t>
            </w:r>
          </w:p>
        </w:tc>
        <w:tc>
          <w:tcPr>
            <w:tcW w:w="712" w:type="dxa"/>
            <w:tcBorders>
              <w:top w:val="single" w:color="auto" w:sz="6" w:space="0"/>
              <w:left w:val="nil"/>
              <w:bottom w:val="single" w:color="auto" w:sz="6" w:space="0"/>
              <w:right w:val="nil"/>
            </w:tcBorders>
            <w:shd w:val="clear" w:color="auto" w:fill="auto"/>
            <w:vAlign w:val="top"/>
          </w:tcPr>
          <w:p w14:paraId="0E7CCDF5">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Min</w:t>
            </w:r>
          </w:p>
        </w:tc>
        <w:tc>
          <w:tcPr>
            <w:tcW w:w="1067" w:type="dxa"/>
            <w:tcBorders>
              <w:top w:val="single" w:color="auto" w:sz="6" w:space="0"/>
              <w:left w:val="nil"/>
              <w:bottom w:val="single" w:color="auto" w:sz="6" w:space="0"/>
              <w:right w:val="nil"/>
            </w:tcBorders>
            <w:shd w:val="clear" w:color="auto" w:fill="auto"/>
            <w:vAlign w:val="top"/>
          </w:tcPr>
          <w:p w14:paraId="7FF1BF30">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Max</w:t>
            </w:r>
          </w:p>
        </w:tc>
      </w:tr>
      <w:tr w14:paraId="62EFE4B1">
        <w:trPr>
          <w:trHeight w:val="273" w:hRule="atLeast"/>
        </w:trPr>
        <w:tc>
          <w:tcPr>
            <w:tcW w:w="2158" w:type="dxa"/>
            <w:tcBorders>
              <w:top w:val="single" w:color="auto" w:sz="6" w:space="0"/>
              <w:left w:val="nil"/>
              <w:bottom w:val="nil"/>
              <w:right w:val="nil"/>
            </w:tcBorders>
            <w:shd w:val="clear" w:color="auto" w:fill="auto"/>
            <w:vAlign w:val="top"/>
          </w:tcPr>
          <w:p w14:paraId="5BFEA571">
            <w:pPr>
              <w:suppressAutoHyphens/>
              <w:kinsoku w:val="0"/>
              <w:overflowPunct w:val="0"/>
              <w:autoSpaceDE w:val="0"/>
              <w:autoSpaceDN w:val="0"/>
              <w:adjustRightInd w:val="0"/>
              <w:snapToGrid w:val="0"/>
              <w:jc w:val="left"/>
              <w:rPr>
                <w:rFonts w:ascii="Times New Roman" w:hAnsi="Times New Roman" w:eastAsia="Songti SC" w:cs="Times New Roman"/>
                <w:szCs w:val="21"/>
              </w:rPr>
            </w:pPr>
            <w:r>
              <w:rPr>
                <w:rFonts w:ascii="Times New Roman" w:hAnsi="Times New Roman" w:eastAsia="Times New Roman" w:cs="Times New Roman"/>
                <w:lang w:val="en-GB"/>
              </w:rPr>
              <w:t>AQI</w:t>
            </w:r>
          </w:p>
        </w:tc>
        <w:tc>
          <w:tcPr>
            <w:tcW w:w="959" w:type="dxa"/>
            <w:tcBorders>
              <w:top w:val="single" w:color="auto" w:sz="6" w:space="0"/>
              <w:left w:val="nil"/>
              <w:bottom w:val="nil"/>
              <w:right w:val="nil"/>
            </w:tcBorders>
            <w:shd w:val="clear" w:color="auto" w:fill="auto"/>
            <w:vAlign w:val="top"/>
          </w:tcPr>
          <w:p w14:paraId="171C53AA">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93777</w:t>
            </w:r>
          </w:p>
        </w:tc>
        <w:tc>
          <w:tcPr>
            <w:tcW w:w="1067" w:type="dxa"/>
            <w:tcBorders>
              <w:top w:val="single" w:color="auto" w:sz="6" w:space="0"/>
              <w:left w:val="nil"/>
              <w:bottom w:val="nil"/>
              <w:right w:val="nil"/>
            </w:tcBorders>
            <w:shd w:val="clear" w:color="auto" w:fill="auto"/>
            <w:vAlign w:val="top"/>
          </w:tcPr>
          <w:p w14:paraId="2DE07CFC">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113.6</w:t>
            </w:r>
          </w:p>
        </w:tc>
        <w:tc>
          <w:tcPr>
            <w:tcW w:w="1244" w:type="dxa"/>
            <w:tcBorders>
              <w:top w:val="single" w:color="auto" w:sz="6" w:space="0"/>
              <w:left w:val="nil"/>
              <w:bottom w:val="nil"/>
              <w:right w:val="nil"/>
            </w:tcBorders>
            <w:shd w:val="clear" w:color="auto" w:fill="auto"/>
            <w:vAlign w:val="top"/>
          </w:tcPr>
          <w:p w14:paraId="501973C6">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84</w:t>
            </w:r>
          </w:p>
        </w:tc>
        <w:tc>
          <w:tcPr>
            <w:tcW w:w="1244" w:type="dxa"/>
            <w:tcBorders>
              <w:top w:val="single" w:color="auto" w:sz="6" w:space="0"/>
              <w:left w:val="nil"/>
              <w:bottom w:val="nil"/>
              <w:right w:val="nil"/>
            </w:tcBorders>
            <w:shd w:val="clear" w:color="auto" w:fill="auto"/>
            <w:vAlign w:val="top"/>
          </w:tcPr>
          <w:p w14:paraId="2DD23954">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80.18</w:t>
            </w:r>
          </w:p>
        </w:tc>
        <w:tc>
          <w:tcPr>
            <w:tcW w:w="712" w:type="dxa"/>
            <w:tcBorders>
              <w:top w:val="single" w:color="auto" w:sz="6" w:space="0"/>
              <w:left w:val="nil"/>
              <w:bottom w:val="nil"/>
              <w:right w:val="nil"/>
            </w:tcBorders>
            <w:shd w:val="clear" w:color="auto" w:fill="auto"/>
            <w:vAlign w:val="top"/>
          </w:tcPr>
          <w:p w14:paraId="38F918AE">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31</w:t>
            </w:r>
          </w:p>
        </w:tc>
        <w:tc>
          <w:tcPr>
            <w:tcW w:w="1067" w:type="dxa"/>
            <w:tcBorders>
              <w:top w:val="single" w:color="auto" w:sz="6" w:space="0"/>
              <w:left w:val="nil"/>
              <w:bottom w:val="nil"/>
              <w:right w:val="nil"/>
            </w:tcBorders>
            <w:shd w:val="clear" w:color="auto" w:fill="auto"/>
            <w:vAlign w:val="top"/>
          </w:tcPr>
          <w:p w14:paraId="6CB44743">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381</w:t>
            </w:r>
          </w:p>
        </w:tc>
      </w:tr>
      <w:tr w14:paraId="2DFB80D2">
        <w:trPr>
          <w:trHeight w:val="90" w:hRule="atLeast"/>
        </w:trPr>
        <w:tc>
          <w:tcPr>
            <w:tcW w:w="2158" w:type="dxa"/>
            <w:tcBorders>
              <w:top w:val="nil"/>
            </w:tcBorders>
            <w:shd w:val="clear" w:color="auto" w:fill="auto"/>
            <w:vAlign w:val="top"/>
          </w:tcPr>
          <w:p w14:paraId="0728ED36">
            <w:pPr>
              <w:suppressAutoHyphens/>
              <w:kinsoku w:val="0"/>
              <w:overflowPunct w:val="0"/>
              <w:autoSpaceDE w:val="0"/>
              <w:autoSpaceDN w:val="0"/>
              <w:adjustRightInd w:val="0"/>
              <w:snapToGrid w:val="0"/>
              <w:jc w:val="left"/>
              <w:rPr>
                <w:rFonts w:ascii="Times New Roman" w:hAnsi="Times New Roman" w:cs="Times New Roman"/>
                <w:szCs w:val="21"/>
              </w:rPr>
            </w:pPr>
            <w:r>
              <w:rPr>
                <w:rFonts w:ascii="Times New Roman" w:hAnsi="Times New Roman" w:eastAsia="Times New Roman" w:cs="Times New Roman"/>
                <w:lang w:val="en-GB"/>
              </w:rPr>
              <w:t>Travel dummy</w:t>
            </w:r>
            <w:r>
              <w:rPr>
                <w:rFonts w:ascii="Times New Roman" w:hAnsi="Times New Roman" w:eastAsia="Times New Roman" w:cs="Times New Roman"/>
                <w:vertAlign w:val="superscript"/>
                <w:lang w:val="en-GB"/>
              </w:rPr>
              <w:t xml:space="preserve"> </w:t>
            </w:r>
            <w:r>
              <w:rPr>
                <w:rFonts w:ascii="Times New Roman" w:hAnsi="Times New Roman" w:eastAsia="Times New Roman" w:cs="Times New Roman"/>
                <w:lang w:val="en-GB"/>
              </w:rPr>
              <w:t>(0/1)</w:t>
            </w:r>
          </w:p>
        </w:tc>
        <w:tc>
          <w:tcPr>
            <w:tcW w:w="959" w:type="dxa"/>
            <w:tcBorders>
              <w:top w:val="nil"/>
            </w:tcBorders>
            <w:shd w:val="clear" w:color="auto" w:fill="auto"/>
            <w:vAlign w:val="top"/>
          </w:tcPr>
          <w:p w14:paraId="682AAF3A">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93777</w:t>
            </w:r>
          </w:p>
        </w:tc>
        <w:tc>
          <w:tcPr>
            <w:tcW w:w="1067" w:type="dxa"/>
            <w:tcBorders>
              <w:top w:val="nil"/>
            </w:tcBorders>
            <w:shd w:val="clear" w:color="auto" w:fill="auto"/>
            <w:vAlign w:val="top"/>
          </w:tcPr>
          <w:p w14:paraId="7ED31CFA">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0.820</w:t>
            </w:r>
          </w:p>
        </w:tc>
        <w:tc>
          <w:tcPr>
            <w:tcW w:w="1244" w:type="dxa"/>
            <w:tcBorders>
              <w:top w:val="nil"/>
            </w:tcBorders>
            <w:shd w:val="clear" w:color="auto" w:fill="auto"/>
            <w:vAlign w:val="top"/>
          </w:tcPr>
          <w:p w14:paraId="48CBFEE8">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1</w:t>
            </w:r>
          </w:p>
        </w:tc>
        <w:tc>
          <w:tcPr>
            <w:tcW w:w="1244" w:type="dxa"/>
            <w:tcBorders>
              <w:top w:val="nil"/>
            </w:tcBorders>
            <w:shd w:val="clear" w:color="auto" w:fill="auto"/>
            <w:vAlign w:val="top"/>
          </w:tcPr>
          <w:p w14:paraId="06380C55">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0.390</w:t>
            </w:r>
          </w:p>
        </w:tc>
        <w:tc>
          <w:tcPr>
            <w:tcW w:w="712" w:type="dxa"/>
            <w:tcBorders>
              <w:top w:val="nil"/>
            </w:tcBorders>
            <w:shd w:val="clear" w:color="auto" w:fill="auto"/>
            <w:vAlign w:val="top"/>
          </w:tcPr>
          <w:p w14:paraId="27BFD8F3">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0</w:t>
            </w:r>
          </w:p>
        </w:tc>
        <w:tc>
          <w:tcPr>
            <w:tcW w:w="1067" w:type="dxa"/>
            <w:tcBorders>
              <w:top w:val="nil"/>
            </w:tcBorders>
            <w:shd w:val="clear" w:color="auto" w:fill="auto"/>
            <w:vAlign w:val="top"/>
          </w:tcPr>
          <w:p w14:paraId="0C6C356C">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1</w:t>
            </w:r>
          </w:p>
        </w:tc>
      </w:tr>
      <w:tr w14:paraId="23689FB3">
        <w:tc>
          <w:tcPr>
            <w:tcW w:w="2158" w:type="dxa"/>
            <w:shd w:val="clear" w:color="auto" w:fill="auto"/>
            <w:vAlign w:val="top"/>
          </w:tcPr>
          <w:p w14:paraId="75884FE1">
            <w:pPr>
              <w:suppressAutoHyphens/>
              <w:kinsoku w:val="0"/>
              <w:overflowPunct w:val="0"/>
              <w:autoSpaceDE w:val="0"/>
              <w:autoSpaceDN w:val="0"/>
              <w:adjustRightInd w:val="0"/>
              <w:snapToGrid w:val="0"/>
              <w:jc w:val="left"/>
              <w:rPr>
                <w:rFonts w:ascii="Times New Roman" w:hAnsi="Times New Roman" w:eastAsia="Songti SC" w:cs="Times New Roman"/>
                <w:szCs w:val="21"/>
              </w:rPr>
            </w:pPr>
            <w:r>
              <w:rPr>
                <w:rFonts w:ascii="Times New Roman" w:hAnsi="Times New Roman" w:eastAsia="Times New Roman" w:cs="Times New Roman"/>
                <w:lang w:val="en-GB"/>
              </w:rPr>
              <w:t>Duration (minutes)</w:t>
            </w:r>
          </w:p>
        </w:tc>
        <w:tc>
          <w:tcPr>
            <w:tcW w:w="959" w:type="dxa"/>
            <w:shd w:val="clear" w:color="auto" w:fill="auto"/>
            <w:vAlign w:val="top"/>
          </w:tcPr>
          <w:p w14:paraId="7DF83C2B">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76453</w:t>
            </w:r>
          </w:p>
        </w:tc>
        <w:tc>
          <w:tcPr>
            <w:tcW w:w="1067" w:type="dxa"/>
            <w:shd w:val="clear" w:color="auto" w:fill="auto"/>
            <w:vAlign w:val="top"/>
          </w:tcPr>
          <w:p w14:paraId="1B0BB7F0">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88.47</w:t>
            </w:r>
          </w:p>
        </w:tc>
        <w:tc>
          <w:tcPr>
            <w:tcW w:w="1244" w:type="dxa"/>
            <w:shd w:val="clear" w:color="auto" w:fill="auto"/>
            <w:vAlign w:val="top"/>
          </w:tcPr>
          <w:p w14:paraId="1C0BA685">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70</w:t>
            </w:r>
          </w:p>
        </w:tc>
        <w:tc>
          <w:tcPr>
            <w:tcW w:w="1244" w:type="dxa"/>
            <w:shd w:val="clear" w:color="auto" w:fill="auto"/>
            <w:vAlign w:val="top"/>
          </w:tcPr>
          <w:p w14:paraId="358C1E02">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67.92</w:t>
            </w:r>
          </w:p>
        </w:tc>
        <w:tc>
          <w:tcPr>
            <w:tcW w:w="712" w:type="dxa"/>
            <w:shd w:val="clear" w:color="auto" w:fill="auto"/>
            <w:vAlign w:val="top"/>
          </w:tcPr>
          <w:p w14:paraId="60CD4C4F">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2</w:t>
            </w:r>
          </w:p>
        </w:tc>
        <w:tc>
          <w:tcPr>
            <w:tcW w:w="1067" w:type="dxa"/>
            <w:shd w:val="clear" w:color="auto" w:fill="auto"/>
            <w:vAlign w:val="top"/>
          </w:tcPr>
          <w:p w14:paraId="5B757A33">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1020</w:t>
            </w:r>
          </w:p>
        </w:tc>
      </w:tr>
      <w:tr w14:paraId="49A533F4">
        <w:tc>
          <w:tcPr>
            <w:tcW w:w="2158" w:type="dxa"/>
            <w:shd w:val="clear" w:color="auto" w:fill="auto"/>
            <w:vAlign w:val="top"/>
          </w:tcPr>
          <w:p w14:paraId="0BAACA2A">
            <w:pPr>
              <w:suppressAutoHyphens/>
              <w:kinsoku w:val="0"/>
              <w:overflowPunct w:val="0"/>
              <w:autoSpaceDE w:val="0"/>
              <w:autoSpaceDN w:val="0"/>
              <w:adjustRightInd w:val="0"/>
              <w:snapToGrid w:val="0"/>
              <w:jc w:val="left"/>
              <w:rPr>
                <w:rFonts w:ascii="Times New Roman" w:hAnsi="Times New Roman" w:eastAsia="Songti SC" w:cs="Times New Roman"/>
                <w:szCs w:val="21"/>
              </w:rPr>
            </w:pPr>
            <w:r>
              <w:rPr>
                <w:rFonts w:ascii="Times New Roman" w:hAnsi="Times New Roman" w:eastAsia="Times New Roman" w:cs="Times New Roman"/>
                <w:lang w:val="en-GB"/>
              </w:rPr>
              <w:t>Discretionary trip (0/1)</w:t>
            </w:r>
          </w:p>
        </w:tc>
        <w:tc>
          <w:tcPr>
            <w:tcW w:w="959" w:type="dxa"/>
            <w:shd w:val="clear" w:color="auto" w:fill="auto"/>
            <w:vAlign w:val="top"/>
          </w:tcPr>
          <w:p w14:paraId="383938F4">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93777</w:t>
            </w:r>
          </w:p>
        </w:tc>
        <w:tc>
          <w:tcPr>
            <w:tcW w:w="1067" w:type="dxa"/>
            <w:shd w:val="clear" w:color="auto" w:fill="auto"/>
            <w:vAlign w:val="top"/>
          </w:tcPr>
          <w:p w14:paraId="34559765">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0.810</w:t>
            </w:r>
          </w:p>
        </w:tc>
        <w:tc>
          <w:tcPr>
            <w:tcW w:w="1244" w:type="dxa"/>
            <w:shd w:val="clear" w:color="auto" w:fill="auto"/>
            <w:vAlign w:val="top"/>
          </w:tcPr>
          <w:p w14:paraId="224A01CE">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1</w:t>
            </w:r>
          </w:p>
        </w:tc>
        <w:tc>
          <w:tcPr>
            <w:tcW w:w="1244" w:type="dxa"/>
            <w:shd w:val="clear" w:color="auto" w:fill="auto"/>
            <w:vAlign w:val="top"/>
          </w:tcPr>
          <w:p w14:paraId="39C8BF51">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0.390</w:t>
            </w:r>
          </w:p>
        </w:tc>
        <w:tc>
          <w:tcPr>
            <w:tcW w:w="712" w:type="dxa"/>
            <w:shd w:val="clear" w:color="auto" w:fill="auto"/>
            <w:vAlign w:val="top"/>
          </w:tcPr>
          <w:p w14:paraId="6410CDD4">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0</w:t>
            </w:r>
          </w:p>
        </w:tc>
        <w:tc>
          <w:tcPr>
            <w:tcW w:w="1067" w:type="dxa"/>
            <w:shd w:val="clear" w:color="auto" w:fill="auto"/>
            <w:vAlign w:val="top"/>
          </w:tcPr>
          <w:p w14:paraId="0FD6C8C7">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1</w:t>
            </w:r>
          </w:p>
        </w:tc>
      </w:tr>
      <w:tr w14:paraId="354C0E46">
        <w:tc>
          <w:tcPr>
            <w:tcW w:w="2158" w:type="dxa"/>
            <w:shd w:val="clear" w:color="auto" w:fill="auto"/>
            <w:vAlign w:val="top"/>
          </w:tcPr>
          <w:p w14:paraId="0D0BA002">
            <w:pPr>
              <w:suppressAutoHyphens/>
              <w:kinsoku w:val="0"/>
              <w:overflowPunct w:val="0"/>
              <w:autoSpaceDE w:val="0"/>
              <w:autoSpaceDN w:val="0"/>
              <w:adjustRightInd w:val="0"/>
              <w:snapToGrid w:val="0"/>
              <w:jc w:val="left"/>
              <w:rPr>
                <w:rFonts w:ascii="Times New Roman" w:hAnsi="Times New Roman" w:eastAsia="Songti SC" w:cs="Times New Roman"/>
                <w:szCs w:val="21"/>
              </w:rPr>
            </w:pPr>
            <w:r>
              <w:rPr>
                <w:rFonts w:ascii="Times New Roman" w:hAnsi="Times New Roman" w:eastAsia="Times New Roman" w:cs="Times New Roman"/>
                <w:lang w:val="en-GB"/>
              </w:rPr>
              <w:t>Commuting trip (0/1)</w:t>
            </w:r>
          </w:p>
        </w:tc>
        <w:tc>
          <w:tcPr>
            <w:tcW w:w="959" w:type="dxa"/>
            <w:shd w:val="clear" w:color="auto" w:fill="auto"/>
            <w:vAlign w:val="top"/>
          </w:tcPr>
          <w:p w14:paraId="6B880AF6">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93777</w:t>
            </w:r>
          </w:p>
        </w:tc>
        <w:tc>
          <w:tcPr>
            <w:tcW w:w="1067" w:type="dxa"/>
            <w:shd w:val="clear" w:color="auto" w:fill="auto"/>
            <w:vAlign w:val="top"/>
          </w:tcPr>
          <w:p w14:paraId="52660E6C">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0.430</w:t>
            </w:r>
          </w:p>
        </w:tc>
        <w:tc>
          <w:tcPr>
            <w:tcW w:w="1244" w:type="dxa"/>
            <w:shd w:val="clear" w:color="auto" w:fill="auto"/>
            <w:vAlign w:val="top"/>
          </w:tcPr>
          <w:p w14:paraId="73BFFC52">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0</w:t>
            </w:r>
          </w:p>
        </w:tc>
        <w:tc>
          <w:tcPr>
            <w:tcW w:w="1244" w:type="dxa"/>
            <w:shd w:val="clear" w:color="auto" w:fill="auto"/>
            <w:vAlign w:val="top"/>
          </w:tcPr>
          <w:p w14:paraId="1CC83CFD">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0.500</w:t>
            </w:r>
          </w:p>
        </w:tc>
        <w:tc>
          <w:tcPr>
            <w:tcW w:w="712" w:type="dxa"/>
            <w:shd w:val="clear" w:color="auto" w:fill="auto"/>
            <w:vAlign w:val="top"/>
          </w:tcPr>
          <w:p w14:paraId="52DE58CE">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0</w:t>
            </w:r>
          </w:p>
        </w:tc>
        <w:tc>
          <w:tcPr>
            <w:tcW w:w="1067" w:type="dxa"/>
            <w:shd w:val="clear" w:color="auto" w:fill="auto"/>
            <w:vAlign w:val="top"/>
          </w:tcPr>
          <w:p w14:paraId="7D1BF4DB">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1</w:t>
            </w:r>
          </w:p>
        </w:tc>
      </w:tr>
      <w:tr w14:paraId="01644038">
        <w:tc>
          <w:tcPr>
            <w:tcW w:w="2158" w:type="dxa"/>
            <w:shd w:val="clear" w:color="auto" w:fill="auto"/>
            <w:vAlign w:val="top"/>
          </w:tcPr>
          <w:p w14:paraId="79496399">
            <w:pPr>
              <w:suppressAutoHyphens/>
              <w:kinsoku w:val="0"/>
              <w:overflowPunct w:val="0"/>
              <w:autoSpaceDE w:val="0"/>
              <w:autoSpaceDN w:val="0"/>
              <w:adjustRightInd w:val="0"/>
              <w:snapToGrid w:val="0"/>
              <w:jc w:val="left"/>
              <w:rPr>
                <w:rFonts w:ascii="Times New Roman" w:hAnsi="Times New Roman" w:eastAsia="Songti SC" w:cs="Times New Roman"/>
                <w:szCs w:val="21"/>
              </w:rPr>
            </w:pPr>
            <w:r>
              <w:rPr>
                <w:rFonts w:ascii="Times New Roman" w:hAnsi="Times New Roman" w:eastAsia="Times New Roman" w:cs="Times New Roman"/>
                <w:lang w:val="en-GB"/>
              </w:rPr>
              <w:t>High-exposure trip (0/1)</w:t>
            </w:r>
          </w:p>
        </w:tc>
        <w:tc>
          <w:tcPr>
            <w:tcW w:w="959" w:type="dxa"/>
            <w:shd w:val="clear" w:color="auto" w:fill="auto"/>
            <w:vAlign w:val="top"/>
          </w:tcPr>
          <w:p w14:paraId="718C3894">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76453</w:t>
            </w:r>
          </w:p>
        </w:tc>
        <w:tc>
          <w:tcPr>
            <w:tcW w:w="1067" w:type="dxa"/>
            <w:shd w:val="clear" w:color="auto" w:fill="auto"/>
            <w:vAlign w:val="top"/>
          </w:tcPr>
          <w:p w14:paraId="483B1FFC">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0.570</w:t>
            </w:r>
          </w:p>
        </w:tc>
        <w:tc>
          <w:tcPr>
            <w:tcW w:w="1244" w:type="dxa"/>
            <w:shd w:val="clear" w:color="auto" w:fill="auto"/>
            <w:vAlign w:val="top"/>
          </w:tcPr>
          <w:p w14:paraId="000E467B">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1</w:t>
            </w:r>
          </w:p>
        </w:tc>
        <w:tc>
          <w:tcPr>
            <w:tcW w:w="1244" w:type="dxa"/>
            <w:shd w:val="clear" w:color="auto" w:fill="auto"/>
            <w:vAlign w:val="top"/>
          </w:tcPr>
          <w:p w14:paraId="522D39D8">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0.490</w:t>
            </w:r>
          </w:p>
        </w:tc>
        <w:tc>
          <w:tcPr>
            <w:tcW w:w="712" w:type="dxa"/>
            <w:shd w:val="clear" w:color="auto" w:fill="auto"/>
            <w:vAlign w:val="top"/>
          </w:tcPr>
          <w:p w14:paraId="456FEB0E">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0</w:t>
            </w:r>
          </w:p>
        </w:tc>
        <w:tc>
          <w:tcPr>
            <w:tcW w:w="1067" w:type="dxa"/>
            <w:shd w:val="clear" w:color="auto" w:fill="auto"/>
            <w:vAlign w:val="top"/>
          </w:tcPr>
          <w:p w14:paraId="355A388E">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1</w:t>
            </w:r>
          </w:p>
        </w:tc>
      </w:tr>
      <w:tr w14:paraId="05141B69">
        <w:tc>
          <w:tcPr>
            <w:tcW w:w="2158" w:type="dxa"/>
            <w:shd w:val="clear" w:color="auto" w:fill="auto"/>
            <w:vAlign w:val="top"/>
          </w:tcPr>
          <w:p w14:paraId="7A7F7772">
            <w:pPr>
              <w:suppressAutoHyphens/>
              <w:kinsoku w:val="0"/>
              <w:overflowPunct w:val="0"/>
              <w:autoSpaceDE w:val="0"/>
              <w:autoSpaceDN w:val="0"/>
              <w:adjustRightInd w:val="0"/>
              <w:snapToGrid w:val="0"/>
              <w:jc w:val="left"/>
              <w:rPr>
                <w:rFonts w:ascii="Times New Roman" w:hAnsi="Times New Roman" w:eastAsia="Songti SC" w:cs="Times New Roman"/>
                <w:szCs w:val="21"/>
              </w:rPr>
            </w:pPr>
            <w:r>
              <w:rPr>
                <w:rFonts w:ascii="Times New Roman" w:hAnsi="Times New Roman" w:eastAsia="Times New Roman" w:cs="Times New Roman"/>
                <w:lang w:val="en-GB"/>
              </w:rPr>
              <w:t>Income</w:t>
            </w:r>
            <w:r>
              <w:rPr>
                <w:rFonts w:ascii="Times New Roman" w:hAnsi="Times New Roman" w:cs="Times New Roman"/>
                <w:vertAlign w:val="superscript"/>
                <w:lang w:val="en-GB"/>
              </w:rPr>
              <w:t>a</w:t>
            </w:r>
          </w:p>
        </w:tc>
        <w:tc>
          <w:tcPr>
            <w:tcW w:w="959" w:type="dxa"/>
            <w:shd w:val="clear" w:color="auto" w:fill="auto"/>
            <w:vAlign w:val="top"/>
          </w:tcPr>
          <w:p w14:paraId="64769A7F">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93777</w:t>
            </w:r>
          </w:p>
        </w:tc>
        <w:tc>
          <w:tcPr>
            <w:tcW w:w="1067" w:type="dxa"/>
            <w:shd w:val="clear" w:color="auto" w:fill="auto"/>
            <w:vAlign w:val="top"/>
          </w:tcPr>
          <w:p w14:paraId="08CF7453">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2.150</w:t>
            </w:r>
          </w:p>
        </w:tc>
        <w:tc>
          <w:tcPr>
            <w:tcW w:w="1244" w:type="dxa"/>
            <w:shd w:val="clear" w:color="auto" w:fill="auto"/>
            <w:vAlign w:val="top"/>
          </w:tcPr>
          <w:p w14:paraId="54B71B2A">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2</w:t>
            </w:r>
          </w:p>
        </w:tc>
        <w:tc>
          <w:tcPr>
            <w:tcW w:w="1244" w:type="dxa"/>
            <w:shd w:val="clear" w:color="auto" w:fill="auto"/>
            <w:vAlign w:val="top"/>
          </w:tcPr>
          <w:p w14:paraId="35A6A514">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1.130</w:t>
            </w:r>
          </w:p>
        </w:tc>
        <w:tc>
          <w:tcPr>
            <w:tcW w:w="712" w:type="dxa"/>
            <w:shd w:val="clear" w:color="auto" w:fill="auto"/>
            <w:vAlign w:val="top"/>
          </w:tcPr>
          <w:p w14:paraId="1B2D8771">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1</w:t>
            </w:r>
          </w:p>
        </w:tc>
        <w:tc>
          <w:tcPr>
            <w:tcW w:w="1067" w:type="dxa"/>
            <w:shd w:val="clear" w:color="auto" w:fill="auto"/>
            <w:vAlign w:val="top"/>
          </w:tcPr>
          <w:p w14:paraId="748DFCCA">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8</w:t>
            </w:r>
          </w:p>
        </w:tc>
      </w:tr>
      <w:tr w14:paraId="7CFE0732">
        <w:tc>
          <w:tcPr>
            <w:tcW w:w="2158" w:type="dxa"/>
            <w:shd w:val="clear" w:color="auto" w:fill="auto"/>
            <w:vAlign w:val="top"/>
          </w:tcPr>
          <w:p w14:paraId="35FB4BE8">
            <w:pPr>
              <w:suppressAutoHyphens/>
              <w:kinsoku w:val="0"/>
              <w:overflowPunct w:val="0"/>
              <w:autoSpaceDE w:val="0"/>
              <w:autoSpaceDN w:val="0"/>
              <w:adjustRightInd w:val="0"/>
              <w:snapToGrid w:val="0"/>
              <w:jc w:val="left"/>
              <w:rPr>
                <w:rFonts w:ascii="Times New Roman" w:hAnsi="Times New Roman" w:eastAsia="Songti SC" w:cs="Times New Roman"/>
                <w:szCs w:val="21"/>
              </w:rPr>
            </w:pPr>
            <w:r>
              <w:rPr>
                <w:rFonts w:ascii="Times New Roman" w:hAnsi="Times New Roman" w:eastAsia="Times New Roman" w:cs="Times New Roman"/>
                <w:lang w:val="en-GB"/>
              </w:rPr>
              <w:t>Male</w:t>
            </w:r>
            <w:r>
              <w:rPr>
                <w:rFonts w:ascii="Times New Roman" w:hAnsi="Times New Roman" w:eastAsia="Times New Roman" w:cs="Times New Roman"/>
                <w:vertAlign w:val="superscript"/>
                <w:lang w:val="en-GB"/>
              </w:rPr>
              <w:t xml:space="preserve"> </w:t>
            </w:r>
            <w:r>
              <w:rPr>
                <w:rFonts w:ascii="Times New Roman" w:hAnsi="Times New Roman" w:eastAsia="Times New Roman" w:cs="Times New Roman"/>
                <w:lang w:val="en-GB"/>
              </w:rPr>
              <w:t>(0/1)</w:t>
            </w:r>
          </w:p>
        </w:tc>
        <w:tc>
          <w:tcPr>
            <w:tcW w:w="959" w:type="dxa"/>
            <w:shd w:val="clear" w:color="auto" w:fill="auto"/>
            <w:vAlign w:val="top"/>
          </w:tcPr>
          <w:p w14:paraId="5E532F98">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93777</w:t>
            </w:r>
          </w:p>
        </w:tc>
        <w:tc>
          <w:tcPr>
            <w:tcW w:w="1067" w:type="dxa"/>
            <w:shd w:val="clear" w:color="auto" w:fill="auto"/>
            <w:vAlign w:val="top"/>
          </w:tcPr>
          <w:p w14:paraId="20FD706A">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0.480</w:t>
            </w:r>
          </w:p>
        </w:tc>
        <w:tc>
          <w:tcPr>
            <w:tcW w:w="1244" w:type="dxa"/>
            <w:shd w:val="clear" w:color="auto" w:fill="auto"/>
            <w:vAlign w:val="top"/>
          </w:tcPr>
          <w:p w14:paraId="0FE4E51F">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0</w:t>
            </w:r>
          </w:p>
        </w:tc>
        <w:tc>
          <w:tcPr>
            <w:tcW w:w="1244" w:type="dxa"/>
            <w:shd w:val="clear" w:color="auto" w:fill="auto"/>
            <w:vAlign w:val="top"/>
          </w:tcPr>
          <w:p w14:paraId="563AAD10">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0.500</w:t>
            </w:r>
          </w:p>
        </w:tc>
        <w:tc>
          <w:tcPr>
            <w:tcW w:w="712" w:type="dxa"/>
            <w:shd w:val="clear" w:color="auto" w:fill="auto"/>
            <w:vAlign w:val="top"/>
          </w:tcPr>
          <w:p w14:paraId="1C0F1CA5">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0</w:t>
            </w:r>
          </w:p>
        </w:tc>
        <w:tc>
          <w:tcPr>
            <w:tcW w:w="1067" w:type="dxa"/>
            <w:shd w:val="clear" w:color="auto" w:fill="auto"/>
            <w:vAlign w:val="top"/>
          </w:tcPr>
          <w:p w14:paraId="44125C6E">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1</w:t>
            </w:r>
          </w:p>
        </w:tc>
      </w:tr>
      <w:tr w14:paraId="65D0E123">
        <w:tc>
          <w:tcPr>
            <w:tcW w:w="2158" w:type="dxa"/>
            <w:tcBorders>
              <w:bottom w:val="nil"/>
            </w:tcBorders>
            <w:shd w:val="clear" w:color="auto" w:fill="auto"/>
            <w:vAlign w:val="top"/>
          </w:tcPr>
          <w:p w14:paraId="544F48B2">
            <w:pPr>
              <w:suppressAutoHyphens/>
              <w:kinsoku w:val="0"/>
              <w:overflowPunct w:val="0"/>
              <w:autoSpaceDE w:val="0"/>
              <w:autoSpaceDN w:val="0"/>
              <w:adjustRightInd w:val="0"/>
              <w:snapToGrid w:val="0"/>
              <w:jc w:val="left"/>
              <w:rPr>
                <w:rFonts w:ascii="Times New Roman" w:hAnsi="Times New Roman" w:eastAsia="Songti SC" w:cs="Times New Roman"/>
                <w:szCs w:val="21"/>
              </w:rPr>
            </w:pPr>
            <w:r>
              <w:rPr>
                <w:rFonts w:ascii="Times New Roman" w:hAnsi="Times New Roman" w:eastAsia="Times New Roman" w:cs="Times New Roman"/>
                <w:lang w:val="en-GB"/>
              </w:rPr>
              <w:t>Work_School</w:t>
            </w:r>
            <w:r>
              <w:rPr>
                <w:rFonts w:ascii="Times New Roman" w:hAnsi="Times New Roman" w:eastAsia="Times New Roman" w:cs="Times New Roman"/>
                <w:vertAlign w:val="superscript"/>
                <w:lang w:val="en-GB"/>
              </w:rPr>
              <w:t xml:space="preserve"> </w:t>
            </w:r>
            <w:r>
              <w:rPr>
                <w:rFonts w:ascii="Times New Roman" w:hAnsi="Times New Roman" w:eastAsia="Times New Roman" w:cs="Times New Roman"/>
                <w:lang w:val="en-GB"/>
              </w:rPr>
              <w:t>(0/1)</w:t>
            </w:r>
          </w:p>
        </w:tc>
        <w:tc>
          <w:tcPr>
            <w:tcW w:w="959" w:type="dxa"/>
            <w:tcBorders>
              <w:bottom w:val="nil"/>
            </w:tcBorders>
            <w:shd w:val="clear" w:color="auto" w:fill="auto"/>
            <w:vAlign w:val="top"/>
          </w:tcPr>
          <w:p w14:paraId="7CE472E7">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93777</w:t>
            </w:r>
          </w:p>
        </w:tc>
        <w:tc>
          <w:tcPr>
            <w:tcW w:w="1067" w:type="dxa"/>
            <w:tcBorders>
              <w:bottom w:val="nil"/>
            </w:tcBorders>
            <w:shd w:val="clear" w:color="auto" w:fill="auto"/>
            <w:vAlign w:val="top"/>
          </w:tcPr>
          <w:p w14:paraId="2D15470A">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0.560</w:t>
            </w:r>
          </w:p>
        </w:tc>
        <w:tc>
          <w:tcPr>
            <w:tcW w:w="1244" w:type="dxa"/>
            <w:tcBorders>
              <w:bottom w:val="nil"/>
            </w:tcBorders>
            <w:shd w:val="clear" w:color="auto" w:fill="auto"/>
            <w:vAlign w:val="top"/>
          </w:tcPr>
          <w:p w14:paraId="2B5C9C61">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1</w:t>
            </w:r>
          </w:p>
        </w:tc>
        <w:tc>
          <w:tcPr>
            <w:tcW w:w="1244" w:type="dxa"/>
            <w:tcBorders>
              <w:bottom w:val="nil"/>
            </w:tcBorders>
            <w:shd w:val="clear" w:color="auto" w:fill="auto"/>
            <w:vAlign w:val="top"/>
          </w:tcPr>
          <w:p w14:paraId="64329885">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0.500</w:t>
            </w:r>
          </w:p>
        </w:tc>
        <w:tc>
          <w:tcPr>
            <w:tcW w:w="712" w:type="dxa"/>
            <w:tcBorders>
              <w:bottom w:val="nil"/>
            </w:tcBorders>
            <w:shd w:val="clear" w:color="auto" w:fill="auto"/>
            <w:vAlign w:val="top"/>
          </w:tcPr>
          <w:p w14:paraId="0544E90A">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0</w:t>
            </w:r>
          </w:p>
        </w:tc>
        <w:tc>
          <w:tcPr>
            <w:tcW w:w="1067" w:type="dxa"/>
            <w:tcBorders>
              <w:bottom w:val="nil"/>
            </w:tcBorders>
            <w:shd w:val="clear" w:color="auto" w:fill="auto"/>
            <w:vAlign w:val="top"/>
          </w:tcPr>
          <w:p w14:paraId="5D03673B">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1</w:t>
            </w:r>
          </w:p>
        </w:tc>
      </w:tr>
      <w:tr w14:paraId="0D8A3CD5">
        <w:tc>
          <w:tcPr>
            <w:tcW w:w="2158" w:type="dxa"/>
            <w:tcBorders>
              <w:top w:val="nil"/>
              <w:left w:val="nil"/>
              <w:bottom w:val="single" w:color="auto" w:sz="4" w:space="0"/>
              <w:right w:val="nil"/>
            </w:tcBorders>
            <w:shd w:val="clear" w:color="auto" w:fill="auto"/>
            <w:vAlign w:val="top"/>
          </w:tcPr>
          <w:p w14:paraId="23BAE2AD">
            <w:pPr>
              <w:suppressAutoHyphens/>
              <w:kinsoku w:val="0"/>
              <w:overflowPunct w:val="0"/>
              <w:autoSpaceDE w:val="0"/>
              <w:autoSpaceDN w:val="0"/>
              <w:adjustRightInd w:val="0"/>
              <w:snapToGrid w:val="0"/>
              <w:jc w:val="left"/>
              <w:rPr>
                <w:rFonts w:ascii="Times New Roman" w:hAnsi="Times New Roman" w:eastAsia="Songti SC" w:cs="Times New Roman"/>
                <w:szCs w:val="21"/>
              </w:rPr>
            </w:pPr>
            <w:r>
              <w:rPr>
                <w:rFonts w:ascii="Times New Roman" w:hAnsi="Times New Roman" w:eastAsia="Times New Roman" w:cs="Times New Roman"/>
                <w:lang w:val="en-GB"/>
              </w:rPr>
              <w:t>Age</w:t>
            </w:r>
          </w:p>
        </w:tc>
        <w:tc>
          <w:tcPr>
            <w:tcW w:w="959" w:type="dxa"/>
            <w:tcBorders>
              <w:top w:val="nil"/>
              <w:left w:val="nil"/>
              <w:bottom w:val="single" w:color="auto" w:sz="4" w:space="0"/>
              <w:right w:val="nil"/>
            </w:tcBorders>
            <w:shd w:val="clear" w:color="auto" w:fill="auto"/>
            <w:vAlign w:val="top"/>
          </w:tcPr>
          <w:p w14:paraId="39AF7E7D">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93777</w:t>
            </w:r>
          </w:p>
        </w:tc>
        <w:tc>
          <w:tcPr>
            <w:tcW w:w="1067" w:type="dxa"/>
            <w:tcBorders>
              <w:top w:val="nil"/>
              <w:left w:val="nil"/>
              <w:bottom w:val="single" w:color="auto" w:sz="4" w:space="0"/>
              <w:right w:val="nil"/>
            </w:tcBorders>
            <w:shd w:val="clear" w:color="auto" w:fill="auto"/>
            <w:vAlign w:val="top"/>
          </w:tcPr>
          <w:p w14:paraId="0FCC6885">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46.95</w:t>
            </w:r>
          </w:p>
        </w:tc>
        <w:tc>
          <w:tcPr>
            <w:tcW w:w="1244" w:type="dxa"/>
            <w:tcBorders>
              <w:top w:val="nil"/>
              <w:left w:val="nil"/>
              <w:bottom w:val="single" w:color="auto" w:sz="4" w:space="0"/>
              <w:right w:val="nil"/>
            </w:tcBorders>
            <w:shd w:val="clear" w:color="auto" w:fill="auto"/>
            <w:vAlign w:val="top"/>
          </w:tcPr>
          <w:p w14:paraId="73C491DA">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48</w:t>
            </w:r>
          </w:p>
        </w:tc>
        <w:tc>
          <w:tcPr>
            <w:tcW w:w="1244" w:type="dxa"/>
            <w:tcBorders>
              <w:top w:val="nil"/>
              <w:left w:val="nil"/>
              <w:bottom w:val="single" w:color="auto" w:sz="4" w:space="0"/>
              <w:right w:val="nil"/>
            </w:tcBorders>
            <w:shd w:val="clear" w:color="auto" w:fill="auto"/>
            <w:vAlign w:val="top"/>
          </w:tcPr>
          <w:p w14:paraId="1604FF61">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18.06</w:t>
            </w:r>
          </w:p>
        </w:tc>
        <w:tc>
          <w:tcPr>
            <w:tcW w:w="712" w:type="dxa"/>
            <w:tcBorders>
              <w:top w:val="nil"/>
              <w:left w:val="nil"/>
              <w:bottom w:val="single" w:color="auto" w:sz="4" w:space="0"/>
              <w:right w:val="nil"/>
            </w:tcBorders>
            <w:shd w:val="clear" w:color="auto" w:fill="auto"/>
            <w:vAlign w:val="top"/>
          </w:tcPr>
          <w:p w14:paraId="5C5C3032">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6</w:t>
            </w:r>
          </w:p>
        </w:tc>
        <w:tc>
          <w:tcPr>
            <w:tcW w:w="1067" w:type="dxa"/>
            <w:tcBorders>
              <w:top w:val="nil"/>
              <w:left w:val="nil"/>
              <w:bottom w:val="single" w:color="auto" w:sz="4" w:space="0"/>
              <w:right w:val="nil"/>
            </w:tcBorders>
            <w:shd w:val="clear" w:color="auto" w:fill="auto"/>
            <w:vAlign w:val="top"/>
          </w:tcPr>
          <w:p w14:paraId="3235CEB2">
            <w:pPr>
              <w:suppressAutoHyphens/>
              <w:kinsoku w:val="0"/>
              <w:overflowPunct w:val="0"/>
              <w:autoSpaceDE w:val="0"/>
              <w:autoSpaceDN w:val="0"/>
              <w:adjustRightInd w:val="0"/>
              <w:snapToGrid w:val="0"/>
              <w:jc w:val="center"/>
              <w:rPr>
                <w:rFonts w:ascii="Times New Roman" w:hAnsi="Times New Roman" w:eastAsia="Songti SC" w:cs="Times New Roman"/>
                <w:szCs w:val="21"/>
              </w:rPr>
            </w:pPr>
            <w:r>
              <w:rPr>
                <w:rFonts w:ascii="Times New Roman" w:hAnsi="Times New Roman" w:eastAsia="Times New Roman" w:cs="Times New Roman"/>
                <w:lang w:val="en-GB"/>
              </w:rPr>
              <w:t>121</w:t>
            </w:r>
            <w:r>
              <w:rPr>
                <w:rFonts w:ascii="Times New Roman" w:hAnsi="Times New Roman" w:eastAsia="Times New Roman" w:cs="Times New Roman"/>
                <w:vertAlign w:val="superscript"/>
                <w:lang w:val="en-GB"/>
              </w:rPr>
              <w:t>b</w:t>
            </w:r>
          </w:p>
        </w:tc>
      </w:tr>
    </w:tbl>
    <w:p w14:paraId="35AD4618">
      <w:p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szCs w:val="22"/>
          <w:lang w:val="en-GB"/>
        </w:rPr>
      </w:pPr>
      <w:r>
        <w:rPr>
          <w:rFonts w:ascii="Times New Roman" w:hAnsi="Times New Roman" w:eastAsia="Times New Roman" w:cs="Times New Roman"/>
          <w:sz w:val="24"/>
          <w:szCs w:val="22"/>
          <w:vertAlign w:val="superscript"/>
          <w:lang w:val="en-GB"/>
        </w:rPr>
        <w:t>a</w:t>
      </w:r>
      <w:r>
        <w:rPr>
          <w:rFonts w:ascii="Times New Roman" w:hAnsi="Times New Roman" w:eastAsia="Times New Roman" w:cs="Times New Roman"/>
          <w:sz w:val="24"/>
          <w:szCs w:val="22"/>
          <w:lang w:val="en-GB"/>
        </w:rPr>
        <w:t xml:space="preserve"> </w:t>
      </w:r>
      <w:r>
        <w:rPr>
          <w:rFonts w:ascii="Times New Roman" w:hAnsi="Times New Roman" w:eastAsia="Times New Roman" w:cs="Times New Roman"/>
          <w:szCs w:val="21"/>
          <w:lang w:val="en-GB"/>
        </w:rPr>
        <w:t xml:space="preserve">Income </w:t>
      </w:r>
      <w:r>
        <w:rPr>
          <w:rFonts w:ascii="Times New Roman" w:hAnsi="Times New Roman" w:eastAsia="Times New Roman" w:cs="Times New Roman"/>
          <w:szCs w:val="21"/>
        </w:rPr>
        <w:t>is</w:t>
      </w:r>
      <w:r>
        <w:rPr>
          <w:rFonts w:ascii="Times New Roman" w:hAnsi="Times New Roman" w:eastAsia="Times New Roman" w:cs="Times New Roman"/>
          <w:szCs w:val="21"/>
          <w:lang w:val="en-GB"/>
        </w:rPr>
        <w:t xml:space="preserve"> categorised into eight levels: </w:t>
      </w:r>
      <w:r>
        <w:rPr>
          <w:rFonts w:hint="eastAsia" w:ascii="Times New Roman" w:hAnsi="Times New Roman" w:eastAsia="Times New Roman" w:cs="Times New Roman"/>
          <w:szCs w:val="21"/>
          <w:lang w:val="en-GB"/>
        </w:rPr>
        <w:t xml:space="preserve">[0,50), [50,100), [100, 150), [150, 200), [200, 250), [250, 300), [300, 500), [500, ∞) </w:t>
      </w:r>
      <w:r>
        <w:rPr>
          <w:rFonts w:ascii="Times New Roman" w:hAnsi="Times New Roman" w:eastAsia="Times New Roman" w:cs="Times New Roman"/>
          <w:szCs w:val="21"/>
          <w:lang w:val="en-GB"/>
        </w:rPr>
        <w:t>(in thou</w:t>
      </w:r>
      <w:bookmarkStart w:id="83" w:name="_GoBack"/>
      <w:bookmarkEnd w:id="83"/>
      <w:r>
        <w:rPr>
          <w:rFonts w:ascii="Times New Roman" w:hAnsi="Times New Roman" w:eastAsia="Times New Roman" w:cs="Times New Roman"/>
          <w:szCs w:val="21"/>
          <w:lang w:val="en-GB"/>
        </w:rPr>
        <w:t xml:space="preserve">sand yuan). </w:t>
      </w:r>
    </w:p>
    <w:p w14:paraId="04928A78">
      <w:pPr>
        <w:suppressAutoHyphens/>
        <w:kinsoku w:val="0"/>
        <w:overflowPunct w:val="0"/>
        <w:autoSpaceDE w:val="0"/>
        <w:autoSpaceDN w:val="0"/>
        <w:adjustRightInd w:val="0"/>
        <w:snapToGrid w:val="0"/>
        <w:spacing w:line="480" w:lineRule="auto"/>
        <w:rPr>
          <w:rFonts w:ascii="Times New Roman" w:hAnsi="Times New Roman" w:eastAsia="Times New Roman" w:cs="Times New Roman"/>
          <w:szCs w:val="21"/>
          <w:lang w:val="en-GB"/>
        </w:rPr>
      </w:pPr>
      <w:r>
        <w:rPr>
          <w:rFonts w:ascii="Times New Roman" w:hAnsi="Times New Roman" w:eastAsia="Times New Roman" w:cs="Times New Roman"/>
          <w:sz w:val="24"/>
          <w:szCs w:val="22"/>
          <w:vertAlign w:val="superscript"/>
          <w:lang w:val="en-GB"/>
        </w:rPr>
        <w:t>b</w:t>
      </w:r>
      <w:r>
        <w:rPr>
          <w:rFonts w:ascii="Times New Roman" w:hAnsi="Times New Roman" w:eastAsia="Times New Roman" w:cs="Times New Roman"/>
          <w:sz w:val="24"/>
          <w:szCs w:val="22"/>
          <w:lang w:val="en-GB"/>
        </w:rPr>
        <w:t xml:space="preserve"> </w:t>
      </w:r>
      <w:r>
        <w:rPr>
          <w:rFonts w:ascii="Times New Roman" w:hAnsi="Times New Roman" w:eastAsia="Times New Roman" w:cs="Times New Roman"/>
          <w:szCs w:val="21"/>
          <w:lang w:val="en-GB"/>
        </w:rPr>
        <w:t>Individuals aged ≥ 100 years account</w:t>
      </w:r>
      <w:r>
        <w:rPr>
          <w:rFonts w:ascii="Times New Roman" w:hAnsi="Times New Roman" w:eastAsia="Times New Roman" w:cs="Times New Roman"/>
          <w:szCs w:val="21"/>
        </w:rPr>
        <w:t>s</w:t>
      </w:r>
      <w:r>
        <w:rPr>
          <w:rFonts w:ascii="Times New Roman" w:hAnsi="Times New Roman" w:eastAsia="Times New Roman" w:cs="Times New Roman"/>
          <w:szCs w:val="21"/>
          <w:lang w:val="en-GB"/>
        </w:rPr>
        <w:t xml:space="preserve"> for 0.016% of our sample. According to the 2020 Population Census</w:t>
      </w:r>
      <w:r>
        <w:rPr>
          <w:rFonts w:hint="eastAsia" w:ascii="Times New Roman" w:hAnsi="Times New Roman" w:eastAsia="宋体" w:cs="Times New Roman"/>
          <w:szCs w:val="21"/>
          <w:lang w:eastAsia="zh-CN"/>
        </w:rPr>
        <w:t xml:space="preserve"> o</w:t>
      </w:r>
      <w:r>
        <w:rPr>
          <w:rFonts w:ascii="Times New Roman" w:hAnsi="Times New Roman" w:eastAsia="宋体" w:cs="Times New Roman"/>
          <w:szCs w:val="21"/>
          <w:lang w:eastAsia="zh-CN"/>
        </w:rPr>
        <w:t>f the People’s Republic of China</w:t>
      </w:r>
      <w:r>
        <w:rPr>
          <w:rFonts w:ascii="Times New Roman" w:hAnsi="Times New Roman" w:eastAsia="Times New Roman" w:cs="Times New Roman"/>
          <w:szCs w:val="21"/>
          <w:lang w:val="en-GB"/>
        </w:rPr>
        <w:t>, individuals aged ≥ 100 years account for 0.01% of the total population in China. The similarity between these two proportions alleviates concerns regarding outliers.</w:t>
      </w:r>
    </w:p>
    <w:p w14:paraId="04D6C3E3">
      <w:pPr>
        <w:suppressAutoHyphens/>
        <w:kinsoku w:val="0"/>
        <w:overflowPunct w:val="0"/>
        <w:autoSpaceDE w:val="0"/>
        <w:autoSpaceDN w:val="0"/>
        <w:adjustRightInd w:val="0"/>
        <w:snapToGrid w:val="0"/>
        <w:spacing w:line="300" w:lineRule="auto"/>
        <w:rPr>
          <w:rFonts w:ascii="Times New Roman" w:hAnsi="Times New Roman" w:eastAsia="Times New Roman" w:cs="Times New Roman"/>
          <w:lang w:val="en-GB"/>
        </w:rPr>
      </w:pPr>
    </w:p>
    <w:p w14:paraId="03E1DCB9">
      <w:pPr>
        <w:widowControl/>
        <w:jc w:val="left"/>
        <w:rPr>
          <w:rFonts w:ascii="Times New Roman" w:hAnsi="Times New Roman" w:eastAsia="Times New Roman" w:cs="Times New Roman"/>
          <w:b/>
          <w:sz w:val="28"/>
          <w:lang w:val="en-GB"/>
        </w:rPr>
      </w:pPr>
    </w:p>
    <w:p w14:paraId="2A58A65D">
      <w:pPr>
        <w:widowControl/>
        <w:jc w:val="left"/>
        <w:rPr>
          <w:rFonts w:ascii="Times New Roman" w:hAnsi="Times New Roman" w:eastAsia="Times New Roman" w:cs="Times New Roman"/>
          <w:b/>
          <w:sz w:val="28"/>
          <w:lang w:val="en-GB"/>
        </w:rPr>
      </w:pPr>
    </w:p>
    <w:p w14:paraId="4015C62A">
      <w:pPr>
        <w:widowControl/>
        <w:jc w:val="left"/>
        <w:rPr>
          <w:rFonts w:ascii="Times New Roman" w:hAnsi="Times New Roman" w:eastAsia="Times New Roman" w:cs="Times New Roman"/>
          <w:b/>
          <w:sz w:val="28"/>
          <w:lang w:val="en-GB"/>
        </w:rPr>
      </w:pPr>
      <w:r>
        <w:rPr>
          <w:rFonts w:ascii="Times New Roman" w:hAnsi="Times New Roman" w:eastAsia="Times New Roman" w:cs="Times New Roman"/>
          <w:b/>
          <w:sz w:val="28"/>
          <w:lang w:val="en-GB"/>
        </w:rPr>
        <w:br w:type="page"/>
      </w:r>
    </w:p>
    <w:p w14:paraId="3E2587F9">
      <w:pPr>
        <w:suppressAutoHyphens/>
        <w:kinsoku w:val="0"/>
        <w:overflowPunct w:val="0"/>
        <w:autoSpaceDE w:val="0"/>
        <w:autoSpaceDN w:val="0"/>
        <w:adjustRightInd w:val="0"/>
        <w:snapToGrid w:val="0"/>
        <w:spacing w:line="480" w:lineRule="auto"/>
        <w:outlineLvl w:val="1"/>
        <w:rPr>
          <w:rFonts w:ascii="Times New Roman" w:hAnsi="Times New Roman" w:eastAsia="Times New Roman" w:cs="Times New Roman"/>
          <w:b/>
          <w:sz w:val="28"/>
          <w:lang w:val="en-GB"/>
        </w:rPr>
      </w:pPr>
      <w:bookmarkStart w:id="29" w:name="_Toc1251026785"/>
      <w:bookmarkStart w:id="30" w:name="_Toc274694290"/>
      <w:bookmarkStart w:id="31" w:name="_Toc1318824420"/>
      <w:bookmarkStart w:id="32" w:name="_Toc725104827"/>
      <w:r>
        <w:rPr>
          <w:rFonts w:ascii="Times New Roman" w:hAnsi="Times New Roman" w:eastAsia="Times New Roman" w:cs="Times New Roman"/>
          <w:b/>
          <w:sz w:val="28"/>
          <w:lang w:val="en-GB"/>
        </w:rPr>
        <w:t>C.2 Sample distribution characteristics</w:t>
      </w:r>
      <w:bookmarkEnd w:id="29"/>
      <w:bookmarkEnd w:id="30"/>
      <w:bookmarkEnd w:id="31"/>
      <w:bookmarkEnd w:id="32"/>
    </w:p>
    <w:p w14:paraId="40DE3140">
      <w:p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r>
        <w:rPr>
          <w:rFonts w:ascii="Times New Roman" w:hAnsi="Times New Roman" w:eastAsia="Times New Roman" w:cs="Times New Roman"/>
          <w:sz w:val="24"/>
          <w:lang w:val="en-GB"/>
        </w:rPr>
        <w:t xml:space="preserve">The subsample sizes for each survey day are shown in Fig. C1. </w:t>
      </w:r>
      <w:r>
        <w:rPr>
          <w:rFonts w:hint="default" w:ascii="Times New Roman" w:hAnsi="Times New Roman" w:eastAsia="Times New Roman" w:cs="Times New Roman"/>
          <w:sz w:val="24"/>
          <w:lang w:val="en-US"/>
        </w:rPr>
        <w:t>Moreover</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 xml:space="preserve"> t</w:t>
      </w:r>
      <w:r>
        <w:rPr>
          <w:rFonts w:ascii="Times New Roman" w:hAnsi="Times New Roman" w:eastAsia="Times New Roman" w:cs="Times New Roman"/>
          <w:sz w:val="24"/>
          <w:lang w:val="en-GB"/>
        </w:rPr>
        <w:t xml:space="preserve">he AQI data near the cutoffs of 200 and 300 </w:t>
      </w:r>
      <w:r>
        <w:rPr>
          <w:rFonts w:ascii="Times New Roman" w:hAnsi="Times New Roman" w:eastAsia="Times New Roman" w:cs="Times New Roman"/>
          <w:sz w:val="24"/>
        </w:rPr>
        <w:t>are</w:t>
      </w:r>
      <w:r>
        <w:rPr>
          <w:rFonts w:ascii="Times New Roman" w:hAnsi="Times New Roman" w:eastAsia="Times New Roman" w:cs="Times New Roman"/>
          <w:sz w:val="24"/>
          <w:lang w:val="en-GB"/>
        </w:rPr>
        <w:t xml:space="preserve"> relatively sparse, which may compromise the reliability of the RD analysis. Consequently, our analysis focuse</w:t>
      </w:r>
      <w:r>
        <w:rPr>
          <w:rFonts w:ascii="Times New Roman" w:hAnsi="Times New Roman" w:eastAsia="Times New Roman" w:cs="Times New Roman"/>
          <w:sz w:val="24"/>
        </w:rPr>
        <w:t>s</w:t>
      </w:r>
      <w:r>
        <w:rPr>
          <w:rFonts w:ascii="Times New Roman" w:hAnsi="Times New Roman" w:eastAsia="Times New Roman" w:cs="Times New Roman"/>
          <w:sz w:val="24"/>
          <w:lang w:val="en-GB"/>
        </w:rPr>
        <w:t xml:space="preserve"> on cutoffs at AQI levels of 50, 100, and 150.</w:t>
      </w:r>
    </w:p>
    <w:p w14:paraId="27143D44">
      <w:pPr>
        <w:suppressAutoHyphens/>
        <w:kinsoku w:val="0"/>
        <w:overflowPunct w:val="0"/>
        <w:autoSpaceDE w:val="0"/>
        <w:autoSpaceDN w:val="0"/>
        <w:adjustRightInd w:val="0"/>
        <w:snapToGrid w:val="0"/>
        <w:spacing w:line="480" w:lineRule="auto"/>
        <w:jc w:val="center"/>
        <w:rPr>
          <w:rFonts w:ascii="Times New Roman" w:hAnsi="Times New Roman" w:eastAsia="Times New Roman" w:cs="Times New Roman"/>
          <w:sz w:val="24"/>
          <w:lang w:val="en-GB"/>
        </w:rPr>
      </w:pPr>
      <w:r>
        <w:drawing>
          <wp:inline distT="0" distB="0" distL="114300" distR="114300">
            <wp:extent cx="3496310" cy="2449830"/>
            <wp:effectExtent l="0" t="0" r="8890" b="1397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5"/>
                    <a:stretch>
                      <a:fillRect/>
                    </a:stretch>
                  </pic:blipFill>
                  <pic:spPr>
                    <a:xfrm>
                      <a:off x="0" y="0"/>
                      <a:ext cx="3496310" cy="2449830"/>
                    </a:xfrm>
                    <a:prstGeom prst="rect">
                      <a:avLst/>
                    </a:prstGeom>
                    <a:noFill/>
                    <a:ln>
                      <a:noFill/>
                    </a:ln>
                  </pic:spPr>
                </pic:pic>
              </a:graphicData>
            </a:graphic>
          </wp:inline>
        </w:drawing>
      </w:r>
    </w:p>
    <w:p w14:paraId="4E7F2B73">
      <w:pPr>
        <w:suppressAutoHyphens/>
        <w:kinsoku w:val="0"/>
        <w:overflowPunct w:val="0"/>
        <w:autoSpaceDE w:val="0"/>
        <w:autoSpaceDN w:val="0"/>
        <w:adjustRightInd w:val="0"/>
        <w:snapToGrid w:val="0"/>
        <w:spacing w:line="480" w:lineRule="auto"/>
        <w:jc w:val="center"/>
        <w:rPr>
          <w:rFonts w:ascii="Times New Roman" w:hAnsi="Times New Roman" w:eastAsia="Times New Roman Bold" w:cs="Times New Roman"/>
          <w:b/>
          <w:lang w:val="en-GB"/>
        </w:rPr>
      </w:pPr>
      <w:r>
        <w:rPr>
          <w:rFonts w:ascii="Times New Roman" w:hAnsi="Times New Roman" w:eastAsia="Times New Roman Bold" w:cs="Times New Roman"/>
          <w:b/>
          <w:lang w:val="en-GB"/>
        </w:rPr>
        <w:t>Fig. C1: Sample distribution histogram</w:t>
      </w:r>
      <w:r>
        <w:rPr>
          <w:rFonts w:hint="eastAsia" w:ascii="Times New Roman" w:hAnsi="Times New Roman" w:eastAsia="宋体" w:cs="Times New Roman"/>
          <w:b/>
          <w:lang w:eastAsia="zh-CN"/>
        </w:rPr>
        <w:t xml:space="preserve"> </w:t>
      </w:r>
      <w:r>
        <w:rPr>
          <w:rFonts w:ascii="Times New Roman" w:hAnsi="Times New Roman" w:eastAsia="宋体" w:cs="Times New Roman"/>
          <w:b/>
          <w:lang w:eastAsia="zh-CN"/>
        </w:rPr>
        <w:t>based on survey date</w:t>
      </w:r>
      <w:r>
        <w:rPr>
          <w:rFonts w:ascii="Times New Roman" w:hAnsi="Times New Roman" w:eastAsia="Times New Roman Bold" w:cs="Times New Roman"/>
          <w:b/>
          <w:lang w:val="en-GB"/>
        </w:rPr>
        <w:t>.</w:t>
      </w:r>
    </w:p>
    <w:p w14:paraId="7013D1E8">
      <w:pPr>
        <w:suppressAutoHyphens/>
        <w:kinsoku w:val="0"/>
        <w:overflowPunct w:val="0"/>
        <w:autoSpaceDE w:val="0"/>
        <w:autoSpaceDN w:val="0"/>
        <w:adjustRightInd w:val="0"/>
        <w:snapToGrid w:val="0"/>
        <w:spacing w:line="480" w:lineRule="auto"/>
        <w:jc w:val="center"/>
        <w:rPr>
          <w:rFonts w:ascii="Times New Roman" w:hAnsi="Times New Roman" w:eastAsia="Times New Roman Bold" w:cs="Times New Roman"/>
          <w:b/>
          <w:lang w:val="en-GB"/>
        </w:rPr>
      </w:pPr>
    </w:p>
    <w:p w14:paraId="2A1F9241">
      <w:pPr>
        <w:suppressAutoHyphens/>
        <w:kinsoku w:val="0"/>
        <w:overflowPunct w:val="0"/>
        <w:autoSpaceDE w:val="0"/>
        <w:autoSpaceDN w:val="0"/>
        <w:adjustRightInd w:val="0"/>
        <w:snapToGrid w:val="0"/>
        <w:spacing w:line="480" w:lineRule="auto"/>
        <w:jc w:val="center"/>
        <w:rPr>
          <w:lang w:val="en-GB"/>
        </w:rPr>
      </w:pPr>
    </w:p>
    <w:p w14:paraId="308C3C52">
      <w:pPr>
        <w:suppressAutoHyphens/>
        <w:rPr>
          <w:rFonts w:ascii="Times New Roman" w:hAnsi="Times New Roman" w:eastAsia="Times New Roman" w:cs="Times New Roman"/>
          <w:b/>
          <w:sz w:val="32"/>
          <w:lang w:val="en-GB"/>
        </w:rPr>
      </w:pPr>
      <w:r>
        <w:rPr>
          <w:rFonts w:ascii="Times New Roman" w:hAnsi="Times New Roman" w:eastAsia="Times New Roman" w:cs="Times New Roman"/>
          <w:b/>
          <w:sz w:val="32"/>
          <w:lang w:val="en-GB"/>
        </w:rPr>
        <w:br w:type="page"/>
      </w:r>
    </w:p>
    <w:p w14:paraId="06C1F7D3">
      <w:pPr>
        <w:suppressAutoHyphens/>
        <w:kinsoku w:val="0"/>
        <w:overflowPunct w:val="0"/>
        <w:autoSpaceDE w:val="0"/>
        <w:autoSpaceDN w:val="0"/>
        <w:adjustRightInd w:val="0"/>
        <w:snapToGrid w:val="0"/>
        <w:spacing w:line="480" w:lineRule="auto"/>
        <w:outlineLvl w:val="0"/>
        <w:rPr>
          <w:rFonts w:ascii="Times New Roman" w:hAnsi="Times New Roman" w:eastAsia="Times New Roman" w:cs="Times New Roman"/>
          <w:b/>
          <w:sz w:val="32"/>
          <w:lang w:val="en-GB"/>
        </w:rPr>
      </w:pPr>
      <w:bookmarkStart w:id="33" w:name="_Toc1303306253"/>
      <w:bookmarkStart w:id="34" w:name="_Toc2014614311"/>
      <w:bookmarkStart w:id="35" w:name="_Toc1844574627"/>
      <w:bookmarkStart w:id="36" w:name="_Toc2142271365"/>
      <w:r>
        <w:rPr>
          <w:rFonts w:ascii="Times New Roman" w:hAnsi="Times New Roman" w:eastAsia="Times New Roman" w:cs="Times New Roman"/>
          <w:b/>
          <w:sz w:val="32"/>
          <w:lang w:val="en-GB"/>
        </w:rPr>
        <w:t>D. Robustness tests</w:t>
      </w:r>
      <w:bookmarkEnd w:id="33"/>
      <w:bookmarkEnd w:id="34"/>
      <w:bookmarkEnd w:id="35"/>
      <w:bookmarkEnd w:id="36"/>
    </w:p>
    <w:p w14:paraId="5A4CFF7D">
      <w:p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r>
        <w:rPr>
          <w:rFonts w:ascii="Times New Roman" w:hAnsi="Times New Roman" w:eastAsia="Times New Roman" w:cs="Times New Roman"/>
          <w:sz w:val="24"/>
          <w:lang w:val="en-GB"/>
        </w:rPr>
        <w:t xml:space="preserve">We conduct a series of robustness tests to address potential concerns regarding the baseline regression results using the RD method. RD design validity relies on the assumption that individuals whose running variable values are in the left bin of the cutoff and those whose running variable values are in the right bin are comparable. This assumption cannot be tested directly. However, if this assumption holds, we would expect the pre-determined covariates of the two groups to have no difference, and the distribution of observations would be smooth across the cutoff. Therefore, we first validate the RD design by examining the characteristics of the covariates. Second, we examine the distribution of the AQI to ensure a lack of manipulation above or below the cutoff value. Finally, as the running variable </w:t>
      </w:r>
      <w:r>
        <w:rPr>
          <w:rFonts w:ascii="Times New Roman" w:hAnsi="Times New Roman" w:eastAsia="Times New Roman" w:cs="Times New Roman"/>
          <w:sz w:val="24"/>
        </w:rPr>
        <w:t>is</w:t>
      </w:r>
      <w:r>
        <w:rPr>
          <w:rFonts w:ascii="Times New Roman" w:hAnsi="Times New Roman" w:eastAsia="Times New Roman" w:cs="Times New Roman"/>
          <w:sz w:val="24"/>
          <w:lang w:val="en-GB"/>
        </w:rPr>
        <w:t xml:space="preserve"> discrete, we use a local randomi</w:t>
      </w:r>
      <w:r>
        <w:rPr>
          <w:rFonts w:hint="default" w:ascii="Times New Roman" w:hAnsi="Times New Roman" w:eastAsia="Times New Roman" w:cs="Times New Roman"/>
          <w:sz w:val="24"/>
          <w:lang w:val="en-US"/>
        </w:rPr>
        <w:t>z</w:t>
      </w:r>
      <w:r>
        <w:rPr>
          <w:rFonts w:ascii="Times New Roman" w:hAnsi="Times New Roman" w:eastAsia="Times New Roman" w:cs="Times New Roman"/>
          <w:sz w:val="24"/>
          <w:lang w:val="en-GB"/>
        </w:rPr>
        <w:t>ation approach to verify the robustness of the baseline regression results.</w:t>
      </w:r>
    </w:p>
    <w:p w14:paraId="10000ECF">
      <w:p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p>
    <w:p w14:paraId="56F25432">
      <w:pPr>
        <w:suppressAutoHyphens/>
        <w:kinsoku w:val="0"/>
        <w:overflowPunct w:val="0"/>
        <w:autoSpaceDE w:val="0"/>
        <w:autoSpaceDN w:val="0"/>
        <w:adjustRightInd w:val="0"/>
        <w:snapToGrid w:val="0"/>
        <w:spacing w:line="480" w:lineRule="auto"/>
        <w:outlineLvl w:val="1"/>
        <w:rPr>
          <w:rFonts w:ascii="Times New Roman" w:hAnsi="Times New Roman" w:eastAsia="Times New Roman" w:cs="Times New Roman"/>
          <w:b/>
          <w:sz w:val="28"/>
          <w:lang w:val="en-GB"/>
        </w:rPr>
      </w:pPr>
      <w:bookmarkStart w:id="37" w:name="_Toc248062728"/>
      <w:bookmarkStart w:id="38" w:name="_Toc444005953"/>
      <w:bookmarkStart w:id="39" w:name="_Toc691827897"/>
      <w:bookmarkStart w:id="40" w:name="_Toc334994771"/>
      <w:r>
        <w:rPr>
          <w:rFonts w:ascii="Times New Roman" w:hAnsi="Times New Roman" w:eastAsia="Times New Roman" w:cs="Times New Roman"/>
          <w:b/>
          <w:sz w:val="28"/>
          <w:lang w:val="en-GB"/>
        </w:rPr>
        <w:t>D.1 Covariate balance test</w:t>
      </w:r>
      <w:bookmarkEnd w:id="37"/>
      <w:bookmarkEnd w:id="38"/>
      <w:bookmarkEnd w:id="39"/>
      <w:bookmarkEnd w:id="40"/>
    </w:p>
    <w:p w14:paraId="51E24057">
      <w:p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r>
        <w:rPr>
          <w:rFonts w:ascii="Times New Roman" w:hAnsi="Times New Roman" w:eastAsia="Times New Roman" w:cs="Times New Roman"/>
          <w:sz w:val="24"/>
          <w:lang w:val="en-GB"/>
        </w:rPr>
        <w:t xml:space="preserve">For the balance test, we compare the covariates of observations </w:t>
      </w:r>
      <w:r>
        <w:rPr>
          <w:rFonts w:hint="eastAsia" w:ascii="Times New Roman" w:hAnsi="Times New Roman" w:eastAsia="宋体" w:cs="Times New Roman"/>
          <w:sz w:val="24"/>
          <w:lang w:eastAsia="zh-CN"/>
        </w:rPr>
        <w:t xml:space="preserve">just </w:t>
      </w:r>
      <w:r>
        <w:rPr>
          <w:rFonts w:ascii="Times New Roman" w:hAnsi="Times New Roman" w:eastAsia="Times New Roman" w:cs="Times New Roman"/>
          <w:sz w:val="24"/>
          <w:lang w:val="en-GB"/>
        </w:rPr>
        <w:t>below and above the cutoff. We replace the dependent variable in the baseline regression with the covariates indicating gender (</w:t>
      </w:r>
      <w:r>
        <w:rPr>
          <w:rFonts w:ascii="Times New Roman" w:hAnsi="Times New Roman" w:eastAsia="Times New Roman" w:cs="Times New Roman"/>
          <w:i/>
          <w:sz w:val="24"/>
          <w:lang w:val="en-GB"/>
        </w:rPr>
        <w:t>Male</w:t>
      </w:r>
      <w:r>
        <w:rPr>
          <w:rFonts w:ascii="Times New Roman" w:hAnsi="Times New Roman" w:eastAsia="Times New Roman" w:cs="Times New Roman"/>
          <w:sz w:val="24"/>
          <w:lang w:val="en-GB"/>
        </w:rPr>
        <w:t>), age (</w:t>
      </w:r>
      <w:r>
        <w:rPr>
          <w:rFonts w:ascii="Times New Roman" w:hAnsi="Times New Roman" w:eastAsia="Times New Roman" w:cs="Times New Roman"/>
          <w:i/>
          <w:sz w:val="24"/>
          <w:lang w:val="en-GB"/>
        </w:rPr>
        <w:t>Age</w:t>
      </w:r>
      <w:r>
        <w:rPr>
          <w:rFonts w:ascii="Times New Roman" w:hAnsi="Times New Roman" w:eastAsia="Times New Roman" w:cs="Times New Roman"/>
          <w:sz w:val="24"/>
          <w:lang w:val="en-GB"/>
        </w:rPr>
        <w:t>),</w:t>
      </w:r>
      <w:r>
        <w:rPr>
          <w:rFonts w:ascii="Times New Roman" w:hAnsi="Times New Roman" w:eastAsia="Times New Roman" w:cs="Times New Roman"/>
          <w:color w:val="0000FF"/>
          <w:sz w:val="24"/>
          <w:lang w:val="en-GB"/>
        </w:rPr>
        <w:t xml:space="preserve"> </w:t>
      </w:r>
      <w:r>
        <w:rPr>
          <w:rFonts w:ascii="Times New Roman" w:hAnsi="Times New Roman" w:eastAsia="Times New Roman" w:cs="Times New Roman"/>
          <w:sz w:val="24"/>
          <w:lang w:val="en-GB"/>
        </w:rPr>
        <w:t xml:space="preserve">and whether the respondent </w:t>
      </w:r>
      <w:r>
        <w:rPr>
          <w:rFonts w:ascii="Times New Roman" w:hAnsi="Times New Roman" w:eastAsia="Times New Roman" w:cs="Times New Roman"/>
          <w:sz w:val="24"/>
        </w:rPr>
        <w:t>is</w:t>
      </w:r>
      <w:r>
        <w:rPr>
          <w:rFonts w:ascii="Times New Roman" w:hAnsi="Times New Roman" w:eastAsia="Times New Roman" w:cs="Times New Roman"/>
          <w:sz w:val="24"/>
          <w:lang w:val="en-GB"/>
        </w:rPr>
        <w:t xml:space="preserve"> working or attending school (</w:t>
      </w:r>
      <w:r>
        <w:rPr>
          <w:rFonts w:ascii="Times New Roman" w:hAnsi="Times New Roman" w:eastAsia="Times New Roman" w:cs="Times New Roman"/>
          <w:i/>
          <w:sz w:val="24"/>
          <w:lang w:val="en-GB"/>
        </w:rPr>
        <w:t>Work_School</w:t>
      </w:r>
      <w:r>
        <w:rPr>
          <w:rFonts w:ascii="Times New Roman" w:hAnsi="Times New Roman" w:eastAsia="Times New Roman" w:cs="Times New Roman"/>
          <w:sz w:val="24"/>
          <w:lang w:val="en-GB"/>
        </w:rPr>
        <w:t xml:space="preserve">) and re-estimated Eq. (1) </w:t>
      </w:r>
      <w:r>
        <w:rPr>
          <w:rFonts w:ascii="Times New Roman" w:hAnsi="Times New Roman" w:eastAsia="Times New Roman" w:cs="Times New Roman"/>
          <w:sz w:val="24"/>
        </w:rPr>
        <w:t xml:space="preserve">- (3) </w:t>
      </w:r>
      <w:r>
        <w:rPr>
          <w:rFonts w:ascii="Times New Roman" w:hAnsi="Times New Roman" w:eastAsia="Times New Roman" w:cs="Times New Roman"/>
          <w:sz w:val="24"/>
          <w:lang w:val="en-GB"/>
        </w:rPr>
        <w:t>in the Main Text. As shown in Table D1, the results reveal no significant changes in the cutoffs and the estimates are small in magnitude. This suggests that travel avoidance behaviour</w:t>
      </w:r>
      <w:r>
        <w:rPr>
          <w:rFonts w:hint="default" w:ascii="Times New Roman" w:hAnsi="Times New Roman" w:eastAsia="Times New Roman" w:cs="Times New Roman"/>
          <w:sz w:val="24"/>
          <w:lang w:val="en-US"/>
        </w:rPr>
        <w:t>s</w:t>
      </w:r>
      <w:r>
        <w:rPr>
          <w:rFonts w:ascii="Times New Roman" w:hAnsi="Times New Roman" w:eastAsia="Times New Roman" w:cs="Times New Roman"/>
          <w:sz w:val="24"/>
          <w:lang w:val="en-GB"/>
        </w:rPr>
        <w:t xml:space="preserve"> </w:t>
      </w:r>
      <w:r>
        <w:rPr>
          <w:rFonts w:hint="default" w:ascii="Times New Roman" w:hAnsi="Times New Roman" w:eastAsia="Times New Roman" w:cs="Times New Roman"/>
          <w:sz w:val="24"/>
          <w:lang w:val="en-US"/>
        </w:rPr>
        <w:t>are</w:t>
      </w:r>
      <w:r>
        <w:rPr>
          <w:rFonts w:ascii="Times New Roman" w:hAnsi="Times New Roman" w:eastAsia="Times New Roman" w:cs="Times New Roman"/>
          <w:sz w:val="24"/>
          <w:lang w:val="en-GB"/>
        </w:rPr>
        <w:t xml:space="preserve"> not driven by other factors.</w:t>
      </w:r>
    </w:p>
    <w:p w14:paraId="5DB0B6BF">
      <w:pPr>
        <w:widowControl/>
        <w:jc w:val="left"/>
        <w:rPr>
          <w:rFonts w:ascii="Times New Roman" w:hAnsi="Times New Roman" w:eastAsia="Times New Roman Bold" w:cs="Times New Roman"/>
          <w:b/>
          <w:lang w:val="en-GB"/>
        </w:rPr>
      </w:pPr>
      <w:r>
        <w:rPr>
          <w:rFonts w:ascii="Times New Roman" w:hAnsi="Times New Roman" w:eastAsia="Times New Roman Bold" w:cs="Times New Roman"/>
          <w:b/>
          <w:lang w:val="en-GB"/>
        </w:rPr>
        <w:br w:type="page"/>
      </w:r>
    </w:p>
    <w:p w14:paraId="6FCB307B">
      <w:pPr>
        <w:suppressAutoHyphens/>
        <w:kinsoku w:val="0"/>
        <w:overflowPunct w:val="0"/>
        <w:autoSpaceDE w:val="0"/>
        <w:autoSpaceDN w:val="0"/>
        <w:adjustRightInd w:val="0"/>
        <w:snapToGrid w:val="0"/>
        <w:spacing w:line="480" w:lineRule="auto"/>
        <w:rPr>
          <w:rFonts w:ascii="Times New Roman" w:hAnsi="Times New Roman" w:eastAsia="Times New Roman Bold" w:cs="Times New Roman"/>
          <w:b/>
          <w:sz w:val="24"/>
          <w:szCs w:val="22"/>
          <w:lang w:val="en-GB"/>
        </w:rPr>
      </w:pPr>
      <w:r>
        <w:rPr>
          <w:rFonts w:ascii="Times New Roman" w:hAnsi="Times New Roman" w:eastAsia="Times New Roman Bold" w:cs="Times New Roman"/>
          <w:b/>
          <w:sz w:val="24"/>
          <w:szCs w:val="22"/>
          <w:lang w:val="en-GB"/>
        </w:rPr>
        <w:t>Table D1 Covariate characteristics at cutoffs</w:t>
      </w:r>
    </w:p>
    <w:tbl>
      <w:tblPr>
        <w:tblStyle w:val="19"/>
        <w:tblW w:w="5000" w:type="pct"/>
        <w:jc w:val="center"/>
        <w:tblLayout w:type="autofit"/>
        <w:tblCellMar>
          <w:top w:w="0" w:type="dxa"/>
          <w:left w:w="75" w:type="dxa"/>
          <w:bottom w:w="0" w:type="dxa"/>
          <w:right w:w="75" w:type="dxa"/>
        </w:tblCellMar>
      </w:tblPr>
      <w:tblGrid>
        <w:gridCol w:w="2626"/>
        <w:gridCol w:w="1765"/>
        <w:gridCol w:w="1487"/>
        <w:gridCol w:w="2578"/>
      </w:tblGrid>
      <w:tr w14:paraId="4970F744">
        <w:trPr>
          <w:jc w:val="center"/>
        </w:trPr>
        <w:tc>
          <w:tcPr>
            <w:tcW w:w="1552" w:type="pct"/>
            <w:tcBorders>
              <w:top w:val="single" w:color="auto" w:sz="6" w:space="0"/>
              <w:left w:val="nil"/>
              <w:bottom w:val="nil"/>
              <w:right w:val="nil"/>
            </w:tcBorders>
            <w:shd w:val="clear" w:color="auto" w:fill="auto"/>
          </w:tcPr>
          <w:p w14:paraId="610FC795">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Regression</w:t>
            </w:r>
          </w:p>
        </w:tc>
        <w:tc>
          <w:tcPr>
            <w:tcW w:w="1043" w:type="pct"/>
            <w:tcBorders>
              <w:top w:val="single" w:color="auto" w:sz="6" w:space="0"/>
              <w:left w:val="nil"/>
              <w:bottom w:val="nil"/>
              <w:right w:val="nil"/>
            </w:tcBorders>
            <w:shd w:val="clear" w:color="auto" w:fill="auto"/>
          </w:tcPr>
          <w:p w14:paraId="3568845C">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(1)</w:t>
            </w:r>
          </w:p>
        </w:tc>
        <w:tc>
          <w:tcPr>
            <w:tcW w:w="879" w:type="pct"/>
            <w:tcBorders>
              <w:top w:val="single" w:color="auto" w:sz="6" w:space="0"/>
              <w:left w:val="nil"/>
              <w:bottom w:val="nil"/>
              <w:right w:val="nil"/>
            </w:tcBorders>
            <w:shd w:val="clear" w:color="auto" w:fill="auto"/>
          </w:tcPr>
          <w:p w14:paraId="05AA801D">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(2)</w:t>
            </w:r>
          </w:p>
        </w:tc>
        <w:tc>
          <w:tcPr>
            <w:tcW w:w="1524" w:type="pct"/>
            <w:tcBorders>
              <w:top w:val="single" w:color="auto" w:sz="6" w:space="0"/>
              <w:left w:val="nil"/>
              <w:bottom w:val="nil"/>
              <w:right w:val="nil"/>
            </w:tcBorders>
            <w:shd w:val="clear" w:color="auto" w:fill="auto"/>
          </w:tcPr>
          <w:p w14:paraId="79017EF8">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(3)</w:t>
            </w:r>
          </w:p>
        </w:tc>
      </w:tr>
      <w:tr w14:paraId="383089AA">
        <w:trPr>
          <w:jc w:val="center"/>
        </w:trPr>
        <w:tc>
          <w:tcPr>
            <w:tcW w:w="1552" w:type="pct"/>
            <w:tcBorders>
              <w:top w:val="nil"/>
              <w:left w:val="nil"/>
              <w:bottom w:val="single" w:color="auto" w:sz="6" w:space="0"/>
              <w:right w:val="nil"/>
            </w:tcBorders>
            <w:shd w:val="clear" w:color="auto" w:fill="auto"/>
          </w:tcPr>
          <w:p w14:paraId="0DCAB942">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Variables</w:t>
            </w:r>
          </w:p>
        </w:tc>
        <w:tc>
          <w:tcPr>
            <w:tcW w:w="1043" w:type="pct"/>
            <w:tcBorders>
              <w:top w:val="nil"/>
              <w:left w:val="nil"/>
              <w:bottom w:val="single" w:color="auto" w:sz="6" w:space="0"/>
              <w:right w:val="nil"/>
            </w:tcBorders>
            <w:shd w:val="clear" w:color="auto" w:fill="auto"/>
          </w:tcPr>
          <w:p w14:paraId="3531CC61">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Male</w:t>
            </w:r>
          </w:p>
        </w:tc>
        <w:tc>
          <w:tcPr>
            <w:tcW w:w="879" w:type="pct"/>
            <w:tcBorders>
              <w:top w:val="nil"/>
              <w:left w:val="nil"/>
              <w:bottom w:val="single" w:color="auto" w:sz="6" w:space="0"/>
              <w:right w:val="nil"/>
            </w:tcBorders>
            <w:shd w:val="clear" w:color="auto" w:fill="auto"/>
          </w:tcPr>
          <w:p w14:paraId="527A6FF1">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Age</w:t>
            </w:r>
          </w:p>
        </w:tc>
        <w:tc>
          <w:tcPr>
            <w:tcW w:w="1524" w:type="pct"/>
            <w:tcBorders>
              <w:top w:val="nil"/>
              <w:left w:val="nil"/>
              <w:bottom w:val="single" w:color="auto" w:sz="6" w:space="0"/>
              <w:right w:val="nil"/>
            </w:tcBorders>
            <w:shd w:val="clear" w:color="auto" w:fill="auto"/>
          </w:tcPr>
          <w:p w14:paraId="3E254E10">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Work_School</w:t>
            </w:r>
          </w:p>
        </w:tc>
      </w:tr>
      <w:tr w14:paraId="6ED55394">
        <w:trPr>
          <w:jc w:val="center"/>
        </w:trPr>
        <w:tc>
          <w:tcPr>
            <w:tcW w:w="1552" w:type="pct"/>
            <w:shd w:val="clear" w:color="auto" w:fill="auto"/>
          </w:tcPr>
          <w:p w14:paraId="391E0E08">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p>
        </w:tc>
        <w:tc>
          <w:tcPr>
            <w:tcW w:w="1043" w:type="pct"/>
            <w:shd w:val="clear" w:color="auto" w:fill="auto"/>
          </w:tcPr>
          <w:p w14:paraId="510D297D">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p>
        </w:tc>
        <w:tc>
          <w:tcPr>
            <w:tcW w:w="879" w:type="pct"/>
            <w:shd w:val="clear" w:color="auto" w:fill="auto"/>
          </w:tcPr>
          <w:p w14:paraId="00FD7F6C">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p>
        </w:tc>
        <w:tc>
          <w:tcPr>
            <w:tcW w:w="1524" w:type="pct"/>
            <w:shd w:val="clear" w:color="auto" w:fill="auto"/>
          </w:tcPr>
          <w:p w14:paraId="180E1200">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p>
        </w:tc>
      </w:tr>
      <w:tr w14:paraId="0E0A0A54">
        <w:trPr>
          <w:jc w:val="center"/>
        </w:trPr>
        <w:tc>
          <w:tcPr>
            <w:tcW w:w="1552" w:type="pct"/>
            <w:shd w:val="clear" w:color="auto" w:fill="auto"/>
          </w:tcPr>
          <w:p w14:paraId="08F44859">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Cutoff = 50</w:t>
            </w:r>
          </w:p>
        </w:tc>
        <w:tc>
          <w:tcPr>
            <w:tcW w:w="1043" w:type="pct"/>
            <w:shd w:val="clear" w:color="auto" w:fill="auto"/>
          </w:tcPr>
          <w:p w14:paraId="1E8825AC">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0.0214</w:t>
            </w:r>
          </w:p>
        </w:tc>
        <w:tc>
          <w:tcPr>
            <w:tcW w:w="879" w:type="pct"/>
            <w:shd w:val="clear" w:color="auto" w:fill="auto"/>
          </w:tcPr>
          <w:p w14:paraId="6819F8D2">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2.116</w:t>
            </w:r>
          </w:p>
        </w:tc>
        <w:tc>
          <w:tcPr>
            <w:tcW w:w="1524" w:type="pct"/>
            <w:shd w:val="clear" w:color="auto" w:fill="auto"/>
          </w:tcPr>
          <w:p w14:paraId="476B791D">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-0.194</w:t>
            </w:r>
          </w:p>
        </w:tc>
      </w:tr>
      <w:tr w14:paraId="22204284">
        <w:trPr>
          <w:jc w:val="center"/>
        </w:trPr>
        <w:tc>
          <w:tcPr>
            <w:tcW w:w="1552" w:type="pct"/>
            <w:shd w:val="clear" w:color="auto" w:fill="auto"/>
          </w:tcPr>
          <w:p w14:paraId="3126F7EB">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p>
        </w:tc>
        <w:tc>
          <w:tcPr>
            <w:tcW w:w="1043" w:type="pct"/>
            <w:shd w:val="clear" w:color="auto" w:fill="auto"/>
          </w:tcPr>
          <w:p w14:paraId="3F01BECD">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(0.0802)</w:t>
            </w:r>
          </w:p>
        </w:tc>
        <w:tc>
          <w:tcPr>
            <w:tcW w:w="879" w:type="pct"/>
            <w:shd w:val="clear" w:color="auto" w:fill="auto"/>
          </w:tcPr>
          <w:p w14:paraId="410187F1">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(2.988)</w:t>
            </w:r>
          </w:p>
        </w:tc>
        <w:tc>
          <w:tcPr>
            <w:tcW w:w="1524" w:type="pct"/>
            <w:shd w:val="clear" w:color="auto" w:fill="auto"/>
          </w:tcPr>
          <w:p w14:paraId="72C8F307">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(0.120)</w:t>
            </w:r>
          </w:p>
        </w:tc>
      </w:tr>
      <w:tr w14:paraId="185C7BB8">
        <w:trPr>
          <w:jc w:val="center"/>
        </w:trPr>
        <w:tc>
          <w:tcPr>
            <w:tcW w:w="1552" w:type="pct"/>
            <w:shd w:val="clear" w:color="auto" w:fill="auto"/>
          </w:tcPr>
          <w:p w14:paraId="4AA475E1">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Cutoff = 100</w:t>
            </w:r>
          </w:p>
        </w:tc>
        <w:tc>
          <w:tcPr>
            <w:tcW w:w="1043" w:type="pct"/>
            <w:shd w:val="clear" w:color="auto" w:fill="auto"/>
          </w:tcPr>
          <w:p w14:paraId="224B0DDC">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-0.0223</w:t>
            </w:r>
          </w:p>
        </w:tc>
        <w:tc>
          <w:tcPr>
            <w:tcW w:w="879" w:type="pct"/>
            <w:shd w:val="clear" w:color="auto" w:fill="auto"/>
          </w:tcPr>
          <w:p w14:paraId="345F7196">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-2.025</w:t>
            </w:r>
          </w:p>
        </w:tc>
        <w:tc>
          <w:tcPr>
            <w:tcW w:w="1524" w:type="pct"/>
            <w:shd w:val="clear" w:color="auto" w:fill="auto"/>
          </w:tcPr>
          <w:p w14:paraId="4C9557F7">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-0.0606</w:t>
            </w:r>
          </w:p>
        </w:tc>
      </w:tr>
      <w:tr w14:paraId="3985C63D">
        <w:trPr>
          <w:jc w:val="center"/>
        </w:trPr>
        <w:tc>
          <w:tcPr>
            <w:tcW w:w="1552" w:type="pct"/>
            <w:shd w:val="clear" w:color="auto" w:fill="auto"/>
          </w:tcPr>
          <w:p w14:paraId="2F030548">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p>
        </w:tc>
        <w:tc>
          <w:tcPr>
            <w:tcW w:w="1043" w:type="pct"/>
            <w:shd w:val="clear" w:color="auto" w:fill="auto"/>
          </w:tcPr>
          <w:p w14:paraId="21EE60EB">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(0.0602)</w:t>
            </w:r>
          </w:p>
        </w:tc>
        <w:tc>
          <w:tcPr>
            <w:tcW w:w="879" w:type="pct"/>
            <w:shd w:val="clear" w:color="auto" w:fill="auto"/>
          </w:tcPr>
          <w:p w14:paraId="5108CEF8">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(3.016)</w:t>
            </w:r>
          </w:p>
        </w:tc>
        <w:tc>
          <w:tcPr>
            <w:tcW w:w="1524" w:type="pct"/>
            <w:shd w:val="clear" w:color="auto" w:fill="auto"/>
          </w:tcPr>
          <w:p w14:paraId="59F8D164">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(0.0681)</w:t>
            </w:r>
          </w:p>
        </w:tc>
      </w:tr>
      <w:tr w14:paraId="041FEEFB">
        <w:trPr>
          <w:jc w:val="center"/>
        </w:trPr>
        <w:tc>
          <w:tcPr>
            <w:tcW w:w="1552" w:type="pct"/>
            <w:shd w:val="clear" w:color="auto" w:fill="auto"/>
          </w:tcPr>
          <w:p w14:paraId="5C12F4FD">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Cutoff = 150</w:t>
            </w:r>
          </w:p>
        </w:tc>
        <w:tc>
          <w:tcPr>
            <w:tcW w:w="1043" w:type="pct"/>
            <w:shd w:val="clear" w:color="auto" w:fill="auto"/>
          </w:tcPr>
          <w:p w14:paraId="5E4D7E27">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-0.00294</w:t>
            </w:r>
          </w:p>
        </w:tc>
        <w:tc>
          <w:tcPr>
            <w:tcW w:w="879" w:type="pct"/>
            <w:shd w:val="clear" w:color="auto" w:fill="auto"/>
          </w:tcPr>
          <w:p w14:paraId="5DED7BC0">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-1.431</w:t>
            </w:r>
          </w:p>
        </w:tc>
        <w:tc>
          <w:tcPr>
            <w:tcW w:w="1524" w:type="pct"/>
            <w:shd w:val="clear" w:color="auto" w:fill="auto"/>
          </w:tcPr>
          <w:p w14:paraId="7AB16FEE">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0.0200</w:t>
            </w:r>
          </w:p>
        </w:tc>
      </w:tr>
      <w:tr w14:paraId="59244118">
        <w:trPr>
          <w:jc w:val="center"/>
        </w:trPr>
        <w:tc>
          <w:tcPr>
            <w:tcW w:w="1552" w:type="pct"/>
            <w:shd w:val="clear" w:color="auto" w:fill="auto"/>
          </w:tcPr>
          <w:p w14:paraId="581FCDDA">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p>
        </w:tc>
        <w:tc>
          <w:tcPr>
            <w:tcW w:w="1043" w:type="pct"/>
            <w:shd w:val="clear" w:color="auto" w:fill="auto"/>
          </w:tcPr>
          <w:p w14:paraId="572906A6">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(0.0276)</w:t>
            </w:r>
          </w:p>
        </w:tc>
        <w:tc>
          <w:tcPr>
            <w:tcW w:w="879" w:type="pct"/>
            <w:shd w:val="clear" w:color="auto" w:fill="auto"/>
          </w:tcPr>
          <w:p w14:paraId="5BF10211">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(1.030)</w:t>
            </w:r>
          </w:p>
        </w:tc>
        <w:tc>
          <w:tcPr>
            <w:tcW w:w="1524" w:type="pct"/>
            <w:shd w:val="clear" w:color="auto" w:fill="auto"/>
          </w:tcPr>
          <w:p w14:paraId="47E9385E">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(0.0279)</w:t>
            </w:r>
          </w:p>
        </w:tc>
      </w:tr>
      <w:tr w14:paraId="2F065AE9">
        <w:trPr>
          <w:jc w:val="center"/>
        </w:trPr>
        <w:tc>
          <w:tcPr>
            <w:tcW w:w="1552" w:type="pct"/>
            <w:shd w:val="clear" w:color="auto" w:fill="auto"/>
          </w:tcPr>
          <w:p w14:paraId="5EE2127A">
            <w:pPr>
              <w:suppressAutoHyphens/>
              <w:kinsoku w:val="0"/>
              <w:overflowPunct w:val="0"/>
              <w:autoSpaceDE w:val="0"/>
              <w:autoSpaceDN w:val="0"/>
              <w:adjustRightInd w:val="0"/>
              <w:snapToGrid w:val="0"/>
              <w:jc w:val="center"/>
              <w:rPr>
                <w:rFonts w:ascii="Times New Roman" w:hAnsi="Times New Roman" w:eastAsia="Times New Roman" w:cs="Times New Roman"/>
                <w:b/>
                <w:sz w:val="22"/>
                <w:szCs w:val="22"/>
                <w:lang w:val="en-GB"/>
              </w:rPr>
            </w:pPr>
            <w:r>
              <w:rPr>
                <w:rFonts w:ascii="Times New Roman" w:hAnsi="Times New Roman" w:eastAsia="Times New Roman" w:cs="Times New Roman"/>
                <w:b/>
                <w:sz w:val="22"/>
                <w:szCs w:val="22"/>
                <w:lang w:val="en-GB"/>
              </w:rPr>
              <w:t>COV</w:t>
            </w:r>
          </w:p>
        </w:tc>
        <w:tc>
          <w:tcPr>
            <w:tcW w:w="1043" w:type="pct"/>
            <w:shd w:val="clear" w:color="auto" w:fill="auto"/>
          </w:tcPr>
          <w:p w14:paraId="21EBCD94">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No</w:t>
            </w:r>
          </w:p>
        </w:tc>
        <w:tc>
          <w:tcPr>
            <w:tcW w:w="879" w:type="pct"/>
            <w:shd w:val="clear" w:color="auto" w:fill="auto"/>
          </w:tcPr>
          <w:p w14:paraId="6E3A78E2">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No</w:t>
            </w:r>
          </w:p>
        </w:tc>
        <w:tc>
          <w:tcPr>
            <w:tcW w:w="1524" w:type="pct"/>
            <w:shd w:val="clear" w:color="auto" w:fill="auto"/>
          </w:tcPr>
          <w:p w14:paraId="543C794D">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No</w:t>
            </w:r>
          </w:p>
        </w:tc>
      </w:tr>
      <w:tr w14:paraId="28043EF3">
        <w:trPr>
          <w:jc w:val="center"/>
        </w:trPr>
        <w:tc>
          <w:tcPr>
            <w:tcW w:w="1552" w:type="pct"/>
            <w:tcBorders>
              <w:top w:val="nil"/>
              <w:left w:val="nil"/>
              <w:bottom w:val="nil"/>
              <w:right w:val="nil"/>
            </w:tcBorders>
            <w:shd w:val="clear" w:color="auto" w:fill="auto"/>
          </w:tcPr>
          <w:p w14:paraId="21DA719E">
            <w:pPr>
              <w:suppressAutoHyphens/>
              <w:kinsoku w:val="0"/>
              <w:overflowPunct w:val="0"/>
              <w:autoSpaceDE w:val="0"/>
              <w:autoSpaceDN w:val="0"/>
              <w:adjustRightInd w:val="0"/>
              <w:snapToGrid w:val="0"/>
              <w:jc w:val="center"/>
              <w:rPr>
                <w:rFonts w:ascii="Times New Roman" w:hAnsi="Times New Roman" w:eastAsia="Times New Roman" w:cs="Times New Roman"/>
                <w:b/>
                <w:sz w:val="22"/>
                <w:szCs w:val="22"/>
                <w:lang w:val="en-GB"/>
              </w:rPr>
            </w:pPr>
            <w:r>
              <w:rPr>
                <w:rFonts w:ascii="Times New Roman" w:hAnsi="Times New Roman" w:eastAsia="Times New Roman" w:cs="Times New Roman"/>
                <w:b/>
                <w:sz w:val="22"/>
                <w:szCs w:val="22"/>
                <w:lang w:val="en-GB"/>
              </w:rPr>
              <w:t>Observations</w:t>
            </w:r>
          </w:p>
        </w:tc>
        <w:tc>
          <w:tcPr>
            <w:tcW w:w="1043" w:type="pct"/>
            <w:tcBorders>
              <w:top w:val="nil"/>
              <w:left w:val="nil"/>
              <w:bottom w:val="nil"/>
              <w:right w:val="nil"/>
            </w:tcBorders>
            <w:shd w:val="clear" w:color="auto" w:fill="auto"/>
          </w:tcPr>
          <w:p w14:paraId="54456D20">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p>
        </w:tc>
        <w:tc>
          <w:tcPr>
            <w:tcW w:w="879" w:type="pct"/>
            <w:tcBorders>
              <w:top w:val="nil"/>
              <w:left w:val="nil"/>
              <w:bottom w:val="nil"/>
              <w:right w:val="nil"/>
            </w:tcBorders>
            <w:shd w:val="clear" w:color="auto" w:fill="auto"/>
          </w:tcPr>
          <w:p w14:paraId="06783D58">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p>
        </w:tc>
        <w:tc>
          <w:tcPr>
            <w:tcW w:w="1524" w:type="pct"/>
            <w:tcBorders>
              <w:top w:val="nil"/>
              <w:left w:val="nil"/>
              <w:bottom w:val="nil"/>
              <w:right w:val="nil"/>
            </w:tcBorders>
            <w:shd w:val="clear" w:color="auto" w:fill="auto"/>
          </w:tcPr>
          <w:p w14:paraId="4DD60ED7">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p>
        </w:tc>
      </w:tr>
      <w:tr w14:paraId="61A8E452">
        <w:trPr>
          <w:jc w:val="center"/>
        </w:trPr>
        <w:tc>
          <w:tcPr>
            <w:tcW w:w="1552" w:type="pct"/>
            <w:tcBorders>
              <w:top w:val="nil"/>
              <w:left w:val="nil"/>
              <w:bottom w:val="nil"/>
              <w:right w:val="nil"/>
            </w:tcBorders>
            <w:shd w:val="clear" w:color="auto" w:fill="auto"/>
          </w:tcPr>
          <w:p w14:paraId="45EFB8E2">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Cutoff = 50</w:t>
            </w:r>
          </w:p>
        </w:tc>
        <w:tc>
          <w:tcPr>
            <w:tcW w:w="1043" w:type="pct"/>
            <w:tcBorders>
              <w:top w:val="nil"/>
              <w:left w:val="nil"/>
              <w:bottom w:val="nil"/>
              <w:right w:val="nil"/>
            </w:tcBorders>
            <w:shd w:val="clear" w:color="auto" w:fill="auto"/>
          </w:tcPr>
          <w:p w14:paraId="18949051">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11577</w:t>
            </w:r>
          </w:p>
        </w:tc>
        <w:tc>
          <w:tcPr>
            <w:tcW w:w="879" w:type="pct"/>
            <w:tcBorders>
              <w:top w:val="nil"/>
              <w:left w:val="nil"/>
              <w:bottom w:val="nil"/>
              <w:right w:val="nil"/>
            </w:tcBorders>
            <w:shd w:val="clear" w:color="auto" w:fill="auto"/>
          </w:tcPr>
          <w:p w14:paraId="16714194">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11577</w:t>
            </w:r>
          </w:p>
        </w:tc>
        <w:tc>
          <w:tcPr>
            <w:tcW w:w="1524" w:type="pct"/>
            <w:tcBorders>
              <w:top w:val="nil"/>
              <w:left w:val="nil"/>
              <w:bottom w:val="nil"/>
              <w:right w:val="nil"/>
            </w:tcBorders>
            <w:shd w:val="clear" w:color="auto" w:fill="auto"/>
          </w:tcPr>
          <w:p w14:paraId="11ED8F8E">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10940</w:t>
            </w:r>
          </w:p>
        </w:tc>
      </w:tr>
      <w:tr w14:paraId="70861FFB">
        <w:trPr>
          <w:jc w:val="center"/>
        </w:trPr>
        <w:tc>
          <w:tcPr>
            <w:tcW w:w="1552" w:type="pct"/>
            <w:tcBorders>
              <w:top w:val="nil"/>
              <w:left w:val="nil"/>
              <w:bottom w:val="nil"/>
              <w:right w:val="nil"/>
            </w:tcBorders>
            <w:shd w:val="clear" w:color="auto" w:fill="auto"/>
          </w:tcPr>
          <w:p w14:paraId="274BFE4C">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Cutoff = 100</w:t>
            </w:r>
          </w:p>
        </w:tc>
        <w:tc>
          <w:tcPr>
            <w:tcW w:w="1043" w:type="pct"/>
            <w:tcBorders>
              <w:top w:val="nil"/>
              <w:left w:val="nil"/>
              <w:bottom w:val="nil"/>
              <w:right w:val="nil"/>
            </w:tcBorders>
            <w:shd w:val="clear" w:color="auto" w:fill="auto"/>
          </w:tcPr>
          <w:p w14:paraId="296781A7">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19000</w:t>
            </w:r>
          </w:p>
        </w:tc>
        <w:tc>
          <w:tcPr>
            <w:tcW w:w="879" w:type="pct"/>
            <w:tcBorders>
              <w:top w:val="nil"/>
              <w:left w:val="nil"/>
              <w:bottom w:val="nil"/>
              <w:right w:val="nil"/>
            </w:tcBorders>
            <w:shd w:val="clear" w:color="auto" w:fill="auto"/>
          </w:tcPr>
          <w:p w14:paraId="02E5A78F">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5609</w:t>
            </w:r>
          </w:p>
        </w:tc>
        <w:tc>
          <w:tcPr>
            <w:tcW w:w="1524" w:type="pct"/>
            <w:tcBorders>
              <w:top w:val="nil"/>
              <w:left w:val="nil"/>
              <w:bottom w:val="nil"/>
              <w:right w:val="nil"/>
            </w:tcBorders>
            <w:shd w:val="clear" w:color="auto" w:fill="auto"/>
          </w:tcPr>
          <w:p w14:paraId="3F59BBCB">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15101</w:t>
            </w:r>
          </w:p>
        </w:tc>
      </w:tr>
      <w:tr w14:paraId="1FD3931B">
        <w:trPr>
          <w:jc w:val="center"/>
        </w:trPr>
        <w:tc>
          <w:tcPr>
            <w:tcW w:w="1552" w:type="pct"/>
            <w:tcBorders>
              <w:top w:val="nil"/>
              <w:left w:val="nil"/>
              <w:bottom w:val="nil"/>
              <w:right w:val="nil"/>
            </w:tcBorders>
            <w:shd w:val="clear" w:color="auto" w:fill="auto"/>
          </w:tcPr>
          <w:p w14:paraId="6485CABB">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Cutoff = 150</w:t>
            </w:r>
          </w:p>
        </w:tc>
        <w:tc>
          <w:tcPr>
            <w:tcW w:w="1043" w:type="pct"/>
            <w:tcBorders>
              <w:top w:val="nil"/>
              <w:left w:val="nil"/>
              <w:bottom w:val="nil"/>
              <w:right w:val="nil"/>
            </w:tcBorders>
            <w:shd w:val="clear" w:color="auto" w:fill="auto"/>
          </w:tcPr>
          <w:p w14:paraId="7BBF4D29">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20222</w:t>
            </w:r>
          </w:p>
        </w:tc>
        <w:tc>
          <w:tcPr>
            <w:tcW w:w="879" w:type="pct"/>
            <w:tcBorders>
              <w:top w:val="nil"/>
              <w:left w:val="nil"/>
              <w:bottom w:val="nil"/>
              <w:right w:val="nil"/>
            </w:tcBorders>
            <w:shd w:val="clear" w:color="auto" w:fill="auto"/>
          </w:tcPr>
          <w:p w14:paraId="750006F1">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16323</w:t>
            </w:r>
          </w:p>
        </w:tc>
        <w:tc>
          <w:tcPr>
            <w:tcW w:w="1524" w:type="pct"/>
            <w:tcBorders>
              <w:top w:val="nil"/>
              <w:left w:val="nil"/>
              <w:bottom w:val="nil"/>
              <w:right w:val="nil"/>
            </w:tcBorders>
            <w:shd w:val="clear" w:color="auto" w:fill="auto"/>
          </w:tcPr>
          <w:p w14:paraId="1D173EDE">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16323</w:t>
            </w:r>
          </w:p>
        </w:tc>
      </w:tr>
      <w:tr w14:paraId="2E60666F">
        <w:trPr>
          <w:jc w:val="center"/>
        </w:trPr>
        <w:tc>
          <w:tcPr>
            <w:tcW w:w="1552" w:type="pct"/>
            <w:tcBorders>
              <w:top w:val="nil"/>
              <w:left w:val="nil"/>
              <w:bottom w:val="nil"/>
              <w:right w:val="nil"/>
            </w:tcBorders>
            <w:shd w:val="clear" w:color="auto" w:fill="auto"/>
          </w:tcPr>
          <w:p w14:paraId="12BF3F17">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b/>
                <w:sz w:val="22"/>
                <w:szCs w:val="22"/>
                <w:lang w:val="en-GB"/>
              </w:rPr>
              <w:t>Bandwidth</w:t>
            </w:r>
          </w:p>
        </w:tc>
        <w:tc>
          <w:tcPr>
            <w:tcW w:w="1043" w:type="pct"/>
            <w:tcBorders>
              <w:top w:val="nil"/>
              <w:left w:val="nil"/>
              <w:bottom w:val="nil"/>
              <w:right w:val="nil"/>
            </w:tcBorders>
            <w:shd w:val="clear" w:color="auto" w:fill="auto"/>
          </w:tcPr>
          <w:p w14:paraId="4DE40562">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p>
        </w:tc>
        <w:tc>
          <w:tcPr>
            <w:tcW w:w="879" w:type="pct"/>
            <w:tcBorders>
              <w:top w:val="nil"/>
              <w:left w:val="nil"/>
              <w:bottom w:val="nil"/>
              <w:right w:val="nil"/>
            </w:tcBorders>
            <w:shd w:val="clear" w:color="auto" w:fill="auto"/>
          </w:tcPr>
          <w:p w14:paraId="3FAF6B00">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p>
        </w:tc>
        <w:tc>
          <w:tcPr>
            <w:tcW w:w="1524" w:type="pct"/>
            <w:tcBorders>
              <w:top w:val="nil"/>
              <w:left w:val="nil"/>
              <w:bottom w:val="nil"/>
              <w:right w:val="nil"/>
            </w:tcBorders>
            <w:shd w:val="clear" w:color="auto" w:fill="auto"/>
          </w:tcPr>
          <w:p w14:paraId="47A8B624">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p>
        </w:tc>
      </w:tr>
      <w:tr w14:paraId="4E43BFAE">
        <w:trPr>
          <w:jc w:val="center"/>
        </w:trPr>
        <w:tc>
          <w:tcPr>
            <w:tcW w:w="1552" w:type="pct"/>
            <w:tcBorders>
              <w:top w:val="nil"/>
              <w:left w:val="nil"/>
              <w:bottom w:val="nil"/>
              <w:right w:val="nil"/>
            </w:tcBorders>
            <w:shd w:val="clear" w:color="auto" w:fill="auto"/>
          </w:tcPr>
          <w:p w14:paraId="4346849E">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Cutoff = 50</w:t>
            </w:r>
          </w:p>
        </w:tc>
        <w:tc>
          <w:tcPr>
            <w:tcW w:w="1043" w:type="pct"/>
            <w:tcBorders>
              <w:top w:val="nil"/>
              <w:left w:val="nil"/>
              <w:bottom w:val="nil"/>
              <w:right w:val="nil"/>
            </w:tcBorders>
            <w:shd w:val="clear" w:color="auto" w:fill="auto"/>
          </w:tcPr>
          <w:p w14:paraId="035A8881">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7.76</w:t>
            </w:r>
          </w:p>
        </w:tc>
        <w:tc>
          <w:tcPr>
            <w:tcW w:w="879" w:type="pct"/>
            <w:tcBorders>
              <w:top w:val="nil"/>
              <w:left w:val="nil"/>
              <w:bottom w:val="nil"/>
              <w:right w:val="nil"/>
            </w:tcBorders>
            <w:shd w:val="clear" w:color="auto" w:fill="auto"/>
          </w:tcPr>
          <w:p w14:paraId="43336DF1">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7.37</w:t>
            </w:r>
          </w:p>
        </w:tc>
        <w:tc>
          <w:tcPr>
            <w:tcW w:w="1524" w:type="pct"/>
            <w:tcBorders>
              <w:top w:val="nil"/>
              <w:left w:val="nil"/>
              <w:bottom w:val="nil"/>
              <w:right w:val="nil"/>
            </w:tcBorders>
            <w:shd w:val="clear" w:color="auto" w:fill="auto"/>
          </w:tcPr>
          <w:p w14:paraId="270D8F6B">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5.84</w:t>
            </w:r>
          </w:p>
        </w:tc>
      </w:tr>
      <w:tr w14:paraId="755DA000">
        <w:trPr>
          <w:jc w:val="center"/>
        </w:trPr>
        <w:tc>
          <w:tcPr>
            <w:tcW w:w="1552" w:type="pct"/>
            <w:tcBorders>
              <w:top w:val="nil"/>
              <w:left w:val="nil"/>
              <w:bottom w:val="nil"/>
              <w:right w:val="nil"/>
            </w:tcBorders>
            <w:shd w:val="clear" w:color="auto" w:fill="auto"/>
          </w:tcPr>
          <w:p w14:paraId="181D5ED0">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Cutoff = 100</w:t>
            </w:r>
          </w:p>
        </w:tc>
        <w:tc>
          <w:tcPr>
            <w:tcW w:w="1043" w:type="pct"/>
            <w:tcBorders>
              <w:top w:val="nil"/>
              <w:left w:val="nil"/>
              <w:bottom w:val="nil"/>
              <w:right w:val="nil"/>
            </w:tcBorders>
            <w:shd w:val="clear" w:color="auto" w:fill="auto"/>
          </w:tcPr>
          <w:p w14:paraId="39CB1AEB">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12.03</w:t>
            </w:r>
          </w:p>
        </w:tc>
        <w:tc>
          <w:tcPr>
            <w:tcW w:w="879" w:type="pct"/>
            <w:tcBorders>
              <w:top w:val="nil"/>
              <w:left w:val="nil"/>
              <w:bottom w:val="nil"/>
              <w:right w:val="nil"/>
            </w:tcBorders>
            <w:shd w:val="clear" w:color="auto" w:fill="auto"/>
          </w:tcPr>
          <w:p w14:paraId="3FD47C8B">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7.33</w:t>
            </w:r>
          </w:p>
        </w:tc>
        <w:tc>
          <w:tcPr>
            <w:tcW w:w="1524" w:type="pct"/>
            <w:tcBorders>
              <w:top w:val="nil"/>
              <w:left w:val="nil"/>
              <w:bottom w:val="nil"/>
              <w:right w:val="nil"/>
            </w:tcBorders>
            <w:shd w:val="clear" w:color="auto" w:fill="auto"/>
          </w:tcPr>
          <w:p w14:paraId="55BAABCC">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9.51</w:t>
            </w:r>
          </w:p>
        </w:tc>
      </w:tr>
      <w:tr w14:paraId="56B5D858">
        <w:trPr>
          <w:jc w:val="center"/>
        </w:trPr>
        <w:tc>
          <w:tcPr>
            <w:tcW w:w="1552" w:type="pct"/>
            <w:tcBorders>
              <w:top w:val="nil"/>
              <w:left w:val="nil"/>
              <w:bottom w:val="single" w:color="auto" w:sz="4" w:space="0"/>
              <w:right w:val="nil"/>
            </w:tcBorders>
            <w:shd w:val="clear" w:color="auto" w:fill="auto"/>
          </w:tcPr>
          <w:p w14:paraId="23D0199C">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Cutoff = 150</w:t>
            </w:r>
          </w:p>
        </w:tc>
        <w:tc>
          <w:tcPr>
            <w:tcW w:w="1043" w:type="pct"/>
            <w:tcBorders>
              <w:top w:val="nil"/>
              <w:left w:val="nil"/>
              <w:bottom w:val="single" w:color="auto" w:sz="4" w:space="0"/>
              <w:right w:val="nil"/>
            </w:tcBorders>
            <w:shd w:val="clear" w:color="auto" w:fill="auto"/>
          </w:tcPr>
          <w:p w14:paraId="01734806">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39.31</w:t>
            </w:r>
          </w:p>
        </w:tc>
        <w:tc>
          <w:tcPr>
            <w:tcW w:w="879" w:type="pct"/>
            <w:tcBorders>
              <w:top w:val="nil"/>
              <w:left w:val="nil"/>
              <w:bottom w:val="single" w:color="auto" w:sz="4" w:space="0"/>
              <w:right w:val="nil"/>
            </w:tcBorders>
            <w:shd w:val="clear" w:color="auto" w:fill="auto"/>
          </w:tcPr>
          <w:p w14:paraId="3E9EB332">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35.56</w:t>
            </w:r>
          </w:p>
        </w:tc>
        <w:tc>
          <w:tcPr>
            <w:tcW w:w="1524" w:type="pct"/>
            <w:tcBorders>
              <w:top w:val="nil"/>
              <w:left w:val="nil"/>
              <w:bottom w:val="single" w:color="auto" w:sz="4" w:space="0"/>
              <w:right w:val="nil"/>
            </w:tcBorders>
            <w:shd w:val="clear" w:color="auto" w:fill="auto"/>
          </w:tcPr>
          <w:p w14:paraId="694D54A9">
            <w:pPr>
              <w:suppressAutoHyphens/>
              <w:kinsoku w:val="0"/>
              <w:overflowPunct w:val="0"/>
              <w:autoSpaceDE w:val="0"/>
              <w:autoSpaceDN w:val="0"/>
              <w:adjustRightInd w:val="0"/>
              <w:snapToGrid w:val="0"/>
              <w:jc w:val="center"/>
              <w:rPr>
                <w:rFonts w:ascii="Times New Roman" w:hAnsi="Times New Roman" w:eastAsia="Times New Roman" w:cs="Times New Roman"/>
                <w:sz w:val="22"/>
                <w:szCs w:val="22"/>
                <w:lang w:val="en-GB"/>
              </w:rPr>
            </w:pPr>
            <w:r>
              <w:rPr>
                <w:rFonts w:ascii="Times New Roman" w:hAnsi="Times New Roman" w:eastAsia="Times New Roman" w:cs="Times New Roman"/>
                <w:sz w:val="22"/>
                <w:szCs w:val="22"/>
                <w:lang w:val="en-GB"/>
              </w:rPr>
              <w:t>37.88</w:t>
            </w:r>
          </w:p>
        </w:tc>
      </w:tr>
    </w:tbl>
    <w:p w14:paraId="339CDD97">
      <w:pPr>
        <w:suppressAutoHyphens/>
        <w:kinsoku w:val="0"/>
        <w:overflowPunct w:val="0"/>
        <w:autoSpaceDE w:val="0"/>
        <w:autoSpaceDN w:val="0"/>
        <w:adjustRightInd w:val="0"/>
        <w:snapToGrid w:val="0"/>
        <w:spacing w:line="480" w:lineRule="auto"/>
        <w:rPr>
          <w:rFonts w:ascii="Times New Roman" w:hAnsi="Times New Roman" w:eastAsia="Times New Roman" w:cs="Times New Roman"/>
          <w:szCs w:val="21"/>
          <w:lang w:val="en-GB"/>
        </w:rPr>
      </w:pPr>
      <w:r>
        <w:rPr>
          <w:rFonts w:ascii="Times New Roman" w:hAnsi="Times New Roman" w:eastAsia="Times New Roman" w:cs="Times New Roman"/>
          <w:szCs w:val="21"/>
          <w:lang w:val="en-GB"/>
        </w:rPr>
        <w:t>* p &lt; 0.1; ** p &lt; 0.05; *** p &lt; 0.01.</w:t>
      </w:r>
    </w:p>
    <w:p w14:paraId="193998F7">
      <w:p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szCs w:val="24"/>
          <w:lang w:val="en-GB"/>
        </w:rPr>
      </w:pPr>
      <w:r>
        <w:rPr>
          <w:rFonts w:ascii="Times New Roman" w:hAnsi="Times New Roman" w:eastAsia="Times New Roman" w:cs="Times New Roman"/>
          <w:szCs w:val="21"/>
          <w:lang w:val="en-GB"/>
        </w:rPr>
        <w:t xml:space="preserve">The results </w:t>
      </w:r>
      <w:r>
        <w:rPr>
          <w:rFonts w:ascii="Times New Roman" w:hAnsi="Times New Roman" w:eastAsia="Times New Roman" w:cs="Times New Roman"/>
          <w:szCs w:val="21"/>
        </w:rPr>
        <w:t>are</w:t>
      </w:r>
      <w:r>
        <w:rPr>
          <w:rFonts w:ascii="Times New Roman" w:hAnsi="Times New Roman" w:eastAsia="Times New Roman" w:cs="Times New Roman"/>
          <w:szCs w:val="21"/>
          <w:lang w:val="en-GB"/>
        </w:rPr>
        <w:t xml:space="preserve"> obtained using a regression-discontinuity design with multiple cutoffs proposed by Cattaneo et al.</w:t>
      </w:r>
      <w:r>
        <w:rPr>
          <w:rFonts w:hint="default" w:ascii="Times New Roman" w:hAnsi="Times New Roman" w:eastAsia="Times New Roman" w:cs="Times New Roman"/>
          <w:sz w:val="21"/>
          <w:szCs w:val="21"/>
          <w:vertAlign w:val="superscript"/>
          <w:lang w:val="en-GB"/>
        </w:rPr>
        <w:fldChar w:fldCharType="begin"/>
      </w:r>
      <w:r>
        <w:rPr>
          <w:rFonts w:hint="default" w:ascii="Times New Roman" w:hAnsi="Times New Roman" w:eastAsia="Times New Roman" w:cs="Times New Roman"/>
          <w:sz w:val="21"/>
          <w:szCs w:val="21"/>
          <w:vertAlign w:val="superscript"/>
          <w:lang w:val="en-GB"/>
        </w:rPr>
        <w:instrText xml:space="preserve"> REF _Ref1799768925 \n \h </w:instrText>
      </w:r>
      <w:r>
        <w:rPr>
          <w:rFonts w:hint="default" w:ascii="Times New Roman" w:hAnsi="Times New Roman" w:eastAsia="Times New Roman" w:cs="Times New Roman"/>
          <w:sz w:val="21"/>
          <w:szCs w:val="21"/>
          <w:vertAlign w:val="superscript"/>
          <w:lang w:val="en-GB"/>
        </w:rPr>
        <w:fldChar w:fldCharType="separate"/>
      </w:r>
      <w:r>
        <w:rPr>
          <w:rFonts w:hint="default" w:ascii="Times New Roman" w:hAnsi="Times New Roman" w:eastAsia="Times New Roman" w:cs="Times New Roman"/>
          <w:sz w:val="21"/>
          <w:szCs w:val="21"/>
          <w:vertAlign w:val="superscript"/>
          <w:lang w:val="en-GB"/>
        </w:rPr>
        <w:t>23</w:t>
      </w:r>
      <w:r>
        <w:rPr>
          <w:rFonts w:hint="default" w:ascii="Times New Roman" w:hAnsi="Times New Roman" w:eastAsia="Times New Roman" w:cs="Times New Roman"/>
          <w:sz w:val="21"/>
          <w:szCs w:val="21"/>
          <w:vertAlign w:val="superscript"/>
          <w:lang w:val="en-GB"/>
        </w:rPr>
        <w:fldChar w:fldCharType="end"/>
      </w:r>
      <w:r>
        <w:rPr>
          <w:rFonts w:hint="eastAsia" w:ascii="Times New Roman" w:hAnsi="Times New Roman" w:eastAsia="宋体" w:cs="Times New Roman"/>
          <w:szCs w:val="21"/>
          <w:lang w:val="en-US" w:eastAsia="zh-CN"/>
        </w:rPr>
        <w:t>.</w:t>
      </w:r>
      <w:r>
        <w:rPr>
          <w:rFonts w:ascii="Times New Roman" w:hAnsi="Times New Roman" w:eastAsia="Times New Roman" w:cs="Times New Roman"/>
          <w:szCs w:val="21"/>
          <w:lang w:val="en-GB"/>
        </w:rPr>
        <w:t xml:space="preserve"> Coefficients </w:t>
      </w:r>
      <w:r>
        <w:rPr>
          <w:rFonts w:ascii="Times New Roman" w:hAnsi="Times New Roman" w:eastAsia="Times New Roman" w:cs="Times New Roman"/>
          <w:szCs w:val="21"/>
        </w:rPr>
        <w:t>are</w:t>
      </w:r>
      <w:r>
        <w:rPr>
          <w:rFonts w:ascii="Times New Roman" w:hAnsi="Times New Roman" w:eastAsia="Times New Roman" w:cs="Times New Roman"/>
          <w:szCs w:val="21"/>
          <w:lang w:val="en-GB"/>
        </w:rPr>
        <w:t xml:space="preserve"> estimated at three cutoffs. COV indicates whether covariates (</w:t>
      </w:r>
      <w:r>
        <w:rPr>
          <w:rFonts w:ascii="Times New Roman" w:hAnsi="Times New Roman" w:eastAsia="Times New Roman Italic" w:cs="Times New Roman"/>
          <w:i/>
          <w:szCs w:val="21"/>
          <w:lang w:val="en-GB"/>
        </w:rPr>
        <w:t>Male</w:t>
      </w:r>
      <w:r>
        <w:rPr>
          <w:rFonts w:ascii="Times New Roman" w:hAnsi="Times New Roman" w:eastAsia="Times New Roman" w:cs="Times New Roman"/>
          <w:szCs w:val="21"/>
          <w:lang w:val="en-GB"/>
        </w:rPr>
        <w:t xml:space="preserve">, </w:t>
      </w:r>
      <w:r>
        <w:rPr>
          <w:rFonts w:ascii="Times New Roman" w:hAnsi="Times New Roman" w:eastAsia="Times New Roman Italic" w:cs="Times New Roman"/>
          <w:i/>
          <w:szCs w:val="21"/>
          <w:lang w:val="en-GB"/>
        </w:rPr>
        <w:t>Age</w:t>
      </w:r>
      <w:r>
        <w:rPr>
          <w:rFonts w:ascii="Times New Roman" w:hAnsi="Times New Roman" w:eastAsia="Times New Roman Italic" w:cs="Times New Roman"/>
          <w:iCs/>
          <w:szCs w:val="21"/>
          <w:lang w:val="en-GB"/>
        </w:rPr>
        <w:t>,</w:t>
      </w:r>
      <w:r>
        <w:rPr>
          <w:rFonts w:ascii="Times New Roman" w:hAnsi="Times New Roman" w:eastAsia="Times New Roman" w:cs="Times New Roman"/>
          <w:szCs w:val="21"/>
          <w:lang w:val="en-GB"/>
        </w:rPr>
        <w:t xml:space="preserve"> and </w:t>
      </w:r>
      <w:r>
        <w:rPr>
          <w:rFonts w:ascii="Times New Roman" w:hAnsi="Times New Roman" w:eastAsia="Times New Roman Italic" w:cs="Times New Roman"/>
          <w:i/>
          <w:szCs w:val="21"/>
          <w:lang w:val="en-GB"/>
        </w:rPr>
        <w:t>Work_School</w:t>
      </w:r>
      <w:r>
        <w:rPr>
          <w:rFonts w:ascii="Times New Roman" w:hAnsi="Times New Roman" w:eastAsia="Times New Roman" w:cs="Times New Roman"/>
          <w:szCs w:val="21"/>
          <w:lang w:val="en-GB"/>
        </w:rPr>
        <w:t xml:space="preserve">) are included; observations represent the sample size for the local regression analysis around each cutoff; and bandwidth denotes the window size on the left and right sides of the cutoff, determined using the optimal mean squared error method, with equal bandwidths selected for both sides. </w:t>
      </w:r>
    </w:p>
    <w:p w14:paraId="18401B9E">
      <w:pPr>
        <w:suppressAutoHyphens/>
        <w:kinsoku w:val="0"/>
        <w:overflowPunct w:val="0"/>
        <w:autoSpaceDE w:val="0"/>
        <w:autoSpaceDN w:val="0"/>
        <w:adjustRightInd w:val="0"/>
        <w:snapToGrid w:val="0"/>
        <w:spacing w:line="480" w:lineRule="auto"/>
        <w:ind w:firstLine="480"/>
        <w:rPr>
          <w:rFonts w:ascii="Times New Roman" w:hAnsi="Times New Roman" w:eastAsia="Times New Roman" w:cs="Times New Roman"/>
          <w:sz w:val="24"/>
          <w:lang w:val="en-GB"/>
        </w:rPr>
      </w:pPr>
    </w:p>
    <w:p w14:paraId="2B477B8A">
      <w:pPr>
        <w:widowControl/>
        <w:jc w:val="left"/>
        <w:rPr>
          <w:rFonts w:ascii="Times New Roman" w:hAnsi="Times New Roman" w:eastAsia="Times New Roman" w:cs="Times New Roman"/>
          <w:sz w:val="24"/>
          <w:lang w:val="en-GB"/>
        </w:rPr>
      </w:pPr>
      <w:r>
        <w:rPr>
          <w:rFonts w:ascii="Times New Roman" w:hAnsi="Times New Roman" w:eastAsia="Times New Roman" w:cs="Times New Roman"/>
          <w:sz w:val="24"/>
          <w:lang w:val="en-GB"/>
        </w:rPr>
        <w:br w:type="page"/>
      </w:r>
    </w:p>
    <w:p w14:paraId="6E704B4C">
      <w:pPr>
        <w:suppressAutoHyphens/>
        <w:kinsoku w:val="0"/>
        <w:overflowPunct w:val="0"/>
        <w:autoSpaceDE w:val="0"/>
        <w:autoSpaceDN w:val="0"/>
        <w:adjustRightInd w:val="0"/>
        <w:snapToGrid w:val="0"/>
        <w:spacing w:line="480" w:lineRule="auto"/>
        <w:ind w:firstLine="480"/>
        <w:rPr>
          <w:rFonts w:ascii="Times New Roman" w:hAnsi="Times New Roman" w:eastAsia="Times New Roman" w:cs="Times New Roman"/>
          <w:sz w:val="24"/>
          <w:lang w:val="en-GB"/>
        </w:rPr>
      </w:pPr>
      <w:r>
        <w:rPr>
          <w:rFonts w:ascii="Times New Roman" w:hAnsi="Times New Roman" w:eastAsia="Times New Roman" w:cs="Times New Roman"/>
          <w:sz w:val="24"/>
          <w:lang w:val="en-GB"/>
        </w:rPr>
        <w:t>As shown in Figure D1, no significant change</w:t>
      </w:r>
      <w:r>
        <w:rPr>
          <w:rFonts w:ascii="Times New Roman" w:hAnsi="Times New Roman" w:eastAsia="Times New Roman" w:cs="Times New Roman"/>
          <w:sz w:val="24"/>
        </w:rPr>
        <w:t>s</w:t>
      </w:r>
      <w:r>
        <w:rPr>
          <w:rFonts w:ascii="Times New Roman" w:hAnsi="Times New Roman" w:eastAsia="Times New Roman" w:cs="Times New Roman"/>
          <w:sz w:val="24"/>
          <w:lang w:val="en-GB"/>
        </w:rPr>
        <w:t xml:space="preserve"> </w:t>
      </w:r>
      <w:r>
        <w:rPr>
          <w:rFonts w:ascii="Times New Roman" w:hAnsi="Times New Roman" w:eastAsia="Times New Roman" w:cs="Times New Roman"/>
          <w:sz w:val="24"/>
        </w:rPr>
        <w:t>are</w:t>
      </w:r>
      <w:r>
        <w:rPr>
          <w:rFonts w:ascii="Times New Roman" w:hAnsi="Times New Roman" w:eastAsia="Times New Roman" w:cs="Times New Roman"/>
          <w:sz w:val="24"/>
          <w:lang w:val="en-GB"/>
        </w:rPr>
        <w:t xml:space="preserve"> observed in the covariates when the cutoffs </w:t>
      </w:r>
      <w:r>
        <w:rPr>
          <w:rFonts w:ascii="Times New Roman" w:hAnsi="Times New Roman" w:eastAsia="Times New Roman" w:cs="Times New Roman"/>
          <w:sz w:val="24"/>
        </w:rPr>
        <w:t>are</w:t>
      </w:r>
      <w:r>
        <w:rPr>
          <w:rFonts w:ascii="Times New Roman" w:hAnsi="Times New Roman" w:eastAsia="Times New Roman" w:cs="Times New Roman"/>
          <w:sz w:val="24"/>
          <w:lang w:val="en-GB"/>
        </w:rPr>
        <w:t xml:space="preserve"> crossed.</w:t>
      </w:r>
    </w:p>
    <w:p w14:paraId="650586B6">
      <w:pPr>
        <w:suppressAutoHyphens/>
        <w:kinsoku w:val="0"/>
        <w:overflowPunct w:val="0"/>
        <w:autoSpaceDE w:val="0"/>
        <w:autoSpaceDN w:val="0"/>
        <w:adjustRightInd w:val="0"/>
        <w:snapToGrid w:val="0"/>
        <w:spacing w:line="480" w:lineRule="auto"/>
        <w:rPr>
          <w:rFonts w:ascii="Times New Roman" w:hAnsi="Times New Roman" w:eastAsia="Times New Roman" w:cs="Times New Roman"/>
          <w:lang w:val="en-GB"/>
        </w:rPr>
      </w:pPr>
      <w:r>
        <w:rPr>
          <w:rFonts w:ascii="Times New Roman" w:hAnsi="Times New Roman" w:eastAsia="Times New Roman" w:cs="Times New Roman"/>
          <w:b/>
          <w:bCs/>
          <w:lang w:val="en-GB"/>
        </w:rPr>
        <w:t>A</w:t>
      </w:r>
      <w:r>
        <w:rPr>
          <w:rFonts w:ascii="Times New Roman" w:hAnsi="Times New Roman" w:eastAsia="Times New Roman" w:cs="Times New Roman"/>
          <w:lang w:val="en-GB"/>
        </w:rPr>
        <w:drawing>
          <wp:inline distT="0" distB="0" distL="114300" distR="114300">
            <wp:extent cx="1551305" cy="1028065"/>
            <wp:effectExtent l="0" t="0" r="23495" b="133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551305" cy="1028065"/>
                    </a:xfrm>
                    <a:prstGeom prst="rect">
                      <a:avLst/>
                    </a:prstGeom>
                    <a:noFill/>
                    <a:ln>
                      <a:noFill/>
                    </a:ln>
                  </pic:spPr>
                </pic:pic>
              </a:graphicData>
            </a:graphic>
          </wp:inline>
        </w:drawing>
      </w:r>
      <w:r>
        <w:rPr>
          <w:rFonts w:ascii="Times New Roman" w:hAnsi="Times New Roman" w:eastAsia="Times New Roman" w:cs="Times New Roman"/>
          <w:b/>
          <w:bCs/>
          <w:lang w:val="en-GB"/>
        </w:rPr>
        <w:t>B</w:t>
      </w:r>
      <w:r>
        <w:rPr>
          <w:rFonts w:ascii="Times New Roman" w:hAnsi="Times New Roman" w:eastAsia="Times New Roman" w:cs="Times New Roman"/>
          <w:lang w:val="en-GB"/>
        </w:rPr>
        <w:drawing>
          <wp:inline distT="0" distB="0" distL="114300" distR="114300">
            <wp:extent cx="1592580" cy="1052195"/>
            <wp:effectExtent l="0" t="0" r="7620" b="146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1592580" cy="1052195"/>
                    </a:xfrm>
                    <a:prstGeom prst="rect">
                      <a:avLst/>
                    </a:prstGeom>
                    <a:noFill/>
                    <a:ln>
                      <a:noFill/>
                    </a:ln>
                  </pic:spPr>
                </pic:pic>
              </a:graphicData>
            </a:graphic>
          </wp:inline>
        </w:drawing>
      </w:r>
      <w:r>
        <w:rPr>
          <w:rFonts w:ascii="Times New Roman" w:hAnsi="Times New Roman" w:eastAsia="Times New Roman" w:cs="Times New Roman"/>
          <w:b/>
          <w:bCs/>
          <w:lang w:val="en-GB"/>
        </w:rPr>
        <w:t>C</w:t>
      </w:r>
      <w:r>
        <w:rPr>
          <w:rFonts w:ascii="Times New Roman" w:hAnsi="Times New Roman" w:eastAsia="Times New Roman" w:cs="Times New Roman"/>
          <w:lang w:val="en-GB"/>
        </w:rPr>
        <w:drawing>
          <wp:inline distT="0" distB="0" distL="114300" distR="114300">
            <wp:extent cx="1518920" cy="1017905"/>
            <wp:effectExtent l="0" t="0" r="5080" b="2349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1518920" cy="1017905"/>
                    </a:xfrm>
                    <a:prstGeom prst="rect">
                      <a:avLst/>
                    </a:prstGeom>
                    <a:noFill/>
                    <a:ln>
                      <a:noFill/>
                    </a:ln>
                  </pic:spPr>
                </pic:pic>
              </a:graphicData>
            </a:graphic>
          </wp:inline>
        </w:drawing>
      </w:r>
    </w:p>
    <w:p w14:paraId="507FD530">
      <w:pPr>
        <w:widowControl/>
        <w:snapToGrid w:val="0"/>
        <w:spacing w:line="480" w:lineRule="auto"/>
        <w:rPr>
          <w:rFonts w:ascii="Times New Roman" w:hAnsi="Times New Roman" w:eastAsia="Times New Roman" w:cs="Times New Roman"/>
          <w:lang w:val="en-GB"/>
        </w:rPr>
      </w:pPr>
      <w:r>
        <w:rPr>
          <w:rFonts w:ascii="Times New Roman" w:hAnsi="Times New Roman" w:eastAsia="Times New Roman Bold" w:cs="Times New Roman"/>
          <w:b/>
          <w:lang w:val="en-GB"/>
        </w:rPr>
        <w:t>Fig. D1: Covariate</w:t>
      </w:r>
      <w:r>
        <w:rPr>
          <w:rFonts w:hint="default" w:ascii="Times New Roman" w:hAnsi="Times New Roman" w:eastAsia="Times New Roman Bold" w:cs="Times New Roman"/>
          <w:b/>
          <w:lang w:val="en-US"/>
        </w:rPr>
        <w:t>s</w:t>
      </w:r>
      <w:r>
        <w:rPr>
          <w:rFonts w:ascii="Times New Roman" w:hAnsi="Times New Roman" w:eastAsia="Times New Roman Bold" w:cs="Times New Roman"/>
          <w:b/>
          <w:lang w:val="en-GB"/>
        </w:rPr>
        <w:t xml:space="preserve"> distribution: A </w:t>
      </w:r>
      <w:r>
        <w:rPr>
          <w:rFonts w:ascii="Times New Roman" w:hAnsi="Times New Roman" w:eastAsia="Times New Roman Italic" w:cs="Times New Roman"/>
          <w:i/>
          <w:lang w:val="en-GB"/>
        </w:rPr>
        <w:t>Male</w:t>
      </w:r>
      <w:r>
        <w:rPr>
          <w:rFonts w:ascii="Times New Roman" w:hAnsi="Times New Roman" w:eastAsia="Times New Roman" w:cs="Times New Roman"/>
          <w:lang w:val="en-GB"/>
        </w:rPr>
        <w:t xml:space="preserve">, </w:t>
      </w:r>
      <w:r>
        <w:rPr>
          <w:rFonts w:ascii="Times New Roman" w:hAnsi="Times New Roman" w:eastAsia="Times New Roman" w:cs="Times New Roman"/>
          <w:b/>
          <w:bCs/>
          <w:lang w:val="en-GB"/>
        </w:rPr>
        <w:t xml:space="preserve">B </w:t>
      </w:r>
      <w:r>
        <w:rPr>
          <w:rFonts w:ascii="Times New Roman" w:hAnsi="Times New Roman" w:eastAsia="Times New Roman Italic" w:cs="Times New Roman"/>
          <w:i/>
          <w:lang w:val="en-GB"/>
        </w:rPr>
        <w:t>Age</w:t>
      </w:r>
      <w:r>
        <w:rPr>
          <w:rFonts w:ascii="Times New Roman" w:hAnsi="Times New Roman" w:eastAsia="Times New Roman" w:cs="Times New Roman"/>
          <w:lang w:val="en-GB"/>
        </w:rPr>
        <w:t xml:space="preserve">, </w:t>
      </w:r>
      <w:r>
        <w:rPr>
          <w:rFonts w:ascii="Times New Roman" w:hAnsi="Times New Roman" w:eastAsia="Times New Roman" w:cs="Times New Roman"/>
          <w:b/>
          <w:bCs/>
          <w:lang w:val="en-GB"/>
        </w:rPr>
        <w:t xml:space="preserve">C </w:t>
      </w:r>
      <w:r>
        <w:rPr>
          <w:rFonts w:ascii="Times New Roman" w:hAnsi="Times New Roman" w:eastAsia="Times New Roman Italic" w:cs="Times New Roman"/>
          <w:i/>
          <w:lang w:val="en-GB"/>
        </w:rPr>
        <w:t>Work_School</w:t>
      </w:r>
      <w:r>
        <w:rPr>
          <w:rFonts w:ascii="Times New Roman" w:hAnsi="Times New Roman" w:eastAsia="Times New Roman" w:cs="Times New Roman"/>
          <w:lang w:val="en-GB"/>
        </w:rPr>
        <w:t>. We plo</w:t>
      </w:r>
      <w:r>
        <w:rPr>
          <w:rFonts w:ascii="Times New Roman" w:hAnsi="Times New Roman" w:eastAsia="Times New Roman" w:cs="Times New Roman"/>
        </w:rPr>
        <w:t>t</w:t>
      </w:r>
      <w:r>
        <w:rPr>
          <w:rFonts w:ascii="Times New Roman" w:hAnsi="Times New Roman" w:eastAsia="Times New Roman" w:cs="Times New Roman"/>
          <w:lang w:val="en-GB"/>
        </w:rPr>
        <w:t xml:space="preserve"> the distributions and fitted lines of the covariates corresponding to the driving variable. Specifically, we retain samples with AQI &lt; 200 and assign each of them to the closest cutoff </w:t>
      </w:r>
      <m:oMath>
        <m:sSub>
          <m:sSubPr>
            <m:ctrlPr>
              <w:rPr>
                <w:rFonts w:ascii="DejaVu Math TeX Gyre" w:hAnsi="DejaVu Math TeX Gyre" w:eastAsia="Songti SC" w:cs="Times New Roman"/>
                <w:szCs w:val="21"/>
                <w:lang w:val="en-GB"/>
              </w:rPr>
            </m:ctrlPr>
          </m:sSubPr>
          <m:e>
            <m:r>
              <m:rPr>
                <m:sty m:val="p"/>
              </m:rPr>
              <w:rPr>
                <w:rFonts w:ascii="DejaVu Math TeX Gyre" w:hAnsi="DejaVu Math TeX Gyre" w:eastAsia="Songti SC" w:cs="Times New Roman"/>
                <w:szCs w:val="21"/>
                <w:lang w:val="en-GB"/>
              </w:rPr>
              <m:t>c</m:t>
            </m:r>
            <m:ctrlPr>
              <w:rPr>
                <w:rFonts w:ascii="DejaVu Math TeX Gyre" w:hAnsi="DejaVu Math TeX Gyre" w:eastAsia="Songti SC" w:cs="Times New Roman"/>
                <w:szCs w:val="21"/>
                <w:lang w:val="en-GB"/>
              </w:rPr>
            </m:ctrlPr>
          </m:e>
          <m:sub>
            <m:r>
              <m:rPr>
                <m:sty m:val="p"/>
              </m:rPr>
              <w:rPr>
                <w:rFonts w:ascii="DejaVu Math TeX Gyre" w:hAnsi="DejaVu Math TeX Gyre" w:eastAsia="Songti SC" w:cs="Times New Roman"/>
                <w:szCs w:val="21"/>
                <w:lang w:val="en-GB"/>
              </w:rPr>
              <m:t>j</m:t>
            </m:r>
            <m:ctrlPr>
              <w:rPr>
                <w:rFonts w:ascii="DejaVu Math TeX Gyre" w:hAnsi="DejaVu Math TeX Gyre" w:eastAsia="Songti SC" w:cs="Times New Roman"/>
                <w:szCs w:val="21"/>
                <w:lang w:val="en-GB"/>
              </w:rPr>
            </m:ctrlPr>
          </m:sub>
        </m:sSub>
        <m:r>
          <m:rPr>
            <m:sty m:val="p"/>
          </m:rPr>
          <w:rPr>
            <w:rFonts w:ascii="DejaVu Math TeX Gyre" w:hAnsi="DejaVu Math TeX Gyre" w:eastAsia="Songti SC" w:cs="Times New Roman"/>
            <w:szCs w:val="21"/>
            <w:lang w:val="en-GB"/>
          </w:rPr>
          <m:t>∈{50,100,150}</m:t>
        </m:r>
      </m:oMath>
      <w:r>
        <w:rPr>
          <w:rFonts w:ascii="Times New Roman" w:hAnsi="Times New Roman" w:eastAsia="Times New Roman" w:cs="Times New Roman"/>
          <w:lang w:val="en-GB"/>
        </w:rPr>
        <w:t>. Subsequently, we calculate the standardised driving variable (AQI-</w:t>
      </w:r>
      <m:oMath>
        <m:sSub>
          <m:sSubPr>
            <m:ctrlPr>
              <w:rPr>
                <w:rFonts w:ascii="DejaVu Math TeX Gyre" w:hAnsi="DejaVu Math TeX Gyre" w:eastAsia="Songti SC" w:cs="Times New Roman"/>
                <w:szCs w:val="21"/>
                <w:lang w:val="en-GB"/>
              </w:rPr>
            </m:ctrlPr>
          </m:sSubPr>
          <m:e>
            <m:r>
              <m:rPr>
                <m:sty m:val="p"/>
              </m:rPr>
              <w:rPr>
                <w:rFonts w:ascii="DejaVu Math TeX Gyre" w:hAnsi="DejaVu Math TeX Gyre" w:eastAsia="Songti SC" w:cs="Times New Roman"/>
                <w:szCs w:val="21"/>
                <w:lang w:val="en-GB"/>
              </w:rPr>
              <m:t>c</m:t>
            </m:r>
            <m:ctrlPr>
              <w:rPr>
                <w:rFonts w:ascii="DejaVu Math TeX Gyre" w:hAnsi="DejaVu Math TeX Gyre" w:eastAsia="Songti SC" w:cs="Times New Roman"/>
                <w:szCs w:val="21"/>
                <w:lang w:val="en-GB"/>
              </w:rPr>
            </m:ctrlPr>
          </m:e>
          <m:sub>
            <m:r>
              <m:rPr>
                <m:sty m:val="p"/>
              </m:rPr>
              <w:rPr>
                <w:rFonts w:ascii="DejaVu Math TeX Gyre" w:hAnsi="DejaVu Math TeX Gyre" w:eastAsia="Songti SC" w:cs="Times New Roman"/>
                <w:szCs w:val="21"/>
                <w:lang w:val="en-GB"/>
              </w:rPr>
              <m:t>j</m:t>
            </m:r>
            <m:ctrlPr>
              <w:rPr>
                <w:rFonts w:ascii="DejaVu Math TeX Gyre" w:hAnsi="DejaVu Math TeX Gyre" w:eastAsia="Songti SC" w:cs="Times New Roman"/>
                <w:szCs w:val="21"/>
                <w:lang w:val="en-GB"/>
              </w:rPr>
            </m:ctrlPr>
          </m:sub>
        </m:sSub>
      </m:oMath>
      <w:r>
        <w:rPr>
          <w:rFonts w:ascii="Times New Roman" w:hAnsi="Times New Roman" w:eastAsia="Times New Roman" w:cs="Times New Roman"/>
          <w:lang w:val="en-GB"/>
        </w:rPr>
        <w:t xml:space="preserve">) and use it as the horizontal axis. Circles represent the mean values of the covariates within each bin of the standardised driving variables. Lines represent fourth-order polynomial fits. </w:t>
      </w:r>
    </w:p>
    <w:p w14:paraId="054B07B8">
      <w:pPr>
        <w:suppressAutoHyphens/>
        <w:kinsoku w:val="0"/>
        <w:overflowPunct w:val="0"/>
        <w:autoSpaceDE w:val="0"/>
        <w:autoSpaceDN w:val="0"/>
        <w:adjustRightInd w:val="0"/>
        <w:snapToGrid w:val="0"/>
        <w:spacing w:line="480" w:lineRule="auto"/>
        <w:rPr>
          <w:rFonts w:ascii="Times New Roman" w:hAnsi="Times New Roman" w:eastAsia="Times New Roman" w:cs="Times New Roman"/>
          <w:lang w:val="en-GB"/>
        </w:rPr>
      </w:pPr>
    </w:p>
    <w:p w14:paraId="2A73BEF7">
      <w:pPr>
        <w:suppressAutoHyphens/>
        <w:kinsoku w:val="0"/>
        <w:overflowPunct w:val="0"/>
        <w:autoSpaceDE w:val="0"/>
        <w:autoSpaceDN w:val="0"/>
        <w:adjustRightInd w:val="0"/>
        <w:snapToGrid w:val="0"/>
        <w:spacing w:line="480" w:lineRule="auto"/>
        <w:outlineLvl w:val="1"/>
        <w:rPr>
          <w:rFonts w:ascii="Times New Roman" w:hAnsi="Times New Roman" w:eastAsia="Times New Roman" w:cs="Times New Roman"/>
          <w:b/>
          <w:sz w:val="28"/>
          <w:lang w:val="en-GB"/>
        </w:rPr>
      </w:pPr>
      <w:bookmarkStart w:id="41" w:name="_Toc924510669"/>
      <w:bookmarkStart w:id="42" w:name="_Toc1075000021"/>
      <w:bookmarkStart w:id="43" w:name="_Toc1702477410"/>
      <w:bookmarkStart w:id="44" w:name="_Toc2049862393"/>
      <w:r>
        <w:rPr>
          <w:rFonts w:ascii="Times New Roman" w:hAnsi="Times New Roman" w:eastAsia="Times New Roman" w:cs="Times New Roman"/>
          <w:b/>
          <w:sz w:val="28"/>
          <w:lang w:val="en-GB"/>
        </w:rPr>
        <w:t>D.2 Manipulation test</w:t>
      </w:r>
      <w:bookmarkEnd w:id="41"/>
      <w:bookmarkEnd w:id="42"/>
      <w:bookmarkEnd w:id="43"/>
      <w:bookmarkEnd w:id="44"/>
    </w:p>
    <w:p w14:paraId="3571C826">
      <w:p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r>
        <w:rPr>
          <w:rFonts w:ascii="Times New Roman" w:hAnsi="Times New Roman" w:eastAsia="Times New Roman" w:cs="Times New Roman"/>
          <w:sz w:val="24"/>
          <w:lang w:val="en-GB"/>
        </w:rPr>
        <w:t>Manipulation test reveal</w:t>
      </w:r>
      <w:r>
        <w:rPr>
          <w:rFonts w:hint="default" w:ascii="Times New Roman" w:hAnsi="Times New Roman" w:eastAsia="Times New Roman" w:cs="Times New Roman"/>
          <w:sz w:val="24"/>
          <w:lang w:val="en-US"/>
        </w:rPr>
        <w:t>s</w:t>
      </w:r>
      <w:r>
        <w:rPr>
          <w:rFonts w:ascii="Times New Roman" w:hAnsi="Times New Roman" w:eastAsia="Times New Roman" w:cs="Times New Roman"/>
          <w:sz w:val="24"/>
          <w:lang w:val="en-GB"/>
        </w:rPr>
        <w:t xml:space="preserve"> whether individuals can manipulate their running variables to control their treatment status. If they can, the treatment status cannot be considered to be as good as random, and the RD results cannot be considered valid. In our sample, individuals c</w:t>
      </w:r>
      <w:r>
        <w:rPr>
          <w:rFonts w:ascii="Times New Roman" w:hAnsi="Times New Roman" w:eastAsia="Times New Roman" w:cs="Times New Roman"/>
          <w:sz w:val="24"/>
        </w:rPr>
        <w:t>an</w:t>
      </w:r>
      <w:r>
        <w:rPr>
          <w:rFonts w:ascii="Times New Roman" w:hAnsi="Times New Roman" w:eastAsia="Times New Roman" w:cs="Times New Roman"/>
          <w:sz w:val="24"/>
          <w:lang w:val="en-GB"/>
        </w:rPr>
        <w:t xml:space="preserve"> not perform this manipulation because they c</w:t>
      </w:r>
      <w:r>
        <w:rPr>
          <w:rFonts w:ascii="Times New Roman" w:hAnsi="Times New Roman" w:eastAsia="Times New Roman" w:cs="Times New Roman"/>
          <w:sz w:val="24"/>
        </w:rPr>
        <w:t>an</w:t>
      </w:r>
      <w:r>
        <w:rPr>
          <w:rFonts w:ascii="Times New Roman" w:hAnsi="Times New Roman" w:eastAsia="Times New Roman" w:cs="Times New Roman"/>
          <w:sz w:val="24"/>
          <w:lang w:val="en-GB"/>
        </w:rPr>
        <w:t xml:space="preserve"> not decide on </w:t>
      </w:r>
      <w:r>
        <w:rPr>
          <w:rFonts w:hint="eastAsia" w:ascii="Times New Roman" w:hAnsi="Times New Roman" w:eastAsia="宋体" w:cs="Times New Roman"/>
          <w:sz w:val="24"/>
          <w:lang w:eastAsia="zh-CN"/>
        </w:rPr>
        <w:t xml:space="preserve">which </w:t>
      </w:r>
      <w:r>
        <w:rPr>
          <w:rFonts w:ascii="Times New Roman" w:hAnsi="Times New Roman" w:eastAsia="Times New Roman" w:cs="Times New Roman"/>
          <w:sz w:val="24"/>
          <w:lang w:val="en-GB"/>
        </w:rPr>
        <w:t xml:space="preserve">day they </w:t>
      </w:r>
      <w:r>
        <w:rPr>
          <w:rFonts w:ascii="Times New Roman" w:hAnsi="Times New Roman" w:eastAsia="Times New Roman" w:cs="Times New Roman"/>
          <w:sz w:val="24"/>
        </w:rPr>
        <w:t>are</w:t>
      </w:r>
      <w:r>
        <w:rPr>
          <w:rFonts w:ascii="Times New Roman" w:hAnsi="Times New Roman" w:eastAsia="Times New Roman" w:cs="Times New Roman"/>
          <w:sz w:val="24"/>
          <w:lang w:val="en-GB"/>
        </w:rPr>
        <w:t xml:space="preserve"> interviewed in the Beijing Urban Transportation Comprehensive Survey. </w:t>
      </w:r>
    </w:p>
    <w:p w14:paraId="6918190B">
      <w:pPr>
        <w:suppressAutoHyphens/>
        <w:kinsoku w:val="0"/>
        <w:overflowPunct w:val="0"/>
        <w:autoSpaceDE w:val="0"/>
        <w:autoSpaceDN w:val="0"/>
        <w:adjustRightInd w:val="0"/>
        <w:snapToGrid w:val="0"/>
        <w:spacing w:line="480" w:lineRule="auto"/>
        <w:ind w:firstLine="480"/>
        <w:rPr>
          <w:rFonts w:ascii="Times New Roman" w:hAnsi="Times New Roman" w:eastAsia="Times New Roman" w:cs="Times New Roman"/>
          <w:sz w:val="24"/>
          <w:lang w:val="en-GB"/>
        </w:rPr>
      </w:pPr>
      <w:r>
        <w:rPr>
          <w:rFonts w:ascii="Times New Roman" w:hAnsi="Times New Roman" w:eastAsia="Times New Roman" w:cs="Times New Roman"/>
          <w:sz w:val="24"/>
          <w:lang w:val="en-GB"/>
        </w:rPr>
        <w:t xml:space="preserve">To provide empirical evidence, we conduct a manipulation test for the AQI on the survey days. As shown in Figure D2, no discontinuity </w:t>
      </w:r>
      <w:r>
        <w:rPr>
          <w:rFonts w:ascii="Times New Roman" w:hAnsi="Times New Roman" w:eastAsia="Times New Roman" w:cs="Times New Roman"/>
          <w:sz w:val="24"/>
        </w:rPr>
        <w:t>is</w:t>
      </w:r>
      <w:r>
        <w:rPr>
          <w:rFonts w:ascii="Times New Roman" w:hAnsi="Times New Roman" w:eastAsia="Times New Roman" w:cs="Times New Roman"/>
          <w:sz w:val="24"/>
          <w:lang w:val="en-GB"/>
        </w:rPr>
        <w:t xml:space="preserve"> observed in the distribution of the AQI around the cutoff value.</w:t>
      </w:r>
    </w:p>
    <w:p w14:paraId="5C85A086">
      <w:pPr>
        <w:suppressAutoHyphens/>
        <w:kinsoku w:val="0"/>
        <w:overflowPunct w:val="0"/>
        <w:autoSpaceDE w:val="0"/>
        <w:autoSpaceDN w:val="0"/>
        <w:adjustRightInd w:val="0"/>
        <w:snapToGrid w:val="0"/>
        <w:spacing w:line="480" w:lineRule="auto"/>
        <w:jc w:val="center"/>
      </w:pPr>
    </w:p>
    <w:p w14:paraId="20391BE5">
      <w:pPr>
        <w:suppressAutoHyphens/>
        <w:kinsoku w:val="0"/>
        <w:overflowPunct w:val="0"/>
        <w:autoSpaceDE w:val="0"/>
        <w:autoSpaceDN w:val="0"/>
        <w:adjustRightInd w:val="0"/>
        <w:snapToGrid w:val="0"/>
        <w:spacing w:line="480" w:lineRule="auto"/>
        <w:jc w:val="center"/>
        <w:rPr>
          <w:lang w:val="en-GB"/>
        </w:rPr>
      </w:pPr>
      <w:r>
        <w:drawing>
          <wp:inline distT="0" distB="0" distL="114300" distR="114300">
            <wp:extent cx="9525" cy="19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9525" cy="19050"/>
                    </a:xfrm>
                    <a:prstGeom prst="rect">
                      <a:avLst/>
                    </a:prstGeom>
                    <a:noFill/>
                    <a:ln>
                      <a:noFill/>
                    </a:ln>
                  </pic:spPr>
                </pic:pic>
              </a:graphicData>
            </a:graphic>
          </wp:inline>
        </w:drawing>
      </w:r>
      <w:r>
        <w:drawing>
          <wp:inline distT="0" distB="0" distL="114300" distR="114300">
            <wp:extent cx="9525" cy="1905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9525" cy="19050"/>
                    </a:xfrm>
                    <a:prstGeom prst="rect">
                      <a:avLst/>
                    </a:prstGeom>
                    <a:noFill/>
                    <a:ln>
                      <a:noFill/>
                    </a:ln>
                  </pic:spPr>
                </pic:pic>
              </a:graphicData>
            </a:graphic>
          </wp:inline>
        </w:drawing>
      </w:r>
      <w:r>
        <w:drawing>
          <wp:inline distT="0" distB="0" distL="114300" distR="114300">
            <wp:extent cx="3594100" cy="2571750"/>
            <wp:effectExtent l="0" t="0" r="12700" b="1905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0"/>
                    <a:stretch>
                      <a:fillRect/>
                    </a:stretch>
                  </pic:blipFill>
                  <pic:spPr>
                    <a:xfrm>
                      <a:off x="0" y="0"/>
                      <a:ext cx="3594100" cy="2571750"/>
                    </a:xfrm>
                    <a:prstGeom prst="rect">
                      <a:avLst/>
                    </a:prstGeom>
                    <a:noFill/>
                    <a:ln>
                      <a:noFill/>
                    </a:ln>
                  </pic:spPr>
                </pic:pic>
              </a:graphicData>
            </a:graphic>
          </wp:inline>
        </w:drawing>
      </w:r>
    </w:p>
    <w:p w14:paraId="062AEDD8">
      <w:pPr>
        <w:widowControl/>
        <w:snapToGrid w:val="0"/>
        <w:spacing w:line="480" w:lineRule="auto"/>
        <w:rPr>
          <w:rFonts w:ascii="Times New Roman" w:hAnsi="Times New Roman" w:eastAsia="Times New Roman" w:cs="Times New Roman"/>
          <w:lang w:val="en-GB"/>
        </w:rPr>
      </w:pPr>
      <w:r>
        <w:rPr>
          <w:rFonts w:ascii="Times New Roman" w:hAnsi="Times New Roman" w:eastAsia="Times New Roman Bold" w:cs="Times New Roman"/>
          <w:b/>
          <w:lang w:val="en-GB"/>
        </w:rPr>
        <w:t>Fig. D2: Manipulation test: standardi</w:t>
      </w:r>
      <w:r>
        <w:rPr>
          <w:rFonts w:hint="default" w:ascii="Times New Roman" w:hAnsi="Times New Roman" w:eastAsia="Times New Roman Bold" w:cs="Times New Roman"/>
          <w:b/>
          <w:lang w:val="en-US"/>
        </w:rPr>
        <w:t>s</w:t>
      </w:r>
      <w:r>
        <w:rPr>
          <w:rFonts w:ascii="Times New Roman" w:hAnsi="Times New Roman" w:eastAsia="Times New Roman Bold" w:cs="Times New Roman"/>
          <w:b/>
          <w:lang w:val="en-GB"/>
        </w:rPr>
        <w:t xml:space="preserve">ed driving variable distribution. </w:t>
      </w:r>
      <w:r>
        <w:rPr>
          <w:rFonts w:ascii="Times New Roman" w:hAnsi="Times New Roman" w:eastAsia="Times New Roman" w:cs="Times New Roman"/>
          <w:lang w:val="en-GB"/>
        </w:rPr>
        <w:t>We treat each survey day as an observation. We retain samples with AQI &lt; 200 and assign them to the closest cutoff</w:t>
      </w:r>
      <w:r>
        <w:rPr>
          <w:rFonts w:ascii="Times New Roman" w:hAnsi="Times New Roman" w:eastAsia="DejaVu Math TeX Gyre" w:cs="Times New Roman"/>
          <w:lang w:val="en-GB"/>
        </w:rPr>
        <w:t xml:space="preserve"> </w:t>
      </w:r>
      <m:oMath>
        <m:sSub>
          <m:sSubPr>
            <m:ctrlPr>
              <w:rPr>
                <w:rFonts w:ascii="DejaVu Math TeX Gyre" w:hAnsi="DejaVu Math TeX Gyre" w:eastAsia="Times New Roman" w:cs="Times New Roman"/>
                <w:i/>
                <w:iCs/>
                <w:szCs w:val="21"/>
                <w:lang w:val="en-GB"/>
              </w:rPr>
            </m:ctrlPr>
          </m:sSubPr>
          <m:e>
            <m:r>
              <m:rPr/>
              <w:rPr>
                <w:rFonts w:ascii="DejaVu Math TeX Gyre" w:hAnsi="DejaVu Math TeX Gyre" w:eastAsia="Times New Roman" w:cs="Times New Roman"/>
                <w:szCs w:val="21"/>
                <w:lang w:val="en-GB"/>
              </w:rPr>
              <m:t>c</m:t>
            </m:r>
            <m:ctrlPr>
              <w:rPr>
                <w:rFonts w:ascii="DejaVu Math TeX Gyre" w:hAnsi="DejaVu Math TeX Gyre" w:eastAsia="Times New Roman" w:cs="Times New Roman"/>
                <w:i/>
                <w:iCs/>
                <w:szCs w:val="21"/>
                <w:lang w:val="en-GB"/>
              </w:rPr>
            </m:ctrlPr>
          </m:e>
          <m:sub>
            <m:r>
              <m:rPr/>
              <w:rPr>
                <w:rFonts w:ascii="DejaVu Math TeX Gyre" w:hAnsi="DejaVu Math TeX Gyre" w:eastAsia="Times New Roman" w:cs="Times New Roman"/>
                <w:szCs w:val="21"/>
                <w:lang w:val="en-GB"/>
              </w:rPr>
              <m:t>j</m:t>
            </m:r>
            <m:ctrlPr>
              <w:rPr>
                <w:rFonts w:ascii="DejaVu Math TeX Gyre" w:hAnsi="DejaVu Math TeX Gyre" w:eastAsia="Times New Roman" w:cs="Times New Roman"/>
                <w:i/>
                <w:iCs/>
                <w:szCs w:val="21"/>
                <w:lang w:val="en-GB"/>
              </w:rPr>
            </m:ctrlPr>
          </m:sub>
        </m:sSub>
        <m:r>
          <m:rPr>
            <m:sty m:val="p"/>
          </m:rPr>
          <w:rPr>
            <w:rFonts w:ascii="DejaVu Math TeX Gyre" w:hAnsi="DejaVu Math TeX Gyre" w:eastAsia="Times New Roman" w:cs="Times New Roman"/>
            <w:szCs w:val="21"/>
            <w:lang w:val="en-GB"/>
          </w:rPr>
          <m:t>∈{50,100,150}</m:t>
        </m:r>
      </m:oMath>
      <w:r>
        <w:rPr>
          <w:rFonts w:ascii="Times New Roman" w:hAnsi="Times New Roman" w:eastAsia="DejaVu Math TeX Gyre" w:cs="Times New Roman"/>
          <w:i/>
          <w:lang w:val="en-GB"/>
        </w:rPr>
        <w:t>.</w:t>
      </w:r>
      <w:r>
        <w:rPr>
          <w:rFonts w:ascii="Times New Roman" w:hAnsi="Times New Roman" w:eastAsia="Times New Roman" w:cs="Times New Roman"/>
          <w:lang w:val="en-GB"/>
        </w:rPr>
        <w:t xml:space="preserve"> Subsequently, we calculat</w:t>
      </w:r>
      <w:r>
        <w:rPr>
          <w:rFonts w:ascii="Times New Roman" w:hAnsi="Times New Roman" w:eastAsia="Times New Roman" w:cs="Times New Roman"/>
        </w:rPr>
        <w:t>e</w:t>
      </w:r>
      <w:r>
        <w:rPr>
          <w:rFonts w:ascii="Times New Roman" w:hAnsi="Times New Roman" w:eastAsia="Times New Roman" w:cs="Times New Roman"/>
          <w:lang w:val="en-GB"/>
        </w:rPr>
        <w:t xml:space="preserve"> the standardised driving variable </w:t>
      </w:r>
      <m:oMath>
        <m:r>
          <m:rPr>
            <m:sty m:val="p"/>
          </m:rPr>
          <w:rPr>
            <w:rFonts w:ascii="DejaVu Math TeX Gyre" w:hAnsi="DejaVu Math TeX Gyre" w:eastAsia="Times New Roman" w:cs="Times New Roman"/>
            <w:szCs w:val="21"/>
            <w:lang w:val="en-GB" w:bidi="ar"/>
          </w:rPr>
          <m:t>(</m:t>
        </m:r>
        <m:r>
          <m:rPr/>
          <w:rPr>
            <w:rFonts w:ascii="DejaVu Math TeX Gyre" w:hAnsi="DejaVu Math TeX Gyre" w:eastAsia="Times New Roman" w:cs="Times New Roman"/>
            <w:szCs w:val="21"/>
            <w:lang w:val="en-GB" w:bidi="ar"/>
          </w:rPr>
          <m:t>AQI</m:t>
        </m:r>
        <m:r>
          <m:rPr>
            <m:sty m:val="p"/>
          </m:rPr>
          <w:rPr>
            <w:rFonts w:ascii="DejaVu Math TeX Gyre" w:hAnsi="DejaVu Math TeX Gyre" w:eastAsia="Times New Roman" w:cs="Times New Roman"/>
            <w:szCs w:val="21"/>
            <w:lang w:val="en-GB" w:bidi="ar"/>
          </w:rPr>
          <m:t>−</m:t>
        </m:r>
        <m:sSub>
          <m:sSubPr>
            <m:ctrlPr>
              <w:rPr>
                <w:rFonts w:ascii="DejaVu Math TeX Gyre" w:hAnsi="DejaVu Math TeX Gyre" w:eastAsia="Times New Roman" w:cs="Times New Roman"/>
                <w:i/>
                <w:iCs/>
                <w:szCs w:val="21"/>
                <w:lang w:val="en-GB"/>
              </w:rPr>
            </m:ctrlPr>
          </m:sSubPr>
          <m:e>
            <m:r>
              <m:rPr/>
              <w:rPr>
                <w:rFonts w:ascii="DejaVu Math TeX Gyre" w:hAnsi="DejaVu Math TeX Gyre" w:eastAsia="Times New Roman" w:cs="Times New Roman"/>
                <w:szCs w:val="21"/>
                <w:lang w:val="en-GB"/>
              </w:rPr>
              <m:t>c</m:t>
            </m:r>
            <m:ctrlPr>
              <w:rPr>
                <w:rFonts w:ascii="DejaVu Math TeX Gyre" w:hAnsi="DejaVu Math TeX Gyre" w:eastAsia="Times New Roman" w:cs="Times New Roman"/>
                <w:i/>
                <w:iCs/>
                <w:szCs w:val="21"/>
                <w:lang w:val="en-GB"/>
              </w:rPr>
            </m:ctrlPr>
          </m:e>
          <m:sub>
            <m:r>
              <m:rPr/>
              <w:rPr>
                <w:rFonts w:ascii="DejaVu Math TeX Gyre" w:hAnsi="DejaVu Math TeX Gyre" w:eastAsia="Times New Roman" w:cs="Times New Roman"/>
                <w:szCs w:val="21"/>
                <w:lang w:val="en-GB"/>
              </w:rPr>
              <m:t>j</m:t>
            </m:r>
            <m:ctrlPr>
              <w:rPr>
                <w:rFonts w:ascii="DejaVu Math TeX Gyre" w:hAnsi="DejaVu Math TeX Gyre" w:eastAsia="Times New Roman" w:cs="Times New Roman"/>
                <w:i/>
                <w:iCs/>
                <w:szCs w:val="21"/>
                <w:lang w:val="en-GB"/>
              </w:rPr>
            </m:ctrlPr>
          </m:sub>
        </m:sSub>
        <m:r>
          <m:rPr>
            <m:sty m:val="p"/>
          </m:rPr>
          <w:rPr>
            <w:rFonts w:ascii="DejaVu Math TeX Gyre" w:hAnsi="DejaVu Math TeX Gyre" w:eastAsia="Times New Roman" w:cs="Times New Roman"/>
            <w:szCs w:val="21"/>
            <w:lang w:val="en-GB" w:bidi="ar"/>
          </w:rPr>
          <m:t>)</m:t>
        </m:r>
      </m:oMath>
      <w:r>
        <w:rPr>
          <w:rFonts w:ascii="Times New Roman" w:hAnsi="Times New Roman" w:cs="Times New Roman"/>
          <w:lang w:val="en-GB"/>
        </w:rPr>
        <w:t xml:space="preserve"> </w:t>
      </w:r>
      <w:r>
        <w:rPr>
          <w:rFonts w:ascii="Times New Roman" w:hAnsi="Times New Roman" w:eastAsia="Times New Roman" w:cs="Times New Roman"/>
          <w:lang w:val="en-GB"/>
        </w:rPr>
        <w:t>and use it as the horizontal axis. Finally, we plot the density estimates and their confidence intervals around the cutoff using local polynomial density estimators.</w:t>
      </w:r>
    </w:p>
    <w:p w14:paraId="475865C6">
      <w:pPr>
        <w:suppressAutoHyphens/>
        <w:kinsoku w:val="0"/>
        <w:overflowPunct w:val="0"/>
        <w:autoSpaceDE w:val="0"/>
        <w:autoSpaceDN w:val="0"/>
        <w:adjustRightInd w:val="0"/>
        <w:snapToGrid w:val="0"/>
        <w:spacing w:line="480" w:lineRule="auto"/>
        <w:jc w:val="center"/>
        <w:rPr>
          <w:rFonts w:ascii="Times New Roman" w:hAnsi="Times New Roman" w:eastAsia="Times New Roman Bold" w:cs="Times New Roman"/>
          <w:b/>
          <w:lang w:val="en-GB"/>
        </w:rPr>
      </w:pPr>
    </w:p>
    <w:p w14:paraId="25453E90">
      <w:pPr>
        <w:suppressAutoHyphens/>
        <w:kinsoku w:val="0"/>
        <w:overflowPunct w:val="0"/>
        <w:autoSpaceDE w:val="0"/>
        <w:autoSpaceDN w:val="0"/>
        <w:adjustRightInd w:val="0"/>
        <w:snapToGrid w:val="0"/>
        <w:spacing w:line="480" w:lineRule="auto"/>
        <w:outlineLvl w:val="1"/>
        <w:rPr>
          <w:rFonts w:ascii="Times New Roman" w:hAnsi="Times New Roman" w:eastAsia="Times New Roman" w:cs="Times New Roman"/>
          <w:b/>
          <w:sz w:val="28"/>
          <w:lang w:val="en-GB"/>
        </w:rPr>
      </w:pPr>
      <w:bookmarkStart w:id="45" w:name="_Toc465717242"/>
      <w:bookmarkStart w:id="46" w:name="_Toc1206627838"/>
      <w:bookmarkStart w:id="47" w:name="_Toc745430736"/>
      <w:bookmarkStart w:id="48" w:name="_Toc2104573977"/>
      <w:r>
        <w:rPr>
          <w:rFonts w:ascii="Times New Roman" w:hAnsi="Times New Roman" w:eastAsia="Times New Roman" w:cs="Times New Roman"/>
          <w:b/>
          <w:sz w:val="28"/>
          <w:lang w:val="en-GB"/>
        </w:rPr>
        <w:t>D.3 Local randomization approach to RD analysis</w:t>
      </w:r>
      <w:bookmarkEnd w:id="45"/>
      <w:bookmarkEnd w:id="46"/>
      <w:bookmarkEnd w:id="47"/>
      <w:bookmarkEnd w:id="48"/>
    </w:p>
    <w:p w14:paraId="6C7DE7C9">
      <w:p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r>
        <w:rPr>
          <w:rFonts w:ascii="Times New Roman" w:hAnsi="Times New Roman" w:eastAsia="Times New Roman" w:cs="Times New Roman"/>
          <w:sz w:val="24"/>
          <w:lang w:val="en-GB"/>
        </w:rPr>
        <w:t xml:space="preserve">As individuals in the sample </w:t>
      </w:r>
      <w:r>
        <w:rPr>
          <w:rFonts w:ascii="Times New Roman" w:hAnsi="Times New Roman" w:eastAsia="Times New Roman" w:cs="Times New Roman"/>
          <w:sz w:val="24"/>
        </w:rPr>
        <w:t>are</w:t>
      </w:r>
      <w:r>
        <w:rPr>
          <w:rFonts w:ascii="Times New Roman" w:hAnsi="Times New Roman" w:eastAsia="Times New Roman" w:cs="Times New Roman"/>
          <w:sz w:val="24"/>
          <w:lang w:val="en-GB"/>
        </w:rPr>
        <w:t xml:space="preserve"> interviewed over 47 survey days in the same city, our sample ha</w:t>
      </w:r>
      <w:r>
        <w:rPr>
          <w:rFonts w:ascii="Times New Roman" w:hAnsi="Times New Roman" w:eastAsia="Times New Roman" w:cs="Times New Roman"/>
          <w:sz w:val="24"/>
        </w:rPr>
        <w:t>s</w:t>
      </w:r>
      <w:r>
        <w:rPr>
          <w:rFonts w:ascii="Times New Roman" w:hAnsi="Times New Roman" w:eastAsia="Times New Roman" w:cs="Times New Roman"/>
          <w:sz w:val="24"/>
          <w:lang w:val="en-GB"/>
        </w:rPr>
        <w:t xml:space="preserve"> 47 AQI values, resulting in “</w:t>
      </w:r>
      <w:r>
        <w:rPr>
          <w:rFonts w:ascii="Times New Roman" w:hAnsi="Times New Roman" w:eastAsia="Times New Roman" w:cs="Times New Roman"/>
          <w:sz w:val="24"/>
          <w:highlight w:val="none"/>
          <w:lang w:val="en-GB"/>
        </w:rPr>
        <w:t>mass points</w:t>
      </w:r>
      <w:r>
        <w:rPr>
          <w:rFonts w:hint="default" w:ascii="Times New Roman" w:hAnsi="Times New Roman" w:eastAsia="Times New Roman" w:cs="Times New Roman"/>
          <w:sz w:val="24"/>
          <w:highlight w:val="none"/>
          <w:lang w:val="en-US"/>
        </w:rPr>
        <w:t>”</w:t>
      </w:r>
      <w:r>
        <w:rPr>
          <w:rFonts w:hint="default" w:ascii="Times New Roman" w:hAnsi="Times New Roman" w:eastAsia="Times New Roman" w:cs="Times New Roman"/>
          <w:sz w:val="24"/>
          <w:highlight w:val="none"/>
          <w:vertAlign w:val="superscript"/>
          <w:lang w:val="en-US"/>
        </w:rPr>
        <w:fldChar w:fldCharType="begin"/>
      </w:r>
      <w:r>
        <w:rPr>
          <w:rFonts w:hint="default" w:ascii="Times New Roman" w:hAnsi="Times New Roman" w:eastAsia="Times New Roman" w:cs="Times New Roman"/>
          <w:sz w:val="24"/>
          <w:highlight w:val="none"/>
          <w:vertAlign w:val="superscript"/>
          <w:lang w:val="en-US"/>
        </w:rPr>
        <w:instrText xml:space="preserve"> REF _Ref1800138679 \n \h </w:instrText>
      </w:r>
      <w:r>
        <w:rPr>
          <w:rFonts w:hint="default" w:ascii="Times New Roman" w:hAnsi="Times New Roman" w:eastAsia="Times New Roman" w:cs="Times New Roman"/>
          <w:sz w:val="24"/>
          <w:highlight w:val="none"/>
          <w:vertAlign w:val="superscript"/>
          <w:lang w:val="en-US"/>
        </w:rPr>
        <w:fldChar w:fldCharType="separate"/>
      </w:r>
      <w:r>
        <w:rPr>
          <w:rFonts w:hint="default" w:ascii="Times New Roman" w:hAnsi="Times New Roman" w:eastAsia="Times New Roman" w:cs="Times New Roman"/>
          <w:sz w:val="24"/>
          <w:highlight w:val="none"/>
          <w:vertAlign w:val="superscript"/>
          <w:lang w:val="en-US"/>
        </w:rPr>
        <w:t>22</w:t>
      </w:r>
      <w:r>
        <w:rPr>
          <w:rFonts w:hint="default" w:ascii="Times New Roman" w:hAnsi="Times New Roman" w:eastAsia="Times New Roman" w:cs="Times New Roman"/>
          <w:sz w:val="24"/>
          <w:highlight w:val="none"/>
          <w:vertAlign w:val="superscript"/>
          <w:lang w:val="en-US"/>
        </w:rPr>
        <w:fldChar w:fldCharType="end"/>
      </w:r>
      <w:r>
        <w:rPr>
          <w:rFonts w:hint="default" w:ascii="Times New Roman" w:hAnsi="Times New Roman" w:eastAsia="Times New Roman" w:cs="Times New Roman"/>
          <w:sz w:val="24"/>
          <w:highlight w:val="none"/>
          <w:lang w:val="en-US"/>
        </w:rPr>
        <w:t xml:space="preserve">. </w:t>
      </w:r>
      <w:r>
        <w:rPr>
          <w:rFonts w:ascii="Times New Roman" w:hAnsi="Times New Roman" w:eastAsia="Times New Roman" w:cs="Times New Roman"/>
          <w:sz w:val="24"/>
          <w:highlight w:val="none"/>
          <w:lang w:val="en-GB"/>
        </w:rPr>
        <w:t>Wh</w:t>
      </w:r>
      <w:r>
        <w:rPr>
          <w:rFonts w:ascii="Times New Roman" w:hAnsi="Times New Roman" w:eastAsia="Times New Roman" w:cs="Times New Roman"/>
          <w:sz w:val="24"/>
          <w:lang w:val="en-GB"/>
        </w:rPr>
        <w:t>en the distribution of the running variable is discrete with few mass points, a continuity-based RD design may introduce a bias because the conventional continuity-based approach approximates the regression function at the cutoff by using observations near it. However, this method introduces an extrapolation error that diminishes only if the sample size is sufficiently large. Therefore, this method might be inadequate when the sample size is small.</w:t>
      </w:r>
    </w:p>
    <w:p w14:paraId="3532032E">
      <w:pPr>
        <w:suppressAutoHyphens/>
        <w:kinsoku w:val="0"/>
        <w:overflowPunct w:val="0"/>
        <w:autoSpaceDE w:val="0"/>
        <w:autoSpaceDN w:val="0"/>
        <w:adjustRightInd w:val="0"/>
        <w:snapToGrid w:val="0"/>
        <w:spacing w:line="480" w:lineRule="auto"/>
        <w:ind w:firstLine="480"/>
        <w:rPr>
          <w:rFonts w:ascii="Times New Roman" w:hAnsi="Times New Roman" w:eastAsia="Times New Roman" w:cs="Times New Roman"/>
          <w:sz w:val="24"/>
          <w:lang w:val="en-GB"/>
        </w:rPr>
      </w:pPr>
      <w:r>
        <w:rPr>
          <w:rFonts w:ascii="Times New Roman" w:hAnsi="Times New Roman" w:eastAsia="Times New Roman" w:cs="Times New Roman"/>
          <w:sz w:val="24"/>
          <w:lang w:val="en-GB"/>
        </w:rPr>
        <w:t>To address this concern, we follow Cattaneo et al.</w:t>
      </w:r>
      <w:r>
        <w:rPr>
          <w:rFonts w:hint="default" w:ascii="Times New Roman" w:hAnsi="Times New Roman" w:eastAsia="Times New Roman" w:cs="Times New Roman"/>
          <w:sz w:val="24"/>
          <w:vertAlign w:val="superscript"/>
          <w:lang w:val="en-GB"/>
        </w:rPr>
        <w:fldChar w:fldCharType="begin"/>
      </w:r>
      <w:r>
        <w:rPr>
          <w:rFonts w:hint="default" w:ascii="Times New Roman" w:hAnsi="Times New Roman" w:eastAsia="Times New Roman" w:cs="Times New Roman"/>
          <w:sz w:val="24"/>
          <w:vertAlign w:val="superscript"/>
          <w:lang w:val="en-GB"/>
        </w:rPr>
        <w:instrText xml:space="preserve"> REF _Ref1800138679 \n \h </w:instrText>
      </w:r>
      <w:r>
        <w:rPr>
          <w:rFonts w:hint="default" w:ascii="Times New Roman" w:hAnsi="Times New Roman" w:eastAsia="Times New Roman" w:cs="Times New Roman"/>
          <w:sz w:val="24"/>
          <w:vertAlign w:val="superscript"/>
          <w:lang w:val="en-GB"/>
        </w:rPr>
        <w:fldChar w:fldCharType="separate"/>
      </w:r>
      <w:r>
        <w:rPr>
          <w:rFonts w:hint="default" w:ascii="Times New Roman" w:hAnsi="Times New Roman" w:eastAsia="Times New Roman" w:cs="Times New Roman"/>
          <w:sz w:val="24"/>
          <w:vertAlign w:val="superscript"/>
          <w:lang w:val="en-GB"/>
        </w:rPr>
        <w:t>22</w:t>
      </w:r>
      <w:r>
        <w:rPr>
          <w:rFonts w:hint="default" w:ascii="Times New Roman" w:hAnsi="Times New Roman" w:eastAsia="Times New Roman" w:cs="Times New Roman"/>
          <w:sz w:val="24"/>
          <w:vertAlign w:val="superscript"/>
          <w:lang w:val="en-GB"/>
        </w:rPr>
        <w:fldChar w:fldCharType="end"/>
      </w:r>
      <w:r>
        <w:rPr>
          <w:rFonts w:ascii="Times New Roman" w:hAnsi="Times New Roman" w:eastAsia="Times New Roman" w:cs="Times New Roman"/>
          <w:sz w:val="24"/>
          <w:lang w:val="en-GB"/>
        </w:rPr>
        <w:t xml:space="preserve"> and use a local randomization approach as an alternative. Instead of assuming that the unknown regression functions are continuous at the cutoff, the local randomization approach assumes the existence of a small window around the cutoff; for all units whose scores fall in that window, placement above or below the cutoff is assigned randomly. This approach offers an advantage by minimising extrapolation and avoiding the use of smoothing methods. Local randomi</w:t>
      </w:r>
      <w:r>
        <w:rPr>
          <w:rFonts w:hint="eastAsia" w:ascii="Times New Roman" w:hAnsi="Times New Roman" w:eastAsia="宋体" w:cs="Times New Roman"/>
          <w:sz w:val="24"/>
          <w:lang w:eastAsia="zh-CN"/>
        </w:rPr>
        <w:t>z</w:t>
      </w:r>
      <w:r>
        <w:rPr>
          <w:rFonts w:ascii="Times New Roman" w:hAnsi="Times New Roman" w:eastAsia="Times New Roman" w:cs="Times New Roman"/>
          <w:sz w:val="24"/>
          <w:lang w:val="en-GB"/>
        </w:rPr>
        <w:t xml:space="preserve">ation is often an effective alternative when running variable </w:t>
      </w:r>
      <w:r>
        <w:rPr>
          <w:rFonts w:hint="eastAsia" w:ascii="Times New Roman" w:hAnsi="Times New Roman" w:eastAsia="宋体" w:cs="Times New Roman"/>
          <w:sz w:val="24"/>
          <w:lang w:eastAsia="zh-CN"/>
        </w:rPr>
        <w:t>is</w:t>
      </w:r>
      <w:r>
        <w:rPr>
          <w:rFonts w:ascii="Times New Roman" w:hAnsi="Times New Roman" w:eastAsia="Times New Roman" w:cs="Times New Roman"/>
          <w:sz w:val="24"/>
          <w:lang w:val="en-GB"/>
        </w:rPr>
        <w:t xml:space="preserve"> discrete. Moreover, this approach generally does not require window selection, as the smallest window is well defined and typically has sufficient observations. Therefore, we select the nearest AQI values on each side of the cutoff as the endpoints of the window for the local randomi</w:t>
      </w:r>
      <w:r>
        <w:rPr>
          <w:rFonts w:hint="eastAsia" w:ascii="Times New Roman" w:hAnsi="Times New Roman" w:eastAsia="宋体" w:cs="Times New Roman"/>
          <w:sz w:val="24"/>
          <w:lang w:eastAsia="zh-CN"/>
        </w:rPr>
        <w:t>z</w:t>
      </w:r>
      <w:r>
        <w:rPr>
          <w:rFonts w:ascii="Times New Roman" w:hAnsi="Times New Roman" w:eastAsia="Times New Roman" w:cs="Times New Roman"/>
          <w:sz w:val="24"/>
          <w:lang w:val="en-GB"/>
        </w:rPr>
        <w:t>ation estimation.</w:t>
      </w:r>
    </w:p>
    <w:p w14:paraId="5AB0CA9C">
      <w:pPr>
        <w:suppressAutoHyphens/>
        <w:kinsoku w:val="0"/>
        <w:overflowPunct w:val="0"/>
        <w:autoSpaceDE w:val="0"/>
        <w:autoSpaceDN w:val="0"/>
        <w:adjustRightInd w:val="0"/>
        <w:snapToGrid w:val="0"/>
        <w:spacing w:line="480" w:lineRule="auto"/>
        <w:ind w:firstLine="480"/>
        <w:rPr>
          <w:rFonts w:ascii="Times New Roman" w:hAnsi="Times New Roman" w:eastAsia="Times New Roman" w:cs="Times New Roman"/>
          <w:sz w:val="24"/>
          <w:lang w:val="en-GB"/>
        </w:rPr>
      </w:pPr>
      <w:r>
        <w:rPr>
          <w:rFonts w:ascii="Times New Roman" w:hAnsi="Times New Roman" w:eastAsia="Times New Roman" w:cs="Times New Roman"/>
          <w:sz w:val="24"/>
          <w:lang w:val="en-GB"/>
        </w:rPr>
        <w:t xml:space="preserve">The results are shown in Table D2, Column 1 presents the effect of air quality information on travel probability, and Column 2 presents the effect on travel duration. </w:t>
      </w:r>
      <w:r>
        <w:rPr>
          <w:rFonts w:ascii="Times New Roman" w:hAnsi="Times New Roman" w:eastAsia="Times New Roman" w:cs="Times New Roman"/>
          <w:sz w:val="24"/>
          <w:lang w:val="en-GB" w:eastAsia="zh-CN"/>
        </w:rPr>
        <w:t>W</w:t>
      </w:r>
      <w:r>
        <w:rPr>
          <w:rFonts w:ascii="Times New Roman" w:hAnsi="Times New Roman" w:eastAsia="Times New Roman" w:cs="Times New Roman"/>
          <w:sz w:val="24"/>
          <w:lang w:val="en-GB"/>
        </w:rPr>
        <w:t>hen air pollution levels shift from good to lightly polluted, probability of choosing to travel decrease</w:t>
      </w:r>
      <w:r>
        <w:rPr>
          <w:rFonts w:ascii="Times New Roman" w:hAnsi="Times New Roman" w:eastAsia="Times New Roman" w:cs="Times New Roman"/>
          <w:sz w:val="24"/>
          <w:lang w:val="en-GB" w:eastAsia="zh-CN"/>
        </w:rPr>
        <w:t>s</w:t>
      </w:r>
      <w:r>
        <w:rPr>
          <w:rFonts w:ascii="Times New Roman" w:hAnsi="Times New Roman" w:eastAsia="Times New Roman" w:cs="Times New Roman"/>
          <w:sz w:val="24"/>
          <w:lang w:val="en-GB"/>
        </w:rPr>
        <w:t xml:space="preserve"> by 12.1% (p &lt; </w:t>
      </w:r>
      <w:r>
        <w:rPr>
          <w:rFonts w:hint="eastAsia" w:ascii="Times New Roman" w:hAnsi="Times New Roman" w:eastAsia="宋体" w:cs="Times New Roman"/>
          <w:sz w:val="24"/>
          <w:lang w:eastAsia="zh-CN"/>
        </w:rPr>
        <w:t>5</w:t>
      </w:r>
      <w:r>
        <w:rPr>
          <w:rFonts w:ascii="Times New Roman" w:hAnsi="Times New Roman" w:eastAsia="Times New Roman" w:cs="Times New Roman"/>
          <w:sz w:val="24"/>
          <w:lang w:val="en-GB"/>
        </w:rPr>
        <w:t>%). When air pollution levels shift from lightly polluted to moderately polluted, the probability of choosing to travel decrease</w:t>
      </w:r>
      <w:r>
        <w:rPr>
          <w:rFonts w:ascii="Times New Roman" w:hAnsi="Times New Roman" w:eastAsia="Times New Roman" w:cs="Times New Roman"/>
          <w:sz w:val="24"/>
        </w:rPr>
        <w:t>s</w:t>
      </w:r>
      <w:r>
        <w:rPr>
          <w:rFonts w:ascii="Times New Roman" w:hAnsi="Times New Roman" w:eastAsia="Times New Roman" w:cs="Times New Roman"/>
          <w:sz w:val="24"/>
          <w:lang w:val="en-GB"/>
        </w:rPr>
        <w:t xml:space="preserve"> by 6.4% (p &lt; </w:t>
      </w:r>
      <w:r>
        <w:rPr>
          <w:rFonts w:hint="eastAsia" w:ascii="Times New Roman" w:hAnsi="Times New Roman" w:eastAsia="宋体" w:cs="Times New Roman"/>
          <w:sz w:val="24"/>
          <w:lang w:eastAsia="zh-CN"/>
        </w:rPr>
        <w:t>1</w:t>
      </w:r>
      <w:r>
        <w:rPr>
          <w:rFonts w:ascii="Times New Roman" w:hAnsi="Times New Roman" w:eastAsia="Times New Roman" w:cs="Times New Roman"/>
          <w:sz w:val="24"/>
          <w:lang w:val="en-GB"/>
        </w:rPr>
        <w:t xml:space="preserve">%). These results are statistically and economically similar to the baseline results. However, travel duration </w:t>
      </w:r>
      <w:r>
        <w:rPr>
          <w:rFonts w:ascii="Times New Roman" w:hAnsi="Times New Roman" w:eastAsia="Times New Roman" w:cs="Times New Roman"/>
          <w:sz w:val="24"/>
        </w:rPr>
        <w:t>is</w:t>
      </w:r>
      <w:r>
        <w:rPr>
          <w:rFonts w:ascii="Times New Roman" w:hAnsi="Times New Roman" w:eastAsia="Times New Roman" w:cs="Times New Roman"/>
          <w:sz w:val="24"/>
          <w:lang w:val="en-GB"/>
        </w:rPr>
        <w:t xml:space="preserve"> not influenced by air quality information under the local randomi</w:t>
      </w:r>
      <w:r>
        <w:rPr>
          <w:rFonts w:hint="eastAsia" w:ascii="Times New Roman" w:hAnsi="Times New Roman" w:eastAsia="宋体" w:cs="Times New Roman"/>
          <w:sz w:val="24"/>
          <w:lang w:eastAsia="zh-CN"/>
        </w:rPr>
        <w:t>z</w:t>
      </w:r>
      <w:r>
        <w:rPr>
          <w:rFonts w:ascii="Times New Roman" w:hAnsi="Times New Roman" w:eastAsia="Times New Roman" w:cs="Times New Roman"/>
          <w:sz w:val="24"/>
          <w:lang w:val="en-GB"/>
        </w:rPr>
        <w:t>ation framework. Therefore, interpreting the impact on</w:t>
      </w:r>
      <w:r>
        <w:rPr>
          <w:rFonts w:hint="default" w:ascii="Times New Roman" w:hAnsi="Times New Roman" w:eastAsia="Times New Roman" w:cs="Times New Roman"/>
          <w:sz w:val="24"/>
          <w:lang w:val="en-US"/>
        </w:rPr>
        <w:t xml:space="preserve"> travel</w:t>
      </w:r>
      <w:r>
        <w:rPr>
          <w:rFonts w:ascii="Times New Roman" w:hAnsi="Times New Roman" w:eastAsia="Times New Roman" w:cs="Times New Roman"/>
          <w:sz w:val="24"/>
          <w:lang w:val="en-GB"/>
        </w:rPr>
        <w:t xml:space="preserve"> duration requires additional caution.</w:t>
      </w:r>
    </w:p>
    <w:p w14:paraId="2D0F121C">
      <w:pPr>
        <w:suppressAutoHyphens/>
        <w:kinsoku w:val="0"/>
        <w:overflowPunct w:val="0"/>
        <w:autoSpaceDE w:val="0"/>
        <w:autoSpaceDN w:val="0"/>
        <w:adjustRightInd w:val="0"/>
        <w:snapToGrid w:val="0"/>
        <w:spacing w:line="480" w:lineRule="auto"/>
        <w:ind w:firstLine="480"/>
        <w:rPr>
          <w:rFonts w:ascii="Times New Roman" w:hAnsi="Times New Roman" w:eastAsia="Times New Roman" w:cs="Times New Roman"/>
          <w:sz w:val="24"/>
          <w:lang w:val="en-GB"/>
        </w:rPr>
      </w:pPr>
    </w:p>
    <w:p w14:paraId="7B180D9A">
      <w:pPr>
        <w:widowControl/>
        <w:jc w:val="left"/>
        <w:rPr>
          <w:rFonts w:ascii="Times New Roman" w:hAnsi="Times New Roman" w:eastAsia="Times New Roman Bold" w:cs="Times New Roman"/>
          <w:b/>
          <w:lang w:val="en-GB"/>
        </w:rPr>
      </w:pPr>
      <w:r>
        <w:rPr>
          <w:rFonts w:ascii="Times New Roman" w:hAnsi="Times New Roman" w:eastAsia="Times New Roman Bold" w:cs="Times New Roman"/>
          <w:b/>
          <w:lang w:val="en-GB"/>
        </w:rPr>
        <w:br w:type="page"/>
      </w:r>
    </w:p>
    <w:p w14:paraId="4B59A6C7">
      <w:pPr>
        <w:suppressAutoHyphens/>
        <w:kinsoku w:val="0"/>
        <w:overflowPunct w:val="0"/>
        <w:autoSpaceDE w:val="0"/>
        <w:autoSpaceDN w:val="0"/>
        <w:adjustRightInd w:val="0"/>
        <w:snapToGrid w:val="0"/>
        <w:spacing w:line="480" w:lineRule="auto"/>
        <w:rPr>
          <w:rFonts w:ascii="Times New Roman" w:hAnsi="Times New Roman" w:eastAsia="Times New Roman Bold" w:cs="Times New Roman"/>
          <w:b/>
          <w:sz w:val="24"/>
          <w:szCs w:val="24"/>
          <w:lang w:val="en-GB"/>
        </w:rPr>
      </w:pPr>
      <w:r>
        <w:rPr>
          <w:rFonts w:ascii="Times New Roman" w:hAnsi="Times New Roman" w:eastAsia="Times New Roman Bold" w:cs="Times New Roman"/>
          <w:b/>
          <w:sz w:val="24"/>
          <w:szCs w:val="24"/>
          <w:lang w:val="en-GB"/>
        </w:rPr>
        <w:t>Table D2 Local randomization analysis with discrete scores</w:t>
      </w:r>
    </w:p>
    <w:tbl>
      <w:tblPr>
        <w:tblStyle w:val="19"/>
        <w:tblW w:w="4999" w:type="pct"/>
        <w:jc w:val="center"/>
        <w:tblLayout w:type="autofit"/>
        <w:tblCellMar>
          <w:top w:w="0" w:type="dxa"/>
          <w:left w:w="75" w:type="dxa"/>
          <w:bottom w:w="0" w:type="dxa"/>
          <w:right w:w="75" w:type="dxa"/>
        </w:tblCellMar>
      </w:tblPr>
      <w:tblGrid>
        <w:gridCol w:w="3413"/>
        <w:gridCol w:w="2769"/>
        <w:gridCol w:w="2272"/>
      </w:tblGrid>
      <w:tr w14:paraId="58690C33">
        <w:trPr>
          <w:jc w:val="center"/>
        </w:trPr>
        <w:tc>
          <w:tcPr>
            <w:tcW w:w="3352" w:type="dxa"/>
            <w:tcBorders>
              <w:top w:val="single" w:color="auto" w:sz="6" w:space="0"/>
              <w:left w:val="nil"/>
              <w:bottom w:val="nil"/>
              <w:right w:val="nil"/>
            </w:tcBorders>
            <w:shd w:val="clear" w:color="auto" w:fill="auto"/>
          </w:tcPr>
          <w:p w14:paraId="495FED8B">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Regression</w:t>
            </w:r>
          </w:p>
        </w:tc>
        <w:tc>
          <w:tcPr>
            <w:tcW w:w="2720" w:type="dxa"/>
            <w:tcBorders>
              <w:top w:val="single" w:color="auto" w:sz="6" w:space="0"/>
              <w:left w:val="nil"/>
              <w:bottom w:val="nil"/>
              <w:right w:val="nil"/>
            </w:tcBorders>
            <w:shd w:val="clear" w:color="auto" w:fill="auto"/>
          </w:tcPr>
          <w:p w14:paraId="0028D1C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(1)</w:t>
            </w:r>
          </w:p>
        </w:tc>
        <w:tc>
          <w:tcPr>
            <w:tcW w:w="2232" w:type="dxa"/>
            <w:tcBorders>
              <w:top w:val="single" w:color="auto" w:sz="6" w:space="0"/>
              <w:left w:val="nil"/>
              <w:bottom w:val="nil"/>
              <w:right w:val="nil"/>
            </w:tcBorders>
            <w:shd w:val="clear" w:color="auto" w:fill="auto"/>
          </w:tcPr>
          <w:p w14:paraId="39038DF0">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(2)</w:t>
            </w:r>
          </w:p>
        </w:tc>
      </w:tr>
      <w:tr w14:paraId="36F2DC1F">
        <w:trPr>
          <w:jc w:val="center"/>
        </w:trPr>
        <w:tc>
          <w:tcPr>
            <w:tcW w:w="3352" w:type="dxa"/>
            <w:tcBorders>
              <w:top w:val="nil"/>
              <w:left w:val="nil"/>
              <w:bottom w:val="single" w:color="auto" w:sz="6" w:space="0"/>
              <w:right w:val="nil"/>
            </w:tcBorders>
            <w:shd w:val="clear" w:color="auto" w:fill="auto"/>
          </w:tcPr>
          <w:p w14:paraId="5105EADA">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Variables</w:t>
            </w:r>
          </w:p>
        </w:tc>
        <w:tc>
          <w:tcPr>
            <w:tcW w:w="2720" w:type="dxa"/>
            <w:tcBorders>
              <w:top w:val="nil"/>
              <w:left w:val="nil"/>
              <w:bottom w:val="single" w:color="auto" w:sz="6" w:space="0"/>
              <w:right w:val="nil"/>
            </w:tcBorders>
            <w:shd w:val="clear" w:color="auto" w:fill="auto"/>
          </w:tcPr>
          <w:p w14:paraId="6B0F7D5E">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 xml:space="preserve">Travel </w:t>
            </w:r>
            <w:r>
              <w:rPr>
                <w:rFonts w:ascii="Times New Roman" w:hAnsi="Times New Roman" w:eastAsia="Times New Roman" w:cs="Times New Roman"/>
              </w:rPr>
              <w:t>d</w:t>
            </w:r>
            <w:r>
              <w:rPr>
                <w:rFonts w:ascii="Times New Roman" w:hAnsi="Times New Roman" w:eastAsia="Times New Roman" w:cs="Times New Roman"/>
                <w:lang w:val="en-GB"/>
              </w:rPr>
              <w:t>ummy</w:t>
            </w:r>
          </w:p>
        </w:tc>
        <w:tc>
          <w:tcPr>
            <w:tcW w:w="2232" w:type="dxa"/>
            <w:tcBorders>
              <w:top w:val="nil"/>
              <w:left w:val="nil"/>
              <w:bottom w:val="single" w:color="auto" w:sz="6" w:space="0"/>
              <w:right w:val="nil"/>
            </w:tcBorders>
            <w:shd w:val="clear" w:color="auto" w:fill="auto"/>
          </w:tcPr>
          <w:p w14:paraId="4C4966A0">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Duration</w:t>
            </w:r>
          </w:p>
        </w:tc>
      </w:tr>
      <w:tr w14:paraId="12E78B92">
        <w:trPr>
          <w:trHeight w:val="90" w:hRule="atLeast"/>
          <w:jc w:val="center"/>
        </w:trPr>
        <w:tc>
          <w:tcPr>
            <w:tcW w:w="3352" w:type="dxa"/>
            <w:shd w:val="clear" w:color="auto" w:fill="auto"/>
          </w:tcPr>
          <w:p w14:paraId="1DF35C7E">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b/>
                <w:lang w:val="en-GB"/>
              </w:rPr>
              <w:t>Diff. in means</w:t>
            </w:r>
          </w:p>
        </w:tc>
        <w:tc>
          <w:tcPr>
            <w:tcW w:w="2720" w:type="dxa"/>
            <w:shd w:val="clear" w:color="auto" w:fill="auto"/>
          </w:tcPr>
          <w:p w14:paraId="1C300F57">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2232" w:type="dxa"/>
            <w:shd w:val="clear" w:color="auto" w:fill="auto"/>
          </w:tcPr>
          <w:p w14:paraId="7AC92D9B">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r>
      <w:tr w14:paraId="7A5094BC">
        <w:trPr>
          <w:jc w:val="center"/>
        </w:trPr>
        <w:tc>
          <w:tcPr>
            <w:tcW w:w="3352" w:type="dxa"/>
            <w:shd w:val="clear" w:color="auto" w:fill="auto"/>
          </w:tcPr>
          <w:p w14:paraId="57E2280B">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50</w:t>
            </w:r>
          </w:p>
        </w:tc>
        <w:tc>
          <w:tcPr>
            <w:tcW w:w="2720" w:type="dxa"/>
            <w:shd w:val="clear" w:color="auto" w:fill="auto"/>
          </w:tcPr>
          <w:p w14:paraId="1A271D3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0.005</w:t>
            </w:r>
          </w:p>
        </w:tc>
        <w:tc>
          <w:tcPr>
            <w:tcW w:w="2232" w:type="dxa"/>
            <w:shd w:val="clear" w:color="auto" w:fill="auto"/>
          </w:tcPr>
          <w:p w14:paraId="6997A98E">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 xml:space="preserve"> -6.594</w:t>
            </w:r>
          </w:p>
        </w:tc>
      </w:tr>
      <w:tr w14:paraId="7E8F106C">
        <w:trPr>
          <w:jc w:val="center"/>
        </w:trPr>
        <w:tc>
          <w:tcPr>
            <w:tcW w:w="3352" w:type="dxa"/>
            <w:shd w:val="clear" w:color="auto" w:fill="auto"/>
          </w:tcPr>
          <w:p w14:paraId="0066DC93">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100</w:t>
            </w:r>
          </w:p>
        </w:tc>
        <w:tc>
          <w:tcPr>
            <w:tcW w:w="2720" w:type="dxa"/>
            <w:shd w:val="clear" w:color="auto" w:fill="auto"/>
          </w:tcPr>
          <w:p w14:paraId="052892A7">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 xml:space="preserve"> -0.121</w:t>
            </w:r>
          </w:p>
        </w:tc>
        <w:tc>
          <w:tcPr>
            <w:tcW w:w="2232" w:type="dxa"/>
            <w:shd w:val="clear" w:color="auto" w:fill="auto"/>
          </w:tcPr>
          <w:p w14:paraId="008EBA55">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-8.060</w:t>
            </w:r>
          </w:p>
        </w:tc>
      </w:tr>
      <w:tr w14:paraId="7EAD8B0C">
        <w:trPr>
          <w:jc w:val="center"/>
        </w:trPr>
        <w:tc>
          <w:tcPr>
            <w:tcW w:w="3352" w:type="dxa"/>
            <w:shd w:val="clear" w:color="auto" w:fill="auto"/>
          </w:tcPr>
          <w:p w14:paraId="51760C7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150</w:t>
            </w:r>
          </w:p>
        </w:tc>
        <w:tc>
          <w:tcPr>
            <w:tcW w:w="2720" w:type="dxa"/>
            <w:shd w:val="clear" w:color="auto" w:fill="auto"/>
          </w:tcPr>
          <w:p w14:paraId="38C8306E">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-0.064</w:t>
            </w:r>
          </w:p>
        </w:tc>
        <w:tc>
          <w:tcPr>
            <w:tcW w:w="2232" w:type="dxa"/>
            <w:shd w:val="clear" w:color="auto" w:fill="auto"/>
          </w:tcPr>
          <w:p w14:paraId="72F6BC95">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-4.134</w:t>
            </w:r>
          </w:p>
        </w:tc>
      </w:tr>
      <w:tr w14:paraId="2BDA348B">
        <w:trPr>
          <w:trHeight w:val="90" w:hRule="atLeast"/>
          <w:jc w:val="center"/>
        </w:trPr>
        <w:tc>
          <w:tcPr>
            <w:tcW w:w="3352" w:type="dxa"/>
            <w:shd w:val="clear" w:color="auto" w:fill="auto"/>
          </w:tcPr>
          <w:p w14:paraId="62BC535A">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b/>
                <w:lang w:val="en-GB"/>
              </w:rPr>
              <w:t>P (Finite sample)</w:t>
            </w:r>
          </w:p>
        </w:tc>
        <w:tc>
          <w:tcPr>
            <w:tcW w:w="2720" w:type="dxa"/>
            <w:shd w:val="clear" w:color="auto" w:fill="auto"/>
          </w:tcPr>
          <w:p w14:paraId="6DD6979B">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2232" w:type="dxa"/>
            <w:shd w:val="clear" w:color="auto" w:fill="auto"/>
          </w:tcPr>
          <w:p w14:paraId="5C83156F">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r>
      <w:tr w14:paraId="6D6B5EFB">
        <w:trPr>
          <w:jc w:val="center"/>
        </w:trPr>
        <w:tc>
          <w:tcPr>
            <w:tcW w:w="3352" w:type="dxa"/>
            <w:shd w:val="clear" w:color="auto" w:fill="auto"/>
          </w:tcPr>
          <w:p w14:paraId="6D1E7D94">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50</w:t>
            </w:r>
          </w:p>
        </w:tc>
        <w:tc>
          <w:tcPr>
            <w:tcW w:w="2720" w:type="dxa"/>
            <w:shd w:val="clear" w:color="auto" w:fill="auto"/>
          </w:tcPr>
          <w:p w14:paraId="45C482BD">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1.000</w:t>
            </w:r>
          </w:p>
        </w:tc>
        <w:tc>
          <w:tcPr>
            <w:tcW w:w="2232" w:type="dxa"/>
            <w:shd w:val="clear" w:color="auto" w:fill="auto"/>
          </w:tcPr>
          <w:p w14:paraId="1ED85CC3">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0.403</w:t>
            </w:r>
          </w:p>
        </w:tc>
      </w:tr>
      <w:tr w14:paraId="2C51498F">
        <w:trPr>
          <w:jc w:val="center"/>
        </w:trPr>
        <w:tc>
          <w:tcPr>
            <w:tcW w:w="3352" w:type="dxa"/>
            <w:shd w:val="clear" w:color="auto" w:fill="auto"/>
          </w:tcPr>
          <w:p w14:paraId="4B27C196">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100</w:t>
            </w:r>
          </w:p>
        </w:tc>
        <w:tc>
          <w:tcPr>
            <w:tcW w:w="2720" w:type="dxa"/>
            <w:shd w:val="clear" w:color="auto" w:fill="auto"/>
          </w:tcPr>
          <w:p w14:paraId="4F3A81D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0.018</w:t>
            </w:r>
          </w:p>
        </w:tc>
        <w:tc>
          <w:tcPr>
            <w:tcW w:w="2232" w:type="dxa"/>
            <w:shd w:val="clear" w:color="auto" w:fill="auto"/>
          </w:tcPr>
          <w:p w14:paraId="1292FF1A">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0.397</w:t>
            </w:r>
          </w:p>
        </w:tc>
      </w:tr>
      <w:tr w14:paraId="479B4B87">
        <w:trPr>
          <w:jc w:val="center"/>
        </w:trPr>
        <w:tc>
          <w:tcPr>
            <w:tcW w:w="3352" w:type="dxa"/>
            <w:shd w:val="clear" w:color="auto" w:fill="auto"/>
          </w:tcPr>
          <w:p w14:paraId="457FC6DE">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150</w:t>
            </w:r>
          </w:p>
        </w:tc>
        <w:tc>
          <w:tcPr>
            <w:tcW w:w="2720" w:type="dxa"/>
            <w:shd w:val="clear" w:color="auto" w:fill="auto"/>
          </w:tcPr>
          <w:p w14:paraId="51FD1D45">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0.000</w:t>
            </w:r>
          </w:p>
        </w:tc>
        <w:tc>
          <w:tcPr>
            <w:tcW w:w="2232" w:type="dxa"/>
            <w:shd w:val="clear" w:color="auto" w:fill="auto"/>
          </w:tcPr>
          <w:p w14:paraId="7658CC1C">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0.215</w:t>
            </w:r>
          </w:p>
        </w:tc>
      </w:tr>
      <w:tr w14:paraId="16144342">
        <w:trPr>
          <w:jc w:val="center"/>
        </w:trPr>
        <w:tc>
          <w:tcPr>
            <w:tcW w:w="3352" w:type="dxa"/>
            <w:shd w:val="clear" w:color="auto" w:fill="auto"/>
          </w:tcPr>
          <w:p w14:paraId="2BAD4F8A">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b/>
                <w:lang w:val="en-GB"/>
              </w:rPr>
              <w:t>P (Large sample)</w:t>
            </w:r>
          </w:p>
        </w:tc>
        <w:tc>
          <w:tcPr>
            <w:tcW w:w="2720" w:type="dxa"/>
            <w:shd w:val="clear" w:color="auto" w:fill="auto"/>
          </w:tcPr>
          <w:p w14:paraId="32D11E47">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2232" w:type="dxa"/>
            <w:shd w:val="clear" w:color="auto" w:fill="auto"/>
          </w:tcPr>
          <w:p w14:paraId="1B8345AA">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r>
      <w:tr w14:paraId="0D7D9F69">
        <w:trPr>
          <w:trHeight w:val="90" w:hRule="atLeast"/>
          <w:jc w:val="center"/>
        </w:trPr>
        <w:tc>
          <w:tcPr>
            <w:tcW w:w="3352" w:type="dxa"/>
            <w:shd w:val="clear" w:color="auto" w:fill="auto"/>
          </w:tcPr>
          <w:p w14:paraId="2264ECCE">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50</w:t>
            </w:r>
          </w:p>
        </w:tc>
        <w:tc>
          <w:tcPr>
            <w:tcW w:w="2720" w:type="dxa"/>
            <w:shd w:val="clear" w:color="auto" w:fill="auto"/>
          </w:tcPr>
          <w:p w14:paraId="14DD6CA9">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0.912</w:t>
            </w:r>
          </w:p>
        </w:tc>
        <w:tc>
          <w:tcPr>
            <w:tcW w:w="2232" w:type="dxa"/>
            <w:shd w:val="clear" w:color="auto" w:fill="auto"/>
          </w:tcPr>
          <w:p w14:paraId="0D9E505C">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0.420</w:t>
            </w:r>
          </w:p>
        </w:tc>
      </w:tr>
      <w:tr w14:paraId="2C74AC9D">
        <w:trPr>
          <w:trHeight w:val="90" w:hRule="atLeast"/>
          <w:jc w:val="center"/>
        </w:trPr>
        <w:tc>
          <w:tcPr>
            <w:tcW w:w="3352" w:type="dxa"/>
            <w:shd w:val="clear" w:color="auto" w:fill="auto"/>
          </w:tcPr>
          <w:p w14:paraId="27592549">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100</w:t>
            </w:r>
          </w:p>
        </w:tc>
        <w:tc>
          <w:tcPr>
            <w:tcW w:w="2720" w:type="dxa"/>
            <w:shd w:val="clear" w:color="auto" w:fill="auto"/>
          </w:tcPr>
          <w:p w14:paraId="21F82675">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0.034</w:t>
            </w:r>
          </w:p>
        </w:tc>
        <w:tc>
          <w:tcPr>
            <w:tcW w:w="2232" w:type="dxa"/>
            <w:shd w:val="clear" w:color="auto" w:fill="auto"/>
          </w:tcPr>
          <w:p w14:paraId="47E80E2D">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0.391</w:t>
            </w:r>
          </w:p>
        </w:tc>
      </w:tr>
      <w:tr w14:paraId="307A2923">
        <w:trPr>
          <w:jc w:val="center"/>
        </w:trPr>
        <w:tc>
          <w:tcPr>
            <w:tcW w:w="3352" w:type="dxa"/>
            <w:shd w:val="clear" w:color="auto" w:fill="auto"/>
          </w:tcPr>
          <w:p w14:paraId="130EDBD4">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150</w:t>
            </w:r>
          </w:p>
        </w:tc>
        <w:tc>
          <w:tcPr>
            <w:tcW w:w="2720" w:type="dxa"/>
            <w:shd w:val="clear" w:color="auto" w:fill="auto"/>
          </w:tcPr>
          <w:p w14:paraId="3C1410DC">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0.000</w:t>
            </w:r>
          </w:p>
        </w:tc>
        <w:tc>
          <w:tcPr>
            <w:tcW w:w="2232" w:type="dxa"/>
            <w:shd w:val="clear" w:color="auto" w:fill="auto"/>
          </w:tcPr>
          <w:p w14:paraId="68D78E47">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0.219</w:t>
            </w:r>
          </w:p>
        </w:tc>
      </w:tr>
      <w:tr w14:paraId="3575F6EF">
        <w:trPr>
          <w:jc w:val="center"/>
        </w:trPr>
        <w:tc>
          <w:tcPr>
            <w:tcW w:w="3352" w:type="dxa"/>
            <w:tcBorders>
              <w:top w:val="nil"/>
              <w:left w:val="nil"/>
              <w:bottom w:val="nil"/>
              <w:right w:val="nil"/>
            </w:tcBorders>
            <w:shd w:val="clear" w:color="auto" w:fill="auto"/>
          </w:tcPr>
          <w:p w14:paraId="5988FA68">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Kernel</w:t>
            </w:r>
          </w:p>
        </w:tc>
        <w:tc>
          <w:tcPr>
            <w:tcW w:w="2720" w:type="dxa"/>
            <w:tcBorders>
              <w:top w:val="nil"/>
              <w:left w:val="nil"/>
              <w:bottom w:val="nil"/>
              <w:right w:val="nil"/>
            </w:tcBorders>
            <w:shd w:val="clear" w:color="auto" w:fill="auto"/>
          </w:tcPr>
          <w:p w14:paraId="76FB47B0">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uniform</w:t>
            </w:r>
          </w:p>
        </w:tc>
        <w:tc>
          <w:tcPr>
            <w:tcW w:w="2232" w:type="dxa"/>
            <w:tcBorders>
              <w:top w:val="nil"/>
              <w:left w:val="nil"/>
              <w:bottom w:val="nil"/>
              <w:right w:val="nil"/>
            </w:tcBorders>
            <w:shd w:val="clear" w:color="auto" w:fill="auto"/>
          </w:tcPr>
          <w:p w14:paraId="20FA17F6">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uniform</w:t>
            </w:r>
          </w:p>
        </w:tc>
      </w:tr>
      <w:tr w14:paraId="337A44A7">
        <w:trPr>
          <w:trHeight w:val="373" w:hRule="atLeast"/>
          <w:jc w:val="center"/>
        </w:trPr>
        <w:tc>
          <w:tcPr>
            <w:tcW w:w="3352" w:type="dxa"/>
            <w:tcBorders>
              <w:top w:val="nil"/>
              <w:left w:val="nil"/>
              <w:bottom w:val="nil"/>
              <w:right w:val="nil"/>
            </w:tcBorders>
            <w:shd w:val="clear" w:color="auto" w:fill="auto"/>
          </w:tcPr>
          <w:p w14:paraId="098EFC0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b/>
                <w:lang w:val="en-GB"/>
              </w:rPr>
              <w:t>Eff. Observations</w:t>
            </w:r>
          </w:p>
        </w:tc>
        <w:tc>
          <w:tcPr>
            <w:tcW w:w="2720" w:type="dxa"/>
            <w:tcBorders>
              <w:top w:val="nil"/>
              <w:left w:val="nil"/>
              <w:bottom w:val="nil"/>
              <w:right w:val="nil"/>
            </w:tcBorders>
            <w:shd w:val="clear" w:color="auto" w:fill="auto"/>
          </w:tcPr>
          <w:p w14:paraId="4D666949">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2232" w:type="dxa"/>
            <w:tcBorders>
              <w:top w:val="nil"/>
              <w:left w:val="nil"/>
              <w:bottom w:val="nil"/>
              <w:right w:val="nil"/>
            </w:tcBorders>
            <w:shd w:val="clear" w:color="auto" w:fill="auto"/>
          </w:tcPr>
          <w:p w14:paraId="6CE1F4D3">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r>
      <w:tr w14:paraId="4B51414B">
        <w:trPr>
          <w:jc w:val="center"/>
        </w:trPr>
        <w:tc>
          <w:tcPr>
            <w:tcW w:w="3352" w:type="dxa"/>
            <w:tcBorders>
              <w:top w:val="nil"/>
              <w:left w:val="nil"/>
              <w:bottom w:val="nil"/>
              <w:right w:val="nil"/>
            </w:tcBorders>
            <w:shd w:val="clear" w:color="auto" w:fill="auto"/>
          </w:tcPr>
          <w:p w14:paraId="74A89A33">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50</w:t>
            </w:r>
          </w:p>
        </w:tc>
        <w:tc>
          <w:tcPr>
            <w:tcW w:w="2720" w:type="dxa"/>
            <w:tcBorders>
              <w:top w:val="nil"/>
              <w:left w:val="nil"/>
              <w:bottom w:val="nil"/>
              <w:right w:val="nil"/>
            </w:tcBorders>
            <w:shd w:val="clear" w:color="auto" w:fill="auto"/>
          </w:tcPr>
          <w:p w14:paraId="03308713">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10779</w:t>
            </w:r>
          </w:p>
        </w:tc>
        <w:tc>
          <w:tcPr>
            <w:tcW w:w="2232" w:type="dxa"/>
            <w:tcBorders>
              <w:top w:val="nil"/>
              <w:left w:val="nil"/>
              <w:bottom w:val="nil"/>
              <w:right w:val="nil"/>
            </w:tcBorders>
            <w:shd w:val="clear" w:color="auto" w:fill="auto"/>
          </w:tcPr>
          <w:p w14:paraId="77BA90C8">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8850</w:t>
            </w:r>
          </w:p>
        </w:tc>
      </w:tr>
      <w:tr w14:paraId="55DCD47D">
        <w:trPr>
          <w:trHeight w:val="90" w:hRule="atLeast"/>
          <w:jc w:val="center"/>
        </w:trPr>
        <w:tc>
          <w:tcPr>
            <w:tcW w:w="3352" w:type="dxa"/>
            <w:tcBorders>
              <w:top w:val="nil"/>
              <w:left w:val="nil"/>
              <w:bottom w:val="nil"/>
              <w:right w:val="nil"/>
            </w:tcBorders>
            <w:shd w:val="clear" w:color="auto" w:fill="auto"/>
          </w:tcPr>
          <w:p w14:paraId="0742B5BD">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100</w:t>
            </w:r>
          </w:p>
        </w:tc>
        <w:tc>
          <w:tcPr>
            <w:tcW w:w="2720" w:type="dxa"/>
            <w:tcBorders>
              <w:top w:val="nil"/>
              <w:left w:val="nil"/>
              <w:bottom w:val="nil"/>
              <w:right w:val="nil"/>
            </w:tcBorders>
            <w:shd w:val="clear" w:color="auto" w:fill="auto"/>
          </w:tcPr>
          <w:p w14:paraId="2542BED2">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400</w:t>
            </w:r>
          </w:p>
        </w:tc>
        <w:tc>
          <w:tcPr>
            <w:tcW w:w="2232" w:type="dxa"/>
            <w:tcBorders>
              <w:top w:val="nil"/>
              <w:left w:val="nil"/>
              <w:bottom w:val="nil"/>
              <w:right w:val="nil"/>
            </w:tcBorders>
            <w:shd w:val="clear" w:color="auto" w:fill="auto"/>
          </w:tcPr>
          <w:p w14:paraId="0C9F49BF">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342</w:t>
            </w:r>
          </w:p>
        </w:tc>
      </w:tr>
      <w:tr w14:paraId="0C549986">
        <w:trPr>
          <w:jc w:val="center"/>
        </w:trPr>
        <w:tc>
          <w:tcPr>
            <w:tcW w:w="3352" w:type="dxa"/>
            <w:tcBorders>
              <w:top w:val="nil"/>
              <w:left w:val="nil"/>
              <w:bottom w:val="nil"/>
              <w:right w:val="nil"/>
            </w:tcBorders>
            <w:shd w:val="clear" w:color="auto" w:fill="auto"/>
          </w:tcPr>
          <w:p w14:paraId="13D0B0C8">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150</w:t>
            </w:r>
          </w:p>
        </w:tc>
        <w:tc>
          <w:tcPr>
            <w:tcW w:w="2720" w:type="dxa"/>
            <w:tcBorders>
              <w:top w:val="nil"/>
              <w:left w:val="nil"/>
              <w:bottom w:val="nil"/>
              <w:right w:val="nil"/>
            </w:tcBorders>
            <w:shd w:val="clear" w:color="auto" w:fill="auto"/>
          </w:tcPr>
          <w:p w14:paraId="481A9550">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2330</w:t>
            </w:r>
          </w:p>
        </w:tc>
        <w:tc>
          <w:tcPr>
            <w:tcW w:w="2232" w:type="dxa"/>
            <w:tcBorders>
              <w:top w:val="nil"/>
              <w:left w:val="nil"/>
              <w:bottom w:val="nil"/>
              <w:right w:val="nil"/>
            </w:tcBorders>
            <w:shd w:val="clear" w:color="auto" w:fill="auto"/>
          </w:tcPr>
          <w:p w14:paraId="3EDF01CB">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1902</w:t>
            </w:r>
          </w:p>
        </w:tc>
      </w:tr>
      <w:tr w14:paraId="4A919983">
        <w:trPr>
          <w:jc w:val="center"/>
        </w:trPr>
        <w:tc>
          <w:tcPr>
            <w:tcW w:w="3352" w:type="dxa"/>
            <w:tcBorders>
              <w:top w:val="nil"/>
              <w:left w:val="nil"/>
              <w:bottom w:val="nil"/>
              <w:right w:val="nil"/>
            </w:tcBorders>
            <w:shd w:val="clear" w:color="auto" w:fill="auto"/>
          </w:tcPr>
          <w:p w14:paraId="249255D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b/>
                <w:lang w:val="en-GB"/>
              </w:rPr>
              <w:t>Window</w:t>
            </w:r>
          </w:p>
        </w:tc>
        <w:tc>
          <w:tcPr>
            <w:tcW w:w="2720" w:type="dxa"/>
            <w:tcBorders>
              <w:top w:val="nil"/>
              <w:left w:val="nil"/>
              <w:bottom w:val="nil"/>
              <w:right w:val="nil"/>
            </w:tcBorders>
            <w:shd w:val="clear" w:color="auto" w:fill="auto"/>
          </w:tcPr>
          <w:p w14:paraId="1CF2E5E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2232" w:type="dxa"/>
            <w:tcBorders>
              <w:top w:val="nil"/>
              <w:left w:val="nil"/>
              <w:bottom w:val="nil"/>
              <w:right w:val="nil"/>
            </w:tcBorders>
            <w:shd w:val="clear" w:color="auto" w:fill="auto"/>
          </w:tcPr>
          <w:p w14:paraId="2D69AFFF">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r>
      <w:tr w14:paraId="44B0F74C">
        <w:trPr>
          <w:jc w:val="center"/>
        </w:trPr>
        <w:tc>
          <w:tcPr>
            <w:tcW w:w="3352" w:type="dxa"/>
            <w:tcBorders>
              <w:top w:val="nil"/>
              <w:left w:val="nil"/>
              <w:bottom w:val="nil"/>
              <w:right w:val="nil"/>
            </w:tcBorders>
            <w:shd w:val="clear" w:color="auto" w:fill="auto"/>
          </w:tcPr>
          <w:p w14:paraId="4EBB023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50</w:t>
            </w:r>
          </w:p>
        </w:tc>
        <w:tc>
          <w:tcPr>
            <w:tcW w:w="2720" w:type="dxa"/>
            <w:tcBorders>
              <w:top w:val="nil"/>
              <w:left w:val="nil"/>
              <w:bottom w:val="nil"/>
              <w:right w:val="nil"/>
            </w:tcBorders>
            <w:shd w:val="clear" w:color="auto" w:fill="auto"/>
          </w:tcPr>
          <w:p w14:paraId="774FF634">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[-2,1]</w:t>
            </w:r>
          </w:p>
        </w:tc>
        <w:tc>
          <w:tcPr>
            <w:tcW w:w="2232" w:type="dxa"/>
            <w:tcBorders>
              <w:top w:val="nil"/>
              <w:left w:val="nil"/>
              <w:bottom w:val="nil"/>
              <w:right w:val="nil"/>
            </w:tcBorders>
            <w:shd w:val="clear" w:color="auto" w:fill="auto"/>
          </w:tcPr>
          <w:p w14:paraId="51A51204">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[-2,1]</w:t>
            </w:r>
          </w:p>
        </w:tc>
      </w:tr>
      <w:tr w14:paraId="2F58F869">
        <w:trPr>
          <w:jc w:val="center"/>
        </w:trPr>
        <w:tc>
          <w:tcPr>
            <w:tcW w:w="3352" w:type="dxa"/>
            <w:tcBorders>
              <w:top w:val="nil"/>
              <w:left w:val="nil"/>
              <w:bottom w:val="nil"/>
              <w:right w:val="nil"/>
            </w:tcBorders>
            <w:shd w:val="clear" w:color="auto" w:fill="auto"/>
          </w:tcPr>
          <w:p w14:paraId="540C0243">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100</w:t>
            </w:r>
          </w:p>
        </w:tc>
        <w:tc>
          <w:tcPr>
            <w:tcW w:w="2720" w:type="dxa"/>
            <w:tcBorders>
              <w:top w:val="nil"/>
              <w:left w:val="nil"/>
              <w:bottom w:val="nil"/>
              <w:right w:val="nil"/>
            </w:tcBorders>
            <w:shd w:val="clear" w:color="auto" w:fill="auto"/>
          </w:tcPr>
          <w:p w14:paraId="6BBFB48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[-2,2]</w:t>
            </w:r>
          </w:p>
        </w:tc>
        <w:tc>
          <w:tcPr>
            <w:tcW w:w="2232" w:type="dxa"/>
            <w:tcBorders>
              <w:top w:val="nil"/>
              <w:left w:val="nil"/>
              <w:bottom w:val="nil"/>
              <w:right w:val="nil"/>
            </w:tcBorders>
            <w:shd w:val="clear" w:color="auto" w:fill="auto"/>
          </w:tcPr>
          <w:p w14:paraId="347CB5D8">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[-2,2]</w:t>
            </w:r>
          </w:p>
        </w:tc>
      </w:tr>
      <w:tr w14:paraId="7E1C9FC4">
        <w:trPr>
          <w:jc w:val="center"/>
        </w:trPr>
        <w:tc>
          <w:tcPr>
            <w:tcW w:w="3352" w:type="dxa"/>
            <w:tcBorders>
              <w:top w:val="nil"/>
              <w:left w:val="nil"/>
              <w:bottom w:val="single" w:color="auto" w:sz="4" w:space="0"/>
              <w:right w:val="nil"/>
            </w:tcBorders>
            <w:shd w:val="clear" w:color="auto" w:fill="auto"/>
          </w:tcPr>
          <w:p w14:paraId="033E9EED">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150</w:t>
            </w:r>
          </w:p>
        </w:tc>
        <w:tc>
          <w:tcPr>
            <w:tcW w:w="2720" w:type="dxa"/>
            <w:tcBorders>
              <w:top w:val="nil"/>
              <w:left w:val="nil"/>
              <w:bottom w:val="single" w:color="auto" w:sz="4" w:space="0"/>
              <w:right w:val="nil"/>
            </w:tcBorders>
            <w:shd w:val="clear" w:color="auto" w:fill="auto"/>
          </w:tcPr>
          <w:p w14:paraId="1463A837">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[-9,5]</w:t>
            </w:r>
          </w:p>
        </w:tc>
        <w:tc>
          <w:tcPr>
            <w:tcW w:w="2232" w:type="dxa"/>
            <w:tcBorders>
              <w:top w:val="nil"/>
              <w:left w:val="nil"/>
              <w:bottom w:val="single" w:color="auto" w:sz="4" w:space="0"/>
              <w:right w:val="nil"/>
            </w:tcBorders>
            <w:shd w:val="clear" w:color="auto" w:fill="auto"/>
          </w:tcPr>
          <w:p w14:paraId="4E390FB6">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[-9,5]</w:t>
            </w:r>
          </w:p>
        </w:tc>
      </w:tr>
    </w:tbl>
    <w:p w14:paraId="09968B9E">
      <w:pPr>
        <w:suppressAutoHyphens/>
        <w:kinsoku w:val="0"/>
        <w:overflowPunct w:val="0"/>
        <w:autoSpaceDE w:val="0"/>
        <w:autoSpaceDN w:val="0"/>
        <w:adjustRightInd w:val="0"/>
        <w:snapToGrid w:val="0"/>
        <w:spacing w:line="480" w:lineRule="auto"/>
        <w:rPr>
          <w:rFonts w:ascii="Times New Roman" w:hAnsi="Times New Roman" w:eastAsia="Times New Roman" w:cs="Times New Roman"/>
          <w:lang w:val="en-GB"/>
        </w:rPr>
      </w:pPr>
      <w:r>
        <w:rPr>
          <w:rFonts w:ascii="Times New Roman" w:hAnsi="Times New Roman" w:eastAsia="Times New Roman" w:cs="Times New Roman"/>
          <w:szCs w:val="21"/>
          <w:lang w:val="en-GB"/>
        </w:rPr>
        <w:t xml:space="preserve">The results </w:t>
      </w:r>
      <w:r>
        <w:rPr>
          <w:rFonts w:ascii="Times New Roman" w:hAnsi="Times New Roman" w:eastAsia="Times New Roman" w:cs="Times New Roman"/>
          <w:szCs w:val="21"/>
        </w:rPr>
        <w:t>are</w:t>
      </w:r>
      <w:r>
        <w:rPr>
          <w:rFonts w:ascii="Times New Roman" w:hAnsi="Times New Roman" w:eastAsia="Times New Roman" w:cs="Times New Roman"/>
          <w:szCs w:val="21"/>
          <w:lang w:val="en-GB"/>
        </w:rPr>
        <w:t xml:space="preserve"> obtained using the local randomi</w:t>
      </w:r>
      <w:r>
        <w:rPr>
          <w:rFonts w:ascii="Times New Roman" w:hAnsi="Times New Roman" w:eastAsia="Times New Roman" w:cs="Times New Roman"/>
          <w:szCs w:val="21"/>
        </w:rPr>
        <w:t>z</w:t>
      </w:r>
      <w:r>
        <w:rPr>
          <w:rFonts w:ascii="Times New Roman" w:hAnsi="Times New Roman" w:eastAsia="Times New Roman" w:cs="Times New Roman"/>
          <w:szCs w:val="21"/>
          <w:lang w:val="en-GB"/>
        </w:rPr>
        <w:t>ation approach proposed by Cattaneo et al.</w:t>
      </w:r>
      <w:r>
        <w:rPr>
          <w:rFonts w:hint="default" w:ascii="Times New Roman" w:hAnsi="Times New Roman" w:eastAsia="Times New Roman" w:cs="Times New Roman"/>
          <w:sz w:val="21"/>
          <w:szCs w:val="21"/>
          <w:vertAlign w:val="superscript"/>
          <w:lang w:val="en-GB"/>
        </w:rPr>
        <w:fldChar w:fldCharType="begin"/>
      </w:r>
      <w:r>
        <w:rPr>
          <w:rFonts w:hint="default" w:ascii="Times New Roman" w:hAnsi="Times New Roman" w:eastAsia="Times New Roman" w:cs="Times New Roman"/>
          <w:sz w:val="21"/>
          <w:szCs w:val="21"/>
          <w:vertAlign w:val="superscript"/>
          <w:lang w:val="en-GB"/>
        </w:rPr>
        <w:instrText xml:space="preserve"> REF _Ref1800138679 \n \h </w:instrText>
      </w:r>
      <w:r>
        <w:rPr>
          <w:rFonts w:hint="default" w:ascii="Times New Roman" w:hAnsi="Times New Roman" w:eastAsia="Times New Roman" w:cs="Times New Roman"/>
          <w:sz w:val="21"/>
          <w:szCs w:val="21"/>
          <w:vertAlign w:val="superscript"/>
          <w:lang w:val="en-GB"/>
        </w:rPr>
        <w:fldChar w:fldCharType="separate"/>
      </w:r>
      <w:r>
        <w:rPr>
          <w:rFonts w:hint="default" w:ascii="Times New Roman" w:hAnsi="Times New Roman" w:eastAsia="Times New Roman" w:cs="Times New Roman"/>
          <w:sz w:val="21"/>
          <w:szCs w:val="21"/>
          <w:vertAlign w:val="superscript"/>
          <w:lang w:val="en-GB"/>
        </w:rPr>
        <w:t>22</w:t>
      </w:r>
      <w:r>
        <w:rPr>
          <w:rFonts w:hint="default" w:ascii="Times New Roman" w:hAnsi="Times New Roman" w:eastAsia="Times New Roman" w:cs="Times New Roman"/>
          <w:sz w:val="21"/>
          <w:szCs w:val="21"/>
          <w:vertAlign w:val="superscript"/>
          <w:lang w:val="en-GB"/>
        </w:rPr>
        <w:fldChar w:fldCharType="end"/>
      </w:r>
      <w:r>
        <w:rPr>
          <w:rFonts w:ascii="Times New Roman" w:hAnsi="Times New Roman" w:eastAsia="Times New Roman" w:cs="Times New Roman"/>
          <w:szCs w:val="21"/>
        </w:rPr>
        <w:t xml:space="preserve">. </w:t>
      </w:r>
      <w:r>
        <w:rPr>
          <w:rFonts w:ascii="Times New Roman" w:hAnsi="Times New Roman" w:eastAsia="Times New Roman" w:cs="Times New Roman"/>
          <w:szCs w:val="21"/>
          <w:lang w:val="en-GB"/>
        </w:rPr>
        <w:t>Diff. in means presents the estimated coefficients. P indicates the estimated p-value. We select the nearest AQI values on each side of the cutoff as the endpoints of the window for local randomi</w:t>
      </w:r>
      <w:r>
        <w:rPr>
          <w:rFonts w:hint="default" w:ascii="Times New Roman" w:hAnsi="Times New Roman" w:eastAsia="Times New Roman" w:cs="Times New Roman"/>
          <w:szCs w:val="21"/>
          <w:lang w:val="en-US"/>
        </w:rPr>
        <w:t>z</w:t>
      </w:r>
      <w:r>
        <w:rPr>
          <w:rFonts w:ascii="Times New Roman" w:hAnsi="Times New Roman" w:eastAsia="Times New Roman" w:cs="Times New Roman"/>
          <w:szCs w:val="21"/>
          <w:lang w:val="en-GB"/>
        </w:rPr>
        <w:t xml:space="preserve">ation estimation. </w:t>
      </w:r>
    </w:p>
    <w:p w14:paraId="6F76F4ED">
      <w:pPr>
        <w:suppressAutoHyphens/>
        <w:kinsoku w:val="0"/>
        <w:overflowPunct w:val="0"/>
        <w:autoSpaceDE w:val="0"/>
        <w:autoSpaceDN w:val="0"/>
        <w:adjustRightInd w:val="0"/>
        <w:snapToGrid w:val="0"/>
        <w:spacing w:line="480" w:lineRule="auto"/>
        <w:rPr>
          <w:rFonts w:ascii="Times New Roman" w:hAnsi="Times New Roman" w:eastAsia="Times New Roman" w:cs="Times New Roman"/>
          <w:lang w:val="en-GB"/>
        </w:rPr>
      </w:pPr>
    </w:p>
    <w:p w14:paraId="419F21B5">
      <w:pPr>
        <w:suppressAutoHyphens/>
        <w:kinsoku w:val="0"/>
        <w:overflowPunct w:val="0"/>
        <w:autoSpaceDE w:val="0"/>
        <w:autoSpaceDN w:val="0"/>
        <w:adjustRightInd w:val="0"/>
        <w:snapToGrid w:val="0"/>
        <w:spacing w:line="480" w:lineRule="auto"/>
        <w:rPr>
          <w:rFonts w:ascii="Times New Roman" w:hAnsi="Times New Roman" w:eastAsia="Times New Roman" w:cs="Times New Roman"/>
          <w:lang w:val="en-GB"/>
        </w:rPr>
      </w:pPr>
      <w:r>
        <w:rPr>
          <w:rFonts w:ascii="Times New Roman" w:hAnsi="Times New Roman" w:cs="Times New Roman"/>
          <w:b/>
          <w:lang w:val="en-GB"/>
        </w:rPr>
        <w:br w:type="page"/>
      </w:r>
    </w:p>
    <w:p w14:paraId="10DCEF1A">
      <w:pPr>
        <w:suppressAutoHyphens/>
        <w:kinsoku w:val="0"/>
        <w:overflowPunct w:val="0"/>
        <w:autoSpaceDE w:val="0"/>
        <w:autoSpaceDN w:val="0"/>
        <w:adjustRightInd w:val="0"/>
        <w:snapToGrid w:val="0"/>
        <w:spacing w:line="480" w:lineRule="auto"/>
        <w:outlineLvl w:val="0"/>
        <w:rPr>
          <w:rFonts w:ascii="Times New Roman" w:hAnsi="Times New Roman" w:eastAsia="Times New Roman" w:cs="Times New Roman"/>
          <w:b/>
          <w:sz w:val="32"/>
          <w:lang w:val="en-GB"/>
        </w:rPr>
      </w:pPr>
      <w:bookmarkStart w:id="49" w:name="_Toc1105994645"/>
      <w:bookmarkStart w:id="50" w:name="_Toc34783354"/>
      <w:bookmarkStart w:id="51" w:name="_Toc1879276626"/>
      <w:bookmarkStart w:id="52" w:name="_Toc371681702"/>
      <w:r>
        <w:rPr>
          <w:rFonts w:ascii="Times New Roman" w:hAnsi="Times New Roman" w:eastAsia="Times New Roman" w:cs="Times New Roman"/>
          <w:b/>
          <w:sz w:val="32"/>
          <w:lang w:val="en-GB"/>
        </w:rPr>
        <w:t>E. Regression results</w:t>
      </w:r>
      <w:bookmarkEnd w:id="49"/>
      <w:bookmarkEnd w:id="50"/>
      <w:bookmarkEnd w:id="51"/>
      <w:bookmarkEnd w:id="52"/>
    </w:p>
    <w:p w14:paraId="06CD83D4">
      <w:pPr>
        <w:suppressAutoHyphens/>
        <w:kinsoku w:val="0"/>
        <w:overflowPunct w:val="0"/>
        <w:autoSpaceDE w:val="0"/>
        <w:autoSpaceDN w:val="0"/>
        <w:adjustRightInd w:val="0"/>
        <w:snapToGrid w:val="0"/>
        <w:spacing w:line="480" w:lineRule="auto"/>
        <w:rPr>
          <w:rFonts w:ascii="Times New Roman" w:hAnsi="Times New Roman" w:eastAsia="Times New Roman Bold" w:cs="Times New Roman"/>
          <w:b/>
          <w:sz w:val="24"/>
          <w:szCs w:val="22"/>
          <w:lang w:val="en-GB"/>
        </w:rPr>
      </w:pPr>
      <w:r>
        <w:rPr>
          <w:rFonts w:ascii="Times New Roman" w:hAnsi="Times New Roman" w:eastAsia="Times New Roman Bold" w:cs="Times New Roman"/>
          <w:b/>
          <w:sz w:val="24"/>
          <w:szCs w:val="22"/>
          <w:lang w:val="en-GB"/>
        </w:rPr>
        <w:t>Table E1 Heterogeneous effects of air quality information on travel behaviour</w:t>
      </w:r>
      <w:r>
        <w:rPr>
          <w:rFonts w:hint="default" w:ascii="Times New Roman" w:hAnsi="Times New Roman" w:eastAsia="Times New Roman Bold" w:cs="Times New Roman"/>
          <w:b/>
          <w:sz w:val="24"/>
          <w:szCs w:val="22"/>
          <w:lang w:val="en-US"/>
        </w:rPr>
        <w:t xml:space="preserve">s </w:t>
      </w:r>
      <w:r>
        <w:rPr>
          <w:rFonts w:ascii="Times New Roman" w:hAnsi="Times New Roman" w:eastAsia="Times New Roman Bold" w:cs="Times New Roman"/>
          <w:b/>
          <w:sz w:val="24"/>
          <w:szCs w:val="22"/>
          <w:lang w:val="en-GB"/>
        </w:rPr>
        <w:t xml:space="preserve"> by income group</w:t>
      </w:r>
    </w:p>
    <w:tbl>
      <w:tblPr>
        <w:tblStyle w:val="19"/>
        <w:tblW w:w="4997" w:type="pct"/>
        <w:jc w:val="center"/>
        <w:tblLayout w:type="autofit"/>
        <w:tblCellMar>
          <w:top w:w="0" w:type="dxa"/>
          <w:left w:w="75" w:type="dxa"/>
          <w:bottom w:w="0" w:type="dxa"/>
          <w:right w:w="75" w:type="dxa"/>
        </w:tblCellMar>
      </w:tblPr>
      <w:tblGrid>
        <w:gridCol w:w="1778"/>
        <w:gridCol w:w="1666"/>
        <w:gridCol w:w="1701"/>
        <w:gridCol w:w="1646"/>
        <w:gridCol w:w="1660"/>
      </w:tblGrid>
      <w:tr w14:paraId="3E09C391">
        <w:trPr>
          <w:jc w:val="center"/>
        </w:trPr>
        <w:tc>
          <w:tcPr>
            <w:tcW w:w="1746" w:type="dxa"/>
            <w:tcBorders>
              <w:top w:val="single" w:color="auto" w:sz="6" w:space="0"/>
              <w:left w:val="nil"/>
              <w:bottom w:val="nil"/>
              <w:right w:val="nil"/>
            </w:tcBorders>
            <w:shd w:val="clear" w:color="auto" w:fill="auto"/>
          </w:tcPr>
          <w:p w14:paraId="15470527">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Regression</w:t>
            </w:r>
          </w:p>
        </w:tc>
        <w:tc>
          <w:tcPr>
            <w:tcW w:w="1636" w:type="dxa"/>
            <w:tcBorders>
              <w:top w:val="single" w:color="auto" w:sz="6" w:space="0"/>
              <w:left w:val="nil"/>
              <w:bottom w:val="nil"/>
              <w:right w:val="nil"/>
            </w:tcBorders>
            <w:shd w:val="clear" w:color="auto" w:fill="auto"/>
          </w:tcPr>
          <w:p w14:paraId="609D784A">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(1)</w:t>
            </w:r>
          </w:p>
        </w:tc>
        <w:tc>
          <w:tcPr>
            <w:tcW w:w="1671" w:type="dxa"/>
            <w:tcBorders>
              <w:top w:val="single" w:color="auto" w:sz="6" w:space="0"/>
              <w:left w:val="nil"/>
              <w:bottom w:val="nil"/>
              <w:right w:val="nil"/>
            </w:tcBorders>
            <w:shd w:val="clear" w:color="auto" w:fill="auto"/>
          </w:tcPr>
          <w:p w14:paraId="141CA7E5">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(2)</w:t>
            </w:r>
          </w:p>
        </w:tc>
        <w:tc>
          <w:tcPr>
            <w:tcW w:w="1617" w:type="dxa"/>
            <w:tcBorders>
              <w:top w:val="single" w:color="auto" w:sz="6" w:space="0"/>
              <w:left w:val="nil"/>
              <w:bottom w:val="nil"/>
              <w:right w:val="nil"/>
            </w:tcBorders>
            <w:shd w:val="clear" w:color="auto" w:fill="auto"/>
          </w:tcPr>
          <w:p w14:paraId="2A61BD15">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(3)</w:t>
            </w:r>
          </w:p>
        </w:tc>
        <w:tc>
          <w:tcPr>
            <w:tcW w:w="1631" w:type="dxa"/>
            <w:tcBorders>
              <w:top w:val="single" w:color="auto" w:sz="6" w:space="0"/>
              <w:left w:val="nil"/>
              <w:bottom w:val="nil"/>
              <w:right w:val="nil"/>
            </w:tcBorders>
            <w:shd w:val="clear" w:color="auto" w:fill="auto"/>
          </w:tcPr>
          <w:p w14:paraId="029F8DA6">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(4)</w:t>
            </w:r>
          </w:p>
        </w:tc>
      </w:tr>
      <w:tr w14:paraId="03E27808">
        <w:trPr>
          <w:trHeight w:val="327" w:hRule="atLeast"/>
          <w:jc w:val="center"/>
        </w:trPr>
        <w:tc>
          <w:tcPr>
            <w:tcW w:w="1746" w:type="dxa"/>
            <w:tcBorders>
              <w:top w:val="nil"/>
              <w:left w:val="nil"/>
              <w:bottom w:val="single" w:color="auto" w:sz="6" w:space="0"/>
              <w:right w:val="nil"/>
            </w:tcBorders>
            <w:shd w:val="clear" w:color="auto" w:fill="auto"/>
          </w:tcPr>
          <w:p w14:paraId="17A0563E">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Variables</w:t>
            </w:r>
          </w:p>
        </w:tc>
        <w:tc>
          <w:tcPr>
            <w:tcW w:w="3307" w:type="dxa"/>
            <w:gridSpan w:val="2"/>
            <w:tcBorders>
              <w:top w:val="nil"/>
              <w:left w:val="nil"/>
              <w:bottom w:val="single" w:color="auto" w:sz="6" w:space="0"/>
              <w:right w:val="nil"/>
            </w:tcBorders>
            <w:shd w:val="clear" w:color="auto" w:fill="auto"/>
          </w:tcPr>
          <w:p w14:paraId="7D19345A">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 xml:space="preserve">Travel </w:t>
            </w:r>
            <w:r>
              <w:rPr>
                <w:rFonts w:ascii="Times New Roman" w:hAnsi="Times New Roman" w:eastAsia="Times New Roman" w:cs="Times New Roman"/>
              </w:rPr>
              <w:t>d</w:t>
            </w:r>
            <w:r>
              <w:rPr>
                <w:rFonts w:ascii="Times New Roman" w:hAnsi="Times New Roman" w:eastAsia="Times New Roman" w:cs="Times New Roman"/>
                <w:lang w:val="en-GB"/>
              </w:rPr>
              <w:t>ummy</w:t>
            </w:r>
          </w:p>
        </w:tc>
        <w:tc>
          <w:tcPr>
            <w:tcW w:w="3248" w:type="dxa"/>
            <w:gridSpan w:val="2"/>
            <w:tcBorders>
              <w:top w:val="nil"/>
              <w:left w:val="nil"/>
              <w:bottom w:val="single" w:color="auto" w:sz="6" w:space="0"/>
              <w:right w:val="nil"/>
            </w:tcBorders>
            <w:shd w:val="clear" w:color="auto" w:fill="auto"/>
          </w:tcPr>
          <w:p w14:paraId="4AFA6ADD">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Duration</w:t>
            </w:r>
          </w:p>
        </w:tc>
      </w:tr>
      <w:tr w14:paraId="0C85F10D">
        <w:trPr>
          <w:trHeight w:val="90" w:hRule="atLeast"/>
          <w:jc w:val="center"/>
        </w:trPr>
        <w:tc>
          <w:tcPr>
            <w:tcW w:w="1746" w:type="dxa"/>
            <w:shd w:val="clear" w:color="auto" w:fill="auto"/>
          </w:tcPr>
          <w:p w14:paraId="222372EC">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1636" w:type="dxa"/>
            <w:shd w:val="clear" w:color="auto" w:fill="auto"/>
          </w:tcPr>
          <w:p w14:paraId="44FC7B0F">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Low Income</w:t>
            </w:r>
          </w:p>
        </w:tc>
        <w:tc>
          <w:tcPr>
            <w:tcW w:w="1671" w:type="dxa"/>
            <w:shd w:val="clear" w:color="auto" w:fill="auto"/>
          </w:tcPr>
          <w:p w14:paraId="2509D88D">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High Income</w:t>
            </w:r>
          </w:p>
        </w:tc>
        <w:tc>
          <w:tcPr>
            <w:tcW w:w="1617" w:type="dxa"/>
            <w:shd w:val="clear" w:color="auto" w:fill="auto"/>
          </w:tcPr>
          <w:p w14:paraId="05C5547F">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Low Income</w:t>
            </w:r>
          </w:p>
        </w:tc>
        <w:tc>
          <w:tcPr>
            <w:tcW w:w="1631" w:type="dxa"/>
            <w:shd w:val="clear" w:color="auto" w:fill="auto"/>
          </w:tcPr>
          <w:p w14:paraId="7E47333F">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High Income</w:t>
            </w:r>
          </w:p>
        </w:tc>
      </w:tr>
      <w:tr w14:paraId="0D35A6E2">
        <w:trPr>
          <w:jc w:val="center"/>
        </w:trPr>
        <w:tc>
          <w:tcPr>
            <w:tcW w:w="1746" w:type="dxa"/>
            <w:shd w:val="clear" w:color="auto" w:fill="auto"/>
          </w:tcPr>
          <w:p w14:paraId="097D2843">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50</w:t>
            </w:r>
          </w:p>
        </w:tc>
        <w:tc>
          <w:tcPr>
            <w:tcW w:w="1636" w:type="dxa"/>
            <w:shd w:val="clear" w:color="auto" w:fill="auto"/>
          </w:tcPr>
          <w:p w14:paraId="217E5015">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0.137</w:t>
            </w:r>
          </w:p>
        </w:tc>
        <w:tc>
          <w:tcPr>
            <w:tcW w:w="1671" w:type="dxa"/>
            <w:shd w:val="clear" w:color="auto" w:fill="auto"/>
          </w:tcPr>
          <w:p w14:paraId="05D302E2">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0.0614</w:t>
            </w:r>
          </w:p>
        </w:tc>
        <w:tc>
          <w:tcPr>
            <w:tcW w:w="1617" w:type="dxa"/>
            <w:shd w:val="clear" w:color="auto" w:fill="auto"/>
          </w:tcPr>
          <w:p w14:paraId="0B2255FF">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2.787</w:t>
            </w:r>
          </w:p>
        </w:tc>
        <w:tc>
          <w:tcPr>
            <w:tcW w:w="1631" w:type="dxa"/>
            <w:shd w:val="clear" w:color="auto" w:fill="auto"/>
          </w:tcPr>
          <w:p w14:paraId="3F49CC76">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-25.94</w:t>
            </w:r>
          </w:p>
        </w:tc>
      </w:tr>
      <w:tr w14:paraId="4B45F266">
        <w:trPr>
          <w:jc w:val="center"/>
        </w:trPr>
        <w:tc>
          <w:tcPr>
            <w:tcW w:w="1746" w:type="dxa"/>
            <w:shd w:val="clear" w:color="auto" w:fill="auto"/>
          </w:tcPr>
          <w:p w14:paraId="5E4FE1AC">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1636" w:type="dxa"/>
            <w:shd w:val="clear" w:color="auto" w:fill="auto"/>
          </w:tcPr>
          <w:p w14:paraId="39917ED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(0.0929)</w:t>
            </w:r>
          </w:p>
        </w:tc>
        <w:tc>
          <w:tcPr>
            <w:tcW w:w="1671" w:type="dxa"/>
            <w:shd w:val="clear" w:color="auto" w:fill="auto"/>
          </w:tcPr>
          <w:p w14:paraId="1DBAF105">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(0.120)</w:t>
            </w:r>
          </w:p>
        </w:tc>
        <w:tc>
          <w:tcPr>
            <w:tcW w:w="1617" w:type="dxa"/>
            <w:shd w:val="clear" w:color="auto" w:fill="auto"/>
          </w:tcPr>
          <w:p w14:paraId="27BCFF2C">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(14.65)</w:t>
            </w:r>
          </w:p>
        </w:tc>
        <w:tc>
          <w:tcPr>
            <w:tcW w:w="1631" w:type="dxa"/>
            <w:shd w:val="clear" w:color="auto" w:fill="auto"/>
          </w:tcPr>
          <w:p w14:paraId="1895F0DC">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(30.69)</w:t>
            </w:r>
          </w:p>
        </w:tc>
      </w:tr>
      <w:tr w14:paraId="14120E64">
        <w:trPr>
          <w:trHeight w:val="90" w:hRule="atLeast"/>
          <w:jc w:val="center"/>
        </w:trPr>
        <w:tc>
          <w:tcPr>
            <w:tcW w:w="1746" w:type="dxa"/>
            <w:shd w:val="clear" w:color="auto" w:fill="auto"/>
          </w:tcPr>
          <w:p w14:paraId="55712206">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100</w:t>
            </w:r>
          </w:p>
        </w:tc>
        <w:tc>
          <w:tcPr>
            <w:tcW w:w="1636" w:type="dxa"/>
            <w:shd w:val="clear" w:color="auto" w:fill="auto"/>
          </w:tcPr>
          <w:p w14:paraId="70331A64">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0.0725</w:t>
            </w:r>
          </w:p>
        </w:tc>
        <w:tc>
          <w:tcPr>
            <w:tcW w:w="1671" w:type="dxa"/>
            <w:shd w:val="clear" w:color="auto" w:fill="auto"/>
          </w:tcPr>
          <w:p w14:paraId="738862D7">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-0.179***</w:t>
            </w:r>
          </w:p>
        </w:tc>
        <w:tc>
          <w:tcPr>
            <w:tcW w:w="1617" w:type="dxa"/>
            <w:shd w:val="clear" w:color="auto" w:fill="auto"/>
          </w:tcPr>
          <w:p w14:paraId="5244BD54">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-18.07</w:t>
            </w:r>
          </w:p>
        </w:tc>
        <w:tc>
          <w:tcPr>
            <w:tcW w:w="1631" w:type="dxa"/>
            <w:shd w:val="clear" w:color="auto" w:fill="auto"/>
          </w:tcPr>
          <w:p w14:paraId="322016A9">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-24.86**</w:t>
            </w:r>
          </w:p>
        </w:tc>
      </w:tr>
      <w:tr w14:paraId="10B105A5">
        <w:trPr>
          <w:trHeight w:val="322" w:hRule="atLeast"/>
          <w:jc w:val="center"/>
        </w:trPr>
        <w:tc>
          <w:tcPr>
            <w:tcW w:w="1746" w:type="dxa"/>
            <w:shd w:val="clear" w:color="auto" w:fill="auto"/>
          </w:tcPr>
          <w:p w14:paraId="13BEC043">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1636" w:type="dxa"/>
            <w:shd w:val="clear" w:color="auto" w:fill="auto"/>
          </w:tcPr>
          <w:p w14:paraId="17E28B15">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(0.0509)</w:t>
            </w:r>
          </w:p>
        </w:tc>
        <w:tc>
          <w:tcPr>
            <w:tcW w:w="1671" w:type="dxa"/>
            <w:shd w:val="clear" w:color="auto" w:fill="auto"/>
          </w:tcPr>
          <w:p w14:paraId="68FE55B4">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(0.0669)</w:t>
            </w:r>
          </w:p>
        </w:tc>
        <w:tc>
          <w:tcPr>
            <w:tcW w:w="1617" w:type="dxa"/>
            <w:shd w:val="clear" w:color="auto" w:fill="auto"/>
          </w:tcPr>
          <w:p w14:paraId="002AD9A0">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(18.39)</w:t>
            </w:r>
          </w:p>
        </w:tc>
        <w:tc>
          <w:tcPr>
            <w:tcW w:w="1631" w:type="dxa"/>
            <w:shd w:val="clear" w:color="auto" w:fill="auto"/>
          </w:tcPr>
          <w:p w14:paraId="06EB6C93">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(12.47)</w:t>
            </w:r>
          </w:p>
        </w:tc>
      </w:tr>
      <w:tr w14:paraId="24FACB8C">
        <w:trPr>
          <w:jc w:val="center"/>
        </w:trPr>
        <w:tc>
          <w:tcPr>
            <w:tcW w:w="1746" w:type="dxa"/>
            <w:shd w:val="clear" w:color="auto" w:fill="auto"/>
          </w:tcPr>
          <w:p w14:paraId="72323C4F">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150</w:t>
            </w:r>
          </w:p>
        </w:tc>
        <w:tc>
          <w:tcPr>
            <w:tcW w:w="1636" w:type="dxa"/>
            <w:shd w:val="clear" w:color="auto" w:fill="auto"/>
          </w:tcPr>
          <w:p w14:paraId="0C40883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-0.0605**</w:t>
            </w:r>
          </w:p>
        </w:tc>
        <w:tc>
          <w:tcPr>
            <w:tcW w:w="1671" w:type="dxa"/>
            <w:shd w:val="clear" w:color="auto" w:fill="auto"/>
          </w:tcPr>
          <w:p w14:paraId="22B587CF">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-0.0958***</w:t>
            </w:r>
          </w:p>
        </w:tc>
        <w:tc>
          <w:tcPr>
            <w:tcW w:w="1617" w:type="dxa"/>
            <w:shd w:val="clear" w:color="auto" w:fill="auto"/>
          </w:tcPr>
          <w:p w14:paraId="2927D908">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2.725</w:t>
            </w:r>
          </w:p>
        </w:tc>
        <w:tc>
          <w:tcPr>
            <w:tcW w:w="1631" w:type="dxa"/>
            <w:shd w:val="clear" w:color="auto" w:fill="auto"/>
          </w:tcPr>
          <w:p w14:paraId="78BDD0A9">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-2.484</w:t>
            </w:r>
          </w:p>
        </w:tc>
      </w:tr>
      <w:tr w14:paraId="0784266C">
        <w:trPr>
          <w:trHeight w:val="90" w:hRule="atLeast"/>
          <w:jc w:val="center"/>
        </w:trPr>
        <w:tc>
          <w:tcPr>
            <w:tcW w:w="1746" w:type="dxa"/>
            <w:shd w:val="clear" w:color="auto" w:fill="auto"/>
          </w:tcPr>
          <w:p w14:paraId="445F7FEB">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1636" w:type="dxa"/>
            <w:shd w:val="clear" w:color="auto" w:fill="auto"/>
          </w:tcPr>
          <w:p w14:paraId="1EBB2DD8">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(0.0252)</w:t>
            </w:r>
          </w:p>
        </w:tc>
        <w:tc>
          <w:tcPr>
            <w:tcW w:w="1671" w:type="dxa"/>
            <w:shd w:val="clear" w:color="auto" w:fill="auto"/>
          </w:tcPr>
          <w:p w14:paraId="0DDA7849">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(0.0349)</w:t>
            </w:r>
          </w:p>
        </w:tc>
        <w:tc>
          <w:tcPr>
            <w:tcW w:w="1617" w:type="dxa"/>
            <w:shd w:val="clear" w:color="auto" w:fill="auto"/>
          </w:tcPr>
          <w:p w14:paraId="11454092">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(4.037)</w:t>
            </w:r>
          </w:p>
        </w:tc>
        <w:tc>
          <w:tcPr>
            <w:tcW w:w="1631" w:type="dxa"/>
            <w:shd w:val="clear" w:color="auto" w:fill="auto"/>
          </w:tcPr>
          <w:p w14:paraId="28CACF6C">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(7.383)</w:t>
            </w:r>
          </w:p>
        </w:tc>
      </w:tr>
      <w:tr w14:paraId="40042934">
        <w:trPr>
          <w:trHeight w:val="90" w:hRule="atLeast"/>
          <w:jc w:val="center"/>
        </w:trPr>
        <w:tc>
          <w:tcPr>
            <w:tcW w:w="1746" w:type="dxa"/>
            <w:shd w:val="clear" w:color="auto" w:fill="auto"/>
          </w:tcPr>
          <w:p w14:paraId="73C2BBF2">
            <w:pPr>
              <w:suppressAutoHyphens/>
              <w:kinsoku w:val="0"/>
              <w:overflowPunct w:val="0"/>
              <w:autoSpaceDE w:val="0"/>
              <w:autoSpaceDN w:val="0"/>
              <w:adjustRightInd w:val="0"/>
              <w:snapToGrid w:val="0"/>
              <w:jc w:val="center"/>
              <w:rPr>
                <w:rFonts w:ascii="Times New Roman" w:hAnsi="Times New Roman" w:eastAsia="Times New Roman" w:cs="Times New Roman"/>
                <w:b/>
                <w:lang w:val="en-GB"/>
              </w:rPr>
            </w:pPr>
            <w:r>
              <w:rPr>
                <w:rFonts w:ascii="Times New Roman" w:hAnsi="Times New Roman" w:eastAsia="Times New Roman" w:cs="Times New Roman"/>
                <w:b/>
                <w:lang w:val="en-GB"/>
              </w:rPr>
              <w:t>COV</w:t>
            </w:r>
          </w:p>
        </w:tc>
        <w:tc>
          <w:tcPr>
            <w:tcW w:w="1636" w:type="dxa"/>
            <w:shd w:val="clear" w:color="auto" w:fill="auto"/>
          </w:tcPr>
          <w:p w14:paraId="10B13465">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Yes</w:t>
            </w:r>
          </w:p>
        </w:tc>
        <w:tc>
          <w:tcPr>
            <w:tcW w:w="1671" w:type="dxa"/>
            <w:shd w:val="clear" w:color="auto" w:fill="auto"/>
          </w:tcPr>
          <w:p w14:paraId="7933B55E">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Yes</w:t>
            </w:r>
          </w:p>
        </w:tc>
        <w:tc>
          <w:tcPr>
            <w:tcW w:w="1617" w:type="dxa"/>
            <w:shd w:val="clear" w:color="auto" w:fill="auto"/>
          </w:tcPr>
          <w:p w14:paraId="4FC1DD92">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Yes</w:t>
            </w:r>
          </w:p>
        </w:tc>
        <w:tc>
          <w:tcPr>
            <w:tcW w:w="1631" w:type="dxa"/>
            <w:shd w:val="clear" w:color="auto" w:fill="auto"/>
          </w:tcPr>
          <w:p w14:paraId="5B5DFEC8">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Yes</w:t>
            </w:r>
          </w:p>
        </w:tc>
      </w:tr>
      <w:tr w14:paraId="537568FB">
        <w:trPr>
          <w:jc w:val="center"/>
        </w:trPr>
        <w:tc>
          <w:tcPr>
            <w:tcW w:w="1746" w:type="dxa"/>
            <w:shd w:val="clear" w:color="auto" w:fill="auto"/>
          </w:tcPr>
          <w:p w14:paraId="7AAD94F7">
            <w:pPr>
              <w:suppressAutoHyphens/>
              <w:kinsoku w:val="0"/>
              <w:overflowPunct w:val="0"/>
              <w:autoSpaceDE w:val="0"/>
              <w:autoSpaceDN w:val="0"/>
              <w:adjustRightInd w:val="0"/>
              <w:snapToGrid w:val="0"/>
              <w:jc w:val="center"/>
              <w:rPr>
                <w:rFonts w:ascii="Times New Roman" w:hAnsi="Times New Roman" w:eastAsia="Times New Roman" w:cs="Times New Roman"/>
                <w:b/>
                <w:lang w:val="en-GB"/>
              </w:rPr>
            </w:pPr>
            <w:r>
              <w:rPr>
                <w:rFonts w:ascii="Times New Roman" w:hAnsi="Times New Roman" w:eastAsia="Times New Roman" w:cs="Times New Roman"/>
                <w:b/>
                <w:lang w:val="en-GB"/>
              </w:rPr>
              <w:t>Observations</w:t>
            </w:r>
          </w:p>
        </w:tc>
        <w:tc>
          <w:tcPr>
            <w:tcW w:w="1636" w:type="dxa"/>
            <w:shd w:val="clear" w:color="auto" w:fill="auto"/>
          </w:tcPr>
          <w:p w14:paraId="7038C934">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1671" w:type="dxa"/>
            <w:shd w:val="clear" w:color="auto" w:fill="auto"/>
          </w:tcPr>
          <w:p w14:paraId="4D8BCB4C">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1617" w:type="dxa"/>
            <w:shd w:val="clear" w:color="auto" w:fill="auto"/>
          </w:tcPr>
          <w:p w14:paraId="070302BF">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1631" w:type="dxa"/>
            <w:shd w:val="clear" w:color="auto" w:fill="auto"/>
          </w:tcPr>
          <w:p w14:paraId="198D0E97">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r>
      <w:tr w14:paraId="0B62F7C5">
        <w:trPr>
          <w:jc w:val="center"/>
        </w:trPr>
        <w:tc>
          <w:tcPr>
            <w:tcW w:w="1746" w:type="dxa"/>
            <w:tcBorders>
              <w:top w:val="nil"/>
              <w:left w:val="nil"/>
              <w:bottom w:val="nil"/>
              <w:right w:val="nil"/>
            </w:tcBorders>
            <w:shd w:val="clear" w:color="auto" w:fill="auto"/>
          </w:tcPr>
          <w:p w14:paraId="5A4952E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50</w:t>
            </w:r>
          </w:p>
        </w:tc>
        <w:tc>
          <w:tcPr>
            <w:tcW w:w="1636" w:type="dxa"/>
            <w:tcBorders>
              <w:top w:val="nil"/>
              <w:left w:val="nil"/>
              <w:bottom w:val="nil"/>
              <w:right w:val="nil"/>
            </w:tcBorders>
            <w:shd w:val="clear" w:color="auto" w:fill="auto"/>
          </w:tcPr>
          <w:p w14:paraId="49FD5894">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8555</w:t>
            </w:r>
          </w:p>
        </w:tc>
        <w:tc>
          <w:tcPr>
            <w:tcW w:w="1671" w:type="dxa"/>
            <w:tcBorders>
              <w:top w:val="nil"/>
              <w:left w:val="nil"/>
              <w:bottom w:val="nil"/>
              <w:right w:val="nil"/>
            </w:tcBorders>
            <w:shd w:val="clear" w:color="auto" w:fill="auto"/>
          </w:tcPr>
          <w:p w14:paraId="173C139D">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3021</w:t>
            </w:r>
          </w:p>
        </w:tc>
        <w:tc>
          <w:tcPr>
            <w:tcW w:w="1617" w:type="dxa"/>
            <w:tcBorders>
              <w:top w:val="nil"/>
              <w:left w:val="nil"/>
              <w:bottom w:val="nil"/>
              <w:right w:val="nil"/>
            </w:tcBorders>
            <w:shd w:val="clear" w:color="auto" w:fill="auto"/>
          </w:tcPr>
          <w:p w14:paraId="76C92C73">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6925</w:t>
            </w:r>
          </w:p>
        </w:tc>
        <w:tc>
          <w:tcPr>
            <w:tcW w:w="1631" w:type="dxa"/>
            <w:tcBorders>
              <w:top w:val="nil"/>
              <w:left w:val="nil"/>
              <w:bottom w:val="nil"/>
              <w:right w:val="nil"/>
            </w:tcBorders>
            <w:shd w:val="clear" w:color="auto" w:fill="auto"/>
          </w:tcPr>
          <w:p w14:paraId="1EBB1D62">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2547</w:t>
            </w:r>
          </w:p>
        </w:tc>
      </w:tr>
      <w:tr w14:paraId="42A1BE7F">
        <w:trPr>
          <w:jc w:val="center"/>
        </w:trPr>
        <w:tc>
          <w:tcPr>
            <w:tcW w:w="1746" w:type="dxa"/>
            <w:tcBorders>
              <w:top w:val="nil"/>
              <w:left w:val="nil"/>
              <w:bottom w:val="nil"/>
              <w:right w:val="nil"/>
            </w:tcBorders>
            <w:shd w:val="clear" w:color="auto" w:fill="auto"/>
          </w:tcPr>
          <w:p w14:paraId="6EC7F8C3">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100</w:t>
            </w:r>
          </w:p>
        </w:tc>
        <w:tc>
          <w:tcPr>
            <w:tcW w:w="1636" w:type="dxa"/>
            <w:tcBorders>
              <w:top w:val="nil"/>
              <w:left w:val="nil"/>
              <w:bottom w:val="nil"/>
              <w:right w:val="nil"/>
            </w:tcBorders>
            <w:shd w:val="clear" w:color="auto" w:fill="auto"/>
          </w:tcPr>
          <w:p w14:paraId="089F3386">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4082</w:t>
            </w:r>
          </w:p>
        </w:tc>
        <w:tc>
          <w:tcPr>
            <w:tcW w:w="1671" w:type="dxa"/>
            <w:tcBorders>
              <w:top w:val="nil"/>
              <w:left w:val="nil"/>
              <w:bottom w:val="nil"/>
              <w:right w:val="nil"/>
            </w:tcBorders>
            <w:shd w:val="clear" w:color="auto" w:fill="auto"/>
          </w:tcPr>
          <w:p w14:paraId="5E8857B2">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1527</w:t>
            </w:r>
          </w:p>
        </w:tc>
        <w:tc>
          <w:tcPr>
            <w:tcW w:w="1617" w:type="dxa"/>
            <w:tcBorders>
              <w:top w:val="nil"/>
              <w:left w:val="nil"/>
              <w:bottom w:val="nil"/>
              <w:right w:val="nil"/>
            </w:tcBorders>
            <w:shd w:val="clear" w:color="auto" w:fill="auto"/>
          </w:tcPr>
          <w:p w14:paraId="2F993476">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3326</w:t>
            </w:r>
          </w:p>
        </w:tc>
        <w:tc>
          <w:tcPr>
            <w:tcW w:w="1631" w:type="dxa"/>
            <w:tcBorders>
              <w:top w:val="nil"/>
              <w:left w:val="nil"/>
              <w:bottom w:val="nil"/>
              <w:right w:val="nil"/>
            </w:tcBorders>
            <w:shd w:val="clear" w:color="auto" w:fill="auto"/>
          </w:tcPr>
          <w:p w14:paraId="237E62D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3985</w:t>
            </w:r>
          </w:p>
        </w:tc>
      </w:tr>
      <w:tr w14:paraId="6A4B8925">
        <w:trPr>
          <w:jc w:val="center"/>
        </w:trPr>
        <w:tc>
          <w:tcPr>
            <w:tcW w:w="1746" w:type="dxa"/>
            <w:tcBorders>
              <w:top w:val="nil"/>
              <w:left w:val="nil"/>
              <w:bottom w:val="nil"/>
              <w:right w:val="nil"/>
            </w:tcBorders>
            <w:shd w:val="clear" w:color="auto" w:fill="auto"/>
          </w:tcPr>
          <w:p w14:paraId="5215EE6B">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150</w:t>
            </w:r>
          </w:p>
        </w:tc>
        <w:tc>
          <w:tcPr>
            <w:tcW w:w="1636" w:type="dxa"/>
            <w:tcBorders>
              <w:top w:val="nil"/>
              <w:left w:val="nil"/>
              <w:bottom w:val="nil"/>
              <w:right w:val="nil"/>
            </w:tcBorders>
            <w:shd w:val="clear" w:color="auto" w:fill="auto"/>
          </w:tcPr>
          <w:p w14:paraId="2E68685F">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11904</w:t>
            </w:r>
          </w:p>
        </w:tc>
        <w:tc>
          <w:tcPr>
            <w:tcW w:w="1671" w:type="dxa"/>
            <w:tcBorders>
              <w:top w:val="nil"/>
              <w:left w:val="nil"/>
              <w:bottom w:val="nil"/>
              <w:right w:val="nil"/>
            </w:tcBorders>
            <w:shd w:val="clear" w:color="auto" w:fill="auto"/>
          </w:tcPr>
          <w:p w14:paraId="7678D4C2">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4419</w:t>
            </w:r>
          </w:p>
        </w:tc>
        <w:tc>
          <w:tcPr>
            <w:tcW w:w="1617" w:type="dxa"/>
            <w:tcBorders>
              <w:top w:val="nil"/>
              <w:left w:val="nil"/>
              <w:bottom w:val="nil"/>
              <w:right w:val="nil"/>
            </w:tcBorders>
            <w:shd w:val="clear" w:color="auto" w:fill="auto"/>
          </w:tcPr>
          <w:p w14:paraId="148704ED">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20788</w:t>
            </w:r>
          </w:p>
        </w:tc>
        <w:tc>
          <w:tcPr>
            <w:tcW w:w="1631" w:type="dxa"/>
            <w:tcBorders>
              <w:top w:val="nil"/>
              <w:left w:val="nil"/>
              <w:bottom w:val="nil"/>
              <w:right w:val="nil"/>
            </w:tcBorders>
            <w:shd w:val="clear" w:color="auto" w:fill="auto"/>
          </w:tcPr>
          <w:p w14:paraId="1AD4A1AF">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3678</w:t>
            </w:r>
          </w:p>
        </w:tc>
      </w:tr>
      <w:tr w14:paraId="4EBF73B0">
        <w:trPr>
          <w:jc w:val="center"/>
        </w:trPr>
        <w:tc>
          <w:tcPr>
            <w:tcW w:w="1746" w:type="dxa"/>
            <w:tcBorders>
              <w:top w:val="nil"/>
              <w:left w:val="nil"/>
              <w:bottom w:val="nil"/>
              <w:right w:val="nil"/>
            </w:tcBorders>
            <w:shd w:val="clear" w:color="auto" w:fill="auto"/>
          </w:tcPr>
          <w:p w14:paraId="6ED930B9">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b/>
                <w:lang w:val="en-GB"/>
              </w:rPr>
              <w:t>[lh, rh]</w:t>
            </w:r>
          </w:p>
        </w:tc>
        <w:tc>
          <w:tcPr>
            <w:tcW w:w="1636" w:type="dxa"/>
            <w:tcBorders>
              <w:top w:val="nil"/>
              <w:left w:val="nil"/>
              <w:bottom w:val="nil"/>
              <w:right w:val="nil"/>
            </w:tcBorders>
            <w:shd w:val="clear" w:color="auto" w:fill="auto"/>
          </w:tcPr>
          <w:p w14:paraId="1D2F12B5">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1671" w:type="dxa"/>
            <w:tcBorders>
              <w:top w:val="nil"/>
              <w:left w:val="nil"/>
              <w:bottom w:val="nil"/>
              <w:right w:val="nil"/>
            </w:tcBorders>
            <w:shd w:val="clear" w:color="auto" w:fill="auto"/>
          </w:tcPr>
          <w:p w14:paraId="31ED7A0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1617" w:type="dxa"/>
            <w:tcBorders>
              <w:top w:val="nil"/>
              <w:left w:val="nil"/>
              <w:bottom w:val="nil"/>
              <w:right w:val="nil"/>
            </w:tcBorders>
            <w:shd w:val="clear" w:color="auto" w:fill="auto"/>
          </w:tcPr>
          <w:p w14:paraId="7E6E407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1631" w:type="dxa"/>
            <w:tcBorders>
              <w:top w:val="nil"/>
              <w:left w:val="nil"/>
              <w:bottom w:val="nil"/>
              <w:right w:val="nil"/>
            </w:tcBorders>
            <w:shd w:val="clear" w:color="auto" w:fill="auto"/>
          </w:tcPr>
          <w:p w14:paraId="66AB2536">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r>
      <w:tr w14:paraId="53F33911">
        <w:trPr>
          <w:trHeight w:val="282" w:hRule="atLeast"/>
          <w:jc w:val="center"/>
        </w:trPr>
        <w:tc>
          <w:tcPr>
            <w:tcW w:w="1746" w:type="dxa"/>
            <w:tcBorders>
              <w:top w:val="nil"/>
              <w:left w:val="nil"/>
              <w:bottom w:val="nil"/>
              <w:right w:val="nil"/>
            </w:tcBorders>
            <w:shd w:val="clear" w:color="auto" w:fill="auto"/>
          </w:tcPr>
          <w:p w14:paraId="21C6166F">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50</w:t>
            </w:r>
          </w:p>
        </w:tc>
        <w:tc>
          <w:tcPr>
            <w:tcW w:w="1636" w:type="dxa"/>
            <w:tcBorders>
              <w:top w:val="nil"/>
              <w:left w:val="nil"/>
              <w:bottom w:val="nil"/>
              <w:right w:val="nil"/>
            </w:tcBorders>
            <w:shd w:val="clear" w:color="auto" w:fill="auto"/>
          </w:tcPr>
          <w:p w14:paraId="47575E97">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6.28</w:t>
            </w:r>
          </w:p>
        </w:tc>
        <w:tc>
          <w:tcPr>
            <w:tcW w:w="1671" w:type="dxa"/>
            <w:tcBorders>
              <w:top w:val="nil"/>
              <w:left w:val="nil"/>
              <w:bottom w:val="nil"/>
              <w:right w:val="nil"/>
            </w:tcBorders>
            <w:shd w:val="clear" w:color="auto" w:fill="auto"/>
          </w:tcPr>
          <w:p w14:paraId="7DD49E85">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6.46</w:t>
            </w:r>
          </w:p>
        </w:tc>
        <w:tc>
          <w:tcPr>
            <w:tcW w:w="1617" w:type="dxa"/>
            <w:tcBorders>
              <w:top w:val="nil"/>
              <w:left w:val="nil"/>
              <w:bottom w:val="nil"/>
              <w:right w:val="nil"/>
            </w:tcBorders>
            <w:shd w:val="clear" w:color="auto" w:fill="auto"/>
          </w:tcPr>
          <w:p w14:paraId="60D24216">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7.74</w:t>
            </w:r>
          </w:p>
        </w:tc>
        <w:tc>
          <w:tcPr>
            <w:tcW w:w="1631" w:type="dxa"/>
            <w:tcBorders>
              <w:top w:val="nil"/>
              <w:left w:val="nil"/>
              <w:bottom w:val="nil"/>
              <w:right w:val="nil"/>
            </w:tcBorders>
            <w:shd w:val="clear" w:color="auto" w:fill="auto"/>
          </w:tcPr>
          <w:p w14:paraId="7D3E23E0">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6.33</w:t>
            </w:r>
          </w:p>
        </w:tc>
      </w:tr>
      <w:tr w14:paraId="28A9FECE">
        <w:trPr>
          <w:jc w:val="center"/>
        </w:trPr>
        <w:tc>
          <w:tcPr>
            <w:tcW w:w="1746" w:type="dxa"/>
            <w:tcBorders>
              <w:top w:val="nil"/>
              <w:left w:val="nil"/>
              <w:bottom w:val="nil"/>
              <w:right w:val="nil"/>
            </w:tcBorders>
            <w:shd w:val="clear" w:color="auto" w:fill="auto"/>
          </w:tcPr>
          <w:p w14:paraId="34E12235">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100</w:t>
            </w:r>
          </w:p>
        </w:tc>
        <w:tc>
          <w:tcPr>
            <w:tcW w:w="1636" w:type="dxa"/>
            <w:tcBorders>
              <w:top w:val="nil"/>
              <w:left w:val="nil"/>
              <w:bottom w:val="nil"/>
              <w:right w:val="nil"/>
            </w:tcBorders>
            <w:shd w:val="clear" w:color="auto" w:fill="auto"/>
          </w:tcPr>
          <w:p w14:paraId="3BEA2DB6">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6.40</w:t>
            </w:r>
          </w:p>
        </w:tc>
        <w:tc>
          <w:tcPr>
            <w:tcW w:w="1671" w:type="dxa"/>
            <w:tcBorders>
              <w:top w:val="nil"/>
              <w:left w:val="nil"/>
              <w:bottom w:val="nil"/>
              <w:right w:val="nil"/>
            </w:tcBorders>
            <w:shd w:val="clear" w:color="auto" w:fill="auto"/>
          </w:tcPr>
          <w:p w14:paraId="21E86C85">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6.71</w:t>
            </w:r>
          </w:p>
        </w:tc>
        <w:tc>
          <w:tcPr>
            <w:tcW w:w="1617" w:type="dxa"/>
            <w:tcBorders>
              <w:top w:val="nil"/>
              <w:left w:val="nil"/>
              <w:bottom w:val="nil"/>
              <w:right w:val="nil"/>
            </w:tcBorders>
            <w:shd w:val="clear" w:color="auto" w:fill="auto"/>
          </w:tcPr>
          <w:p w14:paraId="6C97F624">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6.15</w:t>
            </w:r>
          </w:p>
        </w:tc>
        <w:tc>
          <w:tcPr>
            <w:tcW w:w="1631" w:type="dxa"/>
            <w:tcBorders>
              <w:top w:val="nil"/>
              <w:left w:val="nil"/>
              <w:bottom w:val="nil"/>
              <w:right w:val="nil"/>
            </w:tcBorders>
            <w:shd w:val="clear" w:color="auto" w:fill="auto"/>
          </w:tcPr>
          <w:p w14:paraId="1CCABC64">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13.20</w:t>
            </w:r>
          </w:p>
        </w:tc>
      </w:tr>
      <w:tr w14:paraId="764805B0">
        <w:trPr>
          <w:jc w:val="center"/>
        </w:trPr>
        <w:tc>
          <w:tcPr>
            <w:tcW w:w="1746" w:type="dxa"/>
            <w:tcBorders>
              <w:top w:val="nil"/>
              <w:left w:val="nil"/>
              <w:bottom w:val="single" w:color="auto" w:sz="6" w:space="0"/>
              <w:right w:val="nil"/>
            </w:tcBorders>
            <w:shd w:val="clear" w:color="auto" w:fill="auto"/>
          </w:tcPr>
          <w:p w14:paraId="1CA0DA56">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150</w:t>
            </w:r>
          </w:p>
        </w:tc>
        <w:tc>
          <w:tcPr>
            <w:tcW w:w="1636" w:type="dxa"/>
            <w:tcBorders>
              <w:top w:val="nil"/>
              <w:left w:val="nil"/>
              <w:bottom w:val="single" w:color="auto" w:sz="6" w:space="0"/>
              <w:right w:val="nil"/>
            </w:tcBorders>
            <w:shd w:val="clear" w:color="auto" w:fill="auto"/>
          </w:tcPr>
          <w:p w14:paraId="61E4E33E">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32.44</w:t>
            </w:r>
          </w:p>
        </w:tc>
        <w:tc>
          <w:tcPr>
            <w:tcW w:w="1671" w:type="dxa"/>
            <w:tcBorders>
              <w:top w:val="nil"/>
              <w:left w:val="nil"/>
              <w:bottom w:val="single" w:color="auto" w:sz="6" w:space="0"/>
              <w:right w:val="nil"/>
            </w:tcBorders>
            <w:shd w:val="clear" w:color="auto" w:fill="auto"/>
          </w:tcPr>
          <w:p w14:paraId="24EE9EBC">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32.93</w:t>
            </w:r>
          </w:p>
        </w:tc>
        <w:tc>
          <w:tcPr>
            <w:tcW w:w="1617" w:type="dxa"/>
            <w:tcBorders>
              <w:top w:val="nil"/>
              <w:left w:val="nil"/>
              <w:bottom w:val="single" w:color="auto" w:sz="6" w:space="0"/>
              <w:right w:val="nil"/>
            </w:tcBorders>
            <w:shd w:val="clear" w:color="auto" w:fill="auto"/>
          </w:tcPr>
          <w:p w14:paraId="714C6AA2">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53.61</w:t>
            </w:r>
          </w:p>
        </w:tc>
        <w:tc>
          <w:tcPr>
            <w:tcW w:w="1631" w:type="dxa"/>
            <w:tcBorders>
              <w:top w:val="nil"/>
              <w:left w:val="nil"/>
              <w:bottom w:val="single" w:color="auto" w:sz="6" w:space="0"/>
              <w:right w:val="nil"/>
            </w:tcBorders>
            <w:shd w:val="clear" w:color="auto" w:fill="auto"/>
          </w:tcPr>
          <w:p w14:paraId="1BA3CEFA">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37.87</w:t>
            </w:r>
          </w:p>
        </w:tc>
      </w:tr>
    </w:tbl>
    <w:p w14:paraId="1FE3A6CE">
      <w:pPr>
        <w:suppressAutoHyphens/>
        <w:kinsoku w:val="0"/>
        <w:overflowPunct w:val="0"/>
        <w:autoSpaceDE w:val="0"/>
        <w:autoSpaceDN w:val="0"/>
        <w:adjustRightInd w:val="0"/>
        <w:snapToGrid w:val="0"/>
        <w:spacing w:line="480" w:lineRule="auto"/>
        <w:rPr>
          <w:rFonts w:ascii="Times New Roman" w:hAnsi="Times New Roman" w:eastAsia="Times New Roman Italic" w:cs="Times New Roman"/>
          <w:szCs w:val="21"/>
          <w:lang w:val="en-GB"/>
        </w:rPr>
      </w:pPr>
      <w:r>
        <w:rPr>
          <w:rFonts w:ascii="Times New Roman" w:hAnsi="Times New Roman" w:eastAsia="Times New Roman Italic" w:cs="Times New Roman"/>
          <w:szCs w:val="21"/>
          <w:lang w:val="en-GB"/>
        </w:rPr>
        <w:t>* p &lt; 0.1; ** p &lt; 0.05; *** p &lt; 0.01.</w:t>
      </w:r>
    </w:p>
    <w:p w14:paraId="440F2BF8">
      <w:pPr>
        <w:suppressAutoHyphens/>
        <w:kinsoku w:val="0"/>
        <w:overflowPunct w:val="0"/>
        <w:autoSpaceDE w:val="0"/>
        <w:autoSpaceDN w:val="0"/>
        <w:adjustRightInd w:val="0"/>
        <w:snapToGrid w:val="0"/>
        <w:spacing w:line="480" w:lineRule="auto"/>
        <w:rPr>
          <w:rFonts w:ascii="Times New Roman" w:hAnsi="Times New Roman" w:eastAsia="Times New Roman" w:cs="Times New Roman"/>
          <w:szCs w:val="21"/>
          <w:lang w:val="en-GB"/>
        </w:rPr>
      </w:pPr>
      <w:r>
        <w:rPr>
          <w:rFonts w:ascii="Times New Roman" w:hAnsi="Times New Roman" w:eastAsia="Times New Roman Italic" w:cs="Times New Roman"/>
          <w:szCs w:val="21"/>
          <w:lang w:val="en-GB"/>
        </w:rPr>
        <w:t>The</w:t>
      </w:r>
      <w:r>
        <w:rPr>
          <w:rFonts w:ascii="Times New Roman" w:hAnsi="Times New Roman" w:eastAsia="Times New Roman" w:cs="Times New Roman"/>
          <w:szCs w:val="21"/>
          <w:lang w:val="en-GB"/>
        </w:rPr>
        <w:t xml:space="preserve"> results </w:t>
      </w:r>
      <w:r>
        <w:rPr>
          <w:rFonts w:ascii="Times New Roman" w:hAnsi="Times New Roman" w:eastAsia="Times New Roman" w:cs="Times New Roman"/>
          <w:szCs w:val="21"/>
        </w:rPr>
        <w:t>are</w:t>
      </w:r>
      <w:r>
        <w:rPr>
          <w:rFonts w:ascii="Times New Roman" w:hAnsi="Times New Roman" w:eastAsia="Times New Roman" w:cs="Times New Roman"/>
          <w:szCs w:val="21"/>
          <w:lang w:val="en-GB"/>
        </w:rPr>
        <w:t xml:space="preserve"> obtained using a regression-discontinuity design with multiple cutoffs proposed by Cattaneo et al.</w:t>
      </w:r>
      <w:r>
        <w:rPr>
          <w:rFonts w:hint="default" w:ascii="Times New Roman" w:hAnsi="Times New Roman" w:eastAsia="Times New Roman" w:cs="Times New Roman"/>
          <w:sz w:val="21"/>
          <w:szCs w:val="21"/>
          <w:vertAlign w:val="superscript"/>
          <w:lang w:val="en-GB"/>
        </w:rPr>
        <w:fldChar w:fldCharType="begin"/>
      </w:r>
      <w:r>
        <w:rPr>
          <w:rFonts w:hint="default" w:ascii="Times New Roman" w:hAnsi="Times New Roman" w:eastAsia="Times New Roman" w:cs="Times New Roman"/>
          <w:sz w:val="21"/>
          <w:szCs w:val="21"/>
          <w:vertAlign w:val="superscript"/>
          <w:lang w:val="en-GB"/>
        </w:rPr>
        <w:instrText xml:space="preserve"> REF _Ref1799768925 \n \h </w:instrText>
      </w:r>
      <w:r>
        <w:rPr>
          <w:rFonts w:hint="default" w:ascii="Times New Roman" w:hAnsi="Times New Roman" w:eastAsia="Times New Roman" w:cs="Times New Roman"/>
          <w:sz w:val="21"/>
          <w:szCs w:val="21"/>
          <w:vertAlign w:val="superscript"/>
          <w:lang w:val="en-GB"/>
        </w:rPr>
        <w:fldChar w:fldCharType="separate"/>
      </w:r>
      <w:r>
        <w:rPr>
          <w:rFonts w:hint="default" w:ascii="Times New Roman" w:hAnsi="Times New Roman" w:eastAsia="Times New Roman" w:cs="Times New Roman"/>
          <w:sz w:val="21"/>
          <w:szCs w:val="21"/>
          <w:vertAlign w:val="superscript"/>
          <w:lang w:val="en-GB"/>
        </w:rPr>
        <w:t>23</w:t>
      </w:r>
      <w:r>
        <w:rPr>
          <w:rFonts w:hint="default" w:ascii="Times New Roman" w:hAnsi="Times New Roman" w:eastAsia="Times New Roman" w:cs="Times New Roman"/>
          <w:sz w:val="21"/>
          <w:szCs w:val="21"/>
          <w:vertAlign w:val="superscript"/>
          <w:lang w:val="en-GB"/>
        </w:rPr>
        <w:fldChar w:fldCharType="end"/>
      </w:r>
      <w:r>
        <w:rPr>
          <w:rFonts w:ascii="Times New Roman" w:hAnsi="Times New Roman" w:eastAsia="Times New Roman" w:cs="Times New Roman"/>
          <w:szCs w:val="21"/>
        </w:rPr>
        <w:t xml:space="preserve">. </w:t>
      </w:r>
      <w:r>
        <w:rPr>
          <w:rFonts w:ascii="Times New Roman" w:hAnsi="Times New Roman" w:eastAsia="Times New Roman" w:cs="Times New Roman"/>
          <w:szCs w:val="21"/>
          <w:lang w:val="en-GB"/>
        </w:rPr>
        <w:t xml:space="preserve">Coefficients </w:t>
      </w:r>
      <w:r>
        <w:rPr>
          <w:rFonts w:ascii="Times New Roman" w:hAnsi="Times New Roman" w:eastAsia="Times New Roman" w:cs="Times New Roman"/>
          <w:szCs w:val="21"/>
        </w:rPr>
        <w:t>are</w:t>
      </w:r>
      <w:r>
        <w:rPr>
          <w:rFonts w:ascii="Times New Roman" w:hAnsi="Times New Roman" w:eastAsia="Times New Roman" w:cs="Times New Roman"/>
          <w:szCs w:val="21"/>
          <w:lang w:val="en-GB"/>
        </w:rPr>
        <w:t xml:space="preserve"> estimated at three cutoffs. COV indicates whether covariates (</w:t>
      </w:r>
      <w:r>
        <w:rPr>
          <w:rFonts w:ascii="Times New Roman" w:hAnsi="Times New Roman" w:eastAsia="Times New Roman" w:cs="Times New Roman"/>
          <w:i/>
          <w:szCs w:val="21"/>
          <w:lang w:val="en-GB"/>
        </w:rPr>
        <w:t>Male</w:t>
      </w:r>
      <w:r>
        <w:rPr>
          <w:rFonts w:ascii="Times New Roman" w:hAnsi="Times New Roman" w:eastAsia="Times New Roman" w:cs="Times New Roman"/>
          <w:szCs w:val="21"/>
          <w:lang w:val="en-GB"/>
        </w:rPr>
        <w:t xml:space="preserve">, </w:t>
      </w:r>
      <w:r>
        <w:rPr>
          <w:rFonts w:ascii="Times New Roman" w:hAnsi="Times New Roman" w:eastAsia="Times New Roman" w:cs="Times New Roman"/>
          <w:i/>
          <w:szCs w:val="21"/>
          <w:lang w:val="en-GB"/>
        </w:rPr>
        <w:t>Age</w:t>
      </w:r>
      <w:r>
        <w:rPr>
          <w:rFonts w:ascii="Times New Roman" w:hAnsi="Times New Roman" w:eastAsia="Times New Roman" w:cs="Times New Roman"/>
          <w:iCs/>
          <w:szCs w:val="21"/>
          <w:lang w:val="en-GB"/>
        </w:rPr>
        <w:t>,</w:t>
      </w:r>
      <w:r>
        <w:rPr>
          <w:rFonts w:ascii="Times New Roman" w:hAnsi="Times New Roman" w:eastAsia="Times New Roman" w:cs="Times New Roman"/>
          <w:szCs w:val="21"/>
          <w:lang w:val="en-GB"/>
        </w:rPr>
        <w:t xml:space="preserve"> and </w:t>
      </w:r>
      <w:r>
        <w:rPr>
          <w:rFonts w:ascii="Times New Roman" w:hAnsi="Times New Roman" w:eastAsia="Times New Roman" w:cs="Times New Roman"/>
          <w:i/>
          <w:szCs w:val="21"/>
          <w:lang w:val="en-GB"/>
        </w:rPr>
        <w:t>Work_School</w:t>
      </w:r>
      <w:r>
        <w:rPr>
          <w:rFonts w:ascii="Times New Roman" w:hAnsi="Times New Roman" w:eastAsia="Times New Roman" w:cs="Times New Roman"/>
          <w:szCs w:val="21"/>
          <w:lang w:val="en-GB"/>
        </w:rPr>
        <w:t>) are included; observations represent the sample size for the local regression analysis around each cutoff; and bandwidth denotes the window size on the left and right sides of the cutoff, determined using the optimal mean squared error method, with equal bandwidths selected for both sides. Columns (1) and (2) present the effect of air quality information on travel probability for the low- and high-income groups, and Columns (3) and (4) present the effect of air quality information on travel durati</w:t>
      </w:r>
      <w:r>
        <w:rPr>
          <w:rFonts w:ascii="Times New Roman" w:hAnsi="Times New Roman" w:eastAsia="Times New Roman" w:cs="Times New Roman"/>
          <w:szCs w:val="21"/>
          <w:highlight w:val="none"/>
          <w:lang w:val="en-GB"/>
        </w:rPr>
        <w:t>on for the low- and high-income groups. The results indicate that the high-income group exhibite</w:t>
      </w:r>
      <w:r>
        <w:rPr>
          <w:rFonts w:ascii="Times New Roman" w:hAnsi="Times New Roman" w:eastAsia="Times New Roman" w:cs="Times New Roman"/>
          <w:szCs w:val="21"/>
          <w:highlight w:val="none"/>
        </w:rPr>
        <w:t>s</w:t>
      </w:r>
      <w:r>
        <w:rPr>
          <w:rFonts w:ascii="Times New Roman" w:hAnsi="Times New Roman" w:eastAsia="Times New Roman" w:cs="Times New Roman"/>
          <w:szCs w:val="21"/>
          <w:highlight w:val="none"/>
          <w:lang w:val="en-GB"/>
        </w:rPr>
        <w:t xml:space="preserve"> stronger reductions in both travel probability and duration than the low-income group under poor air quality informati</w:t>
      </w:r>
      <w:r>
        <w:rPr>
          <w:rFonts w:ascii="Times New Roman" w:hAnsi="Times New Roman" w:eastAsia="Times New Roman" w:cs="Times New Roman"/>
          <w:szCs w:val="21"/>
          <w:lang w:val="en-GB"/>
        </w:rPr>
        <w:t>on.</w:t>
      </w:r>
    </w:p>
    <w:p w14:paraId="1516ACD4">
      <w:pPr>
        <w:suppressAutoHyphens/>
        <w:kinsoku w:val="0"/>
        <w:overflowPunct w:val="0"/>
        <w:autoSpaceDE w:val="0"/>
        <w:autoSpaceDN w:val="0"/>
        <w:adjustRightInd w:val="0"/>
        <w:snapToGrid w:val="0"/>
        <w:spacing w:line="480" w:lineRule="auto"/>
        <w:rPr>
          <w:rFonts w:ascii="Times New Roman" w:hAnsi="Times New Roman" w:eastAsia="Times New Roman" w:cs="Times New Roman"/>
          <w:lang w:val="en-GB"/>
        </w:rPr>
      </w:pPr>
    </w:p>
    <w:p w14:paraId="519B12FB">
      <w:pPr>
        <w:widowControl/>
        <w:jc w:val="left"/>
        <w:rPr>
          <w:rFonts w:ascii="Times New Roman" w:hAnsi="Times New Roman" w:eastAsia="Times New Roman Bold" w:cs="Times New Roman"/>
          <w:b/>
          <w:lang w:val="en-GB"/>
        </w:rPr>
      </w:pPr>
      <w:r>
        <w:rPr>
          <w:rFonts w:ascii="Times New Roman" w:hAnsi="Times New Roman" w:eastAsia="Times New Roman Bold" w:cs="Times New Roman"/>
          <w:b/>
          <w:lang w:val="en-GB"/>
        </w:rPr>
        <w:br w:type="page"/>
      </w:r>
    </w:p>
    <w:p w14:paraId="21F0EB6D">
      <w:pPr>
        <w:suppressAutoHyphens/>
        <w:kinsoku w:val="0"/>
        <w:overflowPunct w:val="0"/>
        <w:autoSpaceDE w:val="0"/>
        <w:autoSpaceDN w:val="0"/>
        <w:adjustRightInd w:val="0"/>
        <w:snapToGrid w:val="0"/>
        <w:spacing w:line="480" w:lineRule="auto"/>
        <w:rPr>
          <w:rFonts w:ascii="Times New Roman" w:hAnsi="Times New Roman" w:eastAsia="Times New Roman Bold" w:cs="Times New Roman"/>
          <w:b/>
          <w:sz w:val="24"/>
          <w:szCs w:val="22"/>
          <w:lang w:val="en-GB"/>
        </w:rPr>
      </w:pPr>
      <w:r>
        <w:rPr>
          <w:rFonts w:ascii="Times New Roman" w:hAnsi="Times New Roman" w:eastAsia="Times New Roman Bold" w:cs="Times New Roman"/>
          <w:b/>
          <w:sz w:val="24"/>
          <w:szCs w:val="22"/>
          <w:lang w:val="en-GB"/>
        </w:rPr>
        <w:t xml:space="preserve">Table E2 Differences in avoidance </w:t>
      </w:r>
      <w:r>
        <w:rPr>
          <w:rFonts w:hint="eastAsia" w:ascii="Times New Roman" w:hAnsi="Times New Roman" w:eastAsia="宋体" w:cs="Times New Roman"/>
          <w:b/>
          <w:sz w:val="24"/>
          <w:szCs w:val="22"/>
          <w:lang w:eastAsia="zh-CN"/>
        </w:rPr>
        <w:t xml:space="preserve">awareness </w:t>
      </w:r>
      <w:r>
        <w:rPr>
          <w:rFonts w:ascii="Times New Roman" w:hAnsi="Times New Roman" w:eastAsia="Times New Roman Bold" w:cs="Times New Roman"/>
          <w:b/>
          <w:sz w:val="24"/>
          <w:szCs w:val="22"/>
          <w:lang w:val="en-GB"/>
        </w:rPr>
        <w:t>by income group</w:t>
      </w:r>
    </w:p>
    <w:tbl>
      <w:tblPr>
        <w:tblStyle w:val="19"/>
        <w:tblW w:w="5000" w:type="pct"/>
        <w:jc w:val="center"/>
        <w:tblLayout w:type="autofit"/>
        <w:tblCellMar>
          <w:top w:w="0" w:type="dxa"/>
          <w:left w:w="75" w:type="dxa"/>
          <w:bottom w:w="0" w:type="dxa"/>
          <w:right w:w="75" w:type="dxa"/>
        </w:tblCellMar>
      </w:tblPr>
      <w:tblGrid>
        <w:gridCol w:w="2919"/>
        <w:gridCol w:w="2892"/>
        <w:gridCol w:w="2645"/>
      </w:tblGrid>
      <w:tr w14:paraId="4524CFEB">
        <w:trPr>
          <w:jc w:val="center"/>
        </w:trPr>
        <w:tc>
          <w:tcPr>
            <w:tcW w:w="1726" w:type="pct"/>
            <w:tcBorders>
              <w:top w:val="single" w:color="auto" w:sz="6" w:space="0"/>
              <w:left w:val="nil"/>
              <w:bottom w:val="nil"/>
              <w:right w:val="nil"/>
            </w:tcBorders>
            <w:shd w:val="clear" w:color="auto" w:fill="auto"/>
          </w:tcPr>
          <w:p w14:paraId="32848718">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Regression</w:t>
            </w:r>
          </w:p>
        </w:tc>
        <w:tc>
          <w:tcPr>
            <w:tcW w:w="1710" w:type="pct"/>
            <w:tcBorders>
              <w:top w:val="single" w:color="auto" w:sz="6" w:space="0"/>
              <w:left w:val="nil"/>
              <w:bottom w:val="nil"/>
              <w:right w:val="nil"/>
            </w:tcBorders>
            <w:shd w:val="clear" w:color="auto" w:fill="auto"/>
          </w:tcPr>
          <w:p w14:paraId="213F7D09">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(1)</w:t>
            </w:r>
          </w:p>
        </w:tc>
        <w:tc>
          <w:tcPr>
            <w:tcW w:w="1564" w:type="pct"/>
            <w:tcBorders>
              <w:top w:val="single" w:color="auto" w:sz="6" w:space="0"/>
              <w:left w:val="nil"/>
              <w:bottom w:val="nil"/>
              <w:right w:val="nil"/>
            </w:tcBorders>
            <w:shd w:val="clear" w:color="auto" w:fill="auto"/>
          </w:tcPr>
          <w:p w14:paraId="1BAC8987">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(2)</w:t>
            </w:r>
          </w:p>
        </w:tc>
      </w:tr>
      <w:tr w14:paraId="70BE620B">
        <w:trPr>
          <w:jc w:val="center"/>
        </w:trPr>
        <w:tc>
          <w:tcPr>
            <w:tcW w:w="1726" w:type="pct"/>
            <w:tcBorders>
              <w:top w:val="nil"/>
              <w:left w:val="nil"/>
              <w:bottom w:val="single" w:color="auto" w:sz="6" w:space="0"/>
              <w:right w:val="nil"/>
            </w:tcBorders>
            <w:shd w:val="clear" w:color="auto" w:fill="auto"/>
          </w:tcPr>
          <w:p w14:paraId="304935FA">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Variables</w:t>
            </w:r>
          </w:p>
        </w:tc>
        <w:tc>
          <w:tcPr>
            <w:tcW w:w="3274" w:type="pct"/>
            <w:gridSpan w:val="2"/>
            <w:tcBorders>
              <w:top w:val="nil"/>
              <w:left w:val="nil"/>
              <w:bottom w:val="single" w:color="auto" w:sz="6" w:space="0"/>
              <w:right w:val="nil"/>
            </w:tcBorders>
            <w:shd w:val="clear" w:color="auto" w:fill="auto"/>
          </w:tcPr>
          <w:p w14:paraId="03A875DD">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Discretionary trip</w:t>
            </w:r>
          </w:p>
        </w:tc>
      </w:tr>
      <w:tr w14:paraId="659AC7F4">
        <w:trPr>
          <w:jc w:val="center"/>
        </w:trPr>
        <w:tc>
          <w:tcPr>
            <w:tcW w:w="1726" w:type="pct"/>
            <w:shd w:val="clear" w:color="auto" w:fill="auto"/>
          </w:tcPr>
          <w:p w14:paraId="52C43A21">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p>
        </w:tc>
        <w:tc>
          <w:tcPr>
            <w:tcW w:w="1710" w:type="pct"/>
            <w:shd w:val="clear" w:color="auto" w:fill="auto"/>
          </w:tcPr>
          <w:p w14:paraId="4CF6E0D3">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Low Income</w:t>
            </w:r>
          </w:p>
        </w:tc>
        <w:tc>
          <w:tcPr>
            <w:tcW w:w="1564" w:type="pct"/>
            <w:shd w:val="clear" w:color="auto" w:fill="auto"/>
          </w:tcPr>
          <w:p w14:paraId="361BDA84">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High Income</w:t>
            </w:r>
          </w:p>
        </w:tc>
      </w:tr>
      <w:tr w14:paraId="2E8FD800">
        <w:trPr>
          <w:jc w:val="center"/>
        </w:trPr>
        <w:tc>
          <w:tcPr>
            <w:tcW w:w="1726" w:type="pct"/>
            <w:shd w:val="clear" w:color="auto" w:fill="auto"/>
          </w:tcPr>
          <w:p w14:paraId="7DF5B8D9">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Cutoff = 50</w:t>
            </w:r>
          </w:p>
        </w:tc>
        <w:tc>
          <w:tcPr>
            <w:tcW w:w="1710" w:type="pct"/>
            <w:shd w:val="clear" w:color="auto" w:fill="auto"/>
          </w:tcPr>
          <w:p w14:paraId="56C15B89">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0.149</w:t>
            </w:r>
          </w:p>
        </w:tc>
        <w:tc>
          <w:tcPr>
            <w:tcW w:w="1564" w:type="pct"/>
            <w:shd w:val="clear" w:color="auto" w:fill="auto"/>
          </w:tcPr>
          <w:p w14:paraId="52E1769A">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0.0744</w:t>
            </w:r>
          </w:p>
        </w:tc>
      </w:tr>
      <w:tr w14:paraId="6CC0ADF0">
        <w:trPr>
          <w:jc w:val="center"/>
        </w:trPr>
        <w:tc>
          <w:tcPr>
            <w:tcW w:w="1726" w:type="pct"/>
            <w:shd w:val="clear" w:color="auto" w:fill="auto"/>
          </w:tcPr>
          <w:p w14:paraId="5F5E3A9C">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p>
        </w:tc>
        <w:tc>
          <w:tcPr>
            <w:tcW w:w="1710" w:type="pct"/>
            <w:shd w:val="clear" w:color="auto" w:fill="auto"/>
          </w:tcPr>
          <w:p w14:paraId="3CFB5EDE">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(0.0928)</w:t>
            </w:r>
          </w:p>
        </w:tc>
        <w:tc>
          <w:tcPr>
            <w:tcW w:w="1564" w:type="pct"/>
            <w:shd w:val="clear" w:color="auto" w:fill="auto"/>
          </w:tcPr>
          <w:p w14:paraId="12734F94">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(0.120)</w:t>
            </w:r>
          </w:p>
        </w:tc>
      </w:tr>
      <w:tr w14:paraId="2BB940C6">
        <w:trPr>
          <w:jc w:val="center"/>
        </w:trPr>
        <w:tc>
          <w:tcPr>
            <w:tcW w:w="1726" w:type="pct"/>
            <w:shd w:val="clear" w:color="auto" w:fill="auto"/>
          </w:tcPr>
          <w:p w14:paraId="36DDD3D6">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Cutoff = 100</w:t>
            </w:r>
          </w:p>
        </w:tc>
        <w:tc>
          <w:tcPr>
            <w:tcW w:w="1710" w:type="pct"/>
            <w:shd w:val="clear" w:color="auto" w:fill="auto"/>
          </w:tcPr>
          <w:p w14:paraId="7714981F">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0.0791</w:t>
            </w:r>
          </w:p>
        </w:tc>
        <w:tc>
          <w:tcPr>
            <w:tcW w:w="1564" w:type="pct"/>
            <w:shd w:val="clear" w:color="auto" w:fill="auto"/>
          </w:tcPr>
          <w:p w14:paraId="6C1CE63A">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-0.188***</w:t>
            </w:r>
          </w:p>
        </w:tc>
      </w:tr>
      <w:tr w14:paraId="7EA9042B">
        <w:trPr>
          <w:jc w:val="center"/>
        </w:trPr>
        <w:tc>
          <w:tcPr>
            <w:tcW w:w="1726" w:type="pct"/>
            <w:shd w:val="clear" w:color="auto" w:fill="auto"/>
          </w:tcPr>
          <w:p w14:paraId="7CF6AF96">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p>
        </w:tc>
        <w:tc>
          <w:tcPr>
            <w:tcW w:w="1710" w:type="pct"/>
            <w:shd w:val="clear" w:color="auto" w:fill="auto"/>
          </w:tcPr>
          <w:p w14:paraId="1EBB0E85">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(0.0497)</w:t>
            </w:r>
          </w:p>
        </w:tc>
        <w:tc>
          <w:tcPr>
            <w:tcW w:w="1564" w:type="pct"/>
            <w:shd w:val="clear" w:color="auto" w:fill="auto"/>
          </w:tcPr>
          <w:p w14:paraId="0928D611">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(0.0674)</w:t>
            </w:r>
          </w:p>
        </w:tc>
      </w:tr>
      <w:tr w14:paraId="65A93007">
        <w:trPr>
          <w:jc w:val="center"/>
        </w:trPr>
        <w:tc>
          <w:tcPr>
            <w:tcW w:w="1726" w:type="pct"/>
            <w:shd w:val="clear" w:color="auto" w:fill="auto"/>
          </w:tcPr>
          <w:p w14:paraId="3511D617">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Cutoff = 150</w:t>
            </w:r>
          </w:p>
        </w:tc>
        <w:tc>
          <w:tcPr>
            <w:tcW w:w="1710" w:type="pct"/>
            <w:shd w:val="clear" w:color="auto" w:fill="auto"/>
          </w:tcPr>
          <w:p w14:paraId="084EFC90">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-0.0676***</w:t>
            </w:r>
          </w:p>
        </w:tc>
        <w:tc>
          <w:tcPr>
            <w:tcW w:w="1564" w:type="pct"/>
            <w:shd w:val="clear" w:color="auto" w:fill="auto"/>
          </w:tcPr>
          <w:p w14:paraId="593BC95F">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-0.0974***</w:t>
            </w:r>
          </w:p>
        </w:tc>
      </w:tr>
      <w:tr w14:paraId="570D0B04">
        <w:trPr>
          <w:jc w:val="center"/>
        </w:trPr>
        <w:tc>
          <w:tcPr>
            <w:tcW w:w="1726" w:type="pct"/>
            <w:shd w:val="clear" w:color="auto" w:fill="auto"/>
          </w:tcPr>
          <w:p w14:paraId="26A479AD">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p>
        </w:tc>
        <w:tc>
          <w:tcPr>
            <w:tcW w:w="1710" w:type="pct"/>
            <w:shd w:val="clear" w:color="auto" w:fill="auto"/>
          </w:tcPr>
          <w:p w14:paraId="0EDCA25D">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(0.0258)</w:t>
            </w:r>
          </w:p>
        </w:tc>
        <w:tc>
          <w:tcPr>
            <w:tcW w:w="1564" w:type="pct"/>
            <w:shd w:val="clear" w:color="auto" w:fill="auto"/>
          </w:tcPr>
          <w:p w14:paraId="414D8C52">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(0.0356)</w:t>
            </w:r>
          </w:p>
        </w:tc>
      </w:tr>
      <w:tr w14:paraId="38EAA83A">
        <w:trPr>
          <w:jc w:val="center"/>
        </w:trPr>
        <w:tc>
          <w:tcPr>
            <w:tcW w:w="1726" w:type="pct"/>
            <w:shd w:val="clear" w:color="auto" w:fill="auto"/>
          </w:tcPr>
          <w:p w14:paraId="2A6C8181">
            <w:pPr>
              <w:suppressAutoHyphens/>
              <w:kinsoku w:val="0"/>
              <w:overflowPunct w:val="0"/>
              <w:autoSpaceDE w:val="0"/>
              <w:autoSpaceDN w:val="0"/>
              <w:adjustRightInd w:val="0"/>
              <w:snapToGrid w:val="0"/>
              <w:jc w:val="center"/>
              <w:rPr>
                <w:rFonts w:ascii="Times New Roman" w:hAnsi="Times New Roman" w:eastAsia="Times New Roman" w:cs="Times New Roman"/>
                <w:b/>
                <w:sz w:val="22"/>
                <w:szCs w:val="21"/>
                <w:lang w:val="en-GB"/>
              </w:rPr>
            </w:pPr>
            <w:r>
              <w:rPr>
                <w:rFonts w:ascii="Times New Roman" w:hAnsi="Times New Roman" w:eastAsia="Times New Roman" w:cs="Times New Roman"/>
                <w:b/>
                <w:sz w:val="22"/>
                <w:szCs w:val="21"/>
                <w:lang w:val="en-GB"/>
              </w:rPr>
              <w:t>COV</w:t>
            </w:r>
          </w:p>
        </w:tc>
        <w:tc>
          <w:tcPr>
            <w:tcW w:w="1710" w:type="pct"/>
            <w:shd w:val="clear" w:color="auto" w:fill="auto"/>
          </w:tcPr>
          <w:p w14:paraId="1FB0FEAB">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Yes</w:t>
            </w:r>
          </w:p>
        </w:tc>
        <w:tc>
          <w:tcPr>
            <w:tcW w:w="1564" w:type="pct"/>
            <w:shd w:val="clear" w:color="auto" w:fill="auto"/>
          </w:tcPr>
          <w:p w14:paraId="6426A090">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Yes</w:t>
            </w:r>
          </w:p>
        </w:tc>
      </w:tr>
      <w:tr w14:paraId="7A08D1F2">
        <w:trPr>
          <w:jc w:val="center"/>
        </w:trPr>
        <w:tc>
          <w:tcPr>
            <w:tcW w:w="1726" w:type="pct"/>
            <w:tcBorders>
              <w:top w:val="nil"/>
              <w:left w:val="nil"/>
              <w:bottom w:val="nil"/>
              <w:right w:val="nil"/>
            </w:tcBorders>
            <w:shd w:val="clear" w:color="auto" w:fill="auto"/>
          </w:tcPr>
          <w:p w14:paraId="1D4492D6">
            <w:pPr>
              <w:suppressAutoHyphens/>
              <w:kinsoku w:val="0"/>
              <w:overflowPunct w:val="0"/>
              <w:autoSpaceDE w:val="0"/>
              <w:autoSpaceDN w:val="0"/>
              <w:adjustRightInd w:val="0"/>
              <w:snapToGrid w:val="0"/>
              <w:jc w:val="center"/>
              <w:rPr>
                <w:rFonts w:ascii="Times New Roman" w:hAnsi="Times New Roman" w:eastAsia="Times New Roman" w:cs="Times New Roman"/>
                <w:b/>
                <w:sz w:val="22"/>
                <w:szCs w:val="21"/>
                <w:lang w:val="en-GB"/>
              </w:rPr>
            </w:pPr>
            <w:r>
              <w:rPr>
                <w:rFonts w:ascii="Times New Roman" w:hAnsi="Times New Roman" w:eastAsia="Times New Roman" w:cs="Times New Roman"/>
                <w:b/>
                <w:sz w:val="22"/>
                <w:szCs w:val="21"/>
                <w:lang w:val="en-GB"/>
              </w:rPr>
              <w:t>Observations</w:t>
            </w:r>
          </w:p>
        </w:tc>
        <w:tc>
          <w:tcPr>
            <w:tcW w:w="1710" w:type="pct"/>
            <w:tcBorders>
              <w:top w:val="nil"/>
              <w:left w:val="nil"/>
              <w:bottom w:val="nil"/>
              <w:right w:val="nil"/>
            </w:tcBorders>
            <w:shd w:val="clear" w:color="auto" w:fill="auto"/>
          </w:tcPr>
          <w:p w14:paraId="6AC1E672">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p>
        </w:tc>
        <w:tc>
          <w:tcPr>
            <w:tcW w:w="1564" w:type="pct"/>
            <w:tcBorders>
              <w:top w:val="nil"/>
              <w:left w:val="nil"/>
              <w:bottom w:val="nil"/>
              <w:right w:val="nil"/>
            </w:tcBorders>
            <w:shd w:val="clear" w:color="auto" w:fill="auto"/>
          </w:tcPr>
          <w:p w14:paraId="2BB280ED">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p>
        </w:tc>
      </w:tr>
      <w:tr w14:paraId="40E34861">
        <w:trPr>
          <w:trHeight w:val="299" w:hRule="atLeast"/>
          <w:jc w:val="center"/>
        </w:trPr>
        <w:tc>
          <w:tcPr>
            <w:tcW w:w="1726" w:type="pct"/>
            <w:tcBorders>
              <w:top w:val="nil"/>
              <w:left w:val="nil"/>
              <w:bottom w:val="nil"/>
              <w:right w:val="nil"/>
            </w:tcBorders>
            <w:shd w:val="clear" w:color="auto" w:fill="auto"/>
          </w:tcPr>
          <w:p w14:paraId="3F6B268D">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Cutoff = 50</w:t>
            </w:r>
          </w:p>
        </w:tc>
        <w:tc>
          <w:tcPr>
            <w:tcW w:w="1710" w:type="pct"/>
            <w:tcBorders>
              <w:top w:val="nil"/>
              <w:left w:val="nil"/>
              <w:bottom w:val="nil"/>
              <w:right w:val="nil"/>
            </w:tcBorders>
            <w:shd w:val="clear" w:color="auto" w:fill="auto"/>
          </w:tcPr>
          <w:p w14:paraId="0CB2CFF5">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8555</w:t>
            </w:r>
          </w:p>
        </w:tc>
        <w:tc>
          <w:tcPr>
            <w:tcW w:w="1564" w:type="pct"/>
            <w:tcBorders>
              <w:top w:val="nil"/>
              <w:left w:val="nil"/>
              <w:bottom w:val="nil"/>
              <w:right w:val="nil"/>
            </w:tcBorders>
            <w:shd w:val="clear" w:color="auto" w:fill="auto"/>
          </w:tcPr>
          <w:p w14:paraId="42E0B096">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3021</w:t>
            </w:r>
          </w:p>
        </w:tc>
      </w:tr>
      <w:tr w14:paraId="1D6AB92C">
        <w:trPr>
          <w:jc w:val="center"/>
        </w:trPr>
        <w:tc>
          <w:tcPr>
            <w:tcW w:w="1726" w:type="pct"/>
            <w:tcBorders>
              <w:top w:val="nil"/>
              <w:left w:val="nil"/>
              <w:bottom w:val="nil"/>
              <w:right w:val="nil"/>
            </w:tcBorders>
            <w:shd w:val="clear" w:color="auto" w:fill="auto"/>
          </w:tcPr>
          <w:p w14:paraId="6A5C7B91">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Cutoff = 100</w:t>
            </w:r>
          </w:p>
        </w:tc>
        <w:tc>
          <w:tcPr>
            <w:tcW w:w="1710" w:type="pct"/>
            <w:tcBorders>
              <w:top w:val="nil"/>
              <w:left w:val="nil"/>
              <w:bottom w:val="nil"/>
              <w:right w:val="nil"/>
            </w:tcBorders>
            <w:shd w:val="clear" w:color="auto" w:fill="auto"/>
          </w:tcPr>
          <w:p w14:paraId="78FD4AB4">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4082</w:t>
            </w:r>
          </w:p>
        </w:tc>
        <w:tc>
          <w:tcPr>
            <w:tcW w:w="1564" w:type="pct"/>
            <w:tcBorders>
              <w:top w:val="nil"/>
              <w:left w:val="nil"/>
              <w:bottom w:val="nil"/>
              <w:right w:val="nil"/>
            </w:tcBorders>
            <w:shd w:val="clear" w:color="auto" w:fill="auto"/>
          </w:tcPr>
          <w:p w14:paraId="2827E436">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1527</w:t>
            </w:r>
          </w:p>
        </w:tc>
      </w:tr>
      <w:tr w14:paraId="3C079DB4">
        <w:trPr>
          <w:trHeight w:val="90" w:hRule="atLeast"/>
          <w:jc w:val="center"/>
        </w:trPr>
        <w:tc>
          <w:tcPr>
            <w:tcW w:w="1726" w:type="pct"/>
            <w:tcBorders>
              <w:top w:val="nil"/>
              <w:left w:val="nil"/>
              <w:bottom w:val="nil"/>
              <w:right w:val="nil"/>
            </w:tcBorders>
            <w:shd w:val="clear" w:color="auto" w:fill="auto"/>
          </w:tcPr>
          <w:p w14:paraId="224E8063">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Cutoff = 150</w:t>
            </w:r>
          </w:p>
        </w:tc>
        <w:tc>
          <w:tcPr>
            <w:tcW w:w="1710" w:type="pct"/>
            <w:tcBorders>
              <w:top w:val="nil"/>
              <w:left w:val="nil"/>
              <w:bottom w:val="nil"/>
              <w:right w:val="nil"/>
            </w:tcBorders>
            <w:shd w:val="clear" w:color="auto" w:fill="auto"/>
          </w:tcPr>
          <w:p w14:paraId="38A020AB">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11904</w:t>
            </w:r>
          </w:p>
        </w:tc>
        <w:tc>
          <w:tcPr>
            <w:tcW w:w="1564" w:type="pct"/>
            <w:tcBorders>
              <w:top w:val="nil"/>
              <w:left w:val="nil"/>
              <w:bottom w:val="nil"/>
              <w:right w:val="nil"/>
            </w:tcBorders>
            <w:shd w:val="clear" w:color="auto" w:fill="auto"/>
          </w:tcPr>
          <w:p w14:paraId="72121DA1">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4419</w:t>
            </w:r>
          </w:p>
        </w:tc>
      </w:tr>
      <w:tr w14:paraId="3D41C45E">
        <w:trPr>
          <w:jc w:val="center"/>
        </w:trPr>
        <w:tc>
          <w:tcPr>
            <w:tcW w:w="1726" w:type="pct"/>
            <w:tcBorders>
              <w:top w:val="nil"/>
              <w:left w:val="nil"/>
              <w:bottom w:val="nil"/>
              <w:right w:val="nil"/>
            </w:tcBorders>
            <w:shd w:val="clear" w:color="auto" w:fill="auto"/>
          </w:tcPr>
          <w:p w14:paraId="0B39D1BE">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b/>
                <w:sz w:val="22"/>
                <w:szCs w:val="21"/>
                <w:lang w:val="en-GB"/>
              </w:rPr>
              <w:t>Bandwidth</w:t>
            </w:r>
          </w:p>
        </w:tc>
        <w:tc>
          <w:tcPr>
            <w:tcW w:w="1710" w:type="pct"/>
            <w:tcBorders>
              <w:top w:val="nil"/>
              <w:left w:val="nil"/>
              <w:bottom w:val="nil"/>
              <w:right w:val="nil"/>
            </w:tcBorders>
            <w:shd w:val="clear" w:color="auto" w:fill="auto"/>
          </w:tcPr>
          <w:p w14:paraId="44302736">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p>
        </w:tc>
        <w:tc>
          <w:tcPr>
            <w:tcW w:w="1564" w:type="pct"/>
            <w:tcBorders>
              <w:top w:val="nil"/>
              <w:left w:val="nil"/>
              <w:bottom w:val="nil"/>
              <w:right w:val="nil"/>
            </w:tcBorders>
            <w:shd w:val="clear" w:color="auto" w:fill="auto"/>
          </w:tcPr>
          <w:p w14:paraId="065D1D82">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p>
        </w:tc>
      </w:tr>
      <w:tr w14:paraId="2492E203">
        <w:trPr>
          <w:trHeight w:val="288" w:hRule="atLeast"/>
          <w:jc w:val="center"/>
        </w:trPr>
        <w:tc>
          <w:tcPr>
            <w:tcW w:w="1726" w:type="pct"/>
            <w:tcBorders>
              <w:top w:val="nil"/>
              <w:left w:val="nil"/>
              <w:bottom w:val="nil"/>
              <w:right w:val="nil"/>
            </w:tcBorders>
            <w:shd w:val="clear" w:color="auto" w:fill="auto"/>
          </w:tcPr>
          <w:p w14:paraId="1F171035">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Cutoff = 50</w:t>
            </w:r>
          </w:p>
        </w:tc>
        <w:tc>
          <w:tcPr>
            <w:tcW w:w="1710" w:type="pct"/>
            <w:tcBorders>
              <w:top w:val="nil"/>
              <w:left w:val="nil"/>
              <w:bottom w:val="nil"/>
              <w:right w:val="nil"/>
            </w:tcBorders>
            <w:shd w:val="clear" w:color="auto" w:fill="auto"/>
          </w:tcPr>
          <w:p w14:paraId="52D594B9">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6.22</w:t>
            </w:r>
          </w:p>
        </w:tc>
        <w:tc>
          <w:tcPr>
            <w:tcW w:w="1564" w:type="pct"/>
            <w:tcBorders>
              <w:top w:val="nil"/>
              <w:left w:val="nil"/>
              <w:bottom w:val="nil"/>
              <w:right w:val="nil"/>
            </w:tcBorders>
            <w:shd w:val="clear" w:color="auto" w:fill="auto"/>
          </w:tcPr>
          <w:p w14:paraId="66B76462">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6.44</w:t>
            </w:r>
          </w:p>
        </w:tc>
      </w:tr>
      <w:tr w14:paraId="2646E076">
        <w:trPr>
          <w:jc w:val="center"/>
        </w:trPr>
        <w:tc>
          <w:tcPr>
            <w:tcW w:w="1726" w:type="pct"/>
            <w:tcBorders>
              <w:top w:val="nil"/>
              <w:left w:val="nil"/>
              <w:bottom w:val="nil"/>
              <w:right w:val="nil"/>
            </w:tcBorders>
            <w:shd w:val="clear" w:color="auto" w:fill="auto"/>
          </w:tcPr>
          <w:p w14:paraId="31F561D6">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Cutoff = 100</w:t>
            </w:r>
          </w:p>
        </w:tc>
        <w:tc>
          <w:tcPr>
            <w:tcW w:w="1710" w:type="pct"/>
            <w:tcBorders>
              <w:top w:val="nil"/>
              <w:left w:val="nil"/>
              <w:bottom w:val="nil"/>
              <w:right w:val="nil"/>
            </w:tcBorders>
            <w:shd w:val="clear" w:color="auto" w:fill="auto"/>
          </w:tcPr>
          <w:p w14:paraId="2DB712EE">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6.41</w:t>
            </w:r>
          </w:p>
        </w:tc>
        <w:tc>
          <w:tcPr>
            <w:tcW w:w="1564" w:type="pct"/>
            <w:tcBorders>
              <w:top w:val="nil"/>
              <w:left w:val="nil"/>
              <w:bottom w:val="nil"/>
              <w:right w:val="nil"/>
            </w:tcBorders>
            <w:shd w:val="clear" w:color="auto" w:fill="auto"/>
          </w:tcPr>
          <w:p w14:paraId="635DF32D">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6.51</w:t>
            </w:r>
          </w:p>
        </w:tc>
      </w:tr>
      <w:tr w14:paraId="52AB223B">
        <w:trPr>
          <w:jc w:val="center"/>
        </w:trPr>
        <w:tc>
          <w:tcPr>
            <w:tcW w:w="1726" w:type="pct"/>
            <w:tcBorders>
              <w:top w:val="nil"/>
              <w:left w:val="nil"/>
              <w:bottom w:val="single" w:color="auto" w:sz="6" w:space="0"/>
              <w:right w:val="nil"/>
            </w:tcBorders>
            <w:shd w:val="clear" w:color="auto" w:fill="auto"/>
          </w:tcPr>
          <w:p w14:paraId="081DE3EA">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Cutoff = 150</w:t>
            </w:r>
          </w:p>
        </w:tc>
        <w:tc>
          <w:tcPr>
            <w:tcW w:w="1710" w:type="pct"/>
            <w:tcBorders>
              <w:top w:val="nil"/>
              <w:left w:val="nil"/>
              <w:bottom w:val="single" w:color="auto" w:sz="6" w:space="0"/>
              <w:right w:val="nil"/>
            </w:tcBorders>
            <w:shd w:val="clear" w:color="auto" w:fill="auto"/>
          </w:tcPr>
          <w:p w14:paraId="7DBD41B3">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31.23</w:t>
            </w:r>
          </w:p>
        </w:tc>
        <w:tc>
          <w:tcPr>
            <w:tcW w:w="1564" w:type="pct"/>
            <w:tcBorders>
              <w:top w:val="nil"/>
              <w:left w:val="nil"/>
              <w:bottom w:val="single" w:color="auto" w:sz="6" w:space="0"/>
              <w:right w:val="nil"/>
            </w:tcBorders>
            <w:shd w:val="clear" w:color="auto" w:fill="auto"/>
          </w:tcPr>
          <w:p w14:paraId="608E6AFC">
            <w:pPr>
              <w:suppressAutoHyphens/>
              <w:kinsoku w:val="0"/>
              <w:overflowPunct w:val="0"/>
              <w:autoSpaceDE w:val="0"/>
              <w:autoSpaceDN w:val="0"/>
              <w:adjustRightInd w:val="0"/>
              <w:snapToGrid w:val="0"/>
              <w:jc w:val="center"/>
              <w:rPr>
                <w:rFonts w:ascii="Times New Roman" w:hAnsi="Times New Roman" w:eastAsia="Times New Roman" w:cs="Times New Roman"/>
                <w:sz w:val="22"/>
                <w:szCs w:val="21"/>
                <w:lang w:val="en-GB"/>
              </w:rPr>
            </w:pPr>
            <w:r>
              <w:rPr>
                <w:rFonts w:ascii="Times New Roman" w:hAnsi="Times New Roman" w:eastAsia="Times New Roman" w:cs="Times New Roman"/>
                <w:sz w:val="22"/>
                <w:szCs w:val="21"/>
                <w:lang w:val="en-GB"/>
              </w:rPr>
              <w:t>32.23</w:t>
            </w:r>
          </w:p>
        </w:tc>
      </w:tr>
    </w:tbl>
    <w:p w14:paraId="0B420904">
      <w:pPr>
        <w:suppressAutoHyphens/>
        <w:kinsoku w:val="0"/>
        <w:overflowPunct w:val="0"/>
        <w:autoSpaceDE w:val="0"/>
        <w:autoSpaceDN w:val="0"/>
        <w:adjustRightInd w:val="0"/>
        <w:snapToGrid w:val="0"/>
        <w:spacing w:line="480" w:lineRule="auto"/>
        <w:rPr>
          <w:rFonts w:ascii="Times New Roman" w:hAnsi="Times New Roman" w:eastAsia="Times New Roman Italic" w:cs="Times New Roman"/>
          <w:szCs w:val="21"/>
          <w:lang w:val="en-GB"/>
        </w:rPr>
      </w:pPr>
      <w:r>
        <w:rPr>
          <w:rFonts w:ascii="Times New Roman" w:hAnsi="Times New Roman" w:eastAsia="Times New Roman Italic" w:cs="Times New Roman"/>
          <w:szCs w:val="21"/>
          <w:lang w:val="en-GB"/>
        </w:rPr>
        <w:t>* p &lt; 0.1; ** p &lt; 0.05; *** p &lt; 0.01.</w:t>
      </w:r>
    </w:p>
    <w:p w14:paraId="0A4D25BA">
      <w:pPr>
        <w:suppressAutoHyphens/>
        <w:kinsoku w:val="0"/>
        <w:overflowPunct w:val="0"/>
        <w:autoSpaceDE w:val="0"/>
        <w:autoSpaceDN w:val="0"/>
        <w:adjustRightInd w:val="0"/>
        <w:snapToGrid w:val="0"/>
        <w:spacing w:line="480" w:lineRule="auto"/>
        <w:rPr>
          <w:rFonts w:ascii="Times New Roman" w:hAnsi="Times New Roman" w:eastAsia="Times New Roman" w:cs="Times New Roman"/>
          <w:szCs w:val="21"/>
          <w:lang w:val="en-GB"/>
        </w:rPr>
      </w:pPr>
      <w:r>
        <w:rPr>
          <w:rFonts w:ascii="Times New Roman" w:hAnsi="Times New Roman" w:eastAsia="Times New Roman Italic" w:cs="Times New Roman"/>
          <w:szCs w:val="21"/>
          <w:lang w:val="en-GB"/>
        </w:rPr>
        <w:t>The r</w:t>
      </w:r>
      <w:r>
        <w:rPr>
          <w:rFonts w:ascii="Times New Roman" w:hAnsi="Times New Roman" w:eastAsia="Times New Roman" w:cs="Times New Roman"/>
          <w:szCs w:val="21"/>
          <w:lang w:val="en-GB"/>
        </w:rPr>
        <w:t xml:space="preserve">esults </w:t>
      </w:r>
      <w:r>
        <w:rPr>
          <w:rFonts w:ascii="Times New Roman" w:hAnsi="Times New Roman" w:eastAsia="Times New Roman" w:cs="Times New Roman"/>
          <w:szCs w:val="21"/>
        </w:rPr>
        <w:t>are</w:t>
      </w:r>
      <w:r>
        <w:rPr>
          <w:rFonts w:ascii="Times New Roman" w:hAnsi="Times New Roman" w:eastAsia="Times New Roman" w:cs="Times New Roman"/>
          <w:szCs w:val="21"/>
          <w:lang w:val="en-GB"/>
        </w:rPr>
        <w:t xml:space="preserve"> obtained using a regression-discontinuity design with multiple cutoffs proposed by Cattaneo et al.</w:t>
      </w:r>
      <w:r>
        <w:rPr>
          <w:rFonts w:hint="default" w:ascii="Times New Roman" w:hAnsi="Times New Roman" w:eastAsia="Times New Roman" w:cs="Times New Roman"/>
          <w:sz w:val="21"/>
          <w:szCs w:val="21"/>
          <w:vertAlign w:val="superscript"/>
          <w:lang w:val="en-GB"/>
        </w:rPr>
        <w:fldChar w:fldCharType="begin"/>
      </w:r>
      <w:r>
        <w:rPr>
          <w:rFonts w:hint="default" w:ascii="Times New Roman" w:hAnsi="Times New Roman" w:eastAsia="Times New Roman" w:cs="Times New Roman"/>
          <w:sz w:val="21"/>
          <w:szCs w:val="21"/>
          <w:vertAlign w:val="superscript"/>
          <w:lang w:val="en-GB"/>
        </w:rPr>
        <w:instrText xml:space="preserve"> REF _Ref1799768925 \n \h </w:instrText>
      </w:r>
      <w:r>
        <w:rPr>
          <w:rFonts w:hint="default" w:ascii="Times New Roman" w:hAnsi="Times New Roman" w:eastAsia="Times New Roman" w:cs="Times New Roman"/>
          <w:sz w:val="21"/>
          <w:szCs w:val="21"/>
          <w:vertAlign w:val="superscript"/>
          <w:lang w:val="en-GB"/>
        </w:rPr>
        <w:fldChar w:fldCharType="separate"/>
      </w:r>
      <w:r>
        <w:rPr>
          <w:rFonts w:hint="default" w:ascii="Times New Roman" w:hAnsi="Times New Roman" w:eastAsia="Times New Roman" w:cs="Times New Roman"/>
          <w:sz w:val="21"/>
          <w:szCs w:val="21"/>
          <w:vertAlign w:val="superscript"/>
          <w:lang w:val="en-GB"/>
        </w:rPr>
        <w:t>23</w:t>
      </w:r>
      <w:r>
        <w:rPr>
          <w:rFonts w:hint="default" w:ascii="Times New Roman" w:hAnsi="Times New Roman" w:eastAsia="Times New Roman" w:cs="Times New Roman"/>
          <w:sz w:val="21"/>
          <w:szCs w:val="21"/>
          <w:vertAlign w:val="superscript"/>
          <w:lang w:val="en-GB"/>
        </w:rPr>
        <w:fldChar w:fldCharType="end"/>
      </w:r>
      <w:r>
        <w:rPr>
          <w:rFonts w:ascii="Times New Roman" w:hAnsi="Times New Roman" w:eastAsia="Times New Roman" w:cs="Times New Roman"/>
          <w:szCs w:val="21"/>
        </w:rPr>
        <w:t xml:space="preserve">. </w:t>
      </w:r>
      <w:r>
        <w:rPr>
          <w:rFonts w:ascii="Times New Roman" w:hAnsi="Times New Roman" w:eastAsia="Times New Roman" w:cs="Times New Roman"/>
          <w:szCs w:val="21"/>
          <w:lang w:val="en-GB"/>
        </w:rPr>
        <w:t xml:space="preserve">Coefficients </w:t>
      </w:r>
      <w:r>
        <w:rPr>
          <w:rFonts w:ascii="Times New Roman" w:hAnsi="Times New Roman" w:eastAsia="Times New Roman" w:cs="Times New Roman"/>
          <w:szCs w:val="21"/>
        </w:rPr>
        <w:t>are</w:t>
      </w:r>
      <w:r>
        <w:rPr>
          <w:rFonts w:ascii="Times New Roman" w:hAnsi="Times New Roman" w:eastAsia="Times New Roman" w:cs="Times New Roman"/>
          <w:szCs w:val="21"/>
          <w:lang w:val="en-GB"/>
        </w:rPr>
        <w:t xml:space="preserve"> estimated at three cutoffs. COV indicates whether covariates (</w:t>
      </w:r>
      <w:r>
        <w:rPr>
          <w:rFonts w:ascii="Times New Roman" w:hAnsi="Times New Roman" w:eastAsia="Times New Roman" w:cs="Times New Roman"/>
          <w:i/>
          <w:szCs w:val="21"/>
          <w:lang w:val="en-GB"/>
        </w:rPr>
        <w:t>Male</w:t>
      </w:r>
      <w:r>
        <w:rPr>
          <w:rFonts w:ascii="Times New Roman" w:hAnsi="Times New Roman" w:eastAsia="Times New Roman" w:cs="Times New Roman"/>
          <w:szCs w:val="21"/>
          <w:lang w:val="en-GB"/>
        </w:rPr>
        <w:t xml:space="preserve">, </w:t>
      </w:r>
      <w:r>
        <w:rPr>
          <w:rFonts w:ascii="Times New Roman" w:hAnsi="Times New Roman" w:eastAsia="Times New Roman" w:cs="Times New Roman"/>
          <w:i/>
          <w:szCs w:val="21"/>
          <w:lang w:val="en-GB"/>
        </w:rPr>
        <w:t>Age</w:t>
      </w:r>
      <w:r>
        <w:rPr>
          <w:rFonts w:ascii="Times New Roman" w:hAnsi="Times New Roman" w:eastAsia="Times New Roman" w:cs="Times New Roman"/>
          <w:iCs/>
          <w:szCs w:val="21"/>
          <w:lang w:val="en-GB"/>
        </w:rPr>
        <w:t>,</w:t>
      </w:r>
      <w:r>
        <w:rPr>
          <w:rFonts w:ascii="Times New Roman" w:hAnsi="Times New Roman" w:eastAsia="Times New Roman" w:cs="Times New Roman"/>
          <w:szCs w:val="21"/>
          <w:lang w:val="en-GB"/>
        </w:rPr>
        <w:t xml:space="preserve"> and </w:t>
      </w:r>
      <w:r>
        <w:rPr>
          <w:rFonts w:ascii="Times New Roman" w:hAnsi="Times New Roman" w:eastAsia="Times New Roman" w:cs="Times New Roman"/>
          <w:i/>
          <w:szCs w:val="21"/>
          <w:lang w:val="en-GB"/>
        </w:rPr>
        <w:t>Work_School</w:t>
      </w:r>
      <w:r>
        <w:rPr>
          <w:rFonts w:ascii="Times New Roman" w:hAnsi="Times New Roman" w:eastAsia="Times New Roman" w:cs="Times New Roman"/>
          <w:szCs w:val="21"/>
          <w:lang w:val="en-GB"/>
        </w:rPr>
        <w:t>) are included; observations represent the sample size for the local regression analysis around each cutoff; and bandwidth denotes the window size on the left and right sides of the cutoff, determined using the optimal mean squared error method, with equal bandwidths selected for both sides. Columns (1) and (2) present the effect of air quality information on discretionary trips among the low- and high-income groups, respectively. The results indicate that poor air quality information reduce</w:t>
      </w:r>
      <w:r>
        <w:rPr>
          <w:rFonts w:ascii="Times New Roman" w:hAnsi="Times New Roman" w:eastAsia="Times New Roman" w:cs="Times New Roman"/>
          <w:szCs w:val="21"/>
        </w:rPr>
        <w:t>s</w:t>
      </w:r>
      <w:r>
        <w:rPr>
          <w:rFonts w:ascii="Times New Roman" w:hAnsi="Times New Roman" w:eastAsia="Times New Roman" w:cs="Times New Roman"/>
          <w:szCs w:val="21"/>
          <w:lang w:val="en-GB"/>
        </w:rPr>
        <w:t xml:space="preserve"> discretionary trips among both high- and low-income groups, with a greater effect in the high-income group.</w:t>
      </w:r>
    </w:p>
    <w:p w14:paraId="4CAD0073">
      <w:pPr>
        <w:suppressAutoHyphens/>
        <w:kinsoku w:val="0"/>
        <w:overflowPunct w:val="0"/>
        <w:autoSpaceDE w:val="0"/>
        <w:autoSpaceDN w:val="0"/>
        <w:adjustRightInd w:val="0"/>
        <w:snapToGrid w:val="0"/>
        <w:spacing w:line="480" w:lineRule="auto"/>
        <w:rPr>
          <w:rFonts w:ascii="Times New Roman" w:hAnsi="Times New Roman" w:eastAsia="Times New Roman" w:cs="Times New Roman"/>
          <w:lang w:val="en-GB"/>
        </w:rPr>
      </w:pPr>
    </w:p>
    <w:p w14:paraId="4D3D5330">
      <w:pPr>
        <w:widowControl/>
        <w:jc w:val="left"/>
        <w:rPr>
          <w:rFonts w:ascii="Times New Roman" w:hAnsi="Times New Roman" w:eastAsia="Times New Roman Bold" w:cs="Times New Roman"/>
          <w:b/>
          <w:lang w:val="en-GB"/>
        </w:rPr>
      </w:pPr>
      <w:r>
        <w:rPr>
          <w:rFonts w:ascii="Times New Roman" w:hAnsi="Times New Roman" w:eastAsia="Times New Roman Bold" w:cs="Times New Roman"/>
          <w:b/>
          <w:lang w:val="en-GB"/>
        </w:rPr>
        <w:br w:type="page"/>
      </w:r>
    </w:p>
    <w:p w14:paraId="23F7183E">
      <w:pPr>
        <w:suppressAutoHyphens/>
        <w:kinsoku w:val="0"/>
        <w:overflowPunct w:val="0"/>
        <w:autoSpaceDE w:val="0"/>
        <w:autoSpaceDN w:val="0"/>
        <w:adjustRightInd w:val="0"/>
        <w:snapToGrid w:val="0"/>
        <w:spacing w:line="480" w:lineRule="auto"/>
        <w:rPr>
          <w:rFonts w:ascii="Times New Roman" w:hAnsi="Times New Roman" w:eastAsia="Times New Roman Bold" w:cs="Times New Roman"/>
          <w:b/>
          <w:sz w:val="24"/>
          <w:szCs w:val="22"/>
          <w:lang w:val="en-GB"/>
        </w:rPr>
      </w:pPr>
      <w:r>
        <w:rPr>
          <w:rFonts w:ascii="Times New Roman" w:hAnsi="Times New Roman" w:eastAsia="Times New Roman Bold" w:cs="Times New Roman"/>
          <w:b/>
          <w:sz w:val="24"/>
          <w:szCs w:val="22"/>
          <w:lang w:val="en-GB"/>
        </w:rPr>
        <w:t>Table E3 Differences in avoidance capability by income group</w:t>
      </w:r>
    </w:p>
    <w:tbl>
      <w:tblPr>
        <w:tblStyle w:val="19"/>
        <w:tblW w:w="4897" w:type="pct"/>
        <w:jc w:val="center"/>
        <w:tblLayout w:type="autofit"/>
        <w:tblCellMar>
          <w:top w:w="0" w:type="dxa"/>
          <w:left w:w="75" w:type="dxa"/>
          <w:bottom w:w="0" w:type="dxa"/>
          <w:right w:w="75" w:type="dxa"/>
        </w:tblCellMar>
      </w:tblPr>
      <w:tblGrid>
        <w:gridCol w:w="1796"/>
        <w:gridCol w:w="1618"/>
        <w:gridCol w:w="1623"/>
        <w:gridCol w:w="1623"/>
        <w:gridCol w:w="1622"/>
      </w:tblGrid>
      <w:tr w14:paraId="6770CA14">
        <w:trPr>
          <w:jc w:val="center"/>
        </w:trPr>
        <w:tc>
          <w:tcPr>
            <w:tcW w:w="1765" w:type="dxa"/>
            <w:tcBorders>
              <w:top w:val="single" w:color="auto" w:sz="6" w:space="0"/>
              <w:left w:val="nil"/>
              <w:bottom w:val="nil"/>
              <w:right w:val="nil"/>
            </w:tcBorders>
            <w:shd w:val="clear" w:color="auto" w:fill="auto"/>
          </w:tcPr>
          <w:p w14:paraId="5969BB8B">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Regression</w:t>
            </w:r>
          </w:p>
        </w:tc>
        <w:tc>
          <w:tcPr>
            <w:tcW w:w="1589" w:type="dxa"/>
            <w:tcBorders>
              <w:top w:val="single" w:color="auto" w:sz="6" w:space="0"/>
              <w:left w:val="nil"/>
              <w:bottom w:val="nil"/>
              <w:right w:val="nil"/>
            </w:tcBorders>
            <w:shd w:val="clear" w:color="auto" w:fill="auto"/>
          </w:tcPr>
          <w:p w14:paraId="484CA61A">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(3)</w:t>
            </w:r>
          </w:p>
        </w:tc>
        <w:tc>
          <w:tcPr>
            <w:tcW w:w="1594" w:type="dxa"/>
            <w:tcBorders>
              <w:top w:val="single" w:color="auto" w:sz="6" w:space="0"/>
              <w:left w:val="nil"/>
              <w:bottom w:val="nil"/>
              <w:right w:val="nil"/>
            </w:tcBorders>
            <w:shd w:val="clear" w:color="auto" w:fill="auto"/>
          </w:tcPr>
          <w:p w14:paraId="3F8D0EC9">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(4)</w:t>
            </w:r>
          </w:p>
        </w:tc>
        <w:tc>
          <w:tcPr>
            <w:tcW w:w="1594" w:type="dxa"/>
            <w:tcBorders>
              <w:top w:val="single" w:color="auto" w:sz="6" w:space="0"/>
              <w:left w:val="nil"/>
              <w:bottom w:val="nil"/>
              <w:right w:val="nil"/>
            </w:tcBorders>
            <w:shd w:val="clear" w:color="auto" w:fill="auto"/>
          </w:tcPr>
          <w:p w14:paraId="217CF89B">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(1)</w:t>
            </w:r>
          </w:p>
        </w:tc>
        <w:tc>
          <w:tcPr>
            <w:tcW w:w="1593" w:type="dxa"/>
            <w:tcBorders>
              <w:top w:val="single" w:color="auto" w:sz="6" w:space="0"/>
              <w:left w:val="nil"/>
              <w:bottom w:val="nil"/>
              <w:right w:val="nil"/>
            </w:tcBorders>
            <w:shd w:val="clear" w:color="auto" w:fill="auto"/>
          </w:tcPr>
          <w:p w14:paraId="525A260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(2)</w:t>
            </w:r>
          </w:p>
        </w:tc>
      </w:tr>
      <w:tr w14:paraId="4A5B0D99">
        <w:trPr>
          <w:jc w:val="center"/>
        </w:trPr>
        <w:tc>
          <w:tcPr>
            <w:tcW w:w="1765" w:type="dxa"/>
            <w:tcBorders>
              <w:top w:val="nil"/>
              <w:left w:val="nil"/>
              <w:bottom w:val="single" w:color="auto" w:sz="6" w:space="0"/>
              <w:right w:val="nil"/>
            </w:tcBorders>
            <w:shd w:val="clear" w:color="auto" w:fill="auto"/>
          </w:tcPr>
          <w:p w14:paraId="6D0559AC">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Variables</w:t>
            </w:r>
          </w:p>
        </w:tc>
        <w:tc>
          <w:tcPr>
            <w:tcW w:w="3183" w:type="dxa"/>
            <w:gridSpan w:val="2"/>
            <w:tcBorders>
              <w:top w:val="nil"/>
              <w:left w:val="nil"/>
              <w:bottom w:val="single" w:color="auto" w:sz="6" w:space="0"/>
              <w:right w:val="nil"/>
            </w:tcBorders>
            <w:shd w:val="clear" w:color="auto" w:fill="auto"/>
          </w:tcPr>
          <w:p w14:paraId="014E17B8">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Commuting trip</w:t>
            </w:r>
          </w:p>
        </w:tc>
        <w:tc>
          <w:tcPr>
            <w:tcW w:w="3187" w:type="dxa"/>
            <w:gridSpan w:val="2"/>
            <w:tcBorders>
              <w:top w:val="nil"/>
              <w:left w:val="nil"/>
              <w:bottom w:val="single" w:color="auto" w:sz="6" w:space="0"/>
              <w:right w:val="nil"/>
            </w:tcBorders>
            <w:shd w:val="clear" w:color="auto" w:fill="auto"/>
          </w:tcPr>
          <w:p w14:paraId="2BF0A79D">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High-exposure trip</w:t>
            </w:r>
          </w:p>
        </w:tc>
      </w:tr>
      <w:tr w14:paraId="0F3BFE93">
        <w:trPr>
          <w:jc w:val="center"/>
        </w:trPr>
        <w:tc>
          <w:tcPr>
            <w:tcW w:w="1765" w:type="dxa"/>
            <w:shd w:val="clear" w:color="auto" w:fill="auto"/>
          </w:tcPr>
          <w:p w14:paraId="22258A93">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1589" w:type="dxa"/>
            <w:shd w:val="clear" w:color="auto" w:fill="auto"/>
          </w:tcPr>
          <w:p w14:paraId="1541FF6C">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Low Income</w:t>
            </w:r>
          </w:p>
        </w:tc>
        <w:tc>
          <w:tcPr>
            <w:tcW w:w="1594" w:type="dxa"/>
            <w:shd w:val="clear" w:color="auto" w:fill="auto"/>
          </w:tcPr>
          <w:p w14:paraId="1FF099CB">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High Income</w:t>
            </w:r>
          </w:p>
        </w:tc>
        <w:tc>
          <w:tcPr>
            <w:tcW w:w="1594" w:type="dxa"/>
            <w:shd w:val="clear" w:color="auto" w:fill="auto"/>
          </w:tcPr>
          <w:p w14:paraId="6C48C62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Low Income</w:t>
            </w:r>
          </w:p>
        </w:tc>
        <w:tc>
          <w:tcPr>
            <w:tcW w:w="1593" w:type="dxa"/>
            <w:shd w:val="clear" w:color="auto" w:fill="auto"/>
          </w:tcPr>
          <w:p w14:paraId="3EE5C178">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High Income</w:t>
            </w:r>
          </w:p>
        </w:tc>
      </w:tr>
      <w:tr w14:paraId="28747E1C">
        <w:trPr>
          <w:jc w:val="center"/>
        </w:trPr>
        <w:tc>
          <w:tcPr>
            <w:tcW w:w="1765" w:type="dxa"/>
            <w:shd w:val="clear" w:color="auto" w:fill="auto"/>
          </w:tcPr>
          <w:p w14:paraId="0BA2090C">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50</w:t>
            </w:r>
          </w:p>
        </w:tc>
        <w:tc>
          <w:tcPr>
            <w:tcW w:w="1589" w:type="dxa"/>
            <w:shd w:val="clear" w:color="auto" w:fill="auto"/>
          </w:tcPr>
          <w:p w14:paraId="6241DB50">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0.0202</w:t>
            </w:r>
          </w:p>
        </w:tc>
        <w:tc>
          <w:tcPr>
            <w:tcW w:w="1594" w:type="dxa"/>
            <w:shd w:val="clear" w:color="auto" w:fill="auto"/>
          </w:tcPr>
          <w:p w14:paraId="1387709F">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-0.278**</w:t>
            </w:r>
          </w:p>
        </w:tc>
        <w:tc>
          <w:tcPr>
            <w:tcW w:w="1594" w:type="dxa"/>
            <w:shd w:val="clear" w:color="auto" w:fill="auto"/>
          </w:tcPr>
          <w:p w14:paraId="4DF82E18">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-0.0154</w:t>
            </w:r>
          </w:p>
        </w:tc>
        <w:tc>
          <w:tcPr>
            <w:tcW w:w="1593" w:type="dxa"/>
            <w:shd w:val="clear" w:color="auto" w:fill="auto"/>
          </w:tcPr>
          <w:p w14:paraId="450D409C">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0.312</w:t>
            </w:r>
          </w:p>
        </w:tc>
      </w:tr>
      <w:tr w14:paraId="60B07673">
        <w:trPr>
          <w:jc w:val="center"/>
        </w:trPr>
        <w:tc>
          <w:tcPr>
            <w:tcW w:w="1765" w:type="dxa"/>
            <w:shd w:val="clear" w:color="auto" w:fill="auto"/>
          </w:tcPr>
          <w:p w14:paraId="1816BF0F">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1589" w:type="dxa"/>
            <w:shd w:val="clear" w:color="auto" w:fill="auto"/>
          </w:tcPr>
          <w:p w14:paraId="3BAC4F7B">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(0.0493)</w:t>
            </w:r>
          </w:p>
        </w:tc>
        <w:tc>
          <w:tcPr>
            <w:tcW w:w="1594" w:type="dxa"/>
            <w:shd w:val="clear" w:color="auto" w:fill="auto"/>
          </w:tcPr>
          <w:p w14:paraId="5C7201E4">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(0.122)</w:t>
            </w:r>
          </w:p>
        </w:tc>
        <w:tc>
          <w:tcPr>
            <w:tcW w:w="1594" w:type="dxa"/>
            <w:shd w:val="clear" w:color="auto" w:fill="auto"/>
          </w:tcPr>
          <w:p w14:paraId="1CBF6A5C">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(0.108)</w:t>
            </w:r>
          </w:p>
        </w:tc>
        <w:tc>
          <w:tcPr>
            <w:tcW w:w="1593" w:type="dxa"/>
            <w:shd w:val="clear" w:color="auto" w:fill="auto"/>
          </w:tcPr>
          <w:p w14:paraId="76601FCA">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(0.203)</w:t>
            </w:r>
          </w:p>
        </w:tc>
      </w:tr>
      <w:tr w14:paraId="78C0DC6B">
        <w:trPr>
          <w:jc w:val="center"/>
        </w:trPr>
        <w:tc>
          <w:tcPr>
            <w:tcW w:w="1765" w:type="dxa"/>
            <w:shd w:val="clear" w:color="auto" w:fill="auto"/>
          </w:tcPr>
          <w:p w14:paraId="6CBD1389">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100</w:t>
            </w:r>
          </w:p>
        </w:tc>
        <w:tc>
          <w:tcPr>
            <w:tcW w:w="1589" w:type="dxa"/>
            <w:shd w:val="clear" w:color="auto" w:fill="auto"/>
          </w:tcPr>
          <w:p w14:paraId="2CA34EFB">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0.0847</w:t>
            </w:r>
          </w:p>
        </w:tc>
        <w:tc>
          <w:tcPr>
            <w:tcW w:w="1594" w:type="dxa"/>
            <w:shd w:val="clear" w:color="auto" w:fill="auto"/>
          </w:tcPr>
          <w:p w14:paraId="1019AF5B">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-0.155***</w:t>
            </w:r>
          </w:p>
        </w:tc>
        <w:tc>
          <w:tcPr>
            <w:tcW w:w="1594" w:type="dxa"/>
            <w:shd w:val="clear" w:color="auto" w:fill="auto"/>
          </w:tcPr>
          <w:p w14:paraId="4468E41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-0.615***</w:t>
            </w:r>
          </w:p>
        </w:tc>
        <w:tc>
          <w:tcPr>
            <w:tcW w:w="1593" w:type="dxa"/>
            <w:shd w:val="clear" w:color="auto" w:fill="auto"/>
          </w:tcPr>
          <w:p w14:paraId="070227E3">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0.154</w:t>
            </w:r>
          </w:p>
        </w:tc>
      </w:tr>
      <w:tr w14:paraId="54D58BB6">
        <w:trPr>
          <w:jc w:val="center"/>
        </w:trPr>
        <w:tc>
          <w:tcPr>
            <w:tcW w:w="1765" w:type="dxa"/>
            <w:shd w:val="clear" w:color="auto" w:fill="auto"/>
          </w:tcPr>
          <w:p w14:paraId="19D4F47A">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1589" w:type="dxa"/>
            <w:shd w:val="clear" w:color="auto" w:fill="auto"/>
          </w:tcPr>
          <w:p w14:paraId="19B3ACB0">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(0.124)</w:t>
            </w:r>
          </w:p>
        </w:tc>
        <w:tc>
          <w:tcPr>
            <w:tcW w:w="1594" w:type="dxa"/>
            <w:shd w:val="clear" w:color="auto" w:fill="auto"/>
          </w:tcPr>
          <w:p w14:paraId="1CF4908A">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(0.0561)</w:t>
            </w:r>
          </w:p>
        </w:tc>
        <w:tc>
          <w:tcPr>
            <w:tcW w:w="1594" w:type="dxa"/>
            <w:shd w:val="clear" w:color="auto" w:fill="auto"/>
          </w:tcPr>
          <w:p w14:paraId="6D59C53D">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(0.191)</w:t>
            </w:r>
          </w:p>
        </w:tc>
        <w:tc>
          <w:tcPr>
            <w:tcW w:w="1593" w:type="dxa"/>
            <w:shd w:val="clear" w:color="auto" w:fill="auto"/>
          </w:tcPr>
          <w:p w14:paraId="27F09D76">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(0.101)</w:t>
            </w:r>
          </w:p>
        </w:tc>
      </w:tr>
      <w:tr w14:paraId="739E4690">
        <w:trPr>
          <w:jc w:val="center"/>
        </w:trPr>
        <w:tc>
          <w:tcPr>
            <w:tcW w:w="1765" w:type="dxa"/>
            <w:shd w:val="clear" w:color="auto" w:fill="auto"/>
          </w:tcPr>
          <w:p w14:paraId="1F5DA8C6">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150</w:t>
            </w:r>
          </w:p>
        </w:tc>
        <w:tc>
          <w:tcPr>
            <w:tcW w:w="1589" w:type="dxa"/>
            <w:shd w:val="clear" w:color="auto" w:fill="auto"/>
          </w:tcPr>
          <w:p w14:paraId="67207DBB">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-0.0117</w:t>
            </w:r>
          </w:p>
        </w:tc>
        <w:tc>
          <w:tcPr>
            <w:tcW w:w="1594" w:type="dxa"/>
            <w:shd w:val="clear" w:color="auto" w:fill="auto"/>
          </w:tcPr>
          <w:p w14:paraId="64846BE9">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-0.0111</w:t>
            </w:r>
          </w:p>
        </w:tc>
        <w:tc>
          <w:tcPr>
            <w:tcW w:w="1594" w:type="dxa"/>
            <w:shd w:val="clear" w:color="auto" w:fill="auto"/>
          </w:tcPr>
          <w:p w14:paraId="472CC8F3">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-0.724***</w:t>
            </w:r>
          </w:p>
        </w:tc>
        <w:tc>
          <w:tcPr>
            <w:tcW w:w="1593" w:type="dxa"/>
            <w:shd w:val="clear" w:color="auto" w:fill="auto"/>
          </w:tcPr>
          <w:p w14:paraId="1C25DD0F">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-0.0716</w:t>
            </w:r>
          </w:p>
        </w:tc>
      </w:tr>
      <w:tr w14:paraId="2727DC1B">
        <w:trPr>
          <w:jc w:val="center"/>
        </w:trPr>
        <w:tc>
          <w:tcPr>
            <w:tcW w:w="1765" w:type="dxa"/>
            <w:shd w:val="clear" w:color="auto" w:fill="auto"/>
          </w:tcPr>
          <w:p w14:paraId="1A05F268">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1589" w:type="dxa"/>
            <w:shd w:val="clear" w:color="auto" w:fill="auto"/>
          </w:tcPr>
          <w:p w14:paraId="71314F6D">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(0.0234)</w:t>
            </w:r>
          </w:p>
        </w:tc>
        <w:tc>
          <w:tcPr>
            <w:tcW w:w="1594" w:type="dxa"/>
            <w:shd w:val="clear" w:color="auto" w:fill="auto"/>
          </w:tcPr>
          <w:p w14:paraId="0BC10C07">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(0.0351)</w:t>
            </w:r>
          </w:p>
        </w:tc>
        <w:tc>
          <w:tcPr>
            <w:tcW w:w="1594" w:type="dxa"/>
            <w:shd w:val="clear" w:color="auto" w:fill="auto"/>
          </w:tcPr>
          <w:p w14:paraId="07F70CBD">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(0.131)</w:t>
            </w:r>
          </w:p>
        </w:tc>
        <w:tc>
          <w:tcPr>
            <w:tcW w:w="1593" w:type="dxa"/>
            <w:shd w:val="clear" w:color="auto" w:fill="auto"/>
          </w:tcPr>
          <w:p w14:paraId="2BB057DF">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(0.0516)</w:t>
            </w:r>
          </w:p>
        </w:tc>
      </w:tr>
      <w:tr w14:paraId="5ECD7CCF">
        <w:trPr>
          <w:jc w:val="center"/>
        </w:trPr>
        <w:tc>
          <w:tcPr>
            <w:tcW w:w="1765" w:type="dxa"/>
            <w:shd w:val="clear" w:color="auto" w:fill="auto"/>
          </w:tcPr>
          <w:p w14:paraId="3F33C655">
            <w:pPr>
              <w:suppressAutoHyphens/>
              <w:kinsoku w:val="0"/>
              <w:overflowPunct w:val="0"/>
              <w:autoSpaceDE w:val="0"/>
              <w:autoSpaceDN w:val="0"/>
              <w:adjustRightInd w:val="0"/>
              <w:snapToGrid w:val="0"/>
              <w:jc w:val="center"/>
              <w:rPr>
                <w:rFonts w:ascii="Times New Roman" w:hAnsi="Times New Roman" w:eastAsia="Times New Roman" w:cs="Times New Roman"/>
                <w:b/>
                <w:lang w:val="en-GB"/>
              </w:rPr>
            </w:pPr>
            <w:r>
              <w:rPr>
                <w:rFonts w:ascii="Times New Roman" w:hAnsi="Times New Roman" w:eastAsia="Times New Roman" w:cs="Times New Roman"/>
                <w:b/>
                <w:lang w:val="en-GB"/>
              </w:rPr>
              <w:t>COV</w:t>
            </w:r>
          </w:p>
        </w:tc>
        <w:tc>
          <w:tcPr>
            <w:tcW w:w="1589" w:type="dxa"/>
            <w:shd w:val="clear" w:color="auto" w:fill="auto"/>
          </w:tcPr>
          <w:p w14:paraId="404C928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Yes</w:t>
            </w:r>
          </w:p>
        </w:tc>
        <w:tc>
          <w:tcPr>
            <w:tcW w:w="1594" w:type="dxa"/>
            <w:shd w:val="clear" w:color="auto" w:fill="auto"/>
          </w:tcPr>
          <w:p w14:paraId="549D40B8">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Yes</w:t>
            </w:r>
          </w:p>
        </w:tc>
        <w:tc>
          <w:tcPr>
            <w:tcW w:w="1594" w:type="dxa"/>
            <w:shd w:val="clear" w:color="auto" w:fill="auto"/>
          </w:tcPr>
          <w:p w14:paraId="2FC8B53A">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Yes</w:t>
            </w:r>
          </w:p>
        </w:tc>
        <w:tc>
          <w:tcPr>
            <w:tcW w:w="1593" w:type="dxa"/>
            <w:shd w:val="clear" w:color="auto" w:fill="auto"/>
          </w:tcPr>
          <w:p w14:paraId="41DD388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Yes</w:t>
            </w:r>
          </w:p>
        </w:tc>
      </w:tr>
      <w:tr w14:paraId="60285B6F">
        <w:trPr>
          <w:jc w:val="center"/>
        </w:trPr>
        <w:tc>
          <w:tcPr>
            <w:tcW w:w="1765" w:type="dxa"/>
            <w:tcBorders>
              <w:top w:val="nil"/>
              <w:left w:val="nil"/>
              <w:bottom w:val="nil"/>
              <w:right w:val="nil"/>
            </w:tcBorders>
            <w:shd w:val="clear" w:color="auto" w:fill="auto"/>
          </w:tcPr>
          <w:p w14:paraId="0C3A0A23">
            <w:pPr>
              <w:suppressAutoHyphens/>
              <w:kinsoku w:val="0"/>
              <w:overflowPunct w:val="0"/>
              <w:autoSpaceDE w:val="0"/>
              <w:autoSpaceDN w:val="0"/>
              <w:adjustRightInd w:val="0"/>
              <w:snapToGrid w:val="0"/>
              <w:jc w:val="center"/>
              <w:rPr>
                <w:rFonts w:ascii="Times New Roman" w:hAnsi="Times New Roman" w:eastAsia="Times New Roman" w:cs="Times New Roman"/>
                <w:b/>
                <w:lang w:val="en-GB"/>
              </w:rPr>
            </w:pPr>
            <w:r>
              <w:rPr>
                <w:rFonts w:ascii="Times New Roman" w:hAnsi="Times New Roman" w:eastAsia="Times New Roman" w:cs="Times New Roman"/>
                <w:b/>
                <w:lang w:val="en-GB"/>
              </w:rPr>
              <w:t>Observations</w:t>
            </w:r>
          </w:p>
        </w:tc>
        <w:tc>
          <w:tcPr>
            <w:tcW w:w="1589" w:type="dxa"/>
            <w:tcBorders>
              <w:top w:val="nil"/>
              <w:left w:val="nil"/>
              <w:bottom w:val="nil"/>
              <w:right w:val="nil"/>
            </w:tcBorders>
            <w:shd w:val="clear" w:color="auto" w:fill="auto"/>
          </w:tcPr>
          <w:p w14:paraId="29A39AA3">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1594" w:type="dxa"/>
            <w:tcBorders>
              <w:top w:val="nil"/>
              <w:left w:val="nil"/>
              <w:bottom w:val="nil"/>
              <w:right w:val="nil"/>
            </w:tcBorders>
            <w:shd w:val="clear" w:color="auto" w:fill="auto"/>
          </w:tcPr>
          <w:p w14:paraId="0470225B">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1594" w:type="dxa"/>
            <w:tcBorders>
              <w:top w:val="nil"/>
              <w:left w:val="nil"/>
              <w:bottom w:val="nil"/>
              <w:right w:val="nil"/>
            </w:tcBorders>
            <w:shd w:val="clear" w:color="auto" w:fill="auto"/>
          </w:tcPr>
          <w:p w14:paraId="5CE2A6F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1593" w:type="dxa"/>
            <w:tcBorders>
              <w:top w:val="nil"/>
              <w:left w:val="nil"/>
              <w:bottom w:val="nil"/>
              <w:right w:val="nil"/>
            </w:tcBorders>
            <w:shd w:val="clear" w:color="auto" w:fill="auto"/>
          </w:tcPr>
          <w:p w14:paraId="7E2B59FE">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r>
      <w:tr w14:paraId="2E23BF5F">
        <w:trPr>
          <w:trHeight w:val="299" w:hRule="atLeast"/>
          <w:jc w:val="center"/>
        </w:trPr>
        <w:tc>
          <w:tcPr>
            <w:tcW w:w="1765" w:type="dxa"/>
            <w:tcBorders>
              <w:top w:val="nil"/>
              <w:left w:val="nil"/>
              <w:bottom w:val="nil"/>
              <w:right w:val="nil"/>
            </w:tcBorders>
            <w:shd w:val="clear" w:color="auto" w:fill="auto"/>
          </w:tcPr>
          <w:p w14:paraId="07489C67">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50</w:t>
            </w:r>
          </w:p>
        </w:tc>
        <w:tc>
          <w:tcPr>
            <w:tcW w:w="1589" w:type="dxa"/>
            <w:tcBorders>
              <w:top w:val="nil"/>
              <w:left w:val="nil"/>
              <w:bottom w:val="nil"/>
              <w:right w:val="nil"/>
            </w:tcBorders>
            <w:shd w:val="clear" w:color="auto" w:fill="auto"/>
          </w:tcPr>
          <w:p w14:paraId="07A4BE30">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8647</w:t>
            </w:r>
          </w:p>
        </w:tc>
        <w:tc>
          <w:tcPr>
            <w:tcW w:w="1594" w:type="dxa"/>
            <w:tcBorders>
              <w:top w:val="nil"/>
              <w:left w:val="nil"/>
              <w:bottom w:val="nil"/>
              <w:right w:val="nil"/>
            </w:tcBorders>
            <w:shd w:val="clear" w:color="auto" w:fill="auto"/>
          </w:tcPr>
          <w:p w14:paraId="5620F5B4">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3021</w:t>
            </w:r>
          </w:p>
        </w:tc>
        <w:tc>
          <w:tcPr>
            <w:tcW w:w="1594" w:type="dxa"/>
            <w:tcBorders>
              <w:top w:val="nil"/>
              <w:left w:val="nil"/>
              <w:bottom w:val="nil"/>
              <w:right w:val="nil"/>
            </w:tcBorders>
            <w:shd w:val="clear" w:color="auto" w:fill="auto"/>
          </w:tcPr>
          <w:p w14:paraId="497ED20E">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6943</w:t>
            </w:r>
          </w:p>
        </w:tc>
        <w:tc>
          <w:tcPr>
            <w:tcW w:w="1593" w:type="dxa"/>
            <w:tcBorders>
              <w:top w:val="nil"/>
              <w:left w:val="nil"/>
              <w:bottom w:val="nil"/>
              <w:right w:val="nil"/>
            </w:tcBorders>
            <w:shd w:val="clear" w:color="auto" w:fill="auto"/>
          </w:tcPr>
          <w:p w14:paraId="214D50DC">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2345</w:t>
            </w:r>
          </w:p>
        </w:tc>
      </w:tr>
      <w:tr w14:paraId="54DCFD64">
        <w:trPr>
          <w:jc w:val="center"/>
        </w:trPr>
        <w:tc>
          <w:tcPr>
            <w:tcW w:w="1765" w:type="dxa"/>
            <w:tcBorders>
              <w:top w:val="nil"/>
              <w:left w:val="nil"/>
              <w:bottom w:val="nil"/>
              <w:right w:val="nil"/>
            </w:tcBorders>
            <w:shd w:val="clear" w:color="auto" w:fill="auto"/>
          </w:tcPr>
          <w:p w14:paraId="2C7162E0">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100</w:t>
            </w:r>
          </w:p>
        </w:tc>
        <w:tc>
          <w:tcPr>
            <w:tcW w:w="1589" w:type="dxa"/>
            <w:tcBorders>
              <w:top w:val="nil"/>
              <w:left w:val="nil"/>
              <w:bottom w:val="nil"/>
              <w:right w:val="nil"/>
            </w:tcBorders>
            <w:shd w:val="clear" w:color="auto" w:fill="auto"/>
          </w:tcPr>
          <w:p w14:paraId="14EAEA2B">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4082</w:t>
            </w:r>
          </w:p>
        </w:tc>
        <w:tc>
          <w:tcPr>
            <w:tcW w:w="1594" w:type="dxa"/>
            <w:tcBorders>
              <w:top w:val="nil"/>
              <w:left w:val="nil"/>
              <w:bottom w:val="nil"/>
              <w:right w:val="nil"/>
            </w:tcBorders>
            <w:shd w:val="clear" w:color="auto" w:fill="auto"/>
          </w:tcPr>
          <w:p w14:paraId="13262F58">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5729</w:t>
            </w:r>
          </w:p>
        </w:tc>
        <w:tc>
          <w:tcPr>
            <w:tcW w:w="1594" w:type="dxa"/>
            <w:tcBorders>
              <w:top w:val="nil"/>
              <w:left w:val="nil"/>
              <w:bottom w:val="nil"/>
              <w:right w:val="nil"/>
            </w:tcBorders>
            <w:shd w:val="clear" w:color="auto" w:fill="auto"/>
          </w:tcPr>
          <w:p w14:paraId="3AF2ED87">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2639</w:t>
            </w:r>
          </w:p>
        </w:tc>
        <w:tc>
          <w:tcPr>
            <w:tcW w:w="1593" w:type="dxa"/>
            <w:tcBorders>
              <w:top w:val="nil"/>
              <w:left w:val="nil"/>
              <w:bottom w:val="nil"/>
              <w:right w:val="nil"/>
            </w:tcBorders>
            <w:shd w:val="clear" w:color="auto" w:fill="auto"/>
          </w:tcPr>
          <w:p w14:paraId="148F347B">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3126</w:t>
            </w:r>
          </w:p>
        </w:tc>
      </w:tr>
      <w:tr w14:paraId="293B202E">
        <w:trPr>
          <w:trHeight w:val="90" w:hRule="atLeast"/>
          <w:jc w:val="center"/>
        </w:trPr>
        <w:tc>
          <w:tcPr>
            <w:tcW w:w="1765" w:type="dxa"/>
            <w:tcBorders>
              <w:top w:val="nil"/>
              <w:left w:val="nil"/>
              <w:bottom w:val="nil"/>
              <w:right w:val="nil"/>
            </w:tcBorders>
            <w:shd w:val="clear" w:color="auto" w:fill="auto"/>
          </w:tcPr>
          <w:p w14:paraId="3CF1D3B3">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150</w:t>
            </w:r>
          </w:p>
        </w:tc>
        <w:tc>
          <w:tcPr>
            <w:tcW w:w="1589" w:type="dxa"/>
            <w:tcBorders>
              <w:top w:val="nil"/>
              <w:left w:val="nil"/>
              <w:bottom w:val="nil"/>
              <w:right w:val="nil"/>
            </w:tcBorders>
            <w:shd w:val="clear" w:color="auto" w:fill="auto"/>
          </w:tcPr>
          <w:p w14:paraId="245342DC">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11904</w:t>
            </w:r>
          </w:p>
        </w:tc>
        <w:tc>
          <w:tcPr>
            <w:tcW w:w="1594" w:type="dxa"/>
            <w:tcBorders>
              <w:top w:val="nil"/>
              <w:left w:val="nil"/>
              <w:bottom w:val="nil"/>
              <w:right w:val="nil"/>
            </w:tcBorders>
            <w:shd w:val="clear" w:color="auto" w:fill="auto"/>
          </w:tcPr>
          <w:p w14:paraId="2938BAAE">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5437</w:t>
            </w:r>
          </w:p>
        </w:tc>
        <w:tc>
          <w:tcPr>
            <w:tcW w:w="1594" w:type="dxa"/>
            <w:tcBorders>
              <w:top w:val="nil"/>
              <w:left w:val="nil"/>
              <w:bottom w:val="nil"/>
              <w:right w:val="nil"/>
            </w:tcBorders>
            <w:shd w:val="clear" w:color="auto" w:fill="auto"/>
          </w:tcPr>
          <w:p w14:paraId="005E670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5531</w:t>
            </w:r>
          </w:p>
        </w:tc>
        <w:tc>
          <w:tcPr>
            <w:tcW w:w="1593" w:type="dxa"/>
            <w:tcBorders>
              <w:top w:val="nil"/>
              <w:left w:val="nil"/>
              <w:bottom w:val="nil"/>
              <w:right w:val="nil"/>
            </w:tcBorders>
            <w:shd w:val="clear" w:color="auto" w:fill="auto"/>
          </w:tcPr>
          <w:p w14:paraId="40A230E9">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3678</w:t>
            </w:r>
          </w:p>
        </w:tc>
      </w:tr>
      <w:tr w14:paraId="6366AC9B">
        <w:trPr>
          <w:jc w:val="center"/>
        </w:trPr>
        <w:tc>
          <w:tcPr>
            <w:tcW w:w="1765" w:type="dxa"/>
            <w:tcBorders>
              <w:top w:val="nil"/>
              <w:left w:val="nil"/>
              <w:bottom w:val="nil"/>
              <w:right w:val="nil"/>
            </w:tcBorders>
            <w:shd w:val="clear" w:color="auto" w:fill="auto"/>
          </w:tcPr>
          <w:p w14:paraId="5C4E5C27">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b/>
                <w:lang w:val="en-GB"/>
              </w:rPr>
              <w:t>Bandwidth</w:t>
            </w:r>
          </w:p>
        </w:tc>
        <w:tc>
          <w:tcPr>
            <w:tcW w:w="1589" w:type="dxa"/>
            <w:tcBorders>
              <w:top w:val="nil"/>
              <w:left w:val="nil"/>
              <w:bottom w:val="nil"/>
              <w:right w:val="nil"/>
            </w:tcBorders>
            <w:shd w:val="clear" w:color="auto" w:fill="auto"/>
          </w:tcPr>
          <w:p w14:paraId="45321D08">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1594" w:type="dxa"/>
            <w:tcBorders>
              <w:top w:val="nil"/>
              <w:left w:val="nil"/>
              <w:bottom w:val="nil"/>
              <w:right w:val="nil"/>
            </w:tcBorders>
            <w:shd w:val="clear" w:color="auto" w:fill="auto"/>
          </w:tcPr>
          <w:p w14:paraId="2E90A615">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1594" w:type="dxa"/>
            <w:tcBorders>
              <w:top w:val="nil"/>
              <w:left w:val="nil"/>
              <w:bottom w:val="nil"/>
              <w:right w:val="nil"/>
            </w:tcBorders>
            <w:shd w:val="clear" w:color="auto" w:fill="auto"/>
          </w:tcPr>
          <w:p w14:paraId="7E4035DD">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c>
          <w:tcPr>
            <w:tcW w:w="1593" w:type="dxa"/>
            <w:tcBorders>
              <w:top w:val="nil"/>
              <w:left w:val="nil"/>
              <w:bottom w:val="nil"/>
              <w:right w:val="nil"/>
            </w:tcBorders>
            <w:shd w:val="clear" w:color="auto" w:fill="auto"/>
          </w:tcPr>
          <w:p w14:paraId="005F4F02">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p>
        </w:tc>
      </w:tr>
      <w:tr w14:paraId="094491C9">
        <w:trPr>
          <w:trHeight w:val="288" w:hRule="atLeast"/>
          <w:jc w:val="center"/>
        </w:trPr>
        <w:tc>
          <w:tcPr>
            <w:tcW w:w="1765" w:type="dxa"/>
            <w:tcBorders>
              <w:top w:val="nil"/>
              <w:left w:val="nil"/>
              <w:bottom w:val="nil"/>
              <w:right w:val="nil"/>
            </w:tcBorders>
            <w:shd w:val="clear" w:color="auto" w:fill="auto"/>
          </w:tcPr>
          <w:p w14:paraId="74F8AEF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50</w:t>
            </w:r>
          </w:p>
        </w:tc>
        <w:tc>
          <w:tcPr>
            <w:tcW w:w="1589" w:type="dxa"/>
            <w:tcBorders>
              <w:top w:val="nil"/>
              <w:left w:val="nil"/>
              <w:bottom w:val="nil"/>
              <w:right w:val="nil"/>
            </w:tcBorders>
            <w:shd w:val="clear" w:color="auto" w:fill="auto"/>
          </w:tcPr>
          <w:p w14:paraId="035C4CB7">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9.58</w:t>
            </w:r>
          </w:p>
        </w:tc>
        <w:tc>
          <w:tcPr>
            <w:tcW w:w="1594" w:type="dxa"/>
            <w:tcBorders>
              <w:top w:val="nil"/>
              <w:left w:val="nil"/>
              <w:bottom w:val="nil"/>
              <w:right w:val="nil"/>
            </w:tcBorders>
            <w:shd w:val="clear" w:color="auto" w:fill="auto"/>
          </w:tcPr>
          <w:p w14:paraId="06F7B105">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6.78</w:t>
            </w:r>
          </w:p>
        </w:tc>
        <w:tc>
          <w:tcPr>
            <w:tcW w:w="1594" w:type="dxa"/>
            <w:tcBorders>
              <w:top w:val="nil"/>
              <w:left w:val="nil"/>
              <w:bottom w:val="nil"/>
              <w:right w:val="nil"/>
            </w:tcBorders>
            <w:shd w:val="clear" w:color="auto" w:fill="auto"/>
          </w:tcPr>
          <w:p w14:paraId="674ECA8E">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8.14</w:t>
            </w:r>
          </w:p>
        </w:tc>
        <w:tc>
          <w:tcPr>
            <w:tcW w:w="1593" w:type="dxa"/>
            <w:tcBorders>
              <w:top w:val="nil"/>
              <w:left w:val="nil"/>
              <w:bottom w:val="nil"/>
              <w:right w:val="nil"/>
            </w:tcBorders>
            <w:shd w:val="clear" w:color="auto" w:fill="auto"/>
          </w:tcPr>
          <w:p w14:paraId="54BD9D33">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5.35</w:t>
            </w:r>
          </w:p>
        </w:tc>
      </w:tr>
      <w:tr w14:paraId="519AF5E5">
        <w:trPr>
          <w:jc w:val="center"/>
        </w:trPr>
        <w:tc>
          <w:tcPr>
            <w:tcW w:w="1765" w:type="dxa"/>
            <w:tcBorders>
              <w:top w:val="nil"/>
              <w:left w:val="nil"/>
              <w:bottom w:val="nil"/>
              <w:right w:val="nil"/>
            </w:tcBorders>
            <w:shd w:val="clear" w:color="auto" w:fill="auto"/>
          </w:tcPr>
          <w:p w14:paraId="269980D9">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100</w:t>
            </w:r>
          </w:p>
        </w:tc>
        <w:tc>
          <w:tcPr>
            <w:tcW w:w="1589" w:type="dxa"/>
            <w:tcBorders>
              <w:top w:val="nil"/>
              <w:left w:val="nil"/>
              <w:bottom w:val="nil"/>
              <w:right w:val="nil"/>
            </w:tcBorders>
            <w:shd w:val="clear" w:color="auto" w:fill="auto"/>
          </w:tcPr>
          <w:p w14:paraId="69F0BA7A">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6.45</w:t>
            </w:r>
          </w:p>
        </w:tc>
        <w:tc>
          <w:tcPr>
            <w:tcW w:w="1594" w:type="dxa"/>
            <w:tcBorders>
              <w:top w:val="nil"/>
              <w:left w:val="nil"/>
              <w:bottom w:val="nil"/>
              <w:right w:val="nil"/>
            </w:tcBorders>
            <w:shd w:val="clear" w:color="auto" w:fill="auto"/>
          </w:tcPr>
          <w:p w14:paraId="532EDC9F">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17.66</w:t>
            </w:r>
          </w:p>
        </w:tc>
        <w:tc>
          <w:tcPr>
            <w:tcW w:w="1594" w:type="dxa"/>
            <w:tcBorders>
              <w:top w:val="nil"/>
              <w:left w:val="nil"/>
              <w:bottom w:val="nil"/>
              <w:right w:val="nil"/>
            </w:tcBorders>
            <w:shd w:val="clear" w:color="auto" w:fill="auto"/>
          </w:tcPr>
          <w:p w14:paraId="47D294BB">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4.51</w:t>
            </w:r>
          </w:p>
        </w:tc>
        <w:tc>
          <w:tcPr>
            <w:tcW w:w="1593" w:type="dxa"/>
            <w:tcBorders>
              <w:top w:val="nil"/>
              <w:left w:val="nil"/>
              <w:bottom w:val="nil"/>
              <w:right w:val="nil"/>
            </w:tcBorders>
            <w:shd w:val="clear" w:color="auto" w:fill="auto"/>
          </w:tcPr>
          <w:p w14:paraId="74A0A305">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10.87</w:t>
            </w:r>
          </w:p>
        </w:tc>
      </w:tr>
      <w:tr w14:paraId="280AF56B">
        <w:trPr>
          <w:jc w:val="center"/>
        </w:trPr>
        <w:tc>
          <w:tcPr>
            <w:tcW w:w="1765" w:type="dxa"/>
            <w:tcBorders>
              <w:top w:val="nil"/>
              <w:left w:val="nil"/>
              <w:bottom w:val="single" w:color="auto" w:sz="6" w:space="0"/>
              <w:right w:val="nil"/>
            </w:tcBorders>
            <w:shd w:val="clear" w:color="auto" w:fill="auto"/>
          </w:tcPr>
          <w:p w14:paraId="40D82E6E">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Cutoff = 150</w:t>
            </w:r>
          </w:p>
        </w:tc>
        <w:tc>
          <w:tcPr>
            <w:tcW w:w="1589" w:type="dxa"/>
            <w:tcBorders>
              <w:top w:val="nil"/>
              <w:left w:val="nil"/>
              <w:bottom w:val="single" w:color="auto" w:sz="6" w:space="0"/>
              <w:right w:val="nil"/>
            </w:tcBorders>
            <w:shd w:val="clear" w:color="auto" w:fill="auto"/>
          </w:tcPr>
          <w:p w14:paraId="4079FC71">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37.66</w:t>
            </w:r>
          </w:p>
        </w:tc>
        <w:tc>
          <w:tcPr>
            <w:tcW w:w="1594" w:type="dxa"/>
            <w:tcBorders>
              <w:top w:val="nil"/>
              <w:left w:val="nil"/>
              <w:bottom w:val="single" w:color="auto" w:sz="6" w:space="0"/>
              <w:right w:val="nil"/>
            </w:tcBorders>
            <w:shd w:val="clear" w:color="auto" w:fill="auto"/>
          </w:tcPr>
          <w:p w14:paraId="22D643A9">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40.10</w:t>
            </w:r>
          </w:p>
        </w:tc>
        <w:tc>
          <w:tcPr>
            <w:tcW w:w="1594" w:type="dxa"/>
            <w:tcBorders>
              <w:top w:val="nil"/>
              <w:left w:val="nil"/>
              <w:bottom w:val="single" w:color="auto" w:sz="6" w:space="0"/>
              <w:right w:val="nil"/>
            </w:tcBorders>
            <w:shd w:val="clear" w:color="auto" w:fill="auto"/>
          </w:tcPr>
          <w:p w14:paraId="10EE5E40">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22.04</w:t>
            </w:r>
          </w:p>
        </w:tc>
        <w:tc>
          <w:tcPr>
            <w:tcW w:w="1593" w:type="dxa"/>
            <w:tcBorders>
              <w:top w:val="nil"/>
              <w:left w:val="nil"/>
              <w:bottom w:val="single" w:color="auto" w:sz="6" w:space="0"/>
              <w:right w:val="nil"/>
            </w:tcBorders>
            <w:shd w:val="clear" w:color="auto" w:fill="auto"/>
          </w:tcPr>
          <w:p w14:paraId="23A2650A">
            <w:pPr>
              <w:suppressAutoHyphens/>
              <w:kinsoku w:val="0"/>
              <w:overflowPunct w:val="0"/>
              <w:autoSpaceDE w:val="0"/>
              <w:autoSpaceDN w:val="0"/>
              <w:adjustRightInd w:val="0"/>
              <w:snapToGrid w:val="0"/>
              <w:jc w:val="center"/>
              <w:rPr>
                <w:rFonts w:ascii="Times New Roman" w:hAnsi="Times New Roman" w:eastAsia="Times New Roman" w:cs="Times New Roman"/>
                <w:lang w:val="en-GB"/>
              </w:rPr>
            </w:pPr>
            <w:r>
              <w:rPr>
                <w:rFonts w:ascii="Times New Roman" w:hAnsi="Times New Roman" w:eastAsia="Times New Roman" w:cs="Times New Roman"/>
                <w:lang w:val="en-GB"/>
              </w:rPr>
              <w:t>38.17</w:t>
            </w:r>
          </w:p>
        </w:tc>
      </w:tr>
    </w:tbl>
    <w:p w14:paraId="4D906FA9">
      <w:pPr>
        <w:suppressAutoHyphens/>
        <w:kinsoku w:val="0"/>
        <w:overflowPunct w:val="0"/>
        <w:autoSpaceDE w:val="0"/>
        <w:autoSpaceDN w:val="0"/>
        <w:adjustRightInd w:val="0"/>
        <w:snapToGrid w:val="0"/>
        <w:spacing w:line="480" w:lineRule="auto"/>
        <w:rPr>
          <w:rFonts w:ascii="Times New Roman" w:hAnsi="Times New Roman" w:eastAsia="Times New Roman Italic" w:cs="Times New Roman"/>
          <w:szCs w:val="21"/>
          <w:lang w:val="en-GB"/>
        </w:rPr>
      </w:pPr>
      <w:r>
        <w:rPr>
          <w:rFonts w:ascii="Times New Roman" w:hAnsi="Times New Roman" w:eastAsia="Times New Roman Italic" w:cs="Times New Roman"/>
          <w:szCs w:val="21"/>
          <w:lang w:val="en-GB"/>
        </w:rPr>
        <w:t>* p &lt; 0.1; ** p &lt; 0.05; *** p &lt; 0.01.</w:t>
      </w:r>
    </w:p>
    <w:p w14:paraId="4775D9F8">
      <w:pPr>
        <w:suppressAutoHyphens/>
        <w:kinsoku w:val="0"/>
        <w:overflowPunct w:val="0"/>
        <w:autoSpaceDE w:val="0"/>
        <w:autoSpaceDN w:val="0"/>
        <w:adjustRightInd w:val="0"/>
        <w:snapToGrid w:val="0"/>
        <w:spacing w:line="480" w:lineRule="auto"/>
        <w:rPr>
          <w:rFonts w:ascii="Times New Roman" w:hAnsi="Times New Roman" w:eastAsia="Times New Roman" w:cs="Times New Roman"/>
          <w:szCs w:val="21"/>
          <w:lang w:val="en-GB"/>
        </w:rPr>
      </w:pPr>
      <w:r>
        <w:rPr>
          <w:rFonts w:ascii="Times New Roman" w:hAnsi="Times New Roman" w:eastAsia="Times New Roman Italic" w:cs="Times New Roman"/>
          <w:szCs w:val="21"/>
          <w:lang w:val="en-GB"/>
        </w:rPr>
        <w:t>The r</w:t>
      </w:r>
      <w:r>
        <w:rPr>
          <w:rFonts w:ascii="Times New Roman" w:hAnsi="Times New Roman" w:eastAsia="Times New Roman" w:cs="Times New Roman"/>
          <w:szCs w:val="21"/>
          <w:lang w:val="en-GB"/>
        </w:rPr>
        <w:t xml:space="preserve">esults </w:t>
      </w:r>
      <w:r>
        <w:rPr>
          <w:rFonts w:ascii="Times New Roman" w:hAnsi="Times New Roman" w:eastAsia="Times New Roman" w:cs="Times New Roman"/>
          <w:szCs w:val="21"/>
        </w:rPr>
        <w:t>are</w:t>
      </w:r>
      <w:r>
        <w:rPr>
          <w:rFonts w:ascii="Times New Roman" w:hAnsi="Times New Roman" w:eastAsia="Times New Roman" w:cs="Times New Roman"/>
          <w:szCs w:val="21"/>
          <w:lang w:val="en-GB"/>
        </w:rPr>
        <w:t xml:space="preserve"> obtained using a regression-discontinuity design with multiple cutoffs proposed by Cattaneo et al.</w:t>
      </w:r>
      <w:r>
        <w:rPr>
          <w:rFonts w:hint="default" w:ascii="Times New Roman" w:hAnsi="Times New Roman" w:eastAsia="Times New Roman" w:cs="Times New Roman"/>
          <w:sz w:val="21"/>
          <w:szCs w:val="21"/>
          <w:vertAlign w:val="superscript"/>
          <w:lang w:val="en-GB"/>
        </w:rPr>
        <w:fldChar w:fldCharType="begin"/>
      </w:r>
      <w:r>
        <w:rPr>
          <w:rFonts w:hint="default" w:ascii="Times New Roman" w:hAnsi="Times New Roman" w:eastAsia="Times New Roman" w:cs="Times New Roman"/>
          <w:sz w:val="21"/>
          <w:szCs w:val="21"/>
          <w:vertAlign w:val="superscript"/>
          <w:lang w:val="en-GB"/>
        </w:rPr>
        <w:instrText xml:space="preserve"> REF _Ref1799768925 \n \h </w:instrText>
      </w:r>
      <w:r>
        <w:rPr>
          <w:rFonts w:hint="default" w:ascii="Times New Roman" w:hAnsi="Times New Roman" w:eastAsia="Times New Roman" w:cs="Times New Roman"/>
          <w:sz w:val="21"/>
          <w:szCs w:val="21"/>
          <w:vertAlign w:val="superscript"/>
          <w:lang w:val="en-GB"/>
        </w:rPr>
        <w:fldChar w:fldCharType="separate"/>
      </w:r>
      <w:r>
        <w:rPr>
          <w:rFonts w:hint="default" w:ascii="Times New Roman" w:hAnsi="Times New Roman" w:eastAsia="Times New Roman" w:cs="Times New Roman"/>
          <w:sz w:val="21"/>
          <w:szCs w:val="21"/>
          <w:vertAlign w:val="superscript"/>
          <w:lang w:val="en-GB"/>
        </w:rPr>
        <w:t>23</w:t>
      </w:r>
      <w:r>
        <w:rPr>
          <w:rFonts w:hint="default" w:ascii="Times New Roman" w:hAnsi="Times New Roman" w:eastAsia="Times New Roman" w:cs="Times New Roman"/>
          <w:sz w:val="21"/>
          <w:szCs w:val="21"/>
          <w:vertAlign w:val="superscript"/>
          <w:lang w:val="en-GB"/>
        </w:rPr>
        <w:fldChar w:fldCharType="end"/>
      </w:r>
      <w:r>
        <w:rPr>
          <w:rFonts w:ascii="Times New Roman" w:hAnsi="Times New Roman" w:eastAsia="Times New Roman" w:cs="Times New Roman"/>
          <w:szCs w:val="21"/>
        </w:rPr>
        <w:t xml:space="preserve">. </w:t>
      </w:r>
      <w:r>
        <w:rPr>
          <w:rFonts w:ascii="Times New Roman" w:hAnsi="Times New Roman" w:eastAsia="Times New Roman" w:cs="Times New Roman"/>
          <w:szCs w:val="21"/>
          <w:lang w:val="en-GB"/>
        </w:rPr>
        <w:t xml:space="preserve">Coefficients </w:t>
      </w:r>
      <w:r>
        <w:rPr>
          <w:rFonts w:ascii="Times New Roman" w:hAnsi="Times New Roman" w:eastAsia="Times New Roman" w:cs="Times New Roman"/>
          <w:szCs w:val="21"/>
        </w:rPr>
        <w:t>are</w:t>
      </w:r>
      <w:r>
        <w:rPr>
          <w:rFonts w:ascii="Times New Roman" w:hAnsi="Times New Roman" w:eastAsia="Times New Roman" w:cs="Times New Roman"/>
          <w:szCs w:val="21"/>
          <w:lang w:val="en-GB"/>
        </w:rPr>
        <w:t xml:space="preserve"> estimated at three cutoffs. COV indicates whether covariates (</w:t>
      </w:r>
      <w:r>
        <w:rPr>
          <w:rFonts w:ascii="Times New Roman" w:hAnsi="Times New Roman" w:eastAsia="Times New Roman" w:cs="Times New Roman"/>
          <w:i/>
          <w:szCs w:val="21"/>
          <w:lang w:val="en-GB"/>
        </w:rPr>
        <w:t>Male</w:t>
      </w:r>
      <w:r>
        <w:rPr>
          <w:rFonts w:ascii="Times New Roman" w:hAnsi="Times New Roman" w:eastAsia="Times New Roman" w:cs="Times New Roman"/>
          <w:szCs w:val="21"/>
          <w:lang w:val="en-GB"/>
        </w:rPr>
        <w:t xml:space="preserve">, </w:t>
      </w:r>
      <w:r>
        <w:rPr>
          <w:rFonts w:ascii="Times New Roman" w:hAnsi="Times New Roman" w:eastAsia="Times New Roman" w:cs="Times New Roman"/>
          <w:i/>
          <w:szCs w:val="21"/>
          <w:lang w:val="en-GB"/>
        </w:rPr>
        <w:t>Age</w:t>
      </w:r>
      <w:r>
        <w:rPr>
          <w:rFonts w:ascii="Times New Roman" w:hAnsi="Times New Roman" w:eastAsia="Times New Roman" w:cs="Times New Roman"/>
          <w:iCs/>
          <w:szCs w:val="21"/>
          <w:lang w:val="en-GB"/>
        </w:rPr>
        <w:t>,</w:t>
      </w:r>
      <w:r>
        <w:rPr>
          <w:rFonts w:ascii="Times New Roman" w:hAnsi="Times New Roman" w:eastAsia="Times New Roman" w:cs="Times New Roman"/>
          <w:szCs w:val="21"/>
          <w:lang w:val="en-GB"/>
        </w:rPr>
        <w:t xml:space="preserve"> and </w:t>
      </w:r>
      <w:r>
        <w:rPr>
          <w:rFonts w:ascii="Times New Roman" w:hAnsi="Times New Roman" w:eastAsia="Times New Roman" w:cs="Times New Roman"/>
          <w:i/>
          <w:szCs w:val="21"/>
          <w:lang w:val="en-GB"/>
        </w:rPr>
        <w:t>Work_School</w:t>
      </w:r>
      <w:r>
        <w:rPr>
          <w:rFonts w:ascii="Times New Roman" w:hAnsi="Times New Roman" w:eastAsia="Times New Roman" w:cs="Times New Roman"/>
          <w:szCs w:val="21"/>
          <w:lang w:val="en-GB"/>
        </w:rPr>
        <w:t>) are included; observations represent the sample size for the local regression analysis around each cutoff; and bandwidth denotes the window size on the left and right sides of the cutoff, determined using the optimal mean squared error method, with equal bandwidths selected for both sides. Columns (1) and (2) present the effect of air quality information on commuting trips for the low- and high-income groups, and Columns (3) and (4) present the effect of air quality information on high-exposure trips for the low- and high-income groups. The results indicate that poor air quality information reduce</w:t>
      </w:r>
      <w:r>
        <w:rPr>
          <w:rFonts w:hint="eastAsia" w:ascii="Times New Roman" w:hAnsi="Times New Roman" w:eastAsia="宋体" w:cs="Times New Roman"/>
          <w:szCs w:val="21"/>
          <w:lang w:eastAsia="zh-CN"/>
        </w:rPr>
        <w:t>s</w:t>
      </w:r>
      <w:r>
        <w:rPr>
          <w:rFonts w:ascii="Times New Roman" w:hAnsi="Times New Roman" w:eastAsia="Times New Roman" w:cs="Times New Roman"/>
          <w:szCs w:val="21"/>
          <w:lang w:val="en-GB"/>
        </w:rPr>
        <w:t xml:space="preserve"> commuting trips in the high-income group but ha</w:t>
      </w:r>
      <w:r>
        <w:rPr>
          <w:rFonts w:ascii="Times New Roman" w:hAnsi="Times New Roman" w:eastAsia="Times New Roman" w:cs="Times New Roman"/>
          <w:szCs w:val="21"/>
        </w:rPr>
        <w:t>s</w:t>
      </w:r>
      <w:r>
        <w:rPr>
          <w:rFonts w:ascii="Times New Roman" w:hAnsi="Times New Roman" w:eastAsia="Times New Roman" w:cs="Times New Roman"/>
          <w:szCs w:val="21"/>
          <w:lang w:val="en-GB"/>
        </w:rPr>
        <w:t xml:space="preserve"> no significant effect on the low-income group. Moreover, poor air quality information reduce</w:t>
      </w:r>
      <w:r>
        <w:rPr>
          <w:rFonts w:ascii="Times New Roman" w:hAnsi="Times New Roman" w:eastAsia="Times New Roman" w:cs="Times New Roman"/>
          <w:szCs w:val="21"/>
        </w:rPr>
        <w:t>s</w:t>
      </w:r>
      <w:r>
        <w:rPr>
          <w:rFonts w:ascii="Times New Roman" w:hAnsi="Times New Roman" w:eastAsia="Times New Roman" w:cs="Times New Roman"/>
          <w:szCs w:val="21"/>
          <w:lang w:val="en-GB"/>
        </w:rPr>
        <w:t xml:space="preserve"> high-exposure trips in the low-income group but ha</w:t>
      </w:r>
      <w:r>
        <w:rPr>
          <w:rFonts w:ascii="Times New Roman" w:hAnsi="Times New Roman" w:eastAsia="Times New Roman" w:cs="Times New Roman"/>
          <w:szCs w:val="21"/>
        </w:rPr>
        <w:t>s</w:t>
      </w:r>
      <w:r>
        <w:rPr>
          <w:rFonts w:ascii="Times New Roman" w:hAnsi="Times New Roman" w:eastAsia="Times New Roman" w:cs="Times New Roman"/>
          <w:szCs w:val="21"/>
          <w:lang w:val="en-GB"/>
        </w:rPr>
        <w:t xml:space="preserve"> no significant effect on the high-income group.</w:t>
      </w:r>
    </w:p>
    <w:p w14:paraId="0F37DF9B">
      <w:pPr>
        <w:suppressAutoHyphens/>
        <w:kinsoku w:val="0"/>
        <w:overflowPunct w:val="0"/>
        <w:autoSpaceDE w:val="0"/>
        <w:autoSpaceDN w:val="0"/>
        <w:adjustRightInd w:val="0"/>
        <w:snapToGrid w:val="0"/>
        <w:spacing w:line="480" w:lineRule="auto"/>
        <w:rPr>
          <w:rFonts w:ascii="Times New Roman" w:hAnsi="Times New Roman" w:eastAsia="Times New Roman" w:cs="Times New Roman"/>
          <w:b/>
          <w:sz w:val="32"/>
          <w:lang w:val="en-GB"/>
        </w:rPr>
      </w:pPr>
      <w:r>
        <w:rPr>
          <w:rFonts w:ascii="Times New Roman" w:hAnsi="Times New Roman" w:cs="Times New Roman"/>
          <w:b/>
          <w:lang w:val="en-GB"/>
        </w:rPr>
        <w:br w:type="page"/>
      </w:r>
    </w:p>
    <w:p w14:paraId="6D89EEFC">
      <w:pPr>
        <w:suppressAutoHyphens/>
        <w:kinsoku w:val="0"/>
        <w:overflowPunct w:val="0"/>
        <w:autoSpaceDE w:val="0"/>
        <w:autoSpaceDN w:val="0"/>
        <w:adjustRightInd w:val="0"/>
        <w:snapToGrid w:val="0"/>
        <w:spacing w:line="480" w:lineRule="auto"/>
        <w:jc w:val="left"/>
        <w:outlineLvl w:val="0"/>
        <w:rPr>
          <w:rFonts w:ascii="Times New Roman" w:hAnsi="Times New Roman" w:eastAsia="Times New Roman" w:cs="Times New Roman"/>
          <w:b/>
          <w:sz w:val="32"/>
          <w:lang w:val="en-GB"/>
        </w:rPr>
      </w:pPr>
      <w:bookmarkStart w:id="53" w:name="_Toc1960256753"/>
      <w:bookmarkStart w:id="54" w:name="_Toc1981033730"/>
      <w:bookmarkStart w:id="55" w:name="_Toc1971920038"/>
      <w:bookmarkStart w:id="56" w:name="_Toc488278694"/>
      <w:r>
        <w:rPr>
          <w:rFonts w:ascii="Times New Roman" w:hAnsi="Times New Roman" w:eastAsia="Times New Roman" w:cs="Times New Roman"/>
          <w:b/>
          <w:sz w:val="32"/>
          <w:lang w:val="en-GB"/>
        </w:rPr>
        <w:t>F. Source of Data on Dissemination of Air Quality Information to the Public</w:t>
      </w:r>
      <w:bookmarkEnd w:id="53"/>
      <w:bookmarkEnd w:id="54"/>
      <w:bookmarkEnd w:id="55"/>
      <w:bookmarkEnd w:id="56"/>
    </w:p>
    <w:p w14:paraId="5FA223CB">
      <w:p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r>
        <w:fldChar w:fldCharType="begin"/>
      </w:r>
      <w:r>
        <w:instrText xml:space="preserve"> HYPERLINK "https://www.gov.cn/gzdt/2013-01/26/content_2320174.htm" </w:instrText>
      </w:r>
      <w:r>
        <w:fldChar w:fldCharType="separate"/>
      </w:r>
      <w:r>
        <w:rPr>
          <w:rStyle w:val="23"/>
          <w:rFonts w:ascii="Times New Roman" w:hAnsi="Times New Roman" w:eastAsia="Times New Roman" w:cs="Times New Roman"/>
          <w:sz w:val="24"/>
          <w:lang w:val="en-GB"/>
        </w:rPr>
        <w:t>https://www.gov.cn/gzdt/2013-01/26/content_2320174.htm</w:t>
      </w:r>
      <w:r>
        <w:rPr>
          <w:rStyle w:val="23"/>
          <w:rFonts w:ascii="Times New Roman" w:hAnsi="Times New Roman" w:eastAsia="Times New Roman" w:cs="Times New Roman"/>
          <w:sz w:val="24"/>
          <w:lang w:val="en-GB"/>
        </w:rPr>
        <w:fldChar w:fldCharType="end"/>
      </w:r>
    </w:p>
    <w:p w14:paraId="6A441276">
      <w:pPr>
        <w:suppressAutoHyphens/>
        <w:kinsoku w:val="0"/>
        <w:overflowPunct w:val="0"/>
        <w:autoSpaceDE w:val="0"/>
        <w:autoSpaceDN w:val="0"/>
        <w:adjustRightInd w:val="0"/>
        <w:snapToGrid w:val="0"/>
        <w:spacing w:line="480" w:lineRule="auto"/>
        <w:rPr>
          <w:rFonts w:ascii="Times New Roman" w:hAnsi="Times New Roman" w:eastAsia="Times New Roman" w:cs="Times New Roman"/>
          <w:lang w:val="en-GB"/>
        </w:rPr>
      </w:pPr>
      <w:r>
        <w:rPr>
          <w:rFonts w:ascii="Times New Roman" w:hAnsi="Times New Roman" w:eastAsia="Times New Roman" w:cs="Times New Roman"/>
          <w:lang w:val="en-GB"/>
        </w:rPr>
        <w:drawing>
          <wp:inline distT="0" distB="0" distL="114300" distR="114300">
            <wp:extent cx="5271770" cy="3666490"/>
            <wp:effectExtent l="0" t="0" r="11430" b="1651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1"/>
                    <a:stretch>
                      <a:fillRect/>
                    </a:stretch>
                  </pic:blipFill>
                  <pic:spPr>
                    <a:xfrm>
                      <a:off x="0" y="0"/>
                      <a:ext cx="5271770" cy="3666490"/>
                    </a:xfrm>
                    <a:prstGeom prst="rect">
                      <a:avLst/>
                    </a:prstGeom>
                    <a:noFill/>
                    <a:ln>
                      <a:noFill/>
                    </a:ln>
                  </pic:spPr>
                </pic:pic>
              </a:graphicData>
            </a:graphic>
          </wp:inline>
        </w:drawing>
      </w:r>
    </w:p>
    <w:p w14:paraId="50853266">
      <w:pPr>
        <w:suppressAutoHyphens/>
        <w:kinsoku w:val="0"/>
        <w:overflowPunct w:val="0"/>
        <w:autoSpaceDE w:val="0"/>
        <w:autoSpaceDN w:val="0"/>
        <w:adjustRightInd w:val="0"/>
        <w:snapToGrid w:val="0"/>
        <w:spacing w:line="480" w:lineRule="auto"/>
        <w:rPr>
          <w:rFonts w:ascii="Times New Roman" w:hAnsi="Times New Roman" w:eastAsia="Times New Roman" w:cs="Times New Roman"/>
          <w:lang w:val="en-GB"/>
        </w:rPr>
      </w:pPr>
    </w:p>
    <w:p w14:paraId="20EB64B9">
      <w:pPr>
        <w:suppressAutoHyphens/>
        <w:kinsoku w:val="0"/>
        <w:overflowPunct w:val="0"/>
        <w:autoSpaceDE w:val="0"/>
        <w:autoSpaceDN w:val="0"/>
        <w:adjustRightInd w:val="0"/>
        <w:snapToGrid w:val="0"/>
        <w:spacing w:line="480" w:lineRule="auto"/>
        <w:rPr>
          <w:rFonts w:ascii="Times New Roman" w:hAnsi="Times New Roman" w:eastAsia="Times New Roman" w:cs="Times New Roman"/>
          <w:lang w:val="en-GB"/>
        </w:rPr>
      </w:pPr>
      <w:r>
        <w:rPr>
          <w:rFonts w:ascii="Times New Roman" w:hAnsi="Times New Roman" w:cs="Times New Roman"/>
          <w:lang w:val="en-GB"/>
        </w:rPr>
        <w:br w:type="page"/>
      </w:r>
    </w:p>
    <w:p w14:paraId="0183D5BE">
      <w:pPr>
        <w:suppressAutoHyphens/>
        <w:kinsoku w:val="0"/>
        <w:overflowPunct w:val="0"/>
        <w:autoSpaceDE w:val="0"/>
        <w:autoSpaceDN w:val="0"/>
        <w:adjustRightInd w:val="0"/>
        <w:snapToGrid w:val="0"/>
        <w:spacing w:line="480" w:lineRule="auto"/>
        <w:outlineLvl w:val="0"/>
        <w:rPr>
          <w:rFonts w:ascii="Times New Roman" w:hAnsi="Times New Roman" w:eastAsia="Times New Roman" w:cs="Times New Roman"/>
          <w:b/>
          <w:sz w:val="32"/>
          <w:lang w:val="en-GB"/>
        </w:rPr>
      </w:pPr>
      <w:bookmarkStart w:id="57" w:name="_Toc647437022"/>
      <w:bookmarkStart w:id="58" w:name="_Toc1488619044"/>
      <w:bookmarkStart w:id="59" w:name="_Toc2092438162"/>
      <w:bookmarkStart w:id="60" w:name="_Toc964994871"/>
      <w:r>
        <w:rPr>
          <w:rFonts w:ascii="Times New Roman" w:hAnsi="Times New Roman" w:eastAsia="Times New Roman" w:cs="Times New Roman"/>
          <w:b/>
          <w:sz w:val="32"/>
          <w:lang w:val="en-GB"/>
        </w:rPr>
        <w:t>References</w:t>
      </w:r>
      <w:bookmarkEnd w:id="57"/>
      <w:bookmarkEnd w:id="58"/>
      <w:bookmarkEnd w:id="59"/>
      <w:bookmarkEnd w:id="60"/>
    </w:p>
    <w:p w14:paraId="6F49CB75">
      <w:pPr>
        <w:numPr>
          <w:ilvl w:val="0"/>
          <w:numId w:val="1"/>
        </w:num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bookmarkStart w:id="61" w:name="_Ref1125060209"/>
      <w:r>
        <w:rPr>
          <w:rFonts w:ascii="Times New Roman" w:hAnsi="Times New Roman" w:eastAsia="Times New Roman" w:cs="Times New Roman"/>
          <w:lang w:val="en-GB"/>
        </w:rPr>
        <w:t>Guo, Y. et al</w:t>
      </w:r>
      <w:r>
        <w:rPr>
          <w:rFonts w:ascii="Times New Roman" w:hAnsi="Times New Roman" w:eastAsia="Times New Roman" w:cs="Times New Roman"/>
          <w:i/>
          <w:lang w:val="en-GB"/>
        </w:rPr>
        <w:t>.</w:t>
      </w:r>
      <w:r>
        <w:rPr>
          <w:rFonts w:ascii="Times New Roman" w:hAnsi="Times New Roman" w:eastAsia="Times New Roman" w:cs="Times New Roman"/>
          <w:lang w:val="en-GB"/>
        </w:rPr>
        <w:t xml:space="preserve"> Factors affecting parent’s perception on air quality -From the individual to the community level. </w:t>
      </w:r>
      <w:r>
        <w:rPr>
          <w:rFonts w:ascii="Times New Roman" w:hAnsi="Times New Roman" w:eastAsia="Times New Roman" w:cs="Times New Roman"/>
          <w:i/>
          <w:lang w:val="en-GB"/>
        </w:rPr>
        <w:t xml:space="preserve">Int. J. Environ. Res. Public Health </w:t>
      </w:r>
      <w:r>
        <w:rPr>
          <w:rFonts w:ascii="Times New Roman" w:hAnsi="Times New Roman" w:eastAsia="Times New Roman" w:cs="Times New Roman"/>
          <w:b/>
          <w:lang w:val="en-GB"/>
        </w:rPr>
        <w:t>13</w:t>
      </w:r>
      <w:r>
        <w:rPr>
          <w:rFonts w:ascii="Times New Roman" w:hAnsi="Times New Roman" w:eastAsia="Times New Roman Bold" w:cs="Times New Roman"/>
          <w:b/>
          <w:lang w:val="en-GB"/>
        </w:rPr>
        <w:t>,</w:t>
      </w:r>
      <w:r>
        <w:rPr>
          <w:rFonts w:ascii="Times New Roman" w:hAnsi="Times New Roman" w:eastAsia="Times New Roman" w:cs="Times New Roman"/>
          <w:lang w:val="en-GB"/>
        </w:rPr>
        <w:t xml:space="preserve"> 493 (2016). </w:t>
      </w:r>
      <w:r>
        <w:fldChar w:fldCharType="begin"/>
      </w:r>
      <w:r>
        <w:instrText xml:space="preserve"> HYPERLINK "https://doi.org/10.3390/ijerph13050493" </w:instrText>
      </w:r>
      <w:r>
        <w:fldChar w:fldCharType="separate"/>
      </w:r>
      <w:r>
        <w:rPr>
          <w:rStyle w:val="23"/>
          <w:rFonts w:ascii="Times New Roman" w:hAnsi="Times New Roman" w:eastAsia="Times New Roman" w:cs="Times New Roman"/>
          <w:lang w:val="en-GB"/>
        </w:rPr>
        <w:t>10.3390/ijerph13050493</w:t>
      </w:r>
      <w:r>
        <w:rPr>
          <w:rStyle w:val="23"/>
          <w:rFonts w:ascii="Times New Roman" w:hAnsi="Times New Roman" w:eastAsia="Times New Roman" w:cs="Times New Roman"/>
          <w:lang w:val="en-GB"/>
        </w:rPr>
        <w:fldChar w:fldCharType="end"/>
      </w:r>
      <w:r>
        <w:rPr>
          <w:rFonts w:ascii="Times New Roman" w:hAnsi="Times New Roman" w:eastAsia="Times New Roman" w:cs="Times New Roman"/>
          <w:lang w:val="en-GB"/>
        </w:rPr>
        <w:t xml:space="preserve">, PubMed: </w:t>
      </w:r>
      <w:r>
        <w:fldChar w:fldCharType="begin"/>
      </w:r>
      <w:r>
        <w:instrText xml:space="preserve"> HYPERLINK "https://www.ncbi.nlm.nih.gov/pubmed/27187432" </w:instrText>
      </w:r>
      <w:r>
        <w:fldChar w:fldCharType="separate"/>
      </w:r>
      <w:r>
        <w:rPr>
          <w:rStyle w:val="23"/>
          <w:rFonts w:ascii="Times New Roman" w:hAnsi="Times New Roman" w:eastAsia="Times New Roman" w:cs="Times New Roman"/>
          <w:lang w:val="en-GB"/>
        </w:rPr>
        <w:t>27187432</w:t>
      </w:r>
      <w:r>
        <w:rPr>
          <w:rStyle w:val="23"/>
          <w:rFonts w:ascii="Times New Roman" w:hAnsi="Times New Roman" w:eastAsia="Times New Roman" w:cs="Times New Roman"/>
          <w:lang w:val="en-GB"/>
        </w:rPr>
        <w:fldChar w:fldCharType="end"/>
      </w:r>
      <w:r>
        <w:rPr>
          <w:rFonts w:ascii="Times New Roman" w:hAnsi="Times New Roman" w:eastAsia="Times New Roman" w:cs="Times New Roman"/>
          <w:lang w:val="en-GB"/>
        </w:rPr>
        <w:t>.</w:t>
      </w:r>
      <w:bookmarkEnd w:id="61"/>
    </w:p>
    <w:p w14:paraId="4C1C9512">
      <w:pPr>
        <w:numPr>
          <w:ilvl w:val="0"/>
          <w:numId w:val="1"/>
        </w:num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bookmarkStart w:id="62" w:name="_Ref1125278700"/>
      <w:r>
        <w:rPr>
          <w:rFonts w:ascii="Times New Roman" w:hAnsi="Times New Roman" w:eastAsia="Times New Roman" w:cs="Times New Roman"/>
          <w:lang w:val="en-GB"/>
        </w:rPr>
        <w:t xml:space="preserve">Barwick, P. J., Li, S., Lin, L. &amp; Zou, E. Y. From fog to smog: The value of pollution information. </w:t>
      </w:r>
      <w:r>
        <w:rPr>
          <w:rFonts w:ascii="Times New Roman" w:hAnsi="Times New Roman" w:eastAsia="Times New Roman" w:cs="Times New Roman"/>
          <w:i/>
          <w:lang w:val="en-GB"/>
        </w:rPr>
        <w:t>Am. Econ. Rev.</w:t>
      </w:r>
      <w:r>
        <w:rPr>
          <w:rFonts w:ascii="Times New Roman" w:hAnsi="Times New Roman" w:eastAsia="Times New Roman" w:cs="Times New Roman"/>
          <w:lang w:val="en-GB"/>
        </w:rPr>
        <w:t xml:space="preserve"> </w:t>
      </w:r>
      <w:r>
        <w:rPr>
          <w:rFonts w:ascii="Times New Roman" w:hAnsi="Times New Roman" w:eastAsia="Times New Roman" w:cs="Times New Roman"/>
          <w:b/>
          <w:lang w:val="en-GB"/>
        </w:rPr>
        <w:t>114</w:t>
      </w:r>
      <w:r>
        <w:rPr>
          <w:rFonts w:ascii="Times New Roman" w:hAnsi="Times New Roman" w:eastAsia="Times New Roman Bold" w:cs="Times New Roman"/>
          <w:b/>
          <w:lang w:val="en-GB"/>
        </w:rPr>
        <w:t>,</w:t>
      </w:r>
      <w:r>
        <w:rPr>
          <w:rFonts w:ascii="Times New Roman" w:hAnsi="Times New Roman" w:eastAsia="Times New Roman" w:cs="Times New Roman"/>
          <w:lang w:val="en-GB"/>
        </w:rPr>
        <w:t xml:space="preserve"> 1338–1381 (2024). </w:t>
      </w:r>
      <w:r>
        <w:fldChar w:fldCharType="begin"/>
      </w:r>
      <w:r>
        <w:instrText xml:space="preserve"> HYPERLINK "https://doi.org/10.1257/aer.20200956" </w:instrText>
      </w:r>
      <w:r>
        <w:fldChar w:fldCharType="separate"/>
      </w:r>
      <w:r>
        <w:rPr>
          <w:rStyle w:val="23"/>
          <w:rFonts w:ascii="Times New Roman" w:hAnsi="Times New Roman" w:eastAsia="Times New Roman" w:cs="Times New Roman"/>
          <w:lang w:val="en-GB"/>
        </w:rPr>
        <w:t>10.1257/aer.20200956</w:t>
      </w:r>
      <w:r>
        <w:rPr>
          <w:rStyle w:val="23"/>
          <w:rFonts w:ascii="Times New Roman" w:hAnsi="Times New Roman" w:eastAsia="Times New Roman" w:cs="Times New Roman"/>
          <w:lang w:val="en-GB"/>
        </w:rPr>
        <w:fldChar w:fldCharType="end"/>
      </w:r>
      <w:r>
        <w:rPr>
          <w:rFonts w:ascii="Times New Roman" w:hAnsi="Times New Roman" w:eastAsia="Times New Roman" w:cs="Times New Roman"/>
          <w:lang w:val="en-GB"/>
        </w:rPr>
        <w:t>.</w:t>
      </w:r>
      <w:bookmarkEnd w:id="62"/>
    </w:p>
    <w:p w14:paraId="7F8FC3B4">
      <w:pPr>
        <w:numPr>
          <w:ilvl w:val="0"/>
          <w:numId w:val="1"/>
        </w:num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bookmarkStart w:id="63" w:name="_Ref1125480384"/>
      <w:r>
        <w:rPr>
          <w:rFonts w:ascii="Times New Roman" w:hAnsi="Times New Roman" w:eastAsia="Times New Roman" w:cs="Times New Roman"/>
          <w:lang w:val="en-GB"/>
        </w:rPr>
        <w:t xml:space="preserve">Wang, Y., Sun, M., Yang, X. &amp; Yuan, X. Public awareness and willingness to pay for tackling smog pollution in China: A case study. </w:t>
      </w:r>
      <w:r>
        <w:rPr>
          <w:rFonts w:ascii="Times New Roman" w:hAnsi="Times New Roman" w:eastAsia="Times New Roman Italic" w:cs="Times New Roman"/>
          <w:i/>
          <w:lang w:val="en-GB"/>
        </w:rPr>
        <w:t>J. Clean. Prod.</w:t>
      </w:r>
      <w:r>
        <w:rPr>
          <w:rFonts w:ascii="Times New Roman" w:hAnsi="Times New Roman" w:eastAsia="Times New Roman" w:cs="Times New Roman"/>
          <w:lang w:val="en-GB"/>
        </w:rPr>
        <w:t xml:space="preserve"> </w:t>
      </w:r>
      <w:r>
        <w:rPr>
          <w:rFonts w:ascii="Times New Roman" w:hAnsi="Times New Roman" w:eastAsia="Times New Roman" w:cs="Times New Roman"/>
          <w:b/>
          <w:lang w:val="en-GB"/>
        </w:rPr>
        <w:t>112</w:t>
      </w:r>
      <w:r>
        <w:rPr>
          <w:rFonts w:ascii="Times New Roman" w:hAnsi="Times New Roman" w:eastAsia="Times New Roman Bold" w:cs="Times New Roman"/>
          <w:b/>
          <w:lang w:val="en-GB"/>
        </w:rPr>
        <w:t>,</w:t>
      </w:r>
      <w:r>
        <w:rPr>
          <w:rFonts w:ascii="Times New Roman" w:hAnsi="Times New Roman" w:eastAsia="Times New Roman" w:cs="Times New Roman"/>
          <w:lang w:val="en-GB"/>
        </w:rPr>
        <w:t xml:space="preserve"> 1627–1634 (2016). </w:t>
      </w:r>
      <w:r>
        <w:fldChar w:fldCharType="begin"/>
      </w:r>
      <w:r>
        <w:instrText xml:space="preserve"> HYPERLINK "https://doi.org/10.1016/j.jclepro.2015.04.135" </w:instrText>
      </w:r>
      <w:r>
        <w:fldChar w:fldCharType="separate"/>
      </w:r>
      <w:r>
        <w:rPr>
          <w:rStyle w:val="23"/>
          <w:rFonts w:ascii="Times New Roman" w:hAnsi="Times New Roman" w:eastAsia="Times New Roman" w:cs="Times New Roman"/>
          <w:lang w:val="en-GB"/>
        </w:rPr>
        <w:t>10.1016/j.jclepro.2015.04.135</w:t>
      </w:r>
      <w:r>
        <w:rPr>
          <w:rStyle w:val="23"/>
          <w:rFonts w:ascii="Times New Roman" w:hAnsi="Times New Roman" w:eastAsia="Times New Roman" w:cs="Times New Roman"/>
          <w:lang w:val="en-GB"/>
        </w:rPr>
        <w:fldChar w:fldCharType="end"/>
      </w:r>
      <w:r>
        <w:rPr>
          <w:rFonts w:ascii="Times New Roman" w:hAnsi="Times New Roman" w:eastAsia="Times New Roman" w:cs="Times New Roman"/>
          <w:lang w:val="en-GB"/>
        </w:rPr>
        <w:t>.</w:t>
      </w:r>
      <w:bookmarkEnd w:id="63"/>
    </w:p>
    <w:p w14:paraId="3F3D95DA">
      <w:pPr>
        <w:numPr>
          <w:ilvl w:val="0"/>
          <w:numId w:val="1"/>
        </w:num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bookmarkStart w:id="64" w:name="_Ref1125648454"/>
      <w:r>
        <w:rPr>
          <w:rFonts w:ascii="Times New Roman" w:hAnsi="Times New Roman" w:eastAsia="Times New Roman" w:cs="Times New Roman"/>
          <w:lang w:val="en-GB"/>
        </w:rPr>
        <w:t xml:space="preserve">Gao, X., Song, R. &amp; Timmins, C. Information, migration, and the value of clean air. </w:t>
      </w:r>
      <w:r>
        <w:rPr>
          <w:rFonts w:ascii="Times New Roman" w:hAnsi="Times New Roman" w:eastAsia="Times New Roman" w:cs="Times New Roman"/>
          <w:i/>
          <w:lang w:val="en-GB"/>
        </w:rPr>
        <w:t>J. Dev. Econ.</w:t>
      </w:r>
      <w:r>
        <w:rPr>
          <w:rFonts w:ascii="Times New Roman" w:hAnsi="Times New Roman" w:eastAsia="Times New Roman" w:cs="Times New Roman"/>
          <w:lang w:val="en-GB"/>
        </w:rPr>
        <w:t xml:space="preserve"> </w:t>
      </w:r>
      <w:r>
        <w:rPr>
          <w:rFonts w:ascii="Times New Roman" w:hAnsi="Times New Roman" w:eastAsia="Times New Roman" w:cs="Times New Roman"/>
          <w:b/>
          <w:lang w:val="en-GB"/>
        </w:rPr>
        <w:t>163</w:t>
      </w:r>
      <w:r>
        <w:rPr>
          <w:rFonts w:ascii="Times New Roman" w:hAnsi="Times New Roman" w:eastAsia="Times New Roman" w:cs="Times New Roman"/>
          <w:lang w:val="en-GB"/>
        </w:rPr>
        <w:t xml:space="preserve"> (2023)</w:t>
      </w:r>
      <w:r>
        <w:rPr>
          <w:rFonts w:ascii="Times New Roman" w:hAnsi="Times New Roman" w:eastAsia="Times New Roman Bold" w:cs="Times New Roman"/>
          <w:b/>
          <w:lang w:val="en-GB"/>
        </w:rPr>
        <w:t xml:space="preserve">. </w:t>
      </w:r>
      <w:r>
        <w:fldChar w:fldCharType="begin"/>
      </w:r>
      <w:r>
        <w:instrText xml:space="preserve"> HYPERLINK "https://doi.org/10.1016/j.jdeveco.2023.103079" </w:instrText>
      </w:r>
      <w:r>
        <w:fldChar w:fldCharType="separate"/>
      </w:r>
      <w:r>
        <w:fldChar w:fldCharType="end"/>
      </w:r>
      <w:r>
        <w:rPr>
          <w:rFonts w:ascii="Times New Roman" w:hAnsi="Times New Roman" w:eastAsia="Times New Roman" w:cs="Times New Roman"/>
          <w:lang w:val="en-GB"/>
        </w:rPr>
        <w:t>.</w:t>
      </w:r>
      <w:bookmarkEnd w:id="64"/>
    </w:p>
    <w:p w14:paraId="38AA95ED">
      <w:pPr>
        <w:numPr>
          <w:ilvl w:val="0"/>
          <w:numId w:val="1"/>
        </w:num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bookmarkStart w:id="65" w:name="_Ref1125799717"/>
      <w:r>
        <w:rPr>
          <w:rFonts w:ascii="Times New Roman" w:hAnsi="Times New Roman" w:eastAsia="Times New Roman" w:cs="Times New Roman"/>
          <w:lang w:val="en-GB"/>
        </w:rPr>
        <w:t xml:space="preserve">Graff Zivin, J. G. &amp; Neidell, M. Days of haze: Environmental information disclosure and intertemporal avoidance behavior. </w:t>
      </w:r>
      <w:r>
        <w:rPr>
          <w:rFonts w:ascii="Times New Roman" w:hAnsi="Times New Roman" w:eastAsia="Times New Roman" w:cs="Times New Roman"/>
          <w:i/>
          <w:lang w:val="en-GB"/>
        </w:rPr>
        <w:t>J. Environ. Econ. Manage.</w:t>
      </w:r>
      <w:r>
        <w:rPr>
          <w:rFonts w:ascii="Times New Roman" w:hAnsi="Times New Roman" w:eastAsia="Times New Roman" w:cs="Times New Roman"/>
          <w:lang w:val="en-GB"/>
        </w:rPr>
        <w:t xml:space="preserve"> </w:t>
      </w:r>
      <w:r>
        <w:rPr>
          <w:rFonts w:ascii="Times New Roman" w:hAnsi="Times New Roman" w:eastAsia="Times New Roman" w:cs="Times New Roman"/>
          <w:b/>
          <w:lang w:val="en-GB"/>
        </w:rPr>
        <w:t>58</w:t>
      </w:r>
      <w:r>
        <w:rPr>
          <w:rFonts w:ascii="Times New Roman" w:hAnsi="Times New Roman" w:eastAsia="Times New Roman Bold" w:cs="Times New Roman"/>
          <w:b/>
          <w:lang w:val="en-GB"/>
        </w:rPr>
        <w:t>,</w:t>
      </w:r>
      <w:r>
        <w:rPr>
          <w:rFonts w:ascii="Times New Roman" w:hAnsi="Times New Roman" w:eastAsia="Times New Roman" w:cs="Times New Roman"/>
          <w:lang w:val="en-GB"/>
        </w:rPr>
        <w:t xml:space="preserve"> 119–128 (2009). </w:t>
      </w:r>
      <w:r>
        <w:fldChar w:fldCharType="begin"/>
      </w:r>
      <w:r>
        <w:instrText xml:space="preserve"> HYPERLINK "https://doi.org/10.1016/j.jeem.2009.03.001" </w:instrText>
      </w:r>
      <w:r>
        <w:fldChar w:fldCharType="separate"/>
      </w:r>
      <w:r>
        <w:rPr>
          <w:rStyle w:val="23"/>
          <w:rFonts w:ascii="Times New Roman" w:hAnsi="Times New Roman" w:eastAsia="Times New Roman" w:cs="Times New Roman"/>
          <w:lang w:val="en-GB"/>
        </w:rPr>
        <w:t>10.1016/j.jeem.2009.03.001</w:t>
      </w:r>
      <w:r>
        <w:rPr>
          <w:rStyle w:val="23"/>
          <w:rFonts w:ascii="Times New Roman" w:hAnsi="Times New Roman" w:eastAsia="Times New Roman" w:cs="Times New Roman"/>
          <w:lang w:val="en-GB"/>
        </w:rPr>
        <w:fldChar w:fldCharType="end"/>
      </w:r>
      <w:r>
        <w:rPr>
          <w:rFonts w:ascii="Times New Roman" w:hAnsi="Times New Roman" w:eastAsia="Times New Roman" w:cs="Times New Roman"/>
          <w:lang w:val="en-GB"/>
        </w:rPr>
        <w:t>.</w:t>
      </w:r>
      <w:bookmarkEnd w:id="65"/>
    </w:p>
    <w:p w14:paraId="034674C0">
      <w:pPr>
        <w:numPr>
          <w:ilvl w:val="0"/>
          <w:numId w:val="1"/>
        </w:num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bookmarkStart w:id="66" w:name="_Ref1125950980"/>
      <w:r>
        <w:rPr>
          <w:rFonts w:ascii="Times New Roman" w:hAnsi="Times New Roman" w:eastAsia="Times New Roman" w:cs="Times New Roman"/>
          <w:lang w:val="en-GB"/>
        </w:rPr>
        <w:t xml:space="preserve">Ward, A. L. S. &amp; Beatty, T. K. M. Who responds to air quality alerts? </w:t>
      </w:r>
      <w:r>
        <w:rPr>
          <w:rFonts w:ascii="Times New Roman" w:hAnsi="Times New Roman" w:eastAsia="Times New Roman" w:cs="Times New Roman"/>
          <w:i/>
          <w:lang w:val="en-GB"/>
        </w:rPr>
        <w:t>Environ. Resour. Econ.</w:t>
      </w:r>
      <w:r>
        <w:rPr>
          <w:rFonts w:ascii="Times New Roman" w:hAnsi="Times New Roman" w:eastAsia="Times New Roman" w:cs="Times New Roman"/>
          <w:lang w:val="en-GB"/>
        </w:rPr>
        <w:t xml:space="preserve"> </w:t>
      </w:r>
      <w:r>
        <w:rPr>
          <w:rFonts w:ascii="Times New Roman" w:hAnsi="Times New Roman" w:eastAsia="Times New Roman" w:cs="Times New Roman"/>
          <w:b/>
          <w:lang w:val="en-GB"/>
        </w:rPr>
        <w:t>65</w:t>
      </w:r>
      <w:r>
        <w:rPr>
          <w:rFonts w:ascii="Times New Roman" w:hAnsi="Times New Roman" w:eastAsia="Times New Roman Bold" w:cs="Times New Roman"/>
          <w:b/>
          <w:lang w:val="en-GB"/>
        </w:rPr>
        <w:t>,</w:t>
      </w:r>
      <w:r>
        <w:rPr>
          <w:rFonts w:ascii="Times New Roman" w:hAnsi="Times New Roman" w:eastAsia="Times New Roman" w:cs="Times New Roman"/>
          <w:lang w:val="en-GB"/>
        </w:rPr>
        <w:t xml:space="preserve"> 487–511 (2016). </w:t>
      </w:r>
      <w:r>
        <w:fldChar w:fldCharType="begin"/>
      </w:r>
      <w:r>
        <w:instrText xml:space="preserve"> HYPERLINK "https://doi.org/10.1007/s10640-015-9915-z" </w:instrText>
      </w:r>
      <w:r>
        <w:fldChar w:fldCharType="separate"/>
      </w:r>
      <w:r>
        <w:rPr>
          <w:rStyle w:val="23"/>
          <w:rFonts w:ascii="Times New Roman" w:hAnsi="Times New Roman" w:eastAsia="Times New Roman" w:cs="Times New Roman"/>
          <w:lang w:val="en-GB"/>
        </w:rPr>
        <w:t>10.1007/s10640-015-9915-z</w:t>
      </w:r>
      <w:r>
        <w:rPr>
          <w:rStyle w:val="23"/>
          <w:rFonts w:ascii="Times New Roman" w:hAnsi="Times New Roman" w:eastAsia="Times New Roman" w:cs="Times New Roman"/>
          <w:lang w:val="en-GB"/>
        </w:rPr>
        <w:fldChar w:fldCharType="end"/>
      </w:r>
      <w:r>
        <w:rPr>
          <w:rFonts w:ascii="Times New Roman" w:hAnsi="Times New Roman" w:eastAsia="Times New Roman" w:cs="Times New Roman"/>
          <w:lang w:val="en-GB"/>
        </w:rPr>
        <w:t>.</w:t>
      </w:r>
      <w:bookmarkEnd w:id="66"/>
    </w:p>
    <w:p w14:paraId="438D262F">
      <w:pPr>
        <w:numPr>
          <w:ilvl w:val="0"/>
          <w:numId w:val="1"/>
        </w:num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bookmarkStart w:id="67" w:name="_Ref1795130193"/>
      <w:r>
        <w:rPr>
          <w:rFonts w:ascii="Times New Roman" w:hAnsi="Times New Roman" w:eastAsia="Times New Roman" w:cs="Times New Roman"/>
          <w:lang w:val="en-GB"/>
        </w:rPr>
        <w:t xml:space="preserve">Dong, D., Xu, X., Xu, W. &amp; Xie, J. The relationship between the actual level of air pollution and residents’ concern about air pollution: Evidence from Shanghai, China. </w:t>
      </w:r>
      <w:r>
        <w:rPr>
          <w:rFonts w:ascii="Times New Roman" w:hAnsi="Times New Roman" w:eastAsia="Times New Roman" w:cs="Times New Roman"/>
          <w:i/>
          <w:lang w:val="en-GB"/>
        </w:rPr>
        <w:t>Int. J. Environ. Res. Public Health</w:t>
      </w:r>
      <w:r>
        <w:rPr>
          <w:rFonts w:ascii="Times New Roman" w:hAnsi="Times New Roman" w:eastAsia="Times New Roman" w:cs="Times New Roman"/>
          <w:lang w:val="en-GB"/>
        </w:rPr>
        <w:t xml:space="preserve"> </w:t>
      </w:r>
      <w:r>
        <w:rPr>
          <w:rFonts w:ascii="Times New Roman" w:hAnsi="Times New Roman" w:eastAsia="Times New Roman" w:cs="Times New Roman"/>
          <w:b/>
          <w:lang w:val="en-GB"/>
        </w:rPr>
        <w:t>16</w:t>
      </w:r>
      <w:r>
        <w:rPr>
          <w:rFonts w:ascii="Times New Roman" w:hAnsi="Times New Roman" w:eastAsia="Times New Roman Bold" w:cs="Times New Roman"/>
          <w:b/>
          <w:lang w:val="en-GB"/>
        </w:rPr>
        <w:t>,</w:t>
      </w:r>
      <w:r>
        <w:rPr>
          <w:rFonts w:ascii="Times New Roman" w:hAnsi="Times New Roman" w:eastAsia="Times New Roman" w:cs="Times New Roman"/>
          <w:lang w:val="en-GB"/>
        </w:rPr>
        <w:t xml:space="preserve"> 4784 (2019). </w:t>
      </w:r>
      <w:r>
        <w:fldChar w:fldCharType="begin"/>
      </w:r>
      <w:r>
        <w:instrText xml:space="preserve"> HYPERLINK "https://doi.org/10.3390/ijerph16234784" </w:instrText>
      </w:r>
      <w:r>
        <w:fldChar w:fldCharType="separate"/>
      </w:r>
      <w:r>
        <w:rPr>
          <w:rStyle w:val="23"/>
          <w:rFonts w:ascii="Times New Roman" w:hAnsi="Times New Roman" w:eastAsia="Times New Roman" w:cs="Times New Roman"/>
          <w:lang w:val="en-GB"/>
        </w:rPr>
        <w:t>10.3390/ijerph16234784</w:t>
      </w:r>
      <w:r>
        <w:rPr>
          <w:rStyle w:val="23"/>
          <w:rFonts w:ascii="Times New Roman" w:hAnsi="Times New Roman" w:eastAsia="Times New Roman" w:cs="Times New Roman"/>
          <w:lang w:val="en-GB"/>
        </w:rPr>
        <w:fldChar w:fldCharType="end"/>
      </w:r>
      <w:r>
        <w:rPr>
          <w:rFonts w:ascii="Times New Roman" w:hAnsi="Times New Roman" w:eastAsia="Times New Roman" w:cs="Times New Roman"/>
          <w:lang w:val="en-GB"/>
        </w:rPr>
        <w:t xml:space="preserve">, PubMed: </w:t>
      </w:r>
      <w:r>
        <w:fldChar w:fldCharType="begin"/>
      </w:r>
      <w:r>
        <w:instrText xml:space="preserve"> HYPERLINK "https://www.ncbi.nlm.nih.gov/pubmed/31795301" </w:instrText>
      </w:r>
      <w:r>
        <w:fldChar w:fldCharType="separate"/>
      </w:r>
      <w:r>
        <w:rPr>
          <w:rStyle w:val="23"/>
          <w:rFonts w:ascii="Times New Roman" w:hAnsi="Times New Roman" w:eastAsia="Times New Roman" w:cs="Times New Roman"/>
          <w:lang w:val="en-GB"/>
        </w:rPr>
        <w:t>31795301</w:t>
      </w:r>
      <w:r>
        <w:rPr>
          <w:rStyle w:val="23"/>
          <w:rFonts w:ascii="Times New Roman" w:hAnsi="Times New Roman" w:eastAsia="Times New Roman" w:cs="Times New Roman"/>
          <w:lang w:val="en-GB"/>
        </w:rPr>
        <w:fldChar w:fldCharType="end"/>
      </w:r>
      <w:r>
        <w:rPr>
          <w:rFonts w:ascii="Times New Roman" w:hAnsi="Times New Roman" w:eastAsia="Times New Roman" w:cs="Times New Roman"/>
          <w:lang w:val="en-GB"/>
        </w:rPr>
        <w:t>.</w:t>
      </w:r>
      <w:bookmarkEnd w:id="67"/>
    </w:p>
    <w:p w14:paraId="18FEB1B8">
      <w:pPr>
        <w:numPr>
          <w:ilvl w:val="0"/>
          <w:numId w:val="1"/>
        </w:num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r>
        <w:rPr>
          <w:rFonts w:ascii="Times New Roman" w:hAnsi="Times New Roman" w:eastAsia="Times New Roman" w:cs="Times New Roman"/>
          <w:lang w:val="en-GB"/>
        </w:rPr>
        <w:t xml:space="preserve">Wu, Y., Zhang, L., Wang, J. &amp; Mou, Y. Communicating air quality index information: Effects of different styles on individuals’ risk perception and precaution intention. </w:t>
      </w:r>
      <w:r>
        <w:rPr>
          <w:rFonts w:ascii="Times New Roman" w:hAnsi="Times New Roman" w:eastAsia="Times New Roman" w:cs="Times New Roman"/>
          <w:i/>
          <w:lang w:val="en-GB"/>
        </w:rPr>
        <w:t>Int. J. Environ. Res. Public Health</w:t>
      </w:r>
      <w:r>
        <w:rPr>
          <w:rFonts w:ascii="Times New Roman" w:hAnsi="Times New Roman" w:eastAsia="Times New Roman" w:cs="Times New Roman"/>
          <w:lang w:val="en-GB"/>
        </w:rPr>
        <w:t xml:space="preserve"> </w:t>
      </w:r>
      <w:r>
        <w:rPr>
          <w:rFonts w:ascii="Times New Roman" w:hAnsi="Times New Roman" w:eastAsia="Times New Roman" w:cs="Times New Roman"/>
          <w:b/>
          <w:lang w:val="en-GB"/>
        </w:rPr>
        <w:t>18</w:t>
      </w:r>
      <w:r>
        <w:rPr>
          <w:rFonts w:ascii="Times New Roman" w:hAnsi="Times New Roman" w:eastAsia="Times New Roman Bold" w:cs="Times New Roman"/>
          <w:b/>
          <w:lang w:val="en-GB"/>
        </w:rPr>
        <w:t>,</w:t>
      </w:r>
      <w:r>
        <w:rPr>
          <w:rFonts w:ascii="Times New Roman" w:hAnsi="Times New Roman" w:eastAsia="Times New Roman" w:cs="Times New Roman"/>
          <w:lang w:val="en-GB"/>
        </w:rPr>
        <w:t xml:space="preserve"> 10542 (2021). </w:t>
      </w:r>
      <w:r>
        <w:fldChar w:fldCharType="begin"/>
      </w:r>
      <w:r>
        <w:instrText xml:space="preserve"> HYPERLINK "https://doi.org/10.3390/ijerph181910542" </w:instrText>
      </w:r>
      <w:r>
        <w:fldChar w:fldCharType="separate"/>
      </w:r>
      <w:r>
        <w:rPr>
          <w:rStyle w:val="23"/>
          <w:rFonts w:ascii="Times New Roman" w:hAnsi="Times New Roman" w:eastAsia="Times New Roman" w:cs="Times New Roman"/>
          <w:lang w:val="en-GB"/>
        </w:rPr>
        <w:t>10.3390/ijerph181910542</w:t>
      </w:r>
      <w:r>
        <w:rPr>
          <w:rStyle w:val="23"/>
          <w:rFonts w:ascii="Times New Roman" w:hAnsi="Times New Roman" w:eastAsia="Times New Roman" w:cs="Times New Roman"/>
          <w:lang w:val="en-GB"/>
        </w:rPr>
        <w:fldChar w:fldCharType="end"/>
      </w:r>
      <w:r>
        <w:rPr>
          <w:rFonts w:ascii="Times New Roman" w:hAnsi="Times New Roman" w:eastAsia="Times New Roman" w:cs="Times New Roman"/>
          <w:lang w:val="en-GB"/>
        </w:rPr>
        <w:t xml:space="preserve">, PubMed: </w:t>
      </w:r>
      <w:r>
        <w:fldChar w:fldCharType="begin"/>
      </w:r>
      <w:r>
        <w:instrText xml:space="preserve"> HYPERLINK "https://www.ncbi.nlm.nih.gov/pubmed/34639842" </w:instrText>
      </w:r>
      <w:r>
        <w:fldChar w:fldCharType="separate"/>
      </w:r>
      <w:r>
        <w:rPr>
          <w:rStyle w:val="23"/>
          <w:rFonts w:ascii="Times New Roman" w:hAnsi="Times New Roman" w:eastAsia="Times New Roman" w:cs="Times New Roman"/>
          <w:lang w:val="en-GB"/>
        </w:rPr>
        <w:t>34639842</w:t>
      </w:r>
      <w:r>
        <w:rPr>
          <w:rStyle w:val="23"/>
          <w:rFonts w:ascii="Times New Roman" w:hAnsi="Times New Roman" w:eastAsia="Times New Roman" w:cs="Times New Roman"/>
          <w:lang w:val="en-GB"/>
        </w:rPr>
        <w:fldChar w:fldCharType="end"/>
      </w:r>
      <w:r>
        <w:rPr>
          <w:rFonts w:ascii="Times New Roman" w:hAnsi="Times New Roman" w:eastAsia="Times New Roman" w:cs="Times New Roman"/>
          <w:lang w:val="en-GB"/>
        </w:rPr>
        <w:t>.</w:t>
      </w:r>
    </w:p>
    <w:p w14:paraId="7DF48EBF">
      <w:pPr>
        <w:numPr>
          <w:ilvl w:val="0"/>
          <w:numId w:val="1"/>
        </w:num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bookmarkStart w:id="68" w:name="_Ref1795247842"/>
      <w:r>
        <w:rPr>
          <w:rFonts w:ascii="Times New Roman" w:hAnsi="Times New Roman" w:eastAsia="Times New Roman" w:cs="Times New Roman"/>
          <w:lang w:val="en-GB"/>
        </w:rPr>
        <w:t xml:space="preserve">Yang, G., Ju, Y. &amp; Ni, W. Does the air pollution level information matter in public perception? Insights from China. </w:t>
      </w:r>
      <w:r>
        <w:rPr>
          <w:rFonts w:ascii="Times New Roman" w:hAnsi="Times New Roman" w:eastAsia="Times New Roman" w:cs="Times New Roman"/>
          <w:i/>
          <w:lang w:val="en-GB"/>
        </w:rPr>
        <w:t>J. Environ. Manage.</w:t>
      </w:r>
      <w:r>
        <w:rPr>
          <w:rFonts w:ascii="Times New Roman" w:hAnsi="Times New Roman" w:eastAsia="Times New Roman" w:cs="Times New Roman"/>
          <w:lang w:val="en-GB"/>
        </w:rPr>
        <w:t xml:space="preserve"> </w:t>
      </w:r>
      <w:r>
        <w:rPr>
          <w:rFonts w:ascii="Times New Roman" w:hAnsi="Times New Roman" w:eastAsia="Times New Roman" w:cs="Times New Roman"/>
          <w:b/>
          <w:lang w:val="en-GB"/>
        </w:rPr>
        <w:t>349</w:t>
      </w:r>
      <w:r>
        <w:rPr>
          <w:rFonts w:ascii="Times New Roman" w:hAnsi="Times New Roman" w:eastAsia="Times New Roman Bold" w:cs="Times New Roman"/>
          <w:b/>
          <w:lang w:val="en-GB"/>
        </w:rPr>
        <w:t xml:space="preserve">, </w:t>
      </w:r>
      <w:r>
        <w:rPr>
          <w:rFonts w:ascii="Times New Roman" w:hAnsi="Times New Roman" w:eastAsia="Times New Roman" w:cs="Times New Roman"/>
          <w:lang w:val="en-GB"/>
        </w:rPr>
        <w:t xml:space="preserve">119582 (2024). </w:t>
      </w:r>
      <w:r>
        <w:fldChar w:fldCharType="begin"/>
      </w:r>
      <w:r>
        <w:instrText xml:space="preserve"> HYPERLINK "https://doi.org/10.1016/j.jenvman.2023.119582" </w:instrText>
      </w:r>
      <w:r>
        <w:fldChar w:fldCharType="separate"/>
      </w:r>
      <w:r>
        <w:rPr>
          <w:rStyle w:val="23"/>
          <w:rFonts w:ascii="Times New Roman" w:hAnsi="Times New Roman" w:eastAsia="Times New Roman" w:cs="Times New Roman"/>
          <w:lang w:val="en-GB"/>
        </w:rPr>
        <w:t>10.1016/j.jenvman.2023.119582</w:t>
      </w:r>
      <w:r>
        <w:rPr>
          <w:rStyle w:val="23"/>
          <w:rFonts w:ascii="Times New Roman" w:hAnsi="Times New Roman" w:eastAsia="Times New Roman" w:cs="Times New Roman"/>
          <w:lang w:val="en-GB"/>
        </w:rPr>
        <w:fldChar w:fldCharType="end"/>
      </w:r>
      <w:r>
        <w:rPr>
          <w:rFonts w:ascii="Times New Roman" w:hAnsi="Times New Roman" w:eastAsia="Times New Roman" w:cs="Times New Roman"/>
          <w:lang w:val="en-GB"/>
        </w:rPr>
        <w:t xml:space="preserve">, PubMed: </w:t>
      </w:r>
      <w:r>
        <w:fldChar w:fldCharType="begin"/>
      </w:r>
      <w:r>
        <w:instrText xml:space="preserve"> HYPERLINK "https://www.ncbi.nlm.nih.gov/pubmed/37988894" </w:instrText>
      </w:r>
      <w:r>
        <w:fldChar w:fldCharType="separate"/>
      </w:r>
      <w:r>
        <w:rPr>
          <w:rStyle w:val="23"/>
          <w:rFonts w:ascii="Times New Roman" w:hAnsi="Times New Roman" w:eastAsia="Times New Roman" w:cs="Times New Roman"/>
          <w:lang w:val="en-GB"/>
        </w:rPr>
        <w:t>37988894</w:t>
      </w:r>
      <w:r>
        <w:rPr>
          <w:rStyle w:val="23"/>
          <w:rFonts w:ascii="Times New Roman" w:hAnsi="Times New Roman" w:eastAsia="Times New Roman" w:cs="Times New Roman"/>
          <w:lang w:val="en-GB"/>
        </w:rPr>
        <w:fldChar w:fldCharType="end"/>
      </w:r>
      <w:r>
        <w:rPr>
          <w:rFonts w:ascii="Times New Roman" w:hAnsi="Times New Roman" w:eastAsia="Times New Roman" w:cs="Times New Roman"/>
          <w:lang w:val="en-GB"/>
        </w:rPr>
        <w:t>.</w:t>
      </w:r>
      <w:bookmarkEnd w:id="68"/>
    </w:p>
    <w:p w14:paraId="2A152A5A">
      <w:pPr>
        <w:numPr>
          <w:ilvl w:val="0"/>
          <w:numId w:val="1"/>
        </w:num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bookmarkStart w:id="69" w:name="_Ref1795617596"/>
      <w:r>
        <w:rPr>
          <w:rFonts w:ascii="Times New Roman" w:hAnsi="Times New Roman" w:eastAsia="Times New Roman" w:cs="Times New Roman"/>
          <w:lang w:val="en-GB"/>
        </w:rPr>
        <w:t xml:space="preserve">Fairbrother, M. Rich people, poor people, and environmental concern: Evidence across nations and time. </w:t>
      </w:r>
      <w:r>
        <w:rPr>
          <w:rFonts w:ascii="Times New Roman" w:hAnsi="Times New Roman" w:eastAsia="Times New Roman" w:cs="Times New Roman"/>
          <w:i/>
          <w:lang w:val="en-GB"/>
        </w:rPr>
        <w:t xml:space="preserve">Eur. Sociol. Rev. </w:t>
      </w:r>
      <w:r>
        <w:rPr>
          <w:rFonts w:ascii="Times New Roman" w:hAnsi="Times New Roman" w:eastAsia="Times New Roman" w:cs="Times New Roman"/>
          <w:b/>
          <w:lang w:val="en-GB"/>
        </w:rPr>
        <w:t>29</w:t>
      </w:r>
      <w:r>
        <w:rPr>
          <w:rFonts w:ascii="Times New Roman" w:hAnsi="Times New Roman" w:eastAsia="Times New Roman Bold" w:cs="Times New Roman"/>
          <w:b/>
          <w:lang w:val="en-GB"/>
        </w:rPr>
        <w:t>,</w:t>
      </w:r>
      <w:r>
        <w:rPr>
          <w:rFonts w:ascii="Times New Roman" w:hAnsi="Times New Roman" w:eastAsia="Times New Roman" w:cs="Times New Roman"/>
          <w:lang w:val="en-GB"/>
        </w:rPr>
        <w:t xml:space="preserve"> 910–922 (2013). </w:t>
      </w:r>
      <w:r>
        <w:fldChar w:fldCharType="begin"/>
      </w:r>
      <w:r>
        <w:instrText xml:space="preserve"> HYPERLINK "https://doi.org/10.1093/esr/jcs068" </w:instrText>
      </w:r>
      <w:r>
        <w:fldChar w:fldCharType="separate"/>
      </w:r>
      <w:r>
        <w:rPr>
          <w:rStyle w:val="23"/>
          <w:rFonts w:ascii="Times New Roman" w:hAnsi="Times New Roman" w:eastAsia="Times New Roman" w:cs="Times New Roman"/>
          <w:lang w:val="en-GB"/>
        </w:rPr>
        <w:t>10.1093/esr/jcs068</w:t>
      </w:r>
      <w:r>
        <w:rPr>
          <w:rStyle w:val="23"/>
          <w:rFonts w:ascii="Times New Roman" w:hAnsi="Times New Roman" w:eastAsia="Times New Roman" w:cs="Times New Roman"/>
          <w:lang w:val="en-GB"/>
        </w:rPr>
        <w:fldChar w:fldCharType="end"/>
      </w:r>
      <w:r>
        <w:rPr>
          <w:rFonts w:ascii="Times New Roman" w:hAnsi="Times New Roman" w:eastAsia="Times New Roman" w:cs="Times New Roman"/>
          <w:lang w:val="en-GB"/>
        </w:rPr>
        <w:t>.</w:t>
      </w:r>
      <w:bookmarkEnd w:id="69"/>
    </w:p>
    <w:p w14:paraId="09068701">
      <w:pPr>
        <w:numPr>
          <w:ilvl w:val="0"/>
          <w:numId w:val="1"/>
        </w:num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bookmarkStart w:id="70" w:name="_Ref1795735245"/>
      <w:r>
        <w:rPr>
          <w:rFonts w:ascii="Times New Roman" w:hAnsi="Times New Roman" w:eastAsia="Times New Roman" w:cs="Times New Roman"/>
          <w:lang w:val="en-GB"/>
        </w:rPr>
        <w:t xml:space="preserve">Sulemana, I., James, H. S. &amp; Valdivia, C. B. Perceived socioeconomic status as a predictor of environmental concern in African and developed countries. </w:t>
      </w:r>
      <w:r>
        <w:rPr>
          <w:rFonts w:ascii="Times New Roman" w:hAnsi="Times New Roman" w:eastAsia="Times New Roman" w:cs="Times New Roman"/>
          <w:i/>
          <w:lang w:val="en-GB"/>
        </w:rPr>
        <w:t>J. Environ. Psychol.</w:t>
      </w:r>
      <w:r>
        <w:rPr>
          <w:rFonts w:ascii="Times New Roman" w:hAnsi="Times New Roman" w:eastAsia="Times New Roman" w:cs="Times New Roman"/>
          <w:lang w:val="en-GB"/>
        </w:rPr>
        <w:t xml:space="preserve"> </w:t>
      </w:r>
      <w:r>
        <w:rPr>
          <w:rFonts w:ascii="Times New Roman" w:hAnsi="Times New Roman" w:eastAsia="Times New Roman" w:cs="Times New Roman"/>
          <w:b/>
          <w:lang w:val="en-GB"/>
        </w:rPr>
        <w:t>46</w:t>
      </w:r>
      <w:r>
        <w:rPr>
          <w:rFonts w:ascii="Times New Roman" w:hAnsi="Times New Roman" w:eastAsia="Times New Roman Bold" w:cs="Times New Roman"/>
          <w:b/>
          <w:lang w:val="en-GB"/>
        </w:rPr>
        <w:t>,</w:t>
      </w:r>
      <w:r>
        <w:rPr>
          <w:rFonts w:ascii="Times New Roman" w:hAnsi="Times New Roman" w:eastAsia="Times New Roman" w:cs="Times New Roman"/>
          <w:lang w:val="en-GB"/>
        </w:rPr>
        <w:t xml:space="preserve"> 83–95 (2016). </w:t>
      </w:r>
      <w:r>
        <w:fldChar w:fldCharType="begin"/>
      </w:r>
      <w:r>
        <w:instrText xml:space="preserve"> HYPERLINK "https://doi.org/10.1016/j.jenvp.2016.04.002" </w:instrText>
      </w:r>
      <w:r>
        <w:fldChar w:fldCharType="separate"/>
      </w:r>
      <w:r>
        <w:rPr>
          <w:rStyle w:val="23"/>
          <w:rFonts w:ascii="Times New Roman" w:hAnsi="Times New Roman" w:eastAsia="Times New Roman" w:cs="Times New Roman"/>
          <w:lang w:val="en-GB"/>
        </w:rPr>
        <w:t>10.1016/j.jenvp.2016.04.002</w:t>
      </w:r>
      <w:r>
        <w:rPr>
          <w:rStyle w:val="23"/>
          <w:rFonts w:ascii="Times New Roman" w:hAnsi="Times New Roman" w:eastAsia="Times New Roman" w:cs="Times New Roman"/>
          <w:lang w:val="en-GB"/>
        </w:rPr>
        <w:fldChar w:fldCharType="end"/>
      </w:r>
      <w:r>
        <w:rPr>
          <w:rFonts w:ascii="Times New Roman" w:hAnsi="Times New Roman" w:eastAsia="Times New Roman" w:cs="Times New Roman"/>
          <w:lang w:val="en-GB"/>
        </w:rPr>
        <w:t>.</w:t>
      </w:r>
      <w:bookmarkEnd w:id="70"/>
    </w:p>
    <w:p w14:paraId="7979AB06">
      <w:pPr>
        <w:numPr>
          <w:ilvl w:val="0"/>
          <w:numId w:val="1"/>
        </w:num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bookmarkStart w:id="71" w:name="_Ref1795936929"/>
      <w:r>
        <w:rPr>
          <w:rFonts w:ascii="Times New Roman" w:hAnsi="Times New Roman" w:eastAsia="Times New Roman" w:cs="Times New Roman"/>
          <w:lang w:val="en-GB"/>
        </w:rPr>
        <w:t xml:space="preserve">Liu, X. et al. Public’s health risk awareness on urban air pollution in Chinese megacities: The cases of Shanghai, Wuhan and Nanchang. </w:t>
      </w:r>
      <w:r>
        <w:rPr>
          <w:rFonts w:ascii="Times New Roman" w:hAnsi="Times New Roman" w:eastAsia="Times New Roman" w:cs="Times New Roman"/>
          <w:i/>
          <w:lang w:val="en-GB"/>
        </w:rPr>
        <w:t xml:space="preserve">Int. J. Environ. Res. Public Health </w:t>
      </w:r>
      <w:r>
        <w:rPr>
          <w:rFonts w:ascii="Times New Roman" w:hAnsi="Times New Roman" w:eastAsia="Times New Roman" w:cs="Times New Roman"/>
          <w:b/>
          <w:lang w:val="en-GB"/>
        </w:rPr>
        <w:t>13</w:t>
      </w:r>
      <w:r>
        <w:rPr>
          <w:rFonts w:ascii="Times New Roman" w:hAnsi="Times New Roman" w:eastAsia="Times New Roman Bold" w:cs="Times New Roman"/>
          <w:b/>
          <w:lang w:val="en-GB"/>
        </w:rPr>
        <w:t>,</w:t>
      </w:r>
      <w:r>
        <w:rPr>
          <w:rFonts w:ascii="Times New Roman" w:hAnsi="Times New Roman" w:eastAsia="Times New Roman" w:cs="Times New Roman"/>
          <w:lang w:val="en-GB"/>
        </w:rPr>
        <w:t xml:space="preserve"> 845 (2016). </w:t>
      </w:r>
      <w:r>
        <w:fldChar w:fldCharType="begin"/>
      </w:r>
      <w:r>
        <w:instrText xml:space="preserve"> HYPERLINK "https://doi.org/10.3390/ijerph13090845" </w:instrText>
      </w:r>
      <w:r>
        <w:fldChar w:fldCharType="separate"/>
      </w:r>
      <w:r>
        <w:rPr>
          <w:rStyle w:val="23"/>
          <w:rFonts w:ascii="Times New Roman" w:hAnsi="Times New Roman" w:eastAsia="Times New Roman" w:cs="Times New Roman"/>
          <w:lang w:val="en-GB"/>
        </w:rPr>
        <w:t>10.3390/ijerph13090845</w:t>
      </w:r>
      <w:r>
        <w:rPr>
          <w:rStyle w:val="23"/>
          <w:rFonts w:ascii="Times New Roman" w:hAnsi="Times New Roman" w:eastAsia="Times New Roman" w:cs="Times New Roman"/>
          <w:lang w:val="en-GB"/>
        </w:rPr>
        <w:fldChar w:fldCharType="end"/>
      </w:r>
      <w:r>
        <w:rPr>
          <w:rFonts w:ascii="Times New Roman" w:hAnsi="Times New Roman" w:eastAsia="Times New Roman" w:cs="Times New Roman"/>
          <w:lang w:val="en-GB"/>
        </w:rPr>
        <w:t xml:space="preserve">, PubMed: </w:t>
      </w:r>
      <w:r>
        <w:fldChar w:fldCharType="begin"/>
      </w:r>
      <w:r>
        <w:instrText xml:space="preserve"> HYPERLINK "https://www.ncbi.nlm.nih.gov/pubmed/27571088" </w:instrText>
      </w:r>
      <w:r>
        <w:fldChar w:fldCharType="separate"/>
      </w:r>
      <w:r>
        <w:rPr>
          <w:rStyle w:val="23"/>
          <w:rFonts w:ascii="Times New Roman" w:hAnsi="Times New Roman" w:eastAsia="Times New Roman" w:cs="Times New Roman"/>
          <w:lang w:val="en-GB"/>
        </w:rPr>
        <w:t>27571088</w:t>
      </w:r>
      <w:r>
        <w:rPr>
          <w:rStyle w:val="23"/>
          <w:rFonts w:ascii="Times New Roman" w:hAnsi="Times New Roman" w:eastAsia="Times New Roman" w:cs="Times New Roman"/>
          <w:lang w:val="en-GB"/>
        </w:rPr>
        <w:fldChar w:fldCharType="end"/>
      </w:r>
      <w:r>
        <w:rPr>
          <w:rFonts w:ascii="Times New Roman" w:hAnsi="Times New Roman" w:eastAsia="Times New Roman" w:cs="Times New Roman"/>
          <w:lang w:val="en-GB"/>
        </w:rPr>
        <w:t>.</w:t>
      </w:r>
      <w:bookmarkEnd w:id="71"/>
    </w:p>
    <w:p w14:paraId="4BA2EED4">
      <w:pPr>
        <w:numPr>
          <w:ilvl w:val="0"/>
          <w:numId w:val="1"/>
        </w:num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bookmarkStart w:id="72" w:name="_Ref1796710051"/>
      <w:r>
        <w:rPr>
          <w:rFonts w:ascii="Times New Roman" w:hAnsi="Times New Roman" w:eastAsia="Times New Roman" w:cs="Times New Roman"/>
          <w:lang w:val="en-GB"/>
        </w:rPr>
        <w:t xml:space="preserve">Liao, L., Du, M. &amp; Chen, Z. Environmental pollution and socioeconomic health inequality: Evidence from China. </w:t>
      </w:r>
      <w:r>
        <w:rPr>
          <w:rFonts w:ascii="Times New Roman" w:hAnsi="Times New Roman" w:eastAsia="Times New Roman" w:cs="Times New Roman"/>
          <w:i/>
          <w:lang w:val="en-GB"/>
        </w:rPr>
        <w:t>Sustain. Cities Soc.</w:t>
      </w:r>
      <w:r>
        <w:rPr>
          <w:rFonts w:ascii="Times New Roman" w:hAnsi="Times New Roman" w:eastAsia="Times New Roman" w:cs="Times New Roman"/>
          <w:lang w:val="en-GB"/>
        </w:rPr>
        <w:t xml:space="preserve"> </w:t>
      </w:r>
      <w:r>
        <w:rPr>
          <w:rFonts w:ascii="Times New Roman" w:hAnsi="Times New Roman" w:eastAsia="Times New Roman" w:cs="Times New Roman"/>
          <w:b/>
          <w:lang w:val="en-GB"/>
        </w:rPr>
        <w:t>95</w:t>
      </w:r>
      <w:r>
        <w:rPr>
          <w:rFonts w:ascii="Times New Roman" w:hAnsi="Times New Roman" w:eastAsia="Times New Roman" w:cs="Times New Roman"/>
          <w:lang w:val="en-GB"/>
        </w:rPr>
        <w:t xml:space="preserve"> (2023)</w:t>
      </w:r>
      <w:r>
        <w:rPr>
          <w:rFonts w:ascii="Times New Roman" w:hAnsi="Times New Roman" w:eastAsia="Times New Roman Bold" w:cs="Times New Roman"/>
          <w:b/>
          <w:lang w:val="en-GB"/>
        </w:rPr>
        <w:t xml:space="preserve">. </w:t>
      </w:r>
      <w:r>
        <w:fldChar w:fldCharType="begin"/>
      </w:r>
      <w:r>
        <w:instrText xml:space="preserve"> HYPERLINK "https://doi.org/10.1016/j.scs.2023.104579" </w:instrText>
      </w:r>
      <w:r>
        <w:fldChar w:fldCharType="separate"/>
      </w:r>
      <w:r>
        <w:fldChar w:fldCharType="end"/>
      </w:r>
      <w:r>
        <w:rPr>
          <w:rFonts w:ascii="Times New Roman" w:hAnsi="Times New Roman" w:eastAsia="Times New Roman" w:cs="Times New Roman"/>
          <w:lang w:val="en-GB"/>
        </w:rPr>
        <w:t>.</w:t>
      </w:r>
      <w:bookmarkEnd w:id="72"/>
    </w:p>
    <w:p w14:paraId="44B1195A">
      <w:pPr>
        <w:numPr>
          <w:ilvl w:val="0"/>
          <w:numId w:val="1"/>
        </w:num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bookmarkStart w:id="73" w:name="_Ref1797079805"/>
      <w:r>
        <w:rPr>
          <w:rFonts w:ascii="Times New Roman" w:hAnsi="Times New Roman" w:eastAsia="Times New Roman" w:cs="Times New Roman"/>
          <w:lang w:val="en-GB"/>
        </w:rPr>
        <w:t xml:space="preserve">Jessoe, K., Manning, D. T. &amp; Taylor, J. E. Climate change and labour allocation in rural Mexico: Evidence from annual fluctuations in weather. </w:t>
      </w:r>
      <w:r>
        <w:rPr>
          <w:rFonts w:ascii="Times New Roman" w:hAnsi="Times New Roman" w:eastAsia="Times New Roman" w:cs="Times New Roman"/>
          <w:i/>
          <w:lang w:val="en-GB"/>
        </w:rPr>
        <w:t>Econ. J.</w:t>
      </w:r>
      <w:r>
        <w:rPr>
          <w:rFonts w:ascii="Times New Roman" w:hAnsi="Times New Roman" w:eastAsia="Times New Roman" w:cs="Times New Roman"/>
          <w:lang w:val="en-GB"/>
        </w:rPr>
        <w:t xml:space="preserve"> </w:t>
      </w:r>
      <w:r>
        <w:rPr>
          <w:rFonts w:ascii="Times New Roman" w:hAnsi="Times New Roman" w:eastAsia="Times New Roman" w:cs="Times New Roman"/>
          <w:b/>
          <w:lang w:val="en-GB"/>
        </w:rPr>
        <w:t>128</w:t>
      </w:r>
      <w:r>
        <w:rPr>
          <w:rFonts w:ascii="Times New Roman" w:hAnsi="Times New Roman" w:eastAsia="Times New Roman Bold" w:cs="Times New Roman"/>
          <w:b/>
          <w:lang w:val="en-GB"/>
        </w:rPr>
        <w:t xml:space="preserve">, </w:t>
      </w:r>
      <w:r>
        <w:rPr>
          <w:rFonts w:ascii="Times New Roman" w:hAnsi="Times New Roman" w:eastAsia="Times New Roman" w:cs="Times New Roman"/>
          <w:lang w:val="en-GB"/>
        </w:rPr>
        <w:t xml:space="preserve">230–261 (2018). </w:t>
      </w:r>
      <w:r>
        <w:fldChar w:fldCharType="begin"/>
      </w:r>
      <w:r>
        <w:instrText xml:space="preserve"> HYPERLINK "https://doi.org/10.1111/ecoj.12448" </w:instrText>
      </w:r>
      <w:r>
        <w:fldChar w:fldCharType="separate"/>
      </w:r>
      <w:r>
        <w:rPr>
          <w:rStyle w:val="23"/>
          <w:rFonts w:ascii="Times New Roman" w:hAnsi="Times New Roman" w:eastAsia="Times New Roman" w:cs="Times New Roman"/>
          <w:lang w:val="en-GB"/>
        </w:rPr>
        <w:t>10.1111/ecoj.12448</w:t>
      </w:r>
      <w:r>
        <w:rPr>
          <w:rStyle w:val="23"/>
          <w:rFonts w:ascii="Times New Roman" w:hAnsi="Times New Roman" w:eastAsia="Times New Roman" w:cs="Times New Roman"/>
          <w:lang w:val="en-GB"/>
        </w:rPr>
        <w:fldChar w:fldCharType="end"/>
      </w:r>
      <w:r>
        <w:rPr>
          <w:rFonts w:ascii="Times New Roman" w:hAnsi="Times New Roman" w:eastAsia="Times New Roman" w:cs="Times New Roman"/>
          <w:lang w:val="en-GB"/>
        </w:rPr>
        <w:t>.</w:t>
      </w:r>
      <w:bookmarkEnd w:id="73"/>
    </w:p>
    <w:p w14:paraId="59265F78">
      <w:pPr>
        <w:numPr>
          <w:ilvl w:val="0"/>
          <w:numId w:val="1"/>
        </w:num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bookmarkStart w:id="74" w:name="_Ref1797567208"/>
      <w:r>
        <w:rPr>
          <w:rFonts w:ascii="Times New Roman" w:hAnsi="Times New Roman" w:eastAsia="Times New Roman" w:cs="Times New Roman"/>
          <w:lang w:val="en-GB"/>
        </w:rPr>
        <w:t xml:space="preserve">Chen, S., Chen, Y., Lei, Z. &amp; Tan-Soo, J.-S. Impact of air pollution on short-term movements: Evidence from air travels in China. </w:t>
      </w:r>
      <w:r>
        <w:rPr>
          <w:rFonts w:ascii="Times New Roman" w:hAnsi="Times New Roman" w:eastAsia="Times New Roman" w:cs="Times New Roman"/>
          <w:i/>
          <w:lang w:val="en-GB"/>
        </w:rPr>
        <w:t>J. Econ. Geogr.</w:t>
      </w:r>
      <w:r>
        <w:rPr>
          <w:rFonts w:ascii="Times New Roman" w:hAnsi="Times New Roman" w:eastAsia="Times New Roman" w:cs="Times New Roman"/>
          <w:lang w:val="en-GB"/>
        </w:rPr>
        <w:t xml:space="preserve"> </w:t>
      </w:r>
      <w:r>
        <w:rPr>
          <w:rFonts w:ascii="Times New Roman" w:hAnsi="Times New Roman" w:eastAsia="Times New Roman" w:cs="Times New Roman"/>
          <w:b/>
          <w:lang w:val="en-GB"/>
        </w:rPr>
        <w:t>20</w:t>
      </w:r>
      <w:r>
        <w:rPr>
          <w:rFonts w:ascii="Times New Roman" w:hAnsi="Times New Roman" w:eastAsia="Times New Roman Bold" w:cs="Times New Roman"/>
          <w:b/>
          <w:lang w:val="en-GB"/>
        </w:rPr>
        <w:t>,</w:t>
      </w:r>
      <w:r>
        <w:rPr>
          <w:rFonts w:ascii="Times New Roman" w:hAnsi="Times New Roman" w:eastAsia="Times New Roman" w:cs="Times New Roman"/>
          <w:lang w:val="en-GB"/>
        </w:rPr>
        <w:t xml:space="preserve"> 939–968 (2020). </w:t>
      </w:r>
      <w:r>
        <w:fldChar w:fldCharType="begin"/>
      </w:r>
      <w:r>
        <w:instrText xml:space="preserve"> HYPERLINK "https://doi.org/10.1093/jeg/lbaa005" </w:instrText>
      </w:r>
      <w:r>
        <w:fldChar w:fldCharType="separate"/>
      </w:r>
      <w:r>
        <w:rPr>
          <w:rStyle w:val="23"/>
          <w:rFonts w:ascii="Times New Roman" w:hAnsi="Times New Roman" w:eastAsia="Times New Roman" w:cs="Times New Roman"/>
          <w:lang w:val="en-GB"/>
        </w:rPr>
        <w:t>10.1093/jeg/lbaa005</w:t>
      </w:r>
      <w:r>
        <w:rPr>
          <w:rStyle w:val="23"/>
          <w:rFonts w:ascii="Times New Roman" w:hAnsi="Times New Roman" w:eastAsia="Times New Roman" w:cs="Times New Roman"/>
          <w:lang w:val="en-GB"/>
        </w:rPr>
        <w:fldChar w:fldCharType="end"/>
      </w:r>
      <w:r>
        <w:rPr>
          <w:rFonts w:ascii="Times New Roman" w:hAnsi="Times New Roman" w:eastAsia="Times New Roman" w:cs="Times New Roman"/>
          <w:lang w:val="en-GB"/>
        </w:rPr>
        <w:t>.</w:t>
      </w:r>
      <w:bookmarkEnd w:id="74"/>
    </w:p>
    <w:p w14:paraId="30296D44">
      <w:pPr>
        <w:numPr>
          <w:ilvl w:val="0"/>
          <w:numId w:val="1"/>
        </w:num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bookmarkStart w:id="75" w:name="_Ref1127648487"/>
      <w:r>
        <w:rPr>
          <w:rFonts w:ascii="Times New Roman" w:hAnsi="Times New Roman" w:eastAsia="Times New Roman" w:cs="Times New Roman"/>
          <w:lang w:val="en-GB"/>
        </w:rPr>
        <w:t xml:space="preserve">Chen, S., Chen, Y., Lei, Z. &amp; Tan-Soo, J.-S. Chasing clean air: Pollution-induced travels in China. </w:t>
      </w:r>
      <w:r>
        <w:rPr>
          <w:rFonts w:ascii="Times New Roman" w:hAnsi="Times New Roman" w:eastAsia="Times New Roman" w:cs="Times New Roman"/>
          <w:i/>
          <w:lang w:val="en-GB"/>
        </w:rPr>
        <w:t xml:space="preserve">J. Assoc. Environ. Resour. Econ. </w:t>
      </w:r>
      <w:r>
        <w:rPr>
          <w:rFonts w:ascii="Times New Roman" w:hAnsi="Times New Roman" w:eastAsia="Times New Roman" w:cs="Times New Roman"/>
          <w:b/>
          <w:lang w:val="en-GB"/>
        </w:rPr>
        <w:t>8</w:t>
      </w:r>
      <w:r>
        <w:rPr>
          <w:rFonts w:ascii="Times New Roman" w:hAnsi="Times New Roman" w:eastAsia="Times New Roman Bold" w:cs="Times New Roman"/>
          <w:b/>
          <w:lang w:val="en-GB"/>
        </w:rPr>
        <w:t>,</w:t>
      </w:r>
      <w:r>
        <w:rPr>
          <w:rFonts w:ascii="Times New Roman" w:hAnsi="Times New Roman" w:eastAsia="Times New Roman" w:cs="Times New Roman"/>
          <w:lang w:val="en-GB"/>
        </w:rPr>
        <w:t xml:space="preserve"> 59–89 (2021). </w:t>
      </w:r>
      <w:r>
        <w:fldChar w:fldCharType="begin"/>
      </w:r>
      <w:r>
        <w:instrText xml:space="preserve"> HYPERLINK "https://doi.org/10.1086/711476" </w:instrText>
      </w:r>
      <w:r>
        <w:fldChar w:fldCharType="separate"/>
      </w:r>
      <w:r>
        <w:rPr>
          <w:rStyle w:val="23"/>
          <w:rFonts w:ascii="Times New Roman" w:hAnsi="Times New Roman" w:eastAsia="Times New Roman" w:cs="Times New Roman"/>
          <w:lang w:val="en-GB"/>
        </w:rPr>
        <w:t>10.1086/711476</w:t>
      </w:r>
      <w:r>
        <w:rPr>
          <w:rStyle w:val="23"/>
          <w:rFonts w:ascii="Times New Roman" w:hAnsi="Times New Roman" w:eastAsia="Times New Roman" w:cs="Times New Roman"/>
          <w:lang w:val="en-GB"/>
        </w:rPr>
        <w:fldChar w:fldCharType="end"/>
      </w:r>
      <w:r>
        <w:rPr>
          <w:rFonts w:ascii="Times New Roman" w:hAnsi="Times New Roman" w:eastAsia="Times New Roman" w:cs="Times New Roman"/>
          <w:lang w:val="en-GB"/>
        </w:rPr>
        <w:t>.</w:t>
      </w:r>
      <w:bookmarkEnd w:id="75"/>
    </w:p>
    <w:p w14:paraId="4051880B">
      <w:pPr>
        <w:numPr>
          <w:ilvl w:val="0"/>
          <w:numId w:val="1"/>
        </w:num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bookmarkStart w:id="76" w:name="_Ref1798491593"/>
      <w:r>
        <w:rPr>
          <w:rFonts w:ascii="Times New Roman" w:hAnsi="Times New Roman" w:eastAsia="Times New Roman" w:cs="Times New Roman"/>
          <w:lang w:val="en-GB"/>
        </w:rPr>
        <w:t xml:space="preserve">Ito, K. &amp; Zhang, S. Willingness to pay for clean air: Evidence from air purifier markets in China. </w:t>
      </w:r>
      <w:r>
        <w:rPr>
          <w:rFonts w:ascii="Times New Roman" w:hAnsi="Times New Roman" w:eastAsia="Times New Roman" w:cs="Times New Roman"/>
          <w:i/>
          <w:lang w:val="en-GB"/>
        </w:rPr>
        <w:t>J. Pol</w:t>
      </w:r>
      <w:r>
        <w:rPr>
          <w:rFonts w:ascii="Times New Roman" w:hAnsi="Times New Roman" w:eastAsia="Times New Roman" w:cs="Times New Roman"/>
          <w:i/>
        </w:rPr>
        <w:t>it</w:t>
      </w:r>
      <w:r>
        <w:rPr>
          <w:rFonts w:ascii="Times New Roman" w:hAnsi="Times New Roman" w:eastAsia="Times New Roman" w:cs="Times New Roman"/>
          <w:i/>
          <w:lang w:val="en-GB"/>
        </w:rPr>
        <w:t>. Econ.</w:t>
      </w:r>
      <w:r>
        <w:rPr>
          <w:rFonts w:ascii="Times New Roman" w:hAnsi="Times New Roman" w:eastAsia="Times New Roman" w:cs="Times New Roman"/>
          <w:lang w:val="en-GB"/>
        </w:rPr>
        <w:t xml:space="preserve"> </w:t>
      </w:r>
      <w:r>
        <w:rPr>
          <w:rFonts w:ascii="Times New Roman" w:hAnsi="Times New Roman" w:eastAsia="Times New Roman" w:cs="Times New Roman"/>
          <w:b/>
          <w:lang w:val="en-GB"/>
        </w:rPr>
        <w:t>128</w:t>
      </w:r>
      <w:r>
        <w:rPr>
          <w:rFonts w:ascii="Times New Roman" w:hAnsi="Times New Roman" w:eastAsia="Times New Roman Bold" w:cs="Times New Roman"/>
          <w:b/>
          <w:lang w:val="en-GB"/>
        </w:rPr>
        <w:t>,</w:t>
      </w:r>
      <w:r>
        <w:rPr>
          <w:rFonts w:ascii="Times New Roman" w:hAnsi="Times New Roman" w:eastAsia="Times New Roman" w:cs="Times New Roman"/>
          <w:lang w:val="en-GB"/>
        </w:rPr>
        <w:t xml:space="preserve"> 1627–1672 (2020). </w:t>
      </w:r>
      <w:r>
        <w:fldChar w:fldCharType="begin"/>
      </w:r>
      <w:r>
        <w:instrText xml:space="preserve"> HYPERLINK "https://doi.org/10.1086/705554" </w:instrText>
      </w:r>
      <w:r>
        <w:fldChar w:fldCharType="separate"/>
      </w:r>
      <w:r>
        <w:rPr>
          <w:rStyle w:val="23"/>
          <w:rFonts w:ascii="Times New Roman" w:hAnsi="Times New Roman" w:eastAsia="Times New Roman" w:cs="Times New Roman"/>
          <w:lang w:val="en-GB"/>
        </w:rPr>
        <w:t>10.1086/705554</w:t>
      </w:r>
      <w:r>
        <w:rPr>
          <w:rStyle w:val="23"/>
          <w:rFonts w:ascii="Times New Roman" w:hAnsi="Times New Roman" w:eastAsia="Times New Roman" w:cs="Times New Roman"/>
          <w:lang w:val="en-GB"/>
        </w:rPr>
        <w:fldChar w:fldCharType="end"/>
      </w:r>
      <w:r>
        <w:rPr>
          <w:rFonts w:ascii="Times New Roman" w:hAnsi="Times New Roman" w:eastAsia="Times New Roman" w:cs="Times New Roman"/>
          <w:lang w:val="en-GB"/>
        </w:rPr>
        <w:t>.</w:t>
      </w:r>
      <w:bookmarkEnd w:id="76"/>
    </w:p>
    <w:p w14:paraId="4593282F">
      <w:pPr>
        <w:numPr>
          <w:ilvl w:val="0"/>
          <w:numId w:val="1"/>
        </w:numPr>
        <w:suppressAutoHyphens/>
        <w:kinsoku w:val="0"/>
        <w:overflowPunct w:val="0"/>
        <w:autoSpaceDE w:val="0"/>
        <w:autoSpaceDN w:val="0"/>
        <w:adjustRightInd w:val="0"/>
        <w:snapToGrid w:val="0"/>
        <w:spacing w:line="480" w:lineRule="auto"/>
        <w:rPr>
          <w:rFonts w:ascii="Times New Roman" w:hAnsi="Times New Roman" w:eastAsia="Times New Roman" w:cs="Times New Roman"/>
          <w:i/>
          <w:sz w:val="24"/>
          <w:lang w:val="en-GB"/>
        </w:rPr>
      </w:pPr>
      <w:bookmarkStart w:id="77" w:name="_Ref1798693277"/>
      <w:r>
        <w:rPr>
          <w:rFonts w:ascii="Times New Roman" w:hAnsi="Times New Roman" w:eastAsia="Times New Roman" w:cs="Times New Roman"/>
          <w:lang w:val="en-GB"/>
        </w:rPr>
        <w:t xml:space="preserve">Chang, T. Y., Huang, W. &amp; Wang, Y. Something in the air: Pollution and the demand for health insurance. </w:t>
      </w:r>
      <w:r>
        <w:rPr>
          <w:rFonts w:ascii="Times New Roman" w:hAnsi="Times New Roman" w:eastAsia="Times New Roman" w:cs="Times New Roman"/>
          <w:i/>
          <w:lang w:val="en-GB"/>
        </w:rPr>
        <w:t>Rev. Econ. Stud.</w:t>
      </w:r>
      <w:r>
        <w:rPr>
          <w:rFonts w:ascii="Times New Roman" w:hAnsi="Times New Roman" w:eastAsia="Times New Roman" w:cs="Times New Roman"/>
          <w:lang w:val="en-GB"/>
        </w:rPr>
        <w:t xml:space="preserve"> </w:t>
      </w:r>
      <w:r>
        <w:rPr>
          <w:rFonts w:ascii="Times New Roman" w:hAnsi="Times New Roman" w:eastAsia="Times New Roman" w:cs="Times New Roman"/>
          <w:b/>
          <w:lang w:val="en-GB"/>
        </w:rPr>
        <w:t>85</w:t>
      </w:r>
      <w:r>
        <w:rPr>
          <w:rFonts w:ascii="Times New Roman" w:hAnsi="Times New Roman" w:eastAsia="Times New Roman Bold" w:cs="Times New Roman"/>
          <w:b/>
          <w:lang w:val="en-GB"/>
        </w:rPr>
        <w:t>,</w:t>
      </w:r>
      <w:r>
        <w:rPr>
          <w:rFonts w:ascii="Times New Roman" w:hAnsi="Times New Roman" w:eastAsia="Times New Roman" w:cs="Times New Roman"/>
          <w:lang w:val="en-GB"/>
        </w:rPr>
        <w:t xml:space="preserve"> 1609–1634 (2018). </w:t>
      </w:r>
      <w:r>
        <w:fldChar w:fldCharType="begin"/>
      </w:r>
      <w:r>
        <w:instrText xml:space="preserve"> HYPERLINK "https://doi.org/10.1093/restud/rdy016" </w:instrText>
      </w:r>
      <w:r>
        <w:fldChar w:fldCharType="separate"/>
      </w:r>
      <w:r>
        <w:rPr>
          <w:rStyle w:val="23"/>
          <w:rFonts w:ascii="Times New Roman" w:hAnsi="Times New Roman" w:eastAsia="Times New Roman" w:cs="Times New Roman"/>
          <w:lang w:val="en-GB"/>
        </w:rPr>
        <w:t>10.1093/restud/rdy016</w:t>
      </w:r>
      <w:r>
        <w:rPr>
          <w:rStyle w:val="23"/>
          <w:rFonts w:ascii="Times New Roman" w:hAnsi="Times New Roman" w:eastAsia="Times New Roman" w:cs="Times New Roman"/>
          <w:lang w:val="en-GB"/>
        </w:rPr>
        <w:fldChar w:fldCharType="end"/>
      </w:r>
      <w:r>
        <w:rPr>
          <w:rFonts w:ascii="Times New Roman" w:hAnsi="Times New Roman" w:eastAsia="Times New Roman" w:cs="Times New Roman"/>
          <w:i/>
          <w:lang w:val="en-GB"/>
        </w:rPr>
        <w:t>.</w:t>
      </w:r>
      <w:bookmarkEnd w:id="77"/>
    </w:p>
    <w:p w14:paraId="12DCECA2">
      <w:pPr>
        <w:numPr>
          <w:ilvl w:val="0"/>
          <w:numId w:val="1"/>
        </w:numPr>
        <w:suppressAutoHyphens/>
        <w:kinsoku w:val="0"/>
        <w:overflowPunct w:val="0"/>
        <w:autoSpaceDE w:val="0"/>
        <w:autoSpaceDN w:val="0"/>
        <w:adjustRightInd w:val="0"/>
        <w:snapToGrid w:val="0"/>
        <w:spacing w:line="480" w:lineRule="auto"/>
        <w:rPr>
          <w:rFonts w:ascii="Times New Roman" w:hAnsi="Times New Roman" w:eastAsia="Times New Roman" w:cs="Times New Roman"/>
          <w:sz w:val="24"/>
          <w:lang w:val="en-GB"/>
        </w:rPr>
      </w:pPr>
      <w:bookmarkStart w:id="78" w:name="_Ref1798911768"/>
      <w:r>
        <w:rPr>
          <w:rFonts w:ascii="Times New Roman" w:hAnsi="Times New Roman" w:eastAsia="Times New Roman" w:cs="Times New Roman"/>
          <w:lang w:val="en-GB"/>
        </w:rPr>
        <w:t xml:space="preserve">Fan, M. &amp; Grainger, C. The impact of air pollution on labor supply in China. </w:t>
      </w:r>
      <w:r>
        <w:rPr>
          <w:rFonts w:ascii="Times New Roman" w:hAnsi="Times New Roman" w:eastAsia="Times New Roman Italic" w:cs="Times New Roman"/>
          <w:i/>
          <w:lang w:val="en-GB"/>
        </w:rPr>
        <w:t xml:space="preserve">Sustainability </w:t>
      </w:r>
      <w:r>
        <w:rPr>
          <w:rFonts w:ascii="Times New Roman" w:hAnsi="Times New Roman" w:eastAsia="Times New Roman Bold" w:cs="Times New Roman"/>
          <w:b/>
          <w:lang w:val="en-GB"/>
        </w:rPr>
        <w:t>15,</w:t>
      </w:r>
      <w:r>
        <w:rPr>
          <w:rFonts w:ascii="Times New Roman" w:hAnsi="Times New Roman" w:eastAsia="Times New Roman" w:cs="Times New Roman"/>
          <w:lang w:val="en-GB"/>
        </w:rPr>
        <w:t xml:space="preserve"> 13082 (2023). </w:t>
      </w:r>
      <w:r>
        <w:fldChar w:fldCharType="begin"/>
      </w:r>
      <w:r>
        <w:instrText xml:space="preserve"> HYPERLINK "https://doi.org/10.3390/su151713082" </w:instrText>
      </w:r>
      <w:r>
        <w:fldChar w:fldCharType="separate"/>
      </w:r>
      <w:r>
        <w:rPr>
          <w:rStyle w:val="23"/>
          <w:rFonts w:ascii="Times New Roman" w:hAnsi="Times New Roman" w:eastAsia="Times New Roman" w:cs="Times New Roman"/>
          <w:lang w:val="en-GB"/>
        </w:rPr>
        <w:t>10.3390/su151713082</w:t>
      </w:r>
      <w:r>
        <w:rPr>
          <w:rStyle w:val="23"/>
          <w:rFonts w:ascii="Times New Roman" w:hAnsi="Times New Roman" w:eastAsia="Times New Roman" w:cs="Times New Roman"/>
          <w:lang w:val="en-GB"/>
        </w:rPr>
        <w:fldChar w:fldCharType="end"/>
      </w:r>
      <w:r>
        <w:rPr>
          <w:rFonts w:ascii="Times New Roman" w:hAnsi="Times New Roman" w:eastAsia="Times New Roman" w:cs="Times New Roman"/>
          <w:lang w:val="en-GB"/>
        </w:rPr>
        <w:t>.</w:t>
      </w:r>
      <w:bookmarkEnd w:id="78"/>
    </w:p>
    <w:p w14:paraId="49C4C905">
      <w:pPr>
        <w:widowControl/>
        <w:numPr>
          <w:ilvl w:val="0"/>
          <w:numId w:val="1"/>
        </w:numPr>
        <w:suppressAutoHyphens/>
        <w:kinsoku w:val="0"/>
        <w:overflowPunct w:val="0"/>
        <w:autoSpaceDE w:val="0"/>
        <w:autoSpaceDN w:val="0"/>
        <w:adjustRightInd w:val="0"/>
        <w:snapToGrid w:val="0"/>
        <w:spacing w:line="480" w:lineRule="auto"/>
        <w:jc w:val="left"/>
        <w:rPr>
          <w:rFonts w:ascii="Times New Roman" w:hAnsi="Times New Roman" w:eastAsia="Times New Roman" w:cs="Times New Roman"/>
          <w:lang w:val="en-GB"/>
        </w:rPr>
      </w:pPr>
      <w:bookmarkStart w:id="79" w:name="_Ref1529557114"/>
      <w:r>
        <w:rPr>
          <w:rFonts w:ascii="Times New Roman" w:hAnsi="Times New Roman" w:eastAsia="Times New Roman" w:cs="Times New Roman"/>
          <w:lang w:val="en-GB" w:eastAsia="zh-CN" w:bidi="ar"/>
        </w:rPr>
        <w:t xml:space="preserve">Ministry of Environmental Protection of the People’s Republic of China. </w:t>
      </w:r>
      <w:r>
        <w:rPr>
          <w:rFonts w:ascii="Times New Roman Italic" w:hAnsi="Times New Roman Italic" w:eastAsia="Times New Roman" w:cs="Times New Roman Italic"/>
          <w:i/>
          <w:iCs/>
          <w:lang w:val="en-GB" w:eastAsia="zh-CN" w:bidi="ar"/>
        </w:rPr>
        <w:t>Ambient Air Quality Standards</w:t>
      </w:r>
      <w:r>
        <w:rPr>
          <w:rFonts w:ascii="Times New Roman Italic" w:hAnsi="Times New Roman Italic" w:eastAsia="Times New Roman" w:cs="Times New Roman Italic"/>
          <w:i/>
          <w:iCs/>
          <w:lang w:eastAsia="zh-CN" w:bidi="ar"/>
        </w:rPr>
        <w:t xml:space="preserve"> (</w:t>
      </w:r>
      <w:r>
        <w:rPr>
          <w:rFonts w:ascii="Times New Roman Italic" w:hAnsi="Times New Roman Italic" w:eastAsia="Times New Roman" w:cs="Times New Roman Italic"/>
          <w:i/>
          <w:iCs/>
          <w:lang w:val="en-GB" w:eastAsia="zh-CN" w:bidi="ar"/>
        </w:rPr>
        <w:t>GB3095-2012</w:t>
      </w:r>
      <w:r>
        <w:rPr>
          <w:rFonts w:ascii="Times New Roman Italic" w:hAnsi="Times New Roman Italic" w:eastAsia="Times New Roman" w:cs="Times New Roman Italic"/>
          <w:i/>
          <w:iCs/>
          <w:lang w:eastAsia="zh-CN" w:bidi="ar"/>
        </w:rPr>
        <w:t>)</w:t>
      </w:r>
      <w:r>
        <w:rPr>
          <w:rFonts w:ascii="Times New Roman" w:hAnsi="Times New Roman" w:eastAsia="Times New Roman" w:cs="Times New Roman"/>
          <w:lang w:val="en-GB" w:eastAsia="zh-CN" w:bidi="ar"/>
        </w:rPr>
        <w:t xml:space="preserve"> (China Environmental Science Press,Beijing, 2012).</w:t>
      </w:r>
      <w:bookmarkEnd w:id="79"/>
    </w:p>
    <w:p w14:paraId="14468B9A">
      <w:pPr>
        <w:widowControl/>
        <w:numPr>
          <w:ilvl w:val="0"/>
          <w:numId w:val="1"/>
        </w:numPr>
        <w:suppressAutoHyphens/>
        <w:kinsoku w:val="0"/>
        <w:overflowPunct w:val="0"/>
        <w:autoSpaceDE w:val="0"/>
        <w:autoSpaceDN w:val="0"/>
        <w:adjustRightInd w:val="0"/>
        <w:snapToGrid w:val="0"/>
        <w:spacing w:line="480" w:lineRule="auto"/>
        <w:jc w:val="left"/>
        <w:rPr>
          <w:rFonts w:ascii="Times New Roman" w:hAnsi="Times New Roman" w:eastAsia="Times New Roman" w:cs="Times New Roman"/>
          <w:sz w:val="24"/>
          <w:lang w:val="en-GB"/>
        </w:rPr>
      </w:pPr>
      <w:bookmarkStart w:id="80" w:name="_Ref1530027710"/>
      <w:r>
        <w:rPr>
          <w:rFonts w:ascii="Times New Roman" w:hAnsi="Times New Roman" w:eastAsia="Times New Roman" w:cs="Times New Roman"/>
          <w:lang w:val="en-GB" w:eastAsia="zh-CN" w:bidi="ar"/>
        </w:rPr>
        <w:t xml:space="preserve">Ministry of Environmental Protection of the People’s Republic of China. </w:t>
      </w:r>
      <w:r>
        <w:rPr>
          <w:rFonts w:ascii="Times New Roman Italic" w:hAnsi="Times New Roman Italic" w:eastAsia="Times New Roman" w:cs="Times New Roman Italic"/>
          <w:i/>
          <w:iCs/>
          <w:lang w:val="en-GB" w:eastAsia="zh-CN" w:bidi="ar"/>
        </w:rPr>
        <w:t>Technical Regulation on Ambient Air Quality Index (on trial)(HJ633-2012)</w:t>
      </w:r>
      <w:r>
        <w:rPr>
          <w:rFonts w:ascii="Times New Roman" w:hAnsi="Times New Roman" w:eastAsia="Times New Roman" w:cs="Times New Roman"/>
          <w:lang w:val="en-GB" w:eastAsia="zh-CN" w:bidi="ar"/>
        </w:rPr>
        <w:t xml:space="preserve"> (China Environmental Science Press,Beijing, 2012).</w:t>
      </w:r>
      <w:bookmarkEnd w:id="80"/>
    </w:p>
    <w:p w14:paraId="39EC5C99">
      <w:pPr>
        <w:numPr>
          <w:ilvl w:val="0"/>
          <w:numId w:val="1"/>
        </w:numPr>
        <w:suppressAutoHyphens/>
        <w:kinsoku w:val="0"/>
        <w:overflowPunct w:val="0"/>
        <w:autoSpaceDE w:val="0"/>
        <w:autoSpaceDN w:val="0"/>
        <w:adjustRightInd w:val="0"/>
        <w:snapToGrid w:val="0"/>
        <w:spacing w:line="480" w:lineRule="auto"/>
        <w:rPr>
          <w:rFonts w:ascii="Times New Roman" w:hAnsi="Times New Roman" w:eastAsia="Times New Roman" w:cs="Times New Roman"/>
          <w:lang w:val="en-GB"/>
        </w:rPr>
      </w:pPr>
      <w:bookmarkStart w:id="81" w:name="_Ref1800138679"/>
      <w:r>
        <w:rPr>
          <w:rFonts w:ascii="Times New Roman" w:hAnsi="Times New Roman" w:eastAsia="Times New Roman" w:cs="Times New Roman"/>
          <w:lang w:val="en-GB"/>
        </w:rPr>
        <w:t xml:space="preserve">Cattaneo, M. D., Idrobo, N. &amp; Titiunik, R. </w:t>
      </w:r>
      <w:r>
        <w:rPr>
          <w:rFonts w:ascii="Times New Roman" w:hAnsi="Times New Roman" w:eastAsia="Times New Roman" w:cs="Times New Roman"/>
          <w:i/>
          <w:lang w:val="en-GB"/>
        </w:rPr>
        <w:t>A Practical Introduction to Regression Discontinuity Designs: Extensions</w:t>
      </w:r>
      <w:r>
        <w:rPr>
          <w:rFonts w:ascii="Times New Roman" w:hAnsi="Times New Roman" w:eastAsia="Times New Roman" w:cs="Times New Roman"/>
          <w:lang w:val="en-GB"/>
        </w:rPr>
        <w:t xml:space="preserve"> (Cambridge Univ. Press, Cambridge, 2024). </w:t>
      </w:r>
      <w:r>
        <w:fldChar w:fldCharType="begin"/>
      </w:r>
      <w:r>
        <w:instrText xml:space="preserve"> HYPERLINK "https://doi.org/10.1017/9781009441896" </w:instrText>
      </w:r>
      <w:r>
        <w:fldChar w:fldCharType="separate"/>
      </w:r>
      <w:r>
        <w:rPr>
          <w:rStyle w:val="23"/>
          <w:rFonts w:ascii="Times New Roman" w:hAnsi="Times New Roman" w:eastAsia="Times New Roman" w:cs="Times New Roman"/>
          <w:lang w:val="en-GB"/>
        </w:rPr>
        <w:t>10.1017/9781009441896</w:t>
      </w:r>
      <w:r>
        <w:rPr>
          <w:rStyle w:val="23"/>
          <w:rFonts w:ascii="Times New Roman" w:hAnsi="Times New Roman" w:eastAsia="Times New Roman" w:cs="Times New Roman"/>
          <w:lang w:val="en-GB"/>
        </w:rPr>
        <w:fldChar w:fldCharType="end"/>
      </w:r>
      <w:r>
        <w:rPr>
          <w:rFonts w:ascii="Times New Roman" w:hAnsi="Times New Roman" w:eastAsia="Times New Roman" w:cs="Times New Roman"/>
          <w:lang w:val="en-GB"/>
        </w:rPr>
        <w:t>.</w:t>
      </w:r>
      <w:bookmarkEnd w:id="81"/>
    </w:p>
    <w:p w14:paraId="24257568">
      <w:pPr>
        <w:numPr>
          <w:ilvl w:val="0"/>
          <w:numId w:val="1"/>
        </w:numPr>
        <w:suppressAutoHyphens/>
        <w:kinsoku w:val="0"/>
        <w:overflowPunct w:val="0"/>
        <w:autoSpaceDE w:val="0"/>
        <w:autoSpaceDN w:val="0"/>
        <w:adjustRightInd w:val="0"/>
        <w:snapToGrid w:val="0"/>
        <w:spacing w:line="480" w:lineRule="auto"/>
        <w:rPr>
          <w:rFonts w:ascii="Times New Roman Italic" w:hAnsi="Times New Roman Italic" w:eastAsia="Times New Roman" w:cs="Times New Roman Italic"/>
          <w:i/>
          <w:iCs/>
          <w:sz w:val="24"/>
          <w:lang w:val="en-GB"/>
        </w:rPr>
      </w:pPr>
      <w:bookmarkStart w:id="82" w:name="_Ref1799768925"/>
      <w:r>
        <w:rPr>
          <w:rFonts w:ascii="Times New Roman" w:hAnsi="Times New Roman" w:eastAsia="Times New Roman" w:cs="Times New Roman"/>
          <w:lang w:val="en-GB"/>
        </w:rPr>
        <w:t>Cattaneo, M. D., Titiunik, R. &amp; Vazquez-Bare, G. Analysis of regression-discontinuity designs with multiple cutoffs or multiple scores</w:t>
      </w:r>
      <w:r>
        <w:rPr>
          <w:rFonts w:ascii="Times New Roman" w:hAnsi="Times New Roman" w:eastAsia="Times New Roman" w:cs="Times New Roman"/>
          <w:i/>
          <w:lang w:val="en-GB"/>
        </w:rPr>
        <w:t xml:space="preserve">. </w:t>
      </w:r>
      <w:r>
        <w:rPr>
          <w:rFonts w:ascii="Times New Roman Italic" w:hAnsi="Times New Roman Italic" w:eastAsia="Times New Roman" w:cs="Times New Roman Italic"/>
          <w:i/>
          <w:iCs/>
          <w:lang w:val="en-GB" w:eastAsia="zh-CN" w:bidi="ar"/>
        </w:rPr>
        <w:t>Stata J.</w:t>
      </w:r>
      <w:r>
        <w:rPr>
          <w:rFonts w:ascii="Times New Roman" w:hAnsi="Times New Roman" w:eastAsia="Times New Roman" w:cs="Times New Roman"/>
          <w:i/>
          <w:lang w:val="en-GB"/>
        </w:rPr>
        <w:t xml:space="preserve"> </w:t>
      </w:r>
      <w:r>
        <w:rPr>
          <w:rFonts w:ascii="Times New Roman" w:hAnsi="Times New Roman" w:eastAsia="Times New Roman" w:cs="Times New Roman"/>
          <w:b/>
          <w:lang w:val="en-GB"/>
        </w:rPr>
        <w:t>20</w:t>
      </w:r>
      <w:r>
        <w:rPr>
          <w:rFonts w:ascii="Times New Roman" w:hAnsi="Times New Roman" w:eastAsia="Times New Roman Bold" w:cs="Times New Roman"/>
          <w:b/>
          <w:lang w:val="en-GB"/>
        </w:rPr>
        <w:t>,</w:t>
      </w:r>
      <w:r>
        <w:rPr>
          <w:rFonts w:ascii="Times New Roman" w:hAnsi="Times New Roman" w:eastAsia="Times New Roman" w:cs="Times New Roman"/>
          <w:lang w:val="en-GB"/>
        </w:rPr>
        <w:t xml:space="preserve"> 866–891 (2020). </w:t>
      </w:r>
      <w:r>
        <w:fldChar w:fldCharType="begin"/>
      </w:r>
      <w:r>
        <w:instrText xml:space="preserve"> HYPERLINK "https://doi.org/10.1177/1536867X20976320" </w:instrText>
      </w:r>
      <w:r>
        <w:fldChar w:fldCharType="separate"/>
      </w:r>
      <w:r>
        <w:rPr>
          <w:rStyle w:val="23"/>
          <w:rFonts w:ascii="Times New Roman" w:hAnsi="Times New Roman" w:eastAsia="Times New Roman" w:cs="Times New Roman"/>
          <w:lang w:val="en-GB"/>
        </w:rPr>
        <w:t>10.1177/1536867X20976320</w:t>
      </w:r>
      <w:r>
        <w:rPr>
          <w:rStyle w:val="23"/>
          <w:rFonts w:ascii="Times New Roman" w:hAnsi="Times New Roman" w:eastAsia="Times New Roman" w:cs="Times New Roman"/>
          <w:lang w:val="en-GB"/>
        </w:rPr>
        <w:fldChar w:fldCharType="end"/>
      </w:r>
      <w:r>
        <w:rPr>
          <w:rFonts w:ascii="Times New Roman" w:hAnsi="Times New Roman" w:eastAsia="Times New Roman" w:cs="Times New Roman"/>
          <w:lang w:val="en-GB"/>
        </w:rPr>
        <w:t>.</w:t>
      </w:r>
      <w:bookmarkEnd w:id="82"/>
    </w:p>
    <w:p w14:paraId="69027599">
      <w:pPr>
        <w:suppressAutoHyphens/>
        <w:kinsoku w:val="0"/>
        <w:overflowPunct w:val="0"/>
        <w:autoSpaceDE w:val="0"/>
        <w:autoSpaceDN w:val="0"/>
        <w:adjustRightInd w:val="0"/>
        <w:snapToGrid w:val="0"/>
        <w:spacing w:line="480" w:lineRule="auto"/>
        <w:rPr>
          <w:rFonts w:ascii="Times New Roman Italic" w:hAnsi="Times New Roman Italic" w:eastAsia="Times New Roman" w:cs="Times New Roman Italic"/>
          <w:i/>
          <w:iCs/>
          <w:sz w:val="24"/>
          <w:lang w:val="en-G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ejaVu Math TeX Gyre">
    <w:panose1 w:val="02000503000000000000"/>
    <w:charset w:val="00"/>
    <w:family w:val="auto"/>
    <w:pitch w:val="default"/>
    <w:sig w:usb0="A10000EF" w:usb1="4201F9EE" w:usb2="02000000" w:usb3="00000000" w:csb0="60000193" w:csb1="0DD40000"/>
  </w:font>
  <w:font w:name="Songti SC">
    <w:panose1 w:val="02010800040101010101"/>
    <w:charset w:val="86"/>
    <w:family w:val="auto"/>
    <w:pitch w:val="default"/>
    <w:sig w:usb0="00000001" w:usb1="080F0000" w:usb2="00000000" w:usb3="00000000" w:csb0="00040000" w:csb1="00000000"/>
  </w:font>
  <w:font w:name="Times New Roman Bold">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Cambria Math">
    <w:altName w:val="Kingsoft Math"/>
    <w:panose1 w:val="02040503050406030204"/>
    <w:charset w:val="00"/>
    <w:family w:val="roman"/>
    <w:pitch w:val="default"/>
    <w:sig w:usb0="00000000" w:usb1="00000000" w:usb2="02000000"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Kingsoft Math">
    <w:panose1 w:val="02040503050406030204"/>
    <w:charset w:val="00"/>
    <w:family w:val="auto"/>
    <w:pitch w:val="default"/>
    <w:sig w:usb0="80000087" w:usb1="00002068" w:usb2="00000000" w:usb3="00000000" w:csb0="2000019F"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CFB00">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683FE">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eKbgsAgAAV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hRDOFgp++fzv9&#10;+HX6+ZVcRXla62eIerCIC91b06FphnOPw8i6q5yKX/Ah8EPc40Vc0QXC46XpZDrN4eLwDRvgZ4/X&#10;rfPhnTCKRKOgDtVLorLDxoc+dAiJ2bRZN1KmCkpN2oJev77K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Ul4puCwCAABVBAAADgAAAAAAAAABACAAAAAfAQAAZHJzL2Uyb0RvYy54bWxQSwUGAAAAAAYA&#10;BgBZAQAAvQUAAAAA&#10;">
              <v:fill on="f" focussize="0,0"/>
              <v:stroke on="f" weight="0.5pt"/>
              <v:imagedata o:title=""/>
              <o:lock v:ext="edit" aspectratio="f"/>
              <v:textbox inset="0mm,0mm,0mm,0mm" style="mso-fit-shape-to-text:t;">
                <w:txbxContent>
                  <w:p w14:paraId="20D683FE">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6471F"/>
    <w:multiLevelType w:val="singleLevel"/>
    <w:tmpl w:val="FE76471F"/>
    <w:lvl w:ilvl="0" w:tentative="0">
      <w:start w:val="1"/>
      <w:numFmt w:val="decimal"/>
      <w:lvlText w:val="%1."/>
      <w:lvlJc w:val="left"/>
      <w:pPr>
        <w:ind w:left="425" w:hanging="425"/>
      </w:pPr>
      <w:rPr>
        <w:rFonts w:hint="default" w:ascii="Times New Roman" w:hAnsi="Times New Roman" w:cs="Times New Roman"/>
        <w:i w:val="0"/>
        <w:iCs w:val="0"/>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kNGNjZTA4ZTZjNzQ3ZTc5YWIxYjgwMTViMjgxMGUifQ=="/>
  </w:docVars>
  <w:rsids>
    <w:rsidRoot w:val="00F1599D"/>
    <w:rsid w:val="00006FF4"/>
    <w:rsid w:val="000310DF"/>
    <w:rsid w:val="00055F08"/>
    <w:rsid w:val="00056067"/>
    <w:rsid w:val="000652F1"/>
    <w:rsid w:val="000818AB"/>
    <w:rsid w:val="00082437"/>
    <w:rsid w:val="000855CD"/>
    <w:rsid w:val="00085878"/>
    <w:rsid w:val="00092458"/>
    <w:rsid w:val="000A76B2"/>
    <w:rsid w:val="000C0AB1"/>
    <w:rsid w:val="000E00A1"/>
    <w:rsid w:val="000F70FC"/>
    <w:rsid w:val="00102F1C"/>
    <w:rsid w:val="00134753"/>
    <w:rsid w:val="00147136"/>
    <w:rsid w:val="00150186"/>
    <w:rsid w:val="0015119D"/>
    <w:rsid w:val="001549E6"/>
    <w:rsid w:val="00157D24"/>
    <w:rsid w:val="00161B72"/>
    <w:rsid w:val="001935D9"/>
    <w:rsid w:val="001B4658"/>
    <w:rsid w:val="001C6554"/>
    <w:rsid w:val="001C6DF9"/>
    <w:rsid w:val="001F3B69"/>
    <w:rsid w:val="002057E0"/>
    <w:rsid w:val="0021009D"/>
    <w:rsid w:val="00210D83"/>
    <w:rsid w:val="00210FD5"/>
    <w:rsid w:val="00213438"/>
    <w:rsid w:val="00216349"/>
    <w:rsid w:val="002529CA"/>
    <w:rsid w:val="002537A3"/>
    <w:rsid w:val="00271C32"/>
    <w:rsid w:val="002823F1"/>
    <w:rsid w:val="00285CEF"/>
    <w:rsid w:val="00295D8B"/>
    <w:rsid w:val="002A325C"/>
    <w:rsid w:val="002A6ABA"/>
    <w:rsid w:val="002A714A"/>
    <w:rsid w:val="002C284E"/>
    <w:rsid w:val="002C3CE3"/>
    <w:rsid w:val="002C7037"/>
    <w:rsid w:val="002E2CDD"/>
    <w:rsid w:val="002E5A2E"/>
    <w:rsid w:val="002F3BD2"/>
    <w:rsid w:val="002F4267"/>
    <w:rsid w:val="002F4A4E"/>
    <w:rsid w:val="002F5A82"/>
    <w:rsid w:val="00300EFF"/>
    <w:rsid w:val="00304C5E"/>
    <w:rsid w:val="00314145"/>
    <w:rsid w:val="00320FF6"/>
    <w:rsid w:val="00327212"/>
    <w:rsid w:val="00330DF1"/>
    <w:rsid w:val="00337235"/>
    <w:rsid w:val="0034564B"/>
    <w:rsid w:val="00360CC1"/>
    <w:rsid w:val="00361B77"/>
    <w:rsid w:val="00365D43"/>
    <w:rsid w:val="00374953"/>
    <w:rsid w:val="00380CBC"/>
    <w:rsid w:val="003A01BD"/>
    <w:rsid w:val="003A4245"/>
    <w:rsid w:val="003C3B67"/>
    <w:rsid w:val="003C46C2"/>
    <w:rsid w:val="003C6FF8"/>
    <w:rsid w:val="003E5765"/>
    <w:rsid w:val="003F12FB"/>
    <w:rsid w:val="00404341"/>
    <w:rsid w:val="004144A4"/>
    <w:rsid w:val="00422115"/>
    <w:rsid w:val="00426A27"/>
    <w:rsid w:val="00435B7B"/>
    <w:rsid w:val="00436D21"/>
    <w:rsid w:val="004376BB"/>
    <w:rsid w:val="00440ABE"/>
    <w:rsid w:val="0045749D"/>
    <w:rsid w:val="004611A1"/>
    <w:rsid w:val="00461B7E"/>
    <w:rsid w:val="0046318E"/>
    <w:rsid w:val="00466C05"/>
    <w:rsid w:val="00471936"/>
    <w:rsid w:val="00474983"/>
    <w:rsid w:val="00483A2F"/>
    <w:rsid w:val="00493D1A"/>
    <w:rsid w:val="00494107"/>
    <w:rsid w:val="004A2099"/>
    <w:rsid w:val="004B0418"/>
    <w:rsid w:val="004B1946"/>
    <w:rsid w:val="004B71A2"/>
    <w:rsid w:val="004C0268"/>
    <w:rsid w:val="004E20B1"/>
    <w:rsid w:val="004F73EA"/>
    <w:rsid w:val="00506657"/>
    <w:rsid w:val="005148C1"/>
    <w:rsid w:val="00516F8C"/>
    <w:rsid w:val="00537EAF"/>
    <w:rsid w:val="00540CF3"/>
    <w:rsid w:val="005411B0"/>
    <w:rsid w:val="005472A6"/>
    <w:rsid w:val="00554977"/>
    <w:rsid w:val="00555871"/>
    <w:rsid w:val="00556022"/>
    <w:rsid w:val="005644C8"/>
    <w:rsid w:val="0058045B"/>
    <w:rsid w:val="00592B9D"/>
    <w:rsid w:val="005B08BB"/>
    <w:rsid w:val="005C0E4C"/>
    <w:rsid w:val="005C5465"/>
    <w:rsid w:val="005E1A7A"/>
    <w:rsid w:val="005E2423"/>
    <w:rsid w:val="005E5739"/>
    <w:rsid w:val="005E582F"/>
    <w:rsid w:val="005F41AA"/>
    <w:rsid w:val="005F44A3"/>
    <w:rsid w:val="006003FE"/>
    <w:rsid w:val="00602D6B"/>
    <w:rsid w:val="00610716"/>
    <w:rsid w:val="00611FD8"/>
    <w:rsid w:val="00613E45"/>
    <w:rsid w:val="00626049"/>
    <w:rsid w:val="00654CC3"/>
    <w:rsid w:val="006643C9"/>
    <w:rsid w:val="00666C4E"/>
    <w:rsid w:val="006756C7"/>
    <w:rsid w:val="00690D4A"/>
    <w:rsid w:val="00695D88"/>
    <w:rsid w:val="006A7D13"/>
    <w:rsid w:val="006B26F4"/>
    <w:rsid w:val="006B3E88"/>
    <w:rsid w:val="006F0571"/>
    <w:rsid w:val="006F5141"/>
    <w:rsid w:val="0071076E"/>
    <w:rsid w:val="00712174"/>
    <w:rsid w:val="0072259A"/>
    <w:rsid w:val="00733A5B"/>
    <w:rsid w:val="00736571"/>
    <w:rsid w:val="0076626B"/>
    <w:rsid w:val="0077773F"/>
    <w:rsid w:val="00787AD9"/>
    <w:rsid w:val="007907F3"/>
    <w:rsid w:val="0079319D"/>
    <w:rsid w:val="007A034B"/>
    <w:rsid w:val="007F67A6"/>
    <w:rsid w:val="0080275E"/>
    <w:rsid w:val="00804163"/>
    <w:rsid w:val="00805168"/>
    <w:rsid w:val="00821CE7"/>
    <w:rsid w:val="00827FBA"/>
    <w:rsid w:val="00836951"/>
    <w:rsid w:val="008371BD"/>
    <w:rsid w:val="00846FD6"/>
    <w:rsid w:val="00863F51"/>
    <w:rsid w:val="00885CF7"/>
    <w:rsid w:val="008975F1"/>
    <w:rsid w:val="008A564C"/>
    <w:rsid w:val="008A6B82"/>
    <w:rsid w:val="008B0706"/>
    <w:rsid w:val="008B556E"/>
    <w:rsid w:val="008C77FA"/>
    <w:rsid w:val="008E06A9"/>
    <w:rsid w:val="008E65DC"/>
    <w:rsid w:val="008F79BB"/>
    <w:rsid w:val="00901AFD"/>
    <w:rsid w:val="009076A0"/>
    <w:rsid w:val="00916887"/>
    <w:rsid w:val="009171BB"/>
    <w:rsid w:val="0092279A"/>
    <w:rsid w:val="00931C7D"/>
    <w:rsid w:val="009327BF"/>
    <w:rsid w:val="009335E6"/>
    <w:rsid w:val="00935528"/>
    <w:rsid w:val="00946944"/>
    <w:rsid w:val="0096171D"/>
    <w:rsid w:val="009668F8"/>
    <w:rsid w:val="00967638"/>
    <w:rsid w:val="00982908"/>
    <w:rsid w:val="00987FA7"/>
    <w:rsid w:val="00996910"/>
    <w:rsid w:val="009A04D0"/>
    <w:rsid w:val="009A605F"/>
    <w:rsid w:val="009E3CEF"/>
    <w:rsid w:val="009E74FC"/>
    <w:rsid w:val="009F3545"/>
    <w:rsid w:val="00A03B83"/>
    <w:rsid w:val="00A03E8C"/>
    <w:rsid w:val="00A103A9"/>
    <w:rsid w:val="00A241DA"/>
    <w:rsid w:val="00A36AEF"/>
    <w:rsid w:val="00A40D21"/>
    <w:rsid w:val="00A44783"/>
    <w:rsid w:val="00A66D09"/>
    <w:rsid w:val="00A81DBA"/>
    <w:rsid w:val="00A846AF"/>
    <w:rsid w:val="00A90C5B"/>
    <w:rsid w:val="00AC4A4B"/>
    <w:rsid w:val="00AD3627"/>
    <w:rsid w:val="00AD42E7"/>
    <w:rsid w:val="00AD4BEA"/>
    <w:rsid w:val="00AE40FE"/>
    <w:rsid w:val="00AF1200"/>
    <w:rsid w:val="00B007CC"/>
    <w:rsid w:val="00B13E0C"/>
    <w:rsid w:val="00B23C7F"/>
    <w:rsid w:val="00B2452C"/>
    <w:rsid w:val="00B36627"/>
    <w:rsid w:val="00B406D6"/>
    <w:rsid w:val="00B4541D"/>
    <w:rsid w:val="00B564F6"/>
    <w:rsid w:val="00B57A1B"/>
    <w:rsid w:val="00B768A0"/>
    <w:rsid w:val="00B92E31"/>
    <w:rsid w:val="00B94B01"/>
    <w:rsid w:val="00BA14B6"/>
    <w:rsid w:val="00BB01C3"/>
    <w:rsid w:val="00BB1691"/>
    <w:rsid w:val="00BC6A80"/>
    <w:rsid w:val="00BE2D7E"/>
    <w:rsid w:val="00BF2CA5"/>
    <w:rsid w:val="00BF4847"/>
    <w:rsid w:val="00C134BE"/>
    <w:rsid w:val="00C20DFA"/>
    <w:rsid w:val="00C25DD8"/>
    <w:rsid w:val="00C51786"/>
    <w:rsid w:val="00C63DA3"/>
    <w:rsid w:val="00C65660"/>
    <w:rsid w:val="00C67EB6"/>
    <w:rsid w:val="00C9405A"/>
    <w:rsid w:val="00C96918"/>
    <w:rsid w:val="00CA0AF2"/>
    <w:rsid w:val="00CB2C2F"/>
    <w:rsid w:val="00CC7DDE"/>
    <w:rsid w:val="00CD0F35"/>
    <w:rsid w:val="00CD248E"/>
    <w:rsid w:val="00CF0D8B"/>
    <w:rsid w:val="00D0099D"/>
    <w:rsid w:val="00D162CB"/>
    <w:rsid w:val="00D16F21"/>
    <w:rsid w:val="00D172DA"/>
    <w:rsid w:val="00D20B4F"/>
    <w:rsid w:val="00D20BB6"/>
    <w:rsid w:val="00D233D1"/>
    <w:rsid w:val="00D275AC"/>
    <w:rsid w:val="00D40288"/>
    <w:rsid w:val="00D5008D"/>
    <w:rsid w:val="00D51FFC"/>
    <w:rsid w:val="00D57ED7"/>
    <w:rsid w:val="00D71882"/>
    <w:rsid w:val="00D73A84"/>
    <w:rsid w:val="00D77329"/>
    <w:rsid w:val="00D83469"/>
    <w:rsid w:val="00D8495A"/>
    <w:rsid w:val="00D97F4D"/>
    <w:rsid w:val="00DA4050"/>
    <w:rsid w:val="00DC22BD"/>
    <w:rsid w:val="00DC7787"/>
    <w:rsid w:val="00DD0EB6"/>
    <w:rsid w:val="00DF7ABF"/>
    <w:rsid w:val="00E11D8D"/>
    <w:rsid w:val="00E45931"/>
    <w:rsid w:val="00E543A6"/>
    <w:rsid w:val="00E61448"/>
    <w:rsid w:val="00E72FAC"/>
    <w:rsid w:val="00E753AE"/>
    <w:rsid w:val="00E77E78"/>
    <w:rsid w:val="00E82EAF"/>
    <w:rsid w:val="00EA7627"/>
    <w:rsid w:val="00EB7BA0"/>
    <w:rsid w:val="00EC5251"/>
    <w:rsid w:val="00EC7C64"/>
    <w:rsid w:val="00EE5220"/>
    <w:rsid w:val="00EF3BB8"/>
    <w:rsid w:val="00F00A5E"/>
    <w:rsid w:val="00F1599D"/>
    <w:rsid w:val="00F22FAE"/>
    <w:rsid w:val="00F3004B"/>
    <w:rsid w:val="00F32F49"/>
    <w:rsid w:val="00F40CB9"/>
    <w:rsid w:val="00F45991"/>
    <w:rsid w:val="00F822A3"/>
    <w:rsid w:val="00F84B2A"/>
    <w:rsid w:val="00FA19A7"/>
    <w:rsid w:val="00FA7310"/>
    <w:rsid w:val="00FD2735"/>
    <w:rsid w:val="00FD3E0B"/>
    <w:rsid w:val="00FE0914"/>
    <w:rsid w:val="00FE46F1"/>
    <w:rsid w:val="1EB7EBB2"/>
    <w:rsid w:val="2EDDEF56"/>
    <w:rsid w:val="2FDBFD85"/>
    <w:rsid w:val="3C93B4ED"/>
    <w:rsid w:val="3FABDC1A"/>
    <w:rsid w:val="47D9A09E"/>
    <w:rsid w:val="53EF5B2E"/>
    <w:rsid w:val="57F18322"/>
    <w:rsid w:val="57FE0F02"/>
    <w:rsid w:val="5BBBB086"/>
    <w:rsid w:val="5CA73E0B"/>
    <w:rsid w:val="5DBB7229"/>
    <w:rsid w:val="5DF36809"/>
    <w:rsid w:val="5F4C6CBD"/>
    <w:rsid w:val="5F9B8A32"/>
    <w:rsid w:val="5FFBDC8E"/>
    <w:rsid w:val="5FFBF122"/>
    <w:rsid w:val="6BFFB295"/>
    <w:rsid w:val="6D737C94"/>
    <w:rsid w:val="6FDFF087"/>
    <w:rsid w:val="73751F87"/>
    <w:rsid w:val="74CF57C4"/>
    <w:rsid w:val="79BEC649"/>
    <w:rsid w:val="79EAD24B"/>
    <w:rsid w:val="7B1F6175"/>
    <w:rsid w:val="7D756AFC"/>
    <w:rsid w:val="7DBC7A58"/>
    <w:rsid w:val="7DDF7BC2"/>
    <w:rsid w:val="7E763A57"/>
    <w:rsid w:val="7EBF8411"/>
    <w:rsid w:val="7ED70025"/>
    <w:rsid w:val="7EFCA8C1"/>
    <w:rsid w:val="7EFE757D"/>
    <w:rsid w:val="7EFFEE64"/>
    <w:rsid w:val="7FD7C304"/>
    <w:rsid w:val="7FE75EBB"/>
    <w:rsid w:val="7FF118BA"/>
    <w:rsid w:val="99FFACA9"/>
    <w:rsid w:val="9EBEEA3E"/>
    <w:rsid w:val="9F9B6F18"/>
    <w:rsid w:val="9FEBA8BB"/>
    <w:rsid w:val="A7BFA00C"/>
    <w:rsid w:val="AFFFEF26"/>
    <w:rsid w:val="B757C5B3"/>
    <w:rsid w:val="BE234C14"/>
    <w:rsid w:val="BEDFE039"/>
    <w:rsid w:val="BFDB097F"/>
    <w:rsid w:val="BFF8B6FD"/>
    <w:rsid w:val="BFFE8512"/>
    <w:rsid w:val="CFFE048D"/>
    <w:rsid w:val="D7130B01"/>
    <w:rsid w:val="D775BEED"/>
    <w:rsid w:val="DA5FC151"/>
    <w:rsid w:val="DD7FEB29"/>
    <w:rsid w:val="DEFFF7EB"/>
    <w:rsid w:val="DF74E955"/>
    <w:rsid w:val="DFD10902"/>
    <w:rsid w:val="DFFF9C65"/>
    <w:rsid w:val="E7FE6481"/>
    <w:rsid w:val="EFD75E9E"/>
    <w:rsid w:val="EFDE9F75"/>
    <w:rsid w:val="EFFA7EC1"/>
    <w:rsid w:val="EFFF4F9D"/>
    <w:rsid w:val="F25F9641"/>
    <w:rsid w:val="F3BA6BBE"/>
    <w:rsid w:val="F7E3F59B"/>
    <w:rsid w:val="F7EF38D4"/>
    <w:rsid w:val="F7EF9DB8"/>
    <w:rsid w:val="F9DD7A07"/>
    <w:rsid w:val="FB6782B2"/>
    <w:rsid w:val="FB7FDF71"/>
    <w:rsid w:val="FBBB6DBD"/>
    <w:rsid w:val="FBBF06DA"/>
    <w:rsid w:val="FBF7A9F4"/>
    <w:rsid w:val="FD362157"/>
    <w:rsid w:val="FD9F7453"/>
    <w:rsid w:val="FDCB63AD"/>
    <w:rsid w:val="FF7FAED3"/>
    <w:rsid w:val="FFD3E768"/>
    <w:rsid w:val="FFDA66E6"/>
    <w:rsid w:val="FFDB3986"/>
    <w:rsid w:val="FFDEDDFC"/>
    <w:rsid w:val="FFF1F246"/>
    <w:rsid w:val="FFFE5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99" w:semiHidden="0" w:name="index heading"/>
    <w:lsdException w:qFormat="1" w:uiPriority="35"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0" w:semiHidden="0" w:name="footnote reference"/>
    <w:lsdException w:unhideWhenUsed="0" w:uiPriority="0"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0" w:semiHidden="0" w:name="List"/>
    <w:lsdException w:unhideWhenUsed="0" w:uiPriority="99" w:semiHidden="0" w:name="List Bullet"/>
    <w:lsdException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0"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0" w:semiHidden="0" w:name="Block Text"/>
    <w:lsdException w:unhideWhenUsed="0" w:uiPriority="0"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sz w:val="21"/>
      <w:lang w:val="en-US" w:eastAsia="en-US" w:bidi="ar-SA"/>
    </w:rPr>
  </w:style>
  <w:style w:type="paragraph" w:styleId="2">
    <w:name w:val="heading 1"/>
    <w:basedOn w:val="1"/>
    <w:next w:val="1"/>
    <w:qFormat/>
    <w:uiPriority w:val="0"/>
    <w:pPr>
      <w:keepNext/>
      <w:keepLines/>
      <w:spacing w:before="340" w:after="330" w:line="576" w:lineRule="auto"/>
      <w:outlineLvl w:val="0"/>
    </w:pPr>
    <w:rPr>
      <w:b/>
      <w:sz w:val="44"/>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List 3"/>
    <w:basedOn w:val="1"/>
    <w:uiPriority w:val="0"/>
    <w:pPr>
      <w:spacing w:line="360" w:lineRule="auto"/>
      <w:ind w:left="1200" w:hanging="400"/>
    </w:pPr>
    <w:rPr>
      <w:sz w:val="22"/>
    </w:rPr>
  </w:style>
  <w:style w:type="paragraph" w:styleId="4">
    <w:name w:val="annotation text"/>
    <w:basedOn w:val="1"/>
    <w:uiPriority w:val="0"/>
    <w:pPr>
      <w:jc w:val="left"/>
    </w:pPr>
  </w:style>
  <w:style w:type="paragraph" w:styleId="5">
    <w:name w:val="List 2"/>
    <w:basedOn w:val="1"/>
    <w:uiPriority w:val="0"/>
    <w:pPr>
      <w:spacing w:line="360" w:lineRule="auto"/>
      <w:ind w:left="800" w:hanging="400"/>
    </w:pPr>
    <w:rPr>
      <w:sz w:val="22"/>
    </w:rPr>
  </w:style>
  <w:style w:type="paragraph" w:styleId="6">
    <w:name w:val="Block Text"/>
    <w:basedOn w:val="1"/>
    <w:uiPriority w:val="0"/>
    <w:pPr>
      <w:spacing w:after="160" w:line="360" w:lineRule="auto"/>
      <w:ind w:left="1200"/>
    </w:pPr>
    <w:rPr>
      <w:sz w:val="22"/>
    </w:rPr>
  </w:style>
  <w:style w:type="paragraph" w:styleId="7">
    <w:name w:val="Balloon Text"/>
    <w:basedOn w:val="1"/>
    <w:uiPriority w:val="0"/>
    <w:rPr>
      <w:sz w:val="18"/>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iPriority w:val="0"/>
  </w:style>
  <w:style w:type="paragraph" w:styleId="11">
    <w:name w:val="Subtitle"/>
    <w:basedOn w:val="1"/>
    <w:qFormat/>
    <w:uiPriority w:val="0"/>
    <w:pPr>
      <w:spacing w:after="160" w:line="208" w:lineRule="auto"/>
      <w:jc w:val="left"/>
    </w:pPr>
    <w:rPr>
      <w:sz w:val="38"/>
    </w:rPr>
  </w:style>
  <w:style w:type="paragraph" w:styleId="12">
    <w:name w:val="List"/>
    <w:basedOn w:val="1"/>
    <w:uiPriority w:val="0"/>
    <w:pPr>
      <w:spacing w:line="360" w:lineRule="auto"/>
      <w:ind w:left="400" w:hanging="400"/>
    </w:pPr>
    <w:rPr>
      <w:sz w:val="22"/>
    </w:rPr>
  </w:style>
  <w:style w:type="paragraph" w:styleId="13">
    <w:name w:val="footnote text"/>
    <w:basedOn w:val="1"/>
    <w:uiPriority w:val="0"/>
    <w:pPr>
      <w:snapToGrid w:val="0"/>
      <w:jc w:val="left"/>
    </w:pPr>
    <w:rPr>
      <w:sz w:val="18"/>
    </w:rPr>
  </w:style>
  <w:style w:type="paragraph" w:styleId="14">
    <w:name w:val="List 5"/>
    <w:basedOn w:val="1"/>
    <w:uiPriority w:val="0"/>
    <w:pPr>
      <w:spacing w:line="360" w:lineRule="auto"/>
      <w:ind w:left="1800" w:hanging="400"/>
    </w:pPr>
    <w:rPr>
      <w:sz w:val="22"/>
    </w:rPr>
  </w:style>
  <w:style w:type="paragraph" w:styleId="15">
    <w:name w:val="toc 2"/>
    <w:basedOn w:val="1"/>
    <w:next w:val="1"/>
    <w:uiPriority w:val="0"/>
    <w:pPr>
      <w:ind w:left="420"/>
    </w:pPr>
  </w:style>
  <w:style w:type="paragraph" w:styleId="16">
    <w:name w:val="List 4"/>
    <w:basedOn w:val="1"/>
    <w:uiPriority w:val="0"/>
    <w:pPr>
      <w:spacing w:line="360" w:lineRule="auto"/>
      <w:ind w:left="1600" w:hanging="400"/>
    </w:pPr>
    <w:rPr>
      <w:sz w:val="22"/>
    </w:rPr>
  </w:style>
  <w:style w:type="paragraph" w:styleId="17">
    <w:name w:val="Normal (Web)"/>
    <w:basedOn w:val="1"/>
    <w:qFormat/>
    <w:uiPriority w:val="0"/>
    <w:pPr>
      <w:jc w:val="left"/>
    </w:pPr>
    <w:rPr>
      <w:sz w:val="24"/>
    </w:rPr>
  </w:style>
  <w:style w:type="paragraph" w:styleId="18">
    <w:name w:val="annotation subject"/>
    <w:basedOn w:val="4"/>
    <w:uiPriority w:val="0"/>
    <w:rPr>
      <w:b/>
    </w:rPr>
  </w:style>
  <w:style w:type="table" w:styleId="20">
    <w:name w:val="Table Grid"/>
    <w:basedOn w:val="1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uiPriority w:val="99"/>
    <w:rPr>
      <w:color w:val="7E1FAD" w:themeColor="followedHyperlink"/>
      <w:u w:val="single"/>
      <w14:textFill>
        <w14:solidFill>
          <w14:schemeClr w14:val="folHlink"/>
        </w14:solidFill>
      </w14:textFill>
    </w:rPr>
  </w:style>
  <w:style w:type="character" w:styleId="23">
    <w:name w:val="Hyperlink"/>
    <w:basedOn w:val="21"/>
    <w:uiPriority w:val="0"/>
    <w:rPr>
      <w:color w:val="0000FF"/>
      <w:u w:val="single"/>
    </w:rPr>
  </w:style>
  <w:style w:type="character" w:styleId="24">
    <w:name w:val="annotation reference"/>
    <w:basedOn w:val="21"/>
    <w:uiPriority w:val="0"/>
    <w:rPr>
      <w:sz w:val="21"/>
    </w:rPr>
  </w:style>
  <w:style w:type="character" w:styleId="25">
    <w:name w:val="footnote reference"/>
    <w:basedOn w:val="21"/>
    <w:uiPriority w:val="0"/>
    <w:rPr>
      <w:vertAlign w:val="superscript"/>
    </w:rPr>
  </w:style>
  <w:style w:type="paragraph" w:customStyle="1" w:styleId="26">
    <w:name w:val="TOC 31"/>
    <w:basedOn w:val="1"/>
    <w:uiPriority w:val="0"/>
    <w:pPr>
      <w:spacing w:line="360" w:lineRule="auto"/>
    </w:pPr>
    <w:rPr>
      <w:sz w:val="22"/>
    </w:rPr>
  </w:style>
  <w:style w:type="paragraph" w:customStyle="1" w:styleId="27">
    <w:name w:val="TOC 41"/>
    <w:basedOn w:val="1"/>
    <w:uiPriority w:val="0"/>
    <w:pPr>
      <w:spacing w:line="330" w:lineRule="exact"/>
    </w:pPr>
  </w:style>
  <w:style w:type="paragraph" w:customStyle="1" w:styleId="28">
    <w:name w:val="TOC 51"/>
    <w:basedOn w:val="1"/>
    <w:uiPriority w:val="0"/>
    <w:pPr>
      <w:spacing w:line="330" w:lineRule="exact"/>
    </w:pPr>
  </w:style>
  <w:style w:type="paragraph" w:customStyle="1" w:styleId="29">
    <w:name w:val="TOC 61"/>
    <w:basedOn w:val="1"/>
    <w:uiPriority w:val="0"/>
    <w:pPr>
      <w:spacing w:line="330" w:lineRule="exact"/>
    </w:pPr>
  </w:style>
  <w:style w:type="paragraph" w:customStyle="1" w:styleId="30">
    <w:name w:val="TOC 71"/>
    <w:basedOn w:val="1"/>
    <w:uiPriority w:val="0"/>
    <w:pPr>
      <w:spacing w:line="330" w:lineRule="exact"/>
    </w:pPr>
  </w:style>
  <w:style w:type="paragraph" w:customStyle="1" w:styleId="31">
    <w:name w:val="TOC 81"/>
    <w:basedOn w:val="1"/>
    <w:uiPriority w:val="0"/>
    <w:pPr>
      <w:spacing w:line="330" w:lineRule="exact"/>
    </w:pPr>
  </w:style>
  <w:style w:type="paragraph" w:customStyle="1" w:styleId="32">
    <w:name w:val="TOC 91"/>
    <w:basedOn w:val="1"/>
    <w:uiPriority w:val="0"/>
    <w:pPr>
      <w:spacing w:line="330" w:lineRule="exact"/>
    </w:pPr>
  </w:style>
  <w:style w:type="table" w:customStyle="1" w:styleId="33">
    <w:name w:val="Old Default Table Style"/>
    <w:uiPriority w:val="0"/>
    <w:tblPr>
      <w:tblCellMar>
        <w:top w:w="0" w:type="dxa"/>
        <w:left w:w="10" w:type="dxa"/>
        <w:bottom w:w="0" w:type="dxa"/>
        <w:right w:w="10" w:type="dxa"/>
      </w:tblCellMar>
    </w:tblPr>
  </w:style>
  <w:style w:type="character" w:customStyle="1" w:styleId="34">
    <w:name w:val="Comment Reference1"/>
    <w:basedOn w:val="21"/>
    <w:uiPriority w:val="0"/>
    <w:rPr>
      <w:sz w:val="16"/>
    </w:rPr>
  </w:style>
  <w:style w:type="character" w:customStyle="1" w:styleId="35">
    <w:name w:val="Endnote Reference1"/>
    <w:basedOn w:val="21"/>
    <w:uiPriority w:val="0"/>
    <w:rPr>
      <w:vertAlign w:val="superscript"/>
    </w:rPr>
  </w:style>
  <w:style w:type="paragraph" w:customStyle="1" w:styleId="36">
    <w:name w:val="WPSOffice手动目录 1"/>
    <w:uiPriority w:val="0"/>
    <w:rPr>
      <w:rFonts w:ascii="Calibri" w:hAnsi="Calibri" w:eastAsia="Calibri" w:cs="Calibri"/>
      <w:lang w:val="en-US" w:eastAsia="en-US" w:bidi="ar-SA"/>
    </w:rPr>
  </w:style>
  <w:style w:type="paragraph" w:customStyle="1" w:styleId="37">
    <w:name w:val="WPSOffice手动目录 2"/>
    <w:uiPriority w:val="0"/>
    <w:pPr>
      <w:ind w:left="200"/>
    </w:pPr>
    <w:rPr>
      <w:rFonts w:ascii="Calibri" w:hAnsi="Calibri" w:eastAsia="Calibri" w:cs="Calibri"/>
      <w:lang w:val="en-US" w:eastAsia="en-US" w:bidi="ar-SA"/>
    </w:rPr>
  </w:style>
  <w:style w:type="paragraph" w:customStyle="1" w:styleId="38">
    <w:name w:val="修订1"/>
    <w:uiPriority w:val="0"/>
    <w:rPr>
      <w:rFonts w:ascii="Calibri" w:hAnsi="Calibri" w:eastAsia="Calibri" w:cs="Calibri"/>
      <w:sz w:val="21"/>
      <w:lang w:val="en-US" w:eastAsia="en-US" w:bidi="ar-SA"/>
    </w:rPr>
  </w:style>
  <w:style w:type="paragraph" w:customStyle="1" w:styleId="39">
    <w:name w:val="公式居中"/>
    <w:basedOn w:val="1"/>
    <w:uiPriority w:val="0"/>
    <w:pPr>
      <w:tabs>
        <w:tab w:val="center" w:pos="4150"/>
        <w:tab w:val="right" w:pos="8300"/>
      </w:tabs>
      <w:snapToGrid w:val="0"/>
      <w:spacing w:line="480" w:lineRule="auto"/>
      <w:jc w:val="center"/>
    </w:pPr>
    <w:rPr>
      <w:rFonts w:ascii="DejaVu Math TeX Gyre" w:hAnsi="DejaVu Math TeX Gyre" w:eastAsia="DejaVu Math TeX Gyre" w:cs="DejaVu Math TeX Gyre"/>
      <w:sz w:val="24"/>
    </w:rPr>
  </w:style>
  <w:style w:type="character" w:customStyle="1" w:styleId="40">
    <w:name w:val="City"/>
    <w:basedOn w:val="21"/>
    <w:uiPriority w:val="0"/>
    <w:rPr>
      <w:shd w:val="clear" w:color="auto" w:fill="D7D7D7"/>
    </w:rPr>
  </w:style>
  <w:style w:type="character" w:customStyle="1" w:styleId="41">
    <w:name w:val="Conference"/>
    <w:basedOn w:val="21"/>
    <w:uiPriority w:val="0"/>
    <w:rPr>
      <w:shd w:val="clear" w:color="auto" w:fill="FFAFBC"/>
    </w:rPr>
  </w:style>
  <w:style w:type="character" w:customStyle="1" w:styleId="42">
    <w:name w:val="Label"/>
    <w:basedOn w:val="21"/>
    <w:uiPriority w:val="0"/>
    <w:rPr>
      <w:shd w:val="clear" w:color="auto" w:fill="FFC391"/>
      <w:vertAlign w:val="baseline"/>
    </w:rPr>
  </w:style>
  <w:style w:type="paragraph" w:customStyle="1" w:styleId="43">
    <w:name w:val="Surtitle"/>
    <w:basedOn w:val="1"/>
    <w:qFormat/>
    <w:uiPriority w:val="0"/>
    <w:pPr>
      <w:spacing w:after="160" w:line="208" w:lineRule="auto"/>
      <w:jc w:val="left"/>
    </w:pPr>
    <w:rPr>
      <w:sz w:val="38"/>
    </w:rPr>
  </w:style>
  <w:style w:type="character" w:customStyle="1" w:styleId="44">
    <w:name w:val="Source"/>
    <w:basedOn w:val="21"/>
    <w:uiPriority w:val="0"/>
    <w:rPr>
      <w:shd w:val="clear" w:color="auto" w:fill="C1EDFF"/>
    </w:rPr>
  </w:style>
  <w:style w:type="character" w:customStyle="1" w:styleId="45">
    <w:name w:val="Grant ID"/>
    <w:basedOn w:val="21"/>
    <w:uiPriority w:val="0"/>
    <w:rPr>
      <w:shd w:val="clear" w:color="auto" w:fill="DDA5FF"/>
    </w:rPr>
  </w:style>
  <w:style w:type="paragraph" w:customStyle="1" w:styleId="46">
    <w:name w:val="Table Note"/>
    <w:basedOn w:val="1"/>
    <w:uiPriority w:val="0"/>
    <w:rPr>
      <w:sz w:val="18"/>
    </w:rPr>
  </w:style>
  <w:style w:type="character" w:customStyle="1" w:styleId="47">
    <w:name w:val="Edition"/>
    <w:basedOn w:val="21"/>
    <w:uiPriority w:val="0"/>
    <w:rPr>
      <w:shd w:val="clear" w:color="auto" w:fill="FFF6A4"/>
    </w:rPr>
  </w:style>
  <w:style w:type="paragraph" w:customStyle="1" w:styleId="48">
    <w:name w:val="Copyright"/>
    <w:basedOn w:val="1"/>
    <w:uiPriority w:val="0"/>
    <w:pPr>
      <w:shd w:val="clear" w:color="auto" w:fill="E9F9FF"/>
    </w:pPr>
    <w:rPr>
      <w:sz w:val="18"/>
      <w:shd w:val="clear" w:color="auto" w:fill="E9F9FF"/>
    </w:rPr>
  </w:style>
  <w:style w:type="paragraph" w:customStyle="1" w:styleId="49">
    <w:name w:val="Caption1"/>
    <w:basedOn w:val="1"/>
    <w:uiPriority w:val="0"/>
    <w:pPr>
      <w:shd w:val="clear" w:color="auto" w:fill="FFF5ED"/>
      <w:spacing w:before="240" w:line="349" w:lineRule="auto"/>
    </w:pPr>
    <w:rPr>
      <w:sz w:val="22"/>
      <w:shd w:val="clear" w:color="auto" w:fill="FFF5ED"/>
    </w:rPr>
  </w:style>
  <w:style w:type="character" w:customStyle="1" w:styleId="50">
    <w:name w:val="Heading:"/>
    <w:basedOn w:val="21"/>
    <w:uiPriority w:val="0"/>
    <w:rPr>
      <w:color w:val="5B89C1"/>
    </w:rPr>
  </w:style>
  <w:style w:type="character" w:customStyle="1" w:styleId="51">
    <w:name w:val="Page Numbers"/>
    <w:basedOn w:val="21"/>
    <w:uiPriority w:val="0"/>
    <w:rPr>
      <w:shd w:val="clear" w:color="auto" w:fill="FFEDF0"/>
    </w:rPr>
  </w:style>
  <w:style w:type="character" w:customStyle="1" w:styleId="52">
    <w:name w:val="Given Name"/>
    <w:basedOn w:val="21"/>
    <w:uiPriority w:val="0"/>
    <w:rPr>
      <w:shd w:val="clear" w:color="auto" w:fill="D0FCE2"/>
    </w:rPr>
  </w:style>
  <w:style w:type="character" w:customStyle="1" w:styleId="53">
    <w:name w:val="Article Title"/>
    <w:basedOn w:val="21"/>
    <w:qFormat/>
    <w:uiPriority w:val="0"/>
    <w:rPr>
      <w:shd w:val="clear" w:color="auto" w:fill="E9F9FF"/>
    </w:rPr>
  </w:style>
  <w:style w:type="paragraph" w:customStyle="1" w:styleId="54">
    <w:name w:val="Acknowledgements"/>
    <w:basedOn w:val="1"/>
    <w:uiPriority w:val="0"/>
    <w:pPr>
      <w:shd w:val="clear" w:color="auto" w:fill="F9EDFF"/>
      <w:spacing w:after="160" w:line="396" w:lineRule="auto"/>
    </w:pPr>
    <w:rPr>
      <w:sz w:val="20"/>
      <w:shd w:val="clear" w:color="auto" w:fill="F9EDFF"/>
    </w:rPr>
  </w:style>
  <w:style w:type="paragraph" w:customStyle="1" w:styleId="55">
    <w:name w:val="Abstract"/>
    <w:basedOn w:val="1"/>
    <w:uiPriority w:val="0"/>
    <w:pPr>
      <w:spacing w:after="160" w:line="360" w:lineRule="auto"/>
      <w:ind w:left="1440" w:right="1440"/>
    </w:pPr>
    <w:rPr>
      <w:sz w:val="22"/>
    </w:rPr>
  </w:style>
  <w:style w:type="character" w:customStyle="1" w:styleId="56">
    <w:name w:val="Issue Number"/>
    <w:basedOn w:val="21"/>
    <w:uiPriority w:val="0"/>
    <w:rPr>
      <w:shd w:val="clear" w:color="auto" w:fill="CDD5FF"/>
    </w:rPr>
  </w:style>
  <w:style w:type="paragraph" w:customStyle="1" w:styleId="57">
    <w:name w:val="Table Head"/>
    <w:basedOn w:val="1"/>
    <w:uiPriority w:val="0"/>
    <w:pPr>
      <w:shd w:val="clear" w:color="auto" w:fill="FFEDFA"/>
      <w:jc w:val="left"/>
    </w:pPr>
    <w:rPr>
      <w:sz w:val="20"/>
      <w:shd w:val="clear" w:color="auto" w:fill="FFEDFA"/>
    </w:rPr>
  </w:style>
  <w:style w:type="paragraph" w:customStyle="1" w:styleId="58">
    <w:name w:val="Table Body"/>
    <w:basedOn w:val="1"/>
    <w:uiPriority w:val="0"/>
    <w:pPr>
      <w:spacing w:after="160" w:line="396" w:lineRule="auto"/>
      <w:jc w:val="left"/>
    </w:pPr>
    <w:rPr>
      <w:sz w:val="20"/>
    </w:rPr>
  </w:style>
  <w:style w:type="character" w:customStyle="1" w:styleId="59">
    <w:name w:val="Publisher"/>
    <w:basedOn w:val="21"/>
    <w:uiPriority w:val="0"/>
    <w:rPr>
      <w:shd w:val="clear" w:color="auto" w:fill="F2DDFF"/>
    </w:rPr>
  </w:style>
  <w:style w:type="paragraph" w:customStyle="1" w:styleId="60">
    <w:name w:val="Table List"/>
    <w:basedOn w:val="1"/>
    <w:uiPriority w:val="0"/>
    <w:pPr>
      <w:ind w:left="300" w:hanging="300"/>
      <w:jc w:val="left"/>
    </w:pPr>
    <w:rPr>
      <w:sz w:val="20"/>
    </w:rPr>
  </w:style>
  <w:style w:type="character" w:customStyle="1" w:styleId="61">
    <w:name w:val="Database Link"/>
    <w:basedOn w:val="21"/>
    <w:uiPriority w:val="0"/>
    <w:rPr>
      <w:shd w:val="clear" w:color="auto" w:fill="AFBEFF"/>
    </w:rPr>
  </w:style>
  <w:style w:type="character" w:customStyle="1" w:styleId="62">
    <w:name w:val="Location"/>
    <w:basedOn w:val="21"/>
    <w:uiPriority w:val="0"/>
    <w:rPr>
      <w:shd w:val="clear" w:color="auto" w:fill="F9EDFF"/>
    </w:rPr>
  </w:style>
  <w:style w:type="paragraph" w:customStyle="1" w:styleId="63">
    <w:name w:val="List 6"/>
    <w:basedOn w:val="1"/>
    <w:uiPriority w:val="0"/>
    <w:pPr>
      <w:spacing w:line="360" w:lineRule="auto"/>
      <w:ind w:left="1860" w:hanging="400"/>
    </w:pPr>
    <w:rPr>
      <w:sz w:val="22"/>
    </w:rPr>
  </w:style>
  <w:style w:type="character" w:customStyle="1" w:styleId="64">
    <w:name w:val="Region"/>
    <w:basedOn w:val="21"/>
    <w:uiPriority w:val="0"/>
    <w:rPr>
      <w:shd w:val="clear" w:color="auto" w:fill="D8E9EE"/>
    </w:rPr>
  </w:style>
  <w:style w:type="paragraph" w:customStyle="1" w:styleId="65">
    <w:name w:val="Correspondence"/>
    <w:basedOn w:val="1"/>
    <w:uiPriority w:val="0"/>
    <w:pPr>
      <w:shd w:val="clear" w:color="auto" w:fill="F3F7F9"/>
      <w:spacing w:before="240" w:after="120" w:line="396" w:lineRule="auto"/>
      <w:ind w:left="400" w:hanging="400"/>
      <w:jc w:val="left"/>
    </w:pPr>
    <w:rPr>
      <w:sz w:val="20"/>
      <w:shd w:val="clear" w:color="auto" w:fill="F3F7F9"/>
    </w:rPr>
  </w:style>
  <w:style w:type="character" w:customStyle="1" w:styleId="66">
    <w:name w:val="Volume Number"/>
    <w:basedOn w:val="21"/>
    <w:uiPriority w:val="0"/>
    <w:rPr>
      <w:shd w:val="clear" w:color="auto" w:fill="EDF0FF"/>
    </w:rPr>
  </w:style>
  <w:style w:type="paragraph" w:customStyle="1" w:styleId="67">
    <w:name w:val="Table Head Span"/>
    <w:basedOn w:val="1"/>
    <w:uiPriority w:val="0"/>
    <w:pPr>
      <w:shd w:val="clear" w:color="auto" w:fill="FFEDFA"/>
      <w:jc w:val="left"/>
    </w:pPr>
    <w:rPr>
      <w:shd w:val="clear" w:color="auto" w:fill="FFEDFA"/>
    </w:rPr>
  </w:style>
  <w:style w:type="paragraph" w:customStyle="1" w:styleId="68">
    <w:name w:val="Comment Text_0"/>
    <w:basedOn w:val="1"/>
    <w:uiPriority w:val="0"/>
    <w:pPr>
      <w:jc w:val="left"/>
    </w:pPr>
    <w:rPr>
      <w:sz w:val="20"/>
    </w:rPr>
  </w:style>
  <w:style w:type="paragraph" w:customStyle="1" w:styleId="69">
    <w:name w:val="List 8"/>
    <w:basedOn w:val="1"/>
    <w:uiPriority w:val="0"/>
    <w:pPr>
      <w:spacing w:line="360" w:lineRule="auto"/>
      <w:ind w:left="1980" w:hanging="400"/>
    </w:pPr>
    <w:rPr>
      <w:sz w:val="22"/>
    </w:rPr>
  </w:style>
  <w:style w:type="paragraph" w:customStyle="1" w:styleId="70">
    <w:name w:val="Chapter Number"/>
    <w:basedOn w:val="1"/>
    <w:uiPriority w:val="0"/>
  </w:style>
  <w:style w:type="paragraph" w:customStyle="1" w:styleId="71">
    <w:name w:val="Endnote Text1"/>
    <w:basedOn w:val="1"/>
    <w:uiPriority w:val="0"/>
  </w:style>
  <w:style w:type="character" w:customStyle="1" w:styleId="72">
    <w:name w:val="Country"/>
    <w:basedOn w:val="21"/>
    <w:uiPriority w:val="0"/>
    <w:rPr>
      <w:shd w:val="clear" w:color="auto" w:fill="97C5D1"/>
    </w:rPr>
  </w:style>
  <w:style w:type="paragraph" w:customStyle="1" w:styleId="73">
    <w:name w:val="Reference"/>
    <w:basedOn w:val="1"/>
    <w:uiPriority w:val="0"/>
    <w:pPr>
      <w:spacing w:after="320" w:line="360" w:lineRule="auto"/>
      <w:ind w:left="400" w:hanging="400"/>
    </w:pPr>
    <w:rPr>
      <w:sz w:val="22"/>
    </w:rPr>
  </w:style>
  <w:style w:type="paragraph" w:customStyle="1" w:styleId="74">
    <w:name w:val="Note"/>
    <w:basedOn w:val="1"/>
    <w:uiPriority w:val="0"/>
    <w:pPr>
      <w:shd w:val="clear" w:color="auto" w:fill="EDF0FF"/>
      <w:spacing w:line="432" w:lineRule="auto"/>
    </w:pPr>
    <w:rPr>
      <w:sz w:val="20"/>
      <w:shd w:val="clear" w:color="auto" w:fill="EDF0FF"/>
    </w:rPr>
  </w:style>
  <w:style w:type="character" w:customStyle="1" w:styleId="75">
    <w:name w:val="Family Name"/>
    <w:basedOn w:val="21"/>
    <w:uiPriority w:val="0"/>
    <w:rPr>
      <w:shd w:val="clear" w:color="auto" w:fill="88F4BE"/>
    </w:rPr>
  </w:style>
  <w:style w:type="paragraph" w:customStyle="1" w:styleId="76">
    <w:name w:val="Keywords"/>
    <w:basedOn w:val="1"/>
    <w:uiPriority w:val="0"/>
    <w:pPr>
      <w:spacing w:line="396" w:lineRule="auto"/>
      <w:ind w:left="1000"/>
      <w:jc w:val="left"/>
    </w:pPr>
    <w:rPr>
      <w:sz w:val="20"/>
    </w:rPr>
  </w:style>
  <w:style w:type="paragraph" w:customStyle="1" w:styleId="77">
    <w:name w:val="Annotation"/>
    <w:basedOn w:val="1"/>
    <w:uiPriority w:val="0"/>
    <w:pPr>
      <w:spacing w:after="160" w:line="360" w:lineRule="auto"/>
      <w:ind w:left="400"/>
      <w:jc w:val="left"/>
    </w:pPr>
    <w:rPr>
      <w:sz w:val="22"/>
    </w:rPr>
  </w:style>
  <w:style w:type="paragraph" w:customStyle="1" w:styleId="78">
    <w:name w:val="Quotation"/>
    <w:basedOn w:val="1"/>
    <w:uiPriority w:val="0"/>
    <w:pPr>
      <w:spacing w:after="160" w:line="360" w:lineRule="auto"/>
      <w:ind w:left="1200" w:right="1200"/>
    </w:pPr>
    <w:rPr>
      <w:sz w:val="22"/>
    </w:rPr>
  </w:style>
  <w:style w:type="character" w:customStyle="1" w:styleId="79">
    <w:name w:val="Gene Sequence"/>
    <w:basedOn w:val="21"/>
    <w:uiPriority w:val="0"/>
    <w:rPr>
      <w:shd w:val="clear" w:color="auto" w:fill="FFCDF2"/>
    </w:rPr>
  </w:style>
  <w:style w:type="character" w:customStyle="1" w:styleId="80">
    <w:name w:val="Cross-reference"/>
    <w:basedOn w:val="21"/>
    <w:uiPriority w:val="0"/>
    <w:rPr>
      <w:shd w:val="clear" w:color="auto" w:fill="FFE3C9"/>
    </w:rPr>
  </w:style>
  <w:style w:type="paragraph" w:customStyle="1" w:styleId="81">
    <w:name w:val="Affiliation"/>
    <w:basedOn w:val="1"/>
    <w:uiPriority w:val="0"/>
    <w:pPr>
      <w:shd w:val="clear" w:color="auto" w:fill="F4FFED"/>
      <w:spacing w:before="240" w:after="120" w:line="396" w:lineRule="auto"/>
      <w:ind w:left="400" w:hanging="400"/>
      <w:jc w:val="left"/>
    </w:pPr>
    <w:rPr>
      <w:sz w:val="20"/>
      <w:shd w:val="clear" w:color="auto" w:fill="F4FFED"/>
    </w:rPr>
  </w:style>
  <w:style w:type="character" w:customStyle="1" w:styleId="82">
    <w:name w:val="Miscellaneous"/>
    <w:basedOn w:val="21"/>
    <w:uiPriority w:val="0"/>
    <w:rPr>
      <w:shd w:val="clear" w:color="auto" w:fill="F0F0F0"/>
    </w:rPr>
  </w:style>
  <w:style w:type="character" w:customStyle="1" w:styleId="83">
    <w:name w:val="Organization"/>
    <w:basedOn w:val="21"/>
    <w:uiPriority w:val="0"/>
    <w:rPr>
      <w:shd w:val="clear" w:color="auto" w:fill="D1FFB5"/>
    </w:rPr>
  </w:style>
  <w:style w:type="paragraph" w:customStyle="1" w:styleId="84">
    <w:name w:val="Statement"/>
    <w:basedOn w:val="1"/>
    <w:uiPriority w:val="0"/>
    <w:pPr>
      <w:ind w:left="900"/>
    </w:pPr>
    <w:rPr>
      <w:sz w:val="22"/>
    </w:rPr>
  </w:style>
  <w:style w:type="paragraph" w:customStyle="1" w:styleId="85">
    <w:name w:val="Abstract Subheading"/>
    <w:basedOn w:val="1"/>
    <w:next w:val="1"/>
    <w:uiPriority w:val="0"/>
    <w:pPr>
      <w:ind w:left="1440"/>
      <w:outlineLvl w:val="8"/>
    </w:pPr>
    <w:rPr>
      <w:sz w:val="22"/>
    </w:rPr>
  </w:style>
  <w:style w:type="paragraph" w:customStyle="1" w:styleId="86">
    <w:name w:val="Glossary"/>
    <w:basedOn w:val="1"/>
    <w:uiPriority w:val="0"/>
    <w:pPr>
      <w:shd w:val="clear" w:color="auto" w:fill="FFEDF0"/>
      <w:spacing w:before="120" w:after="120" w:line="432" w:lineRule="auto"/>
    </w:pPr>
    <w:rPr>
      <w:sz w:val="20"/>
      <w:shd w:val="clear" w:color="auto" w:fill="FFEDF0"/>
    </w:rPr>
  </w:style>
  <w:style w:type="paragraph" w:customStyle="1" w:styleId="87">
    <w:name w:val="Authors"/>
    <w:basedOn w:val="1"/>
    <w:uiPriority w:val="0"/>
    <w:pPr>
      <w:spacing w:before="360" w:after="120" w:line="283" w:lineRule="auto"/>
      <w:jc w:val="left"/>
    </w:pPr>
    <w:rPr>
      <w:sz w:val="28"/>
    </w:rPr>
  </w:style>
  <w:style w:type="character" w:customStyle="1" w:styleId="88">
    <w:name w:val="Postcode"/>
    <w:basedOn w:val="21"/>
    <w:uiPriority w:val="0"/>
    <w:rPr>
      <w:shd w:val="clear" w:color="auto" w:fill="BEBEBE"/>
    </w:rPr>
  </w:style>
  <w:style w:type="paragraph" w:customStyle="1" w:styleId="89">
    <w:name w:val="Formula"/>
    <w:basedOn w:val="1"/>
    <w:uiPriority w:val="0"/>
    <w:pPr>
      <w:shd w:val="clear" w:color="auto" w:fill="FFF5ED"/>
      <w:spacing w:before="120" w:after="120" w:line="360" w:lineRule="auto"/>
      <w:jc w:val="left"/>
    </w:pPr>
    <w:rPr>
      <w:sz w:val="22"/>
      <w:shd w:val="clear" w:color="auto" w:fill="FFF5ED"/>
    </w:rPr>
  </w:style>
  <w:style w:type="character" w:customStyle="1" w:styleId="90">
    <w:name w:val="Name Scientific"/>
    <w:basedOn w:val="21"/>
    <w:uiPriority w:val="0"/>
    <w:rPr>
      <w:shd w:val="clear" w:color="auto" w:fill="91E0FF"/>
    </w:rPr>
  </w:style>
  <w:style w:type="character" w:customStyle="1" w:styleId="91">
    <w:name w:val="Year"/>
    <w:basedOn w:val="21"/>
    <w:uiPriority w:val="0"/>
    <w:rPr>
      <w:shd w:val="clear" w:color="auto" w:fill="FFF9C9"/>
    </w:rPr>
  </w:style>
  <w:style w:type="paragraph" w:customStyle="1" w:styleId="92">
    <w:name w:val="Biography"/>
    <w:basedOn w:val="1"/>
    <w:uiPriority w:val="0"/>
    <w:pPr>
      <w:shd w:val="clear" w:color="auto" w:fill="EEFEF4"/>
      <w:spacing w:after="160" w:line="396" w:lineRule="auto"/>
    </w:pPr>
    <w:rPr>
      <w:sz w:val="20"/>
      <w:shd w:val="clear" w:color="auto" w:fill="EEFEF4"/>
    </w:rPr>
  </w:style>
  <w:style w:type="character" w:customStyle="1" w:styleId="93">
    <w:name w:val="Glossary Term"/>
    <w:basedOn w:val="21"/>
    <w:uiPriority w:val="0"/>
    <w:rPr>
      <w:shd w:val="clear" w:color="auto" w:fill="FFCFD7"/>
    </w:rPr>
  </w:style>
  <w:style w:type="paragraph" w:customStyle="1" w:styleId="94">
    <w:name w:val="List 7"/>
    <w:basedOn w:val="1"/>
    <w:uiPriority w:val="0"/>
    <w:pPr>
      <w:spacing w:line="360" w:lineRule="auto"/>
      <w:ind w:left="1920" w:hanging="400"/>
    </w:pPr>
    <w:rPr>
      <w:sz w:val="22"/>
    </w:rPr>
  </w:style>
  <w:style w:type="paragraph" w:customStyle="1" w:styleId="95">
    <w:name w:val="Quotation Source"/>
    <w:basedOn w:val="1"/>
    <w:uiPriority w:val="0"/>
    <w:pPr>
      <w:spacing w:after="170" w:line="360" w:lineRule="auto"/>
      <w:ind w:left="1200"/>
      <w:jc w:val="right"/>
    </w:pPr>
    <w:rPr>
      <w:sz w:val="22"/>
    </w:rPr>
  </w:style>
  <w:style w:type="paragraph" w:customStyle="1" w:styleId="96">
    <w:name w:val="List 1"/>
    <w:basedOn w:val="1"/>
    <w:uiPriority w:val="0"/>
    <w:pPr>
      <w:ind w:left="1200" w:hanging="600"/>
    </w:pPr>
    <w:rPr>
      <w:rFonts w:ascii="Times New Roman" w:hAnsi="Times New Roman" w:eastAsia="Times New Roman" w:cs="Times New Roman"/>
      <w:sz w:val="22"/>
    </w:rPr>
  </w:style>
  <w:style w:type="paragraph" w:customStyle="1" w:styleId="97">
    <w:name w:val="List 9"/>
    <w:basedOn w:val="1"/>
    <w:uiPriority w:val="0"/>
    <w:pPr>
      <w:ind w:left="1200" w:hanging="600"/>
    </w:pPr>
    <w:rPr>
      <w:rFonts w:ascii="Times New Roman" w:hAnsi="Times New Roman" w:eastAsia="Times New Roman" w:cs="Times New Roman"/>
      <w:sz w:val="22"/>
    </w:rPr>
  </w:style>
  <w:style w:type="character" w:customStyle="1" w:styleId="98">
    <w:name w:val="未处理的提及1"/>
    <w:basedOn w:val="21"/>
    <w:uiPriority w:val="99"/>
    <w:rPr>
      <w:color w:val="605E5C"/>
      <w:shd w:val="clear" w:color="auto" w:fill="E1DFDD"/>
    </w:rPr>
  </w:style>
  <w:style w:type="paragraph" w:customStyle="1" w:styleId="99">
    <w:name w:val="修订2"/>
    <w:hidden/>
    <w:semiHidden/>
    <w:uiPriority w:val="99"/>
    <w:rPr>
      <w:rFonts w:ascii="Calibri" w:hAnsi="Calibri" w:eastAsia="Calibri" w:cs="Calibri"/>
      <w:sz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4691</Words>
  <Characters>28245</Characters>
  <Lines>523</Lines>
  <Paragraphs>188</Paragraphs>
  <TotalTime>1</TotalTime>
  <ScaleCrop>false</ScaleCrop>
  <LinksUpToDate>false</LinksUpToDate>
  <CharactersWithSpaces>32748</CharactersWithSpaces>
  <Application>WPS Office_6.12.1.8902_F1E327BC-269C-435d-A152-05C5408002CA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2025-01-27T04:37:00Z</dcterms:created>
  <dc:creator>Data</dc:creator>
  <cp:lastModifiedBy>Dongli Yu</cp:lastModifiedBy>
  <dcterms:modified xsi:type="dcterms:W3CDTF">2025-01-27T01:22:03Z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Date">
    <vt:lpwstr/>
  </property>
  <property fmtid="{D5CDD505-2E9C-101B-9397-08002B2CF9AE}" pid="3" name="DOI">
    <vt:lpwstr/>
  </property>
  <property fmtid="{D5CDD505-2E9C-101B-9397-08002B2CF9AE}" pid="4" name="epub">
    <vt:lpwstr/>
  </property>
  <property fmtid="{D5CDD505-2E9C-101B-9397-08002B2CF9AE}" pid="5" name="GrammarlyDocumentId">
    <vt:lpwstr>1370f4a529b4bdfb3e66c29fc9e6055eabd9f0f9f523d630618dc5d39ab7d480</vt:lpwstr>
  </property>
  <property fmtid="{D5CDD505-2E9C-101B-9397-08002B2CF9AE}" pid="6" name="ICV">
    <vt:lpwstr>A6B64DA24045C829AD62B366B85A7E4E_41</vt:lpwstr>
  </property>
  <property fmtid="{D5CDD505-2E9C-101B-9397-08002B2CF9AE}" pid="7" name="JournalID">
    <vt:lpwstr/>
  </property>
  <property fmtid="{D5CDD505-2E9C-101B-9397-08002B2CF9AE}" pid="8" name="KSOProductBuildVer">
    <vt:lpwstr>2052-6.12.1.8902</vt:lpwstr>
  </property>
  <property fmtid="{D5CDD505-2E9C-101B-9397-08002B2CF9AE}" pid="9" name="Merops -Original extension">
    <vt:lpwstr>docx</vt:lpwstr>
  </property>
  <property fmtid="{D5CDD505-2E9C-101B-9397-08002B2CF9AE}" pid="10" name="Merops change count">
    <vt:lpwstr>121</vt:lpwstr>
  </property>
  <property fmtid="{D5CDD505-2E9C-101B-9397-08002B2CF9AE}" pid="11" name="Merops client version">
    <vt:lpwstr/>
  </property>
  <property fmtid="{D5CDD505-2E9C-101B-9397-08002B2CF9AE}" pid="12" name="Merops comment count">
    <vt:lpwstr>0</vt:lpwstr>
  </property>
  <property fmtid="{D5CDD505-2E9C-101B-9397-08002B2CF9AE}" pid="13" name="Merops DOI links count">
    <vt:lpwstr>2</vt:lpwstr>
  </property>
  <property fmtid="{D5CDD505-2E9C-101B-9397-08002B2CF9AE}" pid="14" name="Merops email addresses count">
    <vt:lpwstr>0</vt:lpwstr>
  </property>
  <property fmtid="{D5CDD505-2E9C-101B-9397-08002B2CF9AE}" pid="15" name="Merops figures count">
    <vt:lpwstr>3</vt:lpwstr>
  </property>
  <property fmtid="{D5CDD505-2E9C-101B-9397-08002B2CF9AE}" pid="16" name="Merops footnotes/endnotes count">
    <vt:lpwstr>0</vt:lpwstr>
  </property>
  <property fmtid="{D5CDD505-2E9C-101B-9397-08002B2CF9AE}" pid="17" name="Merops graphics count">
    <vt:lpwstr>6</vt:lpwstr>
  </property>
  <property fmtid="{D5CDD505-2E9C-101B-9397-08002B2CF9AE}" pid="18" name="Merops input file path">
    <vt:lpwstr>crm_7cc0cad4-a447-4bbe-832f-107d7f6869a0.docx</vt:lpwstr>
  </property>
  <property fmtid="{D5CDD505-2E9C-101B-9397-08002B2CF9AE}" pid="19" name="Merops intra-document links count">
    <vt:lpwstr>0</vt:lpwstr>
  </property>
  <property fmtid="{D5CDD505-2E9C-101B-9397-08002B2CF9AE}" pid="20" name="Merops item path">
    <vt:lpwstr>MG-Session/On-20250104/I:3ef3dfa3-53b7-4ce7-b499-b8268aa3ffbb</vt:lpwstr>
  </property>
  <property fmtid="{D5CDD505-2E9C-101B-9397-08002B2CF9AE}" pid="21" name="Merops processed date">
    <vt:lpwstr>2025/01/04 06:14:32 AM</vt:lpwstr>
  </property>
  <property fmtid="{D5CDD505-2E9C-101B-9397-08002B2CF9AE}" pid="22" name="Merops PubMed links count">
    <vt:lpwstr>0</vt:lpwstr>
  </property>
  <property fmtid="{D5CDD505-2E9C-101B-9397-08002B2CF9AE}" pid="23" name="Merops references count">
    <vt:lpwstr>22</vt:lpwstr>
  </property>
  <property fmtid="{D5CDD505-2E9C-101B-9397-08002B2CF9AE}" pid="24" name="Merops Scopus links count">
    <vt:lpwstr>0</vt:lpwstr>
  </property>
  <property fmtid="{D5CDD505-2E9C-101B-9397-08002B2CF9AE}" pid="25" name="Merops server path">
    <vt:lpwstr/>
  </property>
  <property fmtid="{D5CDD505-2E9C-101B-9397-08002B2CF9AE}" pid="26" name="Merops Standard Set">
    <vt:lpwstr>merops/preset-v1/nature</vt:lpwstr>
  </property>
  <property fmtid="{D5CDD505-2E9C-101B-9397-08002B2CF9AE}" pid="27" name="Merops Standard Set modified">
    <vt:lpwstr/>
  </property>
  <property fmtid="{D5CDD505-2E9C-101B-9397-08002B2CF9AE}" pid="28" name="Merops tables count">
    <vt:lpwstr>8</vt:lpwstr>
  </property>
  <property fmtid="{D5CDD505-2E9C-101B-9397-08002B2CF9AE}" pid="29" name="Merops word count">
    <vt:lpwstr>4689</vt:lpwstr>
  </property>
  <property fmtid="{D5CDD505-2E9C-101B-9397-08002B2CF9AE}" pid="30" name="Merops WorldCat links count">
    <vt:lpwstr>0</vt:lpwstr>
  </property>
  <property fmtid="{D5CDD505-2E9C-101B-9397-08002B2CF9AE}" pid="31" name="ppub">
    <vt:lpwstr/>
  </property>
  <property fmtid="{D5CDD505-2E9C-101B-9397-08002B2CF9AE}" pid="32" name="Publisher">
    <vt:lpwstr/>
  </property>
  <property fmtid="{D5CDD505-2E9C-101B-9397-08002B2CF9AE}" pid="33" name="Publisher-location">
    <vt:lpwstr/>
  </property>
  <property fmtid="{D5CDD505-2E9C-101B-9397-08002B2CF9AE}" pid="34" name="ReceivedDate">
    <vt:lpwstr/>
  </property>
  <property fmtid="{D5CDD505-2E9C-101B-9397-08002B2CF9AE}" pid="35" name="Reference citation style">
    <vt:lpwstr>numerical</vt:lpwstr>
  </property>
  <property fmtid="{D5CDD505-2E9C-101B-9397-08002B2CF9AE}" pid="36" name="Source">
    <vt:lpwstr/>
  </property>
  <property fmtid="{D5CDD505-2E9C-101B-9397-08002B2CF9AE}" pid="37" name="Source-abbreviated">
    <vt:lpwstr/>
  </property>
  <property fmtid="{D5CDD505-2E9C-101B-9397-08002B2CF9AE}" pid="38" name="Source-short">
    <vt:lpwstr/>
  </property>
  <property fmtid="{D5CDD505-2E9C-101B-9397-08002B2CF9AE}" pid="39" name="Subject">
    <vt:lpwstr/>
  </property>
</Properties>
</file>