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8BFBA6" w14:textId="77777777" w:rsidR="00AE4E74" w:rsidRPr="00D41F9E" w:rsidRDefault="00AE4E74" w:rsidP="00AE4E74">
      <w:pPr>
        <w:adjustRightInd w:val="0"/>
        <w:snapToGrid w:val="0"/>
        <w:spacing w:line="360" w:lineRule="auto"/>
        <w:rPr>
          <w:b/>
          <w:bCs/>
        </w:rPr>
      </w:pPr>
      <w:r w:rsidRPr="00D41F9E">
        <w:rPr>
          <w:b/>
          <w:bCs/>
          <w:noProof/>
        </w:rPr>
        <w:drawing>
          <wp:inline distT="0" distB="0" distL="0" distR="0" wp14:anchorId="04981183" wp14:editId="58E47D45">
            <wp:extent cx="5417520" cy="4685704"/>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21909" cy="4689500"/>
                    </a:xfrm>
                    <a:prstGeom prst="rect">
                      <a:avLst/>
                    </a:prstGeom>
                  </pic:spPr>
                </pic:pic>
              </a:graphicData>
            </a:graphic>
          </wp:inline>
        </w:drawing>
      </w:r>
    </w:p>
    <w:p w14:paraId="4D41D1B1" w14:textId="77777777" w:rsidR="00AE4E74" w:rsidRPr="00D41F9E" w:rsidRDefault="00AE4E74" w:rsidP="00AE4E74">
      <w:pPr>
        <w:autoSpaceDE w:val="0"/>
        <w:autoSpaceDN w:val="0"/>
        <w:adjustRightInd w:val="0"/>
        <w:rPr>
          <w:b/>
          <w:bCs/>
          <w:kern w:val="0"/>
        </w:rPr>
      </w:pPr>
      <w:r w:rsidRPr="00D41F9E">
        <w:rPr>
          <w:b/>
          <w:bCs/>
          <w:kern w:val="0"/>
        </w:rPr>
        <w:t>Extended Data Fig. 1 | Study design for multi-omics analysis</w:t>
      </w:r>
    </w:p>
    <w:p w14:paraId="71164A97" w14:textId="77777777" w:rsidR="00AE4E74" w:rsidRPr="00D41F9E" w:rsidRDefault="00AE4E74" w:rsidP="00AE4E74">
      <w:pPr>
        <w:autoSpaceDE w:val="0"/>
        <w:autoSpaceDN w:val="0"/>
        <w:adjustRightInd w:val="0"/>
        <w:rPr>
          <w:rFonts w:eastAsia="TimesNewRomanPSMT"/>
          <w:kern w:val="0"/>
        </w:rPr>
      </w:pPr>
      <w:r w:rsidRPr="00D41F9E">
        <w:rPr>
          <w:rFonts w:eastAsia="TimesNewRomanPSMT"/>
          <w:kern w:val="0"/>
        </w:rPr>
        <w:t>All the COVID-19 patients (n=1432) enrolled in the study were screened to exclude ones with any complications, operating history, or aged younger than 19 or older than 70. After filtration, 231 patients were enrolled and grouped as asymptomatic (n=64), mild (n=90), severe (n=55) and critical (n=22). Then, sample DNAs, RNAs, total serum proteins, and lipids were isolated and performed WGS, RNA-seq and LC-MS analyses, respectively, and a multi-omics integration analysis was carried out.</w:t>
      </w:r>
    </w:p>
    <w:p w14:paraId="7F387425" w14:textId="77777777" w:rsidR="00AE4E74" w:rsidRPr="00D41F9E" w:rsidRDefault="00AE4E74" w:rsidP="00AE4E74">
      <w:pPr>
        <w:autoSpaceDE w:val="0"/>
        <w:autoSpaceDN w:val="0"/>
        <w:adjustRightInd w:val="0"/>
        <w:rPr>
          <w:rFonts w:eastAsia="TimesNewRomanPSMT"/>
          <w:kern w:val="0"/>
        </w:rPr>
      </w:pPr>
      <w:r w:rsidRPr="00D41F9E">
        <w:rPr>
          <w:rFonts w:eastAsia="TimesNewRomanPSMT"/>
          <w:noProof/>
          <w:kern w:val="0"/>
        </w:rPr>
        <w:lastRenderedPageBreak/>
        <w:drawing>
          <wp:inline distT="0" distB="0" distL="0" distR="0" wp14:anchorId="50A6A020" wp14:editId="2359C039">
            <wp:extent cx="5274310" cy="796353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7963535"/>
                    </a:xfrm>
                    <a:prstGeom prst="rect">
                      <a:avLst/>
                    </a:prstGeom>
                  </pic:spPr>
                </pic:pic>
              </a:graphicData>
            </a:graphic>
          </wp:inline>
        </w:drawing>
      </w:r>
    </w:p>
    <w:p w14:paraId="33CCA1DC" w14:textId="77777777" w:rsidR="00AE4E74" w:rsidRPr="00D41F9E" w:rsidRDefault="00AE4E74" w:rsidP="00AE4E74">
      <w:pPr>
        <w:autoSpaceDE w:val="0"/>
        <w:autoSpaceDN w:val="0"/>
        <w:adjustRightInd w:val="0"/>
        <w:rPr>
          <w:b/>
          <w:bCs/>
          <w:kern w:val="0"/>
        </w:rPr>
      </w:pPr>
      <w:r w:rsidRPr="00D41F9E">
        <w:rPr>
          <w:b/>
          <w:bCs/>
          <w:kern w:val="0"/>
        </w:rPr>
        <w:t>Extended Data Fig. 2 | Clinical characteristics of enrolled patients</w:t>
      </w:r>
    </w:p>
    <w:p w14:paraId="4C6A367C" w14:textId="77777777" w:rsidR="00AE4E74" w:rsidRPr="00D41F9E" w:rsidRDefault="00AE4E74" w:rsidP="00AE4E74">
      <w:pPr>
        <w:autoSpaceDE w:val="0"/>
        <w:autoSpaceDN w:val="0"/>
        <w:adjustRightInd w:val="0"/>
        <w:rPr>
          <w:rFonts w:eastAsia="TimesNewRomanPSMT"/>
          <w:kern w:val="0"/>
        </w:rPr>
      </w:pPr>
      <w:r w:rsidRPr="00D41F9E">
        <w:rPr>
          <w:rFonts w:eastAsia="TimesNewRomanPSMT"/>
          <w:kern w:val="0"/>
        </w:rPr>
        <w:t xml:space="preserve">Summary of clinical characteristics of hospitalized COVID-19 patients, including asymptomatic (n=10), mild (n=90), severe (n=55) and critical (n=22). For </w:t>
      </w:r>
      <w:r w:rsidRPr="00D41F9E">
        <w:rPr>
          <w:rFonts w:eastAsia="TimesNewRomanPSMT"/>
          <w:kern w:val="0"/>
        </w:rPr>
        <w:lastRenderedPageBreak/>
        <w:t>asymptomatic patients, only 10 had been hospitalized, and the others were diagnosed at the fever clinic and isolated at home. Patients’ ID were labeled in Y-axis. More details of all the patients were shown in Supplementary Table 1.</w:t>
      </w:r>
    </w:p>
    <w:p w14:paraId="21B90A6A" w14:textId="77777777" w:rsidR="00AE4E74" w:rsidRPr="00D41F9E" w:rsidRDefault="00AE4E74" w:rsidP="00AE4E74">
      <w:pPr>
        <w:autoSpaceDE w:val="0"/>
        <w:autoSpaceDN w:val="0"/>
        <w:adjustRightInd w:val="0"/>
        <w:rPr>
          <w:rFonts w:eastAsia="TimesNewRomanPSMT"/>
          <w:kern w:val="0"/>
        </w:rPr>
      </w:pPr>
      <w:r w:rsidRPr="00D41F9E">
        <w:rPr>
          <w:rFonts w:eastAsia="TimesNewRomanPSMT"/>
          <w:noProof/>
          <w:kern w:val="0"/>
        </w:rPr>
        <w:drawing>
          <wp:inline distT="0" distB="0" distL="0" distR="0" wp14:anchorId="453000F5" wp14:editId="5DA17DF6">
            <wp:extent cx="5274310" cy="560387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603875"/>
                    </a:xfrm>
                    <a:prstGeom prst="rect">
                      <a:avLst/>
                    </a:prstGeom>
                  </pic:spPr>
                </pic:pic>
              </a:graphicData>
            </a:graphic>
          </wp:inline>
        </w:drawing>
      </w:r>
    </w:p>
    <w:p w14:paraId="52D15667" w14:textId="77777777" w:rsidR="00AE4E74" w:rsidRPr="00D41F9E" w:rsidRDefault="00AE4E74" w:rsidP="00AE4E74">
      <w:pPr>
        <w:autoSpaceDE w:val="0"/>
        <w:autoSpaceDN w:val="0"/>
        <w:adjustRightInd w:val="0"/>
        <w:rPr>
          <w:b/>
          <w:bCs/>
          <w:kern w:val="0"/>
        </w:rPr>
      </w:pPr>
      <w:r w:rsidRPr="00D41F9E">
        <w:rPr>
          <w:b/>
          <w:bCs/>
          <w:kern w:val="0"/>
        </w:rPr>
        <w:t>Extended Data Fig. 3 | Quality controls for data generation</w:t>
      </w:r>
    </w:p>
    <w:p w14:paraId="43EC9BB6" w14:textId="77777777" w:rsidR="00AE4E74" w:rsidRPr="00D41F9E" w:rsidRDefault="00AE4E74" w:rsidP="00AE4E74">
      <w:pPr>
        <w:autoSpaceDE w:val="0"/>
        <w:autoSpaceDN w:val="0"/>
        <w:adjustRightInd w:val="0"/>
        <w:rPr>
          <w:rFonts w:eastAsia="TimesNewRomanPSMT"/>
          <w:kern w:val="0"/>
        </w:rPr>
      </w:pPr>
      <w:r w:rsidRPr="00D41F9E">
        <w:rPr>
          <w:rFonts w:eastAsia="TimesNewRomanPSMT"/>
          <w:kern w:val="0"/>
        </w:rPr>
        <w:t>(a) Principal component analysis of proteomics, metabolomics, lipidomics and transcriptomics. The quality control samples (QCs) clustered together and all dots mixed together showing good technical reproducibility. Each dot represents a sample colored by disease groups. Gray dots are QCs. For metabolomics, proteomics and lipids, QCs were mixed together with all the samples in the study. Transcriptomic experiment didn’t contain QC. (b) 2D visualization of all multi-omics analytes using t-distributed stochastic neighbor embedding (tSNE) algorithm. Each dot represents a single sample. (c) Density plot of total clean reads for all samples. (d) Boxplot of total mapping ratio across four disease groups. (e) Uniquely mapping ratio. (f) Boxplot of detected gene numbers (FPKM ≥ 1) across four disease groups.</w:t>
      </w:r>
    </w:p>
    <w:p w14:paraId="671E7D57" w14:textId="77777777" w:rsidR="00AE4E74" w:rsidRPr="00D41F9E" w:rsidRDefault="00AE4E74" w:rsidP="00AE4E74">
      <w:pPr>
        <w:autoSpaceDE w:val="0"/>
        <w:autoSpaceDN w:val="0"/>
        <w:adjustRightInd w:val="0"/>
        <w:rPr>
          <w:rFonts w:eastAsia="TimesNewRomanPSMT"/>
          <w:kern w:val="0"/>
        </w:rPr>
      </w:pPr>
    </w:p>
    <w:p w14:paraId="17BB65D9" w14:textId="77777777" w:rsidR="00AE4E74" w:rsidRPr="00D41F9E" w:rsidRDefault="00AE4E74" w:rsidP="00AE4E74">
      <w:pPr>
        <w:autoSpaceDE w:val="0"/>
        <w:autoSpaceDN w:val="0"/>
        <w:adjustRightInd w:val="0"/>
        <w:rPr>
          <w:b/>
          <w:bCs/>
          <w:kern w:val="0"/>
        </w:rPr>
      </w:pPr>
      <w:r w:rsidRPr="00D41F9E">
        <w:rPr>
          <w:b/>
          <w:bCs/>
          <w:noProof/>
          <w:kern w:val="0"/>
        </w:rPr>
        <w:lastRenderedPageBreak/>
        <w:drawing>
          <wp:inline distT="0" distB="0" distL="0" distR="0" wp14:anchorId="176A20BC" wp14:editId="5D768205">
            <wp:extent cx="5274310" cy="232854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328545"/>
                    </a:xfrm>
                    <a:prstGeom prst="rect">
                      <a:avLst/>
                    </a:prstGeom>
                  </pic:spPr>
                </pic:pic>
              </a:graphicData>
            </a:graphic>
          </wp:inline>
        </w:drawing>
      </w:r>
    </w:p>
    <w:p w14:paraId="0B3EF73F" w14:textId="77777777" w:rsidR="00AE4E74" w:rsidRPr="00D41F9E" w:rsidRDefault="00AE4E74" w:rsidP="00AE4E74">
      <w:pPr>
        <w:autoSpaceDE w:val="0"/>
        <w:autoSpaceDN w:val="0"/>
        <w:adjustRightInd w:val="0"/>
        <w:rPr>
          <w:b/>
          <w:bCs/>
          <w:kern w:val="0"/>
        </w:rPr>
      </w:pPr>
      <w:r w:rsidRPr="00D41F9E">
        <w:rPr>
          <w:b/>
          <w:bCs/>
          <w:kern w:val="0"/>
        </w:rPr>
        <w:t>Extended Data Fig. 4 | Bar graph representing the proportion of analytes across molecule types significantly differential expression between any two disease status</w:t>
      </w:r>
    </w:p>
    <w:p w14:paraId="099FF552" w14:textId="77777777" w:rsidR="00AE4E74" w:rsidRPr="00D41F9E" w:rsidRDefault="00AE4E74" w:rsidP="00AE4E74">
      <w:pPr>
        <w:autoSpaceDE w:val="0"/>
        <w:autoSpaceDN w:val="0"/>
        <w:adjustRightInd w:val="0"/>
        <w:rPr>
          <w:b/>
          <w:bCs/>
          <w:kern w:val="0"/>
        </w:rPr>
      </w:pPr>
      <w:r w:rsidRPr="00D41F9E">
        <w:rPr>
          <w:b/>
          <w:bCs/>
          <w:noProof/>
          <w:kern w:val="0"/>
        </w:rPr>
        <w:drawing>
          <wp:inline distT="0" distB="0" distL="0" distR="0" wp14:anchorId="2666DCB9" wp14:editId="532E760E">
            <wp:extent cx="5274310" cy="541020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5410200"/>
                    </a:xfrm>
                    <a:prstGeom prst="rect">
                      <a:avLst/>
                    </a:prstGeom>
                  </pic:spPr>
                </pic:pic>
              </a:graphicData>
            </a:graphic>
          </wp:inline>
        </w:drawing>
      </w:r>
    </w:p>
    <w:p w14:paraId="5892FE90" w14:textId="77777777" w:rsidR="00AE4E74" w:rsidRPr="00D41F9E" w:rsidRDefault="00AE4E74" w:rsidP="00AE4E74">
      <w:pPr>
        <w:autoSpaceDE w:val="0"/>
        <w:autoSpaceDN w:val="0"/>
        <w:adjustRightInd w:val="0"/>
        <w:rPr>
          <w:b/>
          <w:bCs/>
          <w:kern w:val="0"/>
        </w:rPr>
      </w:pPr>
      <w:r w:rsidRPr="00D41F9E">
        <w:rPr>
          <w:b/>
          <w:bCs/>
          <w:kern w:val="0"/>
        </w:rPr>
        <w:t>Extended Data Fig. 5 | Quality control of 203 sequenced genomes and PCA</w:t>
      </w:r>
    </w:p>
    <w:p w14:paraId="1A3CC7DC" w14:textId="77777777" w:rsidR="00AE4E74" w:rsidRPr="00D41F9E" w:rsidRDefault="00AE4E74" w:rsidP="00AE4E74">
      <w:pPr>
        <w:autoSpaceDE w:val="0"/>
        <w:autoSpaceDN w:val="0"/>
        <w:adjustRightInd w:val="0"/>
        <w:rPr>
          <w:rFonts w:eastAsia="TimesNewRomanPSMT"/>
          <w:kern w:val="0"/>
        </w:rPr>
      </w:pPr>
      <w:r w:rsidRPr="00D41F9E">
        <w:rPr>
          <w:rFonts w:eastAsia="TimesNewRomanPSMT"/>
          <w:kern w:val="0"/>
        </w:rPr>
        <w:t xml:space="preserve">(a-f) Quality control matrix for genome sequencing and mapping. (g-h) Ratio of </w:t>
      </w:r>
      <w:r w:rsidRPr="00D41F9E">
        <w:rPr>
          <w:rFonts w:eastAsia="TimesNewRomanPSMT"/>
          <w:kern w:val="0"/>
        </w:rPr>
        <w:lastRenderedPageBreak/>
        <w:t>transitions to transversions (Ts/Tv) and ratio of heterozygous sites to non-reference homozygous sites for each patient. (i) Principal component analysis based on genotype of 203 unrelated individuals, showing PC1 vs PC2. (j) PCA together with 2504 individuals from 1000 genome project, all of the 203 COVID-19 patients were grouped within the East Asian population.</w:t>
      </w:r>
    </w:p>
    <w:p w14:paraId="28CC0BD4" w14:textId="77777777" w:rsidR="00AE4E74" w:rsidRPr="00D41F9E" w:rsidRDefault="00AE4E74" w:rsidP="00AE4E74">
      <w:pPr>
        <w:autoSpaceDE w:val="0"/>
        <w:autoSpaceDN w:val="0"/>
        <w:adjustRightInd w:val="0"/>
        <w:rPr>
          <w:rFonts w:eastAsia="TimesNewRomanPSMT"/>
          <w:kern w:val="0"/>
        </w:rPr>
      </w:pPr>
      <w:r w:rsidRPr="00D41F9E">
        <w:rPr>
          <w:rFonts w:eastAsia="TimesNewRomanPSMT"/>
          <w:noProof/>
          <w:kern w:val="0"/>
        </w:rPr>
        <w:drawing>
          <wp:inline distT="0" distB="0" distL="0" distR="0" wp14:anchorId="3873D08D" wp14:editId="4E14866A">
            <wp:extent cx="5274310" cy="529717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6.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5297170"/>
                    </a:xfrm>
                    <a:prstGeom prst="rect">
                      <a:avLst/>
                    </a:prstGeom>
                  </pic:spPr>
                </pic:pic>
              </a:graphicData>
            </a:graphic>
          </wp:inline>
        </w:drawing>
      </w:r>
    </w:p>
    <w:p w14:paraId="36EE93BD" w14:textId="77777777" w:rsidR="00AE4E74" w:rsidRPr="00D41F9E" w:rsidRDefault="00AE4E74" w:rsidP="00AE4E74">
      <w:pPr>
        <w:autoSpaceDE w:val="0"/>
        <w:autoSpaceDN w:val="0"/>
        <w:adjustRightInd w:val="0"/>
        <w:rPr>
          <w:b/>
          <w:bCs/>
          <w:kern w:val="0"/>
        </w:rPr>
      </w:pPr>
      <w:r w:rsidRPr="00D41F9E">
        <w:rPr>
          <w:b/>
          <w:bCs/>
          <w:kern w:val="0"/>
        </w:rPr>
        <w:t>Extended Data Fig. 6 | Results of association study</w:t>
      </w:r>
    </w:p>
    <w:p w14:paraId="79A69DB0" w14:textId="77777777" w:rsidR="00AE4E74" w:rsidRPr="00D41F9E" w:rsidRDefault="00AE4E74" w:rsidP="00AE4E74">
      <w:pPr>
        <w:autoSpaceDE w:val="0"/>
        <w:autoSpaceDN w:val="0"/>
        <w:adjustRightInd w:val="0"/>
        <w:rPr>
          <w:rFonts w:eastAsia="TimesNewRomanPSMT"/>
          <w:kern w:val="0"/>
        </w:rPr>
      </w:pPr>
      <w:r w:rsidRPr="00D41F9E">
        <w:rPr>
          <w:rFonts w:eastAsia="TimesNewRomanPSMT"/>
          <w:kern w:val="0"/>
        </w:rPr>
        <w:t>Single variant association test for common variants (MAF &gt; 0.05). (a) Manhattan plot and (b) QQ-plot for generalized severe group (severe and critical n = 65) versus (asymptomatic and mild n = 138). (c) Manhattan plot and (d) QQ-plot for asymptomatic group (n = 63) versus other groups with symptoms (n = 140). (e) Locus zoom for genomic region flanking the suggestive signal associated with the absence of symptoms: showing chr20:49.5M-49.8M.</w:t>
      </w:r>
    </w:p>
    <w:p w14:paraId="07FC5596" w14:textId="77777777" w:rsidR="00AE4E74" w:rsidRPr="00D41F9E" w:rsidRDefault="00AE4E74" w:rsidP="00AE4E74">
      <w:pPr>
        <w:autoSpaceDE w:val="0"/>
        <w:autoSpaceDN w:val="0"/>
        <w:adjustRightInd w:val="0"/>
        <w:rPr>
          <w:rFonts w:eastAsia="TimesNewRomanPSMT"/>
          <w:kern w:val="0"/>
        </w:rPr>
      </w:pPr>
      <w:r w:rsidRPr="00D41F9E">
        <w:rPr>
          <w:rFonts w:eastAsia="TimesNewRomanPSMT"/>
          <w:noProof/>
          <w:kern w:val="0"/>
        </w:rPr>
        <w:lastRenderedPageBreak/>
        <w:drawing>
          <wp:inline distT="0" distB="0" distL="0" distR="0" wp14:anchorId="04757E82" wp14:editId="2A82E738">
            <wp:extent cx="5274310" cy="266890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7.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668905"/>
                    </a:xfrm>
                    <a:prstGeom prst="rect">
                      <a:avLst/>
                    </a:prstGeom>
                  </pic:spPr>
                </pic:pic>
              </a:graphicData>
            </a:graphic>
          </wp:inline>
        </w:drawing>
      </w:r>
    </w:p>
    <w:p w14:paraId="766C1DA7" w14:textId="77777777" w:rsidR="00AE4E74" w:rsidRPr="00D41F9E" w:rsidRDefault="00AE4E74" w:rsidP="00AE4E74">
      <w:pPr>
        <w:autoSpaceDE w:val="0"/>
        <w:autoSpaceDN w:val="0"/>
        <w:adjustRightInd w:val="0"/>
        <w:rPr>
          <w:b/>
          <w:bCs/>
          <w:kern w:val="0"/>
        </w:rPr>
      </w:pPr>
      <w:r w:rsidRPr="00D41F9E">
        <w:rPr>
          <w:b/>
          <w:bCs/>
          <w:kern w:val="0"/>
        </w:rPr>
        <w:t>Extended Data Fig. 7 | Cluster composition in proteins and metabolites as well as lipids</w:t>
      </w:r>
    </w:p>
    <w:p w14:paraId="2CBA786B" w14:textId="77777777" w:rsidR="00AE4E74" w:rsidRPr="00D41F9E" w:rsidRDefault="00AE4E74" w:rsidP="00AE4E74">
      <w:pPr>
        <w:autoSpaceDE w:val="0"/>
        <w:autoSpaceDN w:val="0"/>
        <w:adjustRightInd w:val="0"/>
        <w:rPr>
          <w:b/>
          <w:bCs/>
          <w:kern w:val="0"/>
        </w:rPr>
      </w:pPr>
      <w:r w:rsidRPr="00D41F9E">
        <w:rPr>
          <w:b/>
          <w:bCs/>
          <w:noProof/>
          <w:kern w:val="0"/>
        </w:rPr>
        <w:lastRenderedPageBreak/>
        <w:drawing>
          <wp:inline distT="0" distB="0" distL="0" distR="0" wp14:anchorId="7AED0656" wp14:editId="72191DE1">
            <wp:extent cx="5274310" cy="7458075"/>
            <wp:effectExtent l="0" t="0" r="254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8.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7458075"/>
                    </a:xfrm>
                    <a:prstGeom prst="rect">
                      <a:avLst/>
                    </a:prstGeom>
                  </pic:spPr>
                </pic:pic>
              </a:graphicData>
            </a:graphic>
          </wp:inline>
        </w:drawing>
      </w:r>
    </w:p>
    <w:p w14:paraId="08AA7851" w14:textId="77777777" w:rsidR="00AE4E74" w:rsidRPr="00D41F9E" w:rsidRDefault="00AE4E74" w:rsidP="00AE4E74">
      <w:pPr>
        <w:autoSpaceDE w:val="0"/>
        <w:autoSpaceDN w:val="0"/>
        <w:adjustRightInd w:val="0"/>
        <w:rPr>
          <w:b/>
          <w:bCs/>
          <w:kern w:val="0"/>
        </w:rPr>
      </w:pPr>
      <w:r w:rsidRPr="00D41F9E">
        <w:rPr>
          <w:b/>
          <w:bCs/>
          <w:kern w:val="0"/>
        </w:rPr>
        <w:t>Extended Data Fig. 8 | Integrative multi-omics analysis of circulating analytes</w:t>
      </w:r>
    </w:p>
    <w:p w14:paraId="0ED66DEE" w14:textId="77777777" w:rsidR="00AE4E74" w:rsidRPr="00D41F9E" w:rsidRDefault="00AE4E74" w:rsidP="00AE4E74">
      <w:pPr>
        <w:autoSpaceDE w:val="0"/>
        <w:autoSpaceDN w:val="0"/>
        <w:adjustRightInd w:val="0"/>
        <w:rPr>
          <w:rFonts w:eastAsia="TimesNewRomanPSMT"/>
          <w:kern w:val="0"/>
        </w:rPr>
      </w:pPr>
      <w:r w:rsidRPr="00D41F9E">
        <w:rPr>
          <w:rFonts w:eastAsia="TimesNewRomanPSMT"/>
          <w:kern w:val="0"/>
        </w:rPr>
        <w:t>Pairwise spearman correlation networks of multi-omics measures belonging to representing clusters as defined in Fig. 3a. Nodes were color-coded by molecule type and the size represent the network degree of the molecule. Enriched GO terms for proteins in each cluster were showed.</w:t>
      </w:r>
    </w:p>
    <w:p w14:paraId="53440745" w14:textId="77777777" w:rsidR="00AE4E74" w:rsidRPr="00D41F9E" w:rsidRDefault="00AE4E74" w:rsidP="00AE4E74">
      <w:pPr>
        <w:autoSpaceDE w:val="0"/>
        <w:autoSpaceDN w:val="0"/>
        <w:adjustRightInd w:val="0"/>
        <w:rPr>
          <w:rFonts w:eastAsia="TimesNewRomanPSMT"/>
          <w:kern w:val="0"/>
        </w:rPr>
      </w:pPr>
    </w:p>
    <w:p w14:paraId="73D7CAAA" w14:textId="77777777" w:rsidR="00AE4E74" w:rsidRPr="00D41F9E" w:rsidRDefault="00AE4E74" w:rsidP="00AE4E74">
      <w:pPr>
        <w:autoSpaceDE w:val="0"/>
        <w:autoSpaceDN w:val="0"/>
        <w:adjustRightInd w:val="0"/>
        <w:rPr>
          <w:b/>
          <w:bCs/>
          <w:kern w:val="0"/>
        </w:rPr>
      </w:pPr>
      <w:r w:rsidRPr="00D41F9E">
        <w:rPr>
          <w:b/>
          <w:bCs/>
          <w:noProof/>
          <w:kern w:val="0"/>
        </w:rPr>
        <w:lastRenderedPageBreak/>
        <w:drawing>
          <wp:inline distT="0" distB="0" distL="0" distR="0" wp14:anchorId="489C3EB1" wp14:editId="2D1DF32E">
            <wp:extent cx="5274310" cy="7458075"/>
            <wp:effectExtent l="0" t="0" r="254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9.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7458075"/>
                    </a:xfrm>
                    <a:prstGeom prst="rect">
                      <a:avLst/>
                    </a:prstGeom>
                  </pic:spPr>
                </pic:pic>
              </a:graphicData>
            </a:graphic>
          </wp:inline>
        </w:drawing>
      </w:r>
    </w:p>
    <w:p w14:paraId="13CA3B98" w14:textId="455E2B79" w:rsidR="00AE4E74" w:rsidRPr="00D41F9E" w:rsidRDefault="00AE4E74" w:rsidP="0014505E">
      <w:pPr>
        <w:autoSpaceDE w:val="0"/>
        <w:autoSpaceDN w:val="0"/>
        <w:adjustRightInd w:val="0"/>
      </w:pPr>
      <w:r w:rsidRPr="00D41F9E">
        <w:rPr>
          <w:b/>
          <w:bCs/>
          <w:kern w:val="0"/>
        </w:rPr>
        <w:t>Extended Data Fig. 9 | Relative levels of lipid complex class in COVID-19 patients with different disease severities</w:t>
      </w:r>
      <w:bookmarkStart w:id="0" w:name="_GoBack"/>
      <w:bookmarkEnd w:id="0"/>
    </w:p>
    <w:p w14:paraId="505CF1CA" w14:textId="77777777" w:rsidR="00AE4E74" w:rsidRPr="00D41F9E" w:rsidRDefault="00AE4E74" w:rsidP="00AE4E74">
      <w:pPr>
        <w:adjustRightInd w:val="0"/>
        <w:snapToGrid w:val="0"/>
        <w:spacing w:line="360" w:lineRule="auto"/>
        <w:rPr>
          <w:b/>
          <w:bCs/>
        </w:rPr>
      </w:pPr>
    </w:p>
    <w:p w14:paraId="18B4AC60" w14:textId="77777777" w:rsidR="00AE4E74" w:rsidRPr="00D41F9E" w:rsidRDefault="00AE4E74" w:rsidP="00AE4E74">
      <w:pPr>
        <w:spacing w:line="360" w:lineRule="auto"/>
      </w:pPr>
    </w:p>
    <w:p w14:paraId="6645981E" w14:textId="77777777" w:rsidR="00AE4E74" w:rsidRPr="00D41F9E" w:rsidRDefault="00AE4E74" w:rsidP="00AE4E74"/>
    <w:p w14:paraId="1D3BD489" w14:textId="77777777" w:rsidR="00AE4E74" w:rsidRPr="00D41F9E" w:rsidRDefault="00AE4E74" w:rsidP="000A47D8">
      <w:pPr>
        <w:adjustRightInd w:val="0"/>
        <w:snapToGrid w:val="0"/>
      </w:pPr>
    </w:p>
    <w:sectPr w:rsidR="00AE4E74" w:rsidRPr="00D41F9E">
      <w:pgSz w:w="11906" w:h="16838"/>
      <w:pgMar w:top="1440" w:right="1800" w:bottom="1440" w:left="1800" w:header="851" w:footer="992" w:gutter="0"/>
      <w:lnNumType w:countBy="1" w:restart="continuous"/>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98834" w16cex:dateUtc="2020-07-27T09:07:00Z"/>
  <w16cex:commentExtensible w16cex:durableId="22C97383" w16cex:dateUtc="2020-07-27T07:3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C50275" w14:textId="77777777" w:rsidR="00064F28" w:rsidRDefault="00064F28" w:rsidP="00AA3FBE">
      <w:r>
        <w:separator/>
      </w:r>
    </w:p>
  </w:endnote>
  <w:endnote w:type="continuationSeparator" w:id="0">
    <w:p w14:paraId="79021B34" w14:textId="77777777" w:rsidR="00064F28" w:rsidRDefault="00064F28" w:rsidP="00AA3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TimesNewRomanPSMT">
    <w:altName w:val="微软雅黑"/>
    <w:charset w:val="00"/>
    <w:family w:val="swiss"/>
    <w:pitch w:val="default"/>
    <w:sig w:usb0="00000000" w:usb1="0000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611AD" w14:textId="77777777" w:rsidR="00064F28" w:rsidRDefault="00064F28" w:rsidP="00AA3FBE">
      <w:r>
        <w:separator/>
      </w:r>
    </w:p>
  </w:footnote>
  <w:footnote w:type="continuationSeparator" w:id="0">
    <w:p w14:paraId="079022AF" w14:textId="77777777" w:rsidR="00064F28" w:rsidRDefault="00064F28" w:rsidP="00AA3F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5f2pz5eg5artuezwac5wsw2t0dz55d2xdfs&quot;&gt;BRD4 MMR&lt;record-ids&gt;&lt;item&gt;887&lt;/item&gt;&lt;/record-ids&gt;&lt;/item&gt;&lt;/Libraries&gt;"/>
  </w:docVars>
  <w:rsids>
    <w:rsidRoot w:val="00E94A5C"/>
    <w:rsid w:val="00001302"/>
    <w:rsid w:val="00004835"/>
    <w:rsid w:val="000052EB"/>
    <w:rsid w:val="000059F9"/>
    <w:rsid w:val="00007BFB"/>
    <w:rsid w:val="00013A52"/>
    <w:rsid w:val="00013E9B"/>
    <w:rsid w:val="00023E36"/>
    <w:rsid w:val="000255C2"/>
    <w:rsid w:val="00025B8A"/>
    <w:rsid w:val="00026753"/>
    <w:rsid w:val="00027BB5"/>
    <w:rsid w:val="000331F6"/>
    <w:rsid w:val="000336E5"/>
    <w:rsid w:val="00033CB9"/>
    <w:rsid w:val="00035D45"/>
    <w:rsid w:val="00043660"/>
    <w:rsid w:val="00044D59"/>
    <w:rsid w:val="0004659E"/>
    <w:rsid w:val="00047625"/>
    <w:rsid w:val="00047DA8"/>
    <w:rsid w:val="00051632"/>
    <w:rsid w:val="000535FF"/>
    <w:rsid w:val="00056F5B"/>
    <w:rsid w:val="0005766F"/>
    <w:rsid w:val="0006079E"/>
    <w:rsid w:val="00061D45"/>
    <w:rsid w:val="00064951"/>
    <w:rsid w:val="00064F28"/>
    <w:rsid w:val="0006516A"/>
    <w:rsid w:val="0007254B"/>
    <w:rsid w:val="00074019"/>
    <w:rsid w:val="00074867"/>
    <w:rsid w:val="0008323B"/>
    <w:rsid w:val="0008463A"/>
    <w:rsid w:val="000856BC"/>
    <w:rsid w:val="000858FF"/>
    <w:rsid w:val="00091DA2"/>
    <w:rsid w:val="00092DC1"/>
    <w:rsid w:val="000A47D8"/>
    <w:rsid w:val="000A706A"/>
    <w:rsid w:val="000A782F"/>
    <w:rsid w:val="000B108F"/>
    <w:rsid w:val="000B7ADA"/>
    <w:rsid w:val="000C5FAD"/>
    <w:rsid w:val="000C6560"/>
    <w:rsid w:val="000C74F4"/>
    <w:rsid w:val="000D0C41"/>
    <w:rsid w:val="000D2370"/>
    <w:rsid w:val="000E09BD"/>
    <w:rsid w:val="000E1DBD"/>
    <w:rsid w:val="000E207A"/>
    <w:rsid w:val="000E3A51"/>
    <w:rsid w:val="000F1975"/>
    <w:rsid w:val="000F2578"/>
    <w:rsid w:val="000F3449"/>
    <w:rsid w:val="000F509B"/>
    <w:rsid w:val="000F5851"/>
    <w:rsid w:val="00103D9A"/>
    <w:rsid w:val="00106B82"/>
    <w:rsid w:val="00107848"/>
    <w:rsid w:val="0011160F"/>
    <w:rsid w:val="00113CAF"/>
    <w:rsid w:val="0011697F"/>
    <w:rsid w:val="001213D5"/>
    <w:rsid w:val="001267F9"/>
    <w:rsid w:val="001276CA"/>
    <w:rsid w:val="00131921"/>
    <w:rsid w:val="00142328"/>
    <w:rsid w:val="0014505E"/>
    <w:rsid w:val="001479B1"/>
    <w:rsid w:val="0015316C"/>
    <w:rsid w:val="001551FB"/>
    <w:rsid w:val="001618A4"/>
    <w:rsid w:val="00161E1C"/>
    <w:rsid w:val="0016306F"/>
    <w:rsid w:val="00163149"/>
    <w:rsid w:val="00164D8D"/>
    <w:rsid w:val="001653DB"/>
    <w:rsid w:val="00167367"/>
    <w:rsid w:val="00170D49"/>
    <w:rsid w:val="001764F4"/>
    <w:rsid w:val="0018185E"/>
    <w:rsid w:val="00184090"/>
    <w:rsid w:val="001850E6"/>
    <w:rsid w:val="00194445"/>
    <w:rsid w:val="001A0C20"/>
    <w:rsid w:val="001A0FC2"/>
    <w:rsid w:val="001A4C1D"/>
    <w:rsid w:val="001A549E"/>
    <w:rsid w:val="001A641D"/>
    <w:rsid w:val="001A6ACB"/>
    <w:rsid w:val="001B0F49"/>
    <w:rsid w:val="001B347B"/>
    <w:rsid w:val="001B53BA"/>
    <w:rsid w:val="001B5729"/>
    <w:rsid w:val="001C1547"/>
    <w:rsid w:val="001C4FC5"/>
    <w:rsid w:val="001C56FA"/>
    <w:rsid w:val="001C5FAC"/>
    <w:rsid w:val="001C790B"/>
    <w:rsid w:val="001D07E8"/>
    <w:rsid w:val="001E5B9E"/>
    <w:rsid w:val="001E70F0"/>
    <w:rsid w:val="00200031"/>
    <w:rsid w:val="002016E3"/>
    <w:rsid w:val="002039A1"/>
    <w:rsid w:val="00204DC8"/>
    <w:rsid w:val="0021719A"/>
    <w:rsid w:val="00225B61"/>
    <w:rsid w:val="00227843"/>
    <w:rsid w:val="00227AE9"/>
    <w:rsid w:val="00232ACF"/>
    <w:rsid w:val="00233445"/>
    <w:rsid w:val="002335BF"/>
    <w:rsid w:val="00233E3A"/>
    <w:rsid w:val="002355A1"/>
    <w:rsid w:val="00237074"/>
    <w:rsid w:val="00237618"/>
    <w:rsid w:val="002431D5"/>
    <w:rsid w:val="00245C0B"/>
    <w:rsid w:val="00245F8E"/>
    <w:rsid w:val="00251082"/>
    <w:rsid w:val="0025251C"/>
    <w:rsid w:val="002536B0"/>
    <w:rsid w:val="00255032"/>
    <w:rsid w:val="00264C6C"/>
    <w:rsid w:val="00264F01"/>
    <w:rsid w:val="00271102"/>
    <w:rsid w:val="00271110"/>
    <w:rsid w:val="00273EB1"/>
    <w:rsid w:val="00275811"/>
    <w:rsid w:val="0027792F"/>
    <w:rsid w:val="00277B83"/>
    <w:rsid w:val="00285EAA"/>
    <w:rsid w:val="002863F5"/>
    <w:rsid w:val="0028652D"/>
    <w:rsid w:val="00287016"/>
    <w:rsid w:val="00287A92"/>
    <w:rsid w:val="00295856"/>
    <w:rsid w:val="002A08D9"/>
    <w:rsid w:val="002A0C8C"/>
    <w:rsid w:val="002A509E"/>
    <w:rsid w:val="002A70E5"/>
    <w:rsid w:val="002B4A2E"/>
    <w:rsid w:val="002C050A"/>
    <w:rsid w:val="002C6FEC"/>
    <w:rsid w:val="002C7278"/>
    <w:rsid w:val="002C76C3"/>
    <w:rsid w:val="002D0771"/>
    <w:rsid w:val="002D0CCF"/>
    <w:rsid w:val="002D7B4B"/>
    <w:rsid w:val="002E051A"/>
    <w:rsid w:val="002E5768"/>
    <w:rsid w:val="002E729E"/>
    <w:rsid w:val="002F466D"/>
    <w:rsid w:val="002F62AB"/>
    <w:rsid w:val="00301FA6"/>
    <w:rsid w:val="003022C4"/>
    <w:rsid w:val="00304401"/>
    <w:rsid w:val="00305220"/>
    <w:rsid w:val="00311CCA"/>
    <w:rsid w:val="0031273E"/>
    <w:rsid w:val="00313346"/>
    <w:rsid w:val="0031405A"/>
    <w:rsid w:val="00314C4A"/>
    <w:rsid w:val="0031706D"/>
    <w:rsid w:val="00321095"/>
    <w:rsid w:val="003254ED"/>
    <w:rsid w:val="003263CA"/>
    <w:rsid w:val="003268E7"/>
    <w:rsid w:val="0033194B"/>
    <w:rsid w:val="0033435C"/>
    <w:rsid w:val="00335BC6"/>
    <w:rsid w:val="00340DB4"/>
    <w:rsid w:val="003424F5"/>
    <w:rsid w:val="00342C19"/>
    <w:rsid w:val="003430B7"/>
    <w:rsid w:val="0034457D"/>
    <w:rsid w:val="00345814"/>
    <w:rsid w:val="003465AF"/>
    <w:rsid w:val="00352D8F"/>
    <w:rsid w:val="003530CB"/>
    <w:rsid w:val="00357ED7"/>
    <w:rsid w:val="0036087B"/>
    <w:rsid w:val="00360AA6"/>
    <w:rsid w:val="00360E6C"/>
    <w:rsid w:val="00364C5A"/>
    <w:rsid w:val="0036588F"/>
    <w:rsid w:val="00371030"/>
    <w:rsid w:val="00373792"/>
    <w:rsid w:val="00373CA8"/>
    <w:rsid w:val="003745F7"/>
    <w:rsid w:val="00375487"/>
    <w:rsid w:val="00375667"/>
    <w:rsid w:val="00386CA5"/>
    <w:rsid w:val="0039232E"/>
    <w:rsid w:val="00395024"/>
    <w:rsid w:val="0039547E"/>
    <w:rsid w:val="003A05CE"/>
    <w:rsid w:val="003A33B4"/>
    <w:rsid w:val="003A5833"/>
    <w:rsid w:val="003A5FE8"/>
    <w:rsid w:val="003C1B3B"/>
    <w:rsid w:val="003C2154"/>
    <w:rsid w:val="003C336C"/>
    <w:rsid w:val="003C4C6C"/>
    <w:rsid w:val="003C66C6"/>
    <w:rsid w:val="003D42C7"/>
    <w:rsid w:val="003D43B5"/>
    <w:rsid w:val="003D533A"/>
    <w:rsid w:val="003E420D"/>
    <w:rsid w:val="003E7E51"/>
    <w:rsid w:val="003F0540"/>
    <w:rsid w:val="00404B76"/>
    <w:rsid w:val="00417483"/>
    <w:rsid w:val="00417751"/>
    <w:rsid w:val="00420128"/>
    <w:rsid w:val="00421179"/>
    <w:rsid w:val="00425709"/>
    <w:rsid w:val="004336EC"/>
    <w:rsid w:val="004418A4"/>
    <w:rsid w:val="00443392"/>
    <w:rsid w:val="00445393"/>
    <w:rsid w:val="004458B0"/>
    <w:rsid w:val="00445A87"/>
    <w:rsid w:val="00452D6F"/>
    <w:rsid w:val="00455F73"/>
    <w:rsid w:val="00461D06"/>
    <w:rsid w:val="00471AC4"/>
    <w:rsid w:val="004750E6"/>
    <w:rsid w:val="004A4146"/>
    <w:rsid w:val="004B1867"/>
    <w:rsid w:val="004B3EF4"/>
    <w:rsid w:val="004B4B3B"/>
    <w:rsid w:val="004B6FBF"/>
    <w:rsid w:val="004B77FA"/>
    <w:rsid w:val="004C09A9"/>
    <w:rsid w:val="004C743B"/>
    <w:rsid w:val="004D19B6"/>
    <w:rsid w:val="004D5D8B"/>
    <w:rsid w:val="004E2BEA"/>
    <w:rsid w:val="004E38A2"/>
    <w:rsid w:val="004E4A9D"/>
    <w:rsid w:val="004E60BA"/>
    <w:rsid w:val="004F12D1"/>
    <w:rsid w:val="004F1B1E"/>
    <w:rsid w:val="004F33F9"/>
    <w:rsid w:val="004F365D"/>
    <w:rsid w:val="004F4A25"/>
    <w:rsid w:val="00501355"/>
    <w:rsid w:val="0050584A"/>
    <w:rsid w:val="00506D13"/>
    <w:rsid w:val="005118C7"/>
    <w:rsid w:val="00512391"/>
    <w:rsid w:val="0051651E"/>
    <w:rsid w:val="00521AC2"/>
    <w:rsid w:val="00521C86"/>
    <w:rsid w:val="00522E59"/>
    <w:rsid w:val="00530641"/>
    <w:rsid w:val="005328D3"/>
    <w:rsid w:val="00534EE0"/>
    <w:rsid w:val="005363EC"/>
    <w:rsid w:val="00537B5D"/>
    <w:rsid w:val="00537F33"/>
    <w:rsid w:val="0054349D"/>
    <w:rsid w:val="00543A39"/>
    <w:rsid w:val="00544CEB"/>
    <w:rsid w:val="00545735"/>
    <w:rsid w:val="005460CF"/>
    <w:rsid w:val="00546B45"/>
    <w:rsid w:val="00547D4B"/>
    <w:rsid w:val="0055008D"/>
    <w:rsid w:val="005518F4"/>
    <w:rsid w:val="00551DC4"/>
    <w:rsid w:val="00552F88"/>
    <w:rsid w:val="00555898"/>
    <w:rsid w:val="00560552"/>
    <w:rsid w:val="00561AA2"/>
    <w:rsid w:val="0057138C"/>
    <w:rsid w:val="00571D0F"/>
    <w:rsid w:val="00574471"/>
    <w:rsid w:val="005830A6"/>
    <w:rsid w:val="00584F21"/>
    <w:rsid w:val="00591907"/>
    <w:rsid w:val="005928D4"/>
    <w:rsid w:val="00592CCA"/>
    <w:rsid w:val="005A3AFD"/>
    <w:rsid w:val="005A5002"/>
    <w:rsid w:val="005A5650"/>
    <w:rsid w:val="005B0E46"/>
    <w:rsid w:val="005B46CB"/>
    <w:rsid w:val="005C324B"/>
    <w:rsid w:val="005C5B1C"/>
    <w:rsid w:val="005C5CC2"/>
    <w:rsid w:val="005C65A6"/>
    <w:rsid w:val="005D346F"/>
    <w:rsid w:val="005D6A14"/>
    <w:rsid w:val="005D6EE6"/>
    <w:rsid w:val="005D74BC"/>
    <w:rsid w:val="005E0A0F"/>
    <w:rsid w:val="005E2638"/>
    <w:rsid w:val="005E4990"/>
    <w:rsid w:val="005E5421"/>
    <w:rsid w:val="005E7092"/>
    <w:rsid w:val="005F0C7F"/>
    <w:rsid w:val="005F315D"/>
    <w:rsid w:val="005F431F"/>
    <w:rsid w:val="006022A8"/>
    <w:rsid w:val="006029AD"/>
    <w:rsid w:val="00607CE8"/>
    <w:rsid w:val="00607D61"/>
    <w:rsid w:val="006104DF"/>
    <w:rsid w:val="006107B9"/>
    <w:rsid w:val="00615F7C"/>
    <w:rsid w:val="00624887"/>
    <w:rsid w:val="00626395"/>
    <w:rsid w:val="00633B55"/>
    <w:rsid w:val="00634D2E"/>
    <w:rsid w:val="00634D52"/>
    <w:rsid w:val="00637297"/>
    <w:rsid w:val="006447BA"/>
    <w:rsid w:val="00647255"/>
    <w:rsid w:val="00652FD7"/>
    <w:rsid w:val="006531F6"/>
    <w:rsid w:val="00653374"/>
    <w:rsid w:val="00654D88"/>
    <w:rsid w:val="00655E9A"/>
    <w:rsid w:val="00657D38"/>
    <w:rsid w:val="00661468"/>
    <w:rsid w:val="0066241D"/>
    <w:rsid w:val="00675634"/>
    <w:rsid w:val="00677AF0"/>
    <w:rsid w:val="0068143C"/>
    <w:rsid w:val="00683BBB"/>
    <w:rsid w:val="00684C2F"/>
    <w:rsid w:val="00686ED9"/>
    <w:rsid w:val="006876EC"/>
    <w:rsid w:val="00690493"/>
    <w:rsid w:val="006928BE"/>
    <w:rsid w:val="006933F8"/>
    <w:rsid w:val="006973DB"/>
    <w:rsid w:val="0069767E"/>
    <w:rsid w:val="006A17C9"/>
    <w:rsid w:val="006A2E7A"/>
    <w:rsid w:val="006B5103"/>
    <w:rsid w:val="006B7D4F"/>
    <w:rsid w:val="006C04D0"/>
    <w:rsid w:val="006C13CC"/>
    <w:rsid w:val="006D21DA"/>
    <w:rsid w:val="006D76BE"/>
    <w:rsid w:val="006E24CC"/>
    <w:rsid w:val="006E3B90"/>
    <w:rsid w:val="006F0DB6"/>
    <w:rsid w:val="006F1166"/>
    <w:rsid w:val="006F7D3A"/>
    <w:rsid w:val="00700BC9"/>
    <w:rsid w:val="00701534"/>
    <w:rsid w:val="007019D2"/>
    <w:rsid w:val="00702A1A"/>
    <w:rsid w:val="0070757A"/>
    <w:rsid w:val="00712276"/>
    <w:rsid w:val="0072059C"/>
    <w:rsid w:val="00721CF6"/>
    <w:rsid w:val="00722D23"/>
    <w:rsid w:val="0072619F"/>
    <w:rsid w:val="007308B1"/>
    <w:rsid w:val="00731FA4"/>
    <w:rsid w:val="00732176"/>
    <w:rsid w:val="00732551"/>
    <w:rsid w:val="00737259"/>
    <w:rsid w:val="007461FD"/>
    <w:rsid w:val="00752553"/>
    <w:rsid w:val="007528C2"/>
    <w:rsid w:val="007539A0"/>
    <w:rsid w:val="007551C5"/>
    <w:rsid w:val="00761478"/>
    <w:rsid w:val="00762E1B"/>
    <w:rsid w:val="00763AA1"/>
    <w:rsid w:val="0076406C"/>
    <w:rsid w:val="0076651F"/>
    <w:rsid w:val="00767963"/>
    <w:rsid w:val="0077223A"/>
    <w:rsid w:val="0077433C"/>
    <w:rsid w:val="007747BE"/>
    <w:rsid w:val="00776CBD"/>
    <w:rsid w:val="007806E3"/>
    <w:rsid w:val="00781E45"/>
    <w:rsid w:val="007827CF"/>
    <w:rsid w:val="007838B9"/>
    <w:rsid w:val="00786E08"/>
    <w:rsid w:val="00787060"/>
    <w:rsid w:val="00792AAC"/>
    <w:rsid w:val="00793F0F"/>
    <w:rsid w:val="007A1738"/>
    <w:rsid w:val="007A1C62"/>
    <w:rsid w:val="007A4C12"/>
    <w:rsid w:val="007A7620"/>
    <w:rsid w:val="007B10FB"/>
    <w:rsid w:val="007B3B5D"/>
    <w:rsid w:val="007B6691"/>
    <w:rsid w:val="007C3E25"/>
    <w:rsid w:val="007D00A6"/>
    <w:rsid w:val="007D2A33"/>
    <w:rsid w:val="007F17D0"/>
    <w:rsid w:val="007F3D59"/>
    <w:rsid w:val="00801158"/>
    <w:rsid w:val="00803DDE"/>
    <w:rsid w:val="0080585F"/>
    <w:rsid w:val="00810888"/>
    <w:rsid w:val="00812A25"/>
    <w:rsid w:val="00813EA8"/>
    <w:rsid w:val="008222EA"/>
    <w:rsid w:val="00823190"/>
    <w:rsid w:val="00826207"/>
    <w:rsid w:val="00826D2A"/>
    <w:rsid w:val="008367F4"/>
    <w:rsid w:val="00851EF5"/>
    <w:rsid w:val="00852672"/>
    <w:rsid w:val="00852CD0"/>
    <w:rsid w:val="008549BA"/>
    <w:rsid w:val="008556B7"/>
    <w:rsid w:val="00861E56"/>
    <w:rsid w:val="00866893"/>
    <w:rsid w:val="00873A7A"/>
    <w:rsid w:val="00874901"/>
    <w:rsid w:val="00881E99"/>
    <w:rsid w:val="008844DA"/>
    <w:rsid w:val="0088746F"/>
    <w:rsid w:val="00892534"/>
    <w:rsid w:val="00894D68"/>
    <w:rsid w:val="00896EAE"/>
    <w:rsid w:val="008A3862"/>
    <w:rsid w:val="008A5273"/>
    <w:rsid w:val="008B5D08"/>
    <w:rsid w:val="008C0C61"/>
    <w:rsid w:val="008C2A6E"/>
    <w:rsid w:val="008C2CC0"/>
    <w:rsid w:val="008C6D8C"/>
    <w:rsid w:val="008D5B69"/>
    <w:rsid w:val="008D6E00"/>
    <w:rsid w:val="008E05A0"/>
    <w:rsid w:val="008E361B"/>
    <w:rsid w:val="008E3D54"/>
    <w:rsid w:val="008E4427"/>
    <w:rsid w:val="008E55F5"/>
    <w:rsid w:val="008E5D15"/>
    <w:rsid w:val="008E6FCE"/>
    <w:rsid w:val="008F0B09"/>
    <w:rsid w:val="008F0E5B"/>
    <w:rsid w:val="00902A6E"/>
    <w:rsid w:val="009032EA"/>
    <w:rsid w:val="00906966"/>
    <w:rsid w:val="00922091"/>
    <w:rsid w:val="009248D2"/>
    <w:rsid w:val="00924B4B"/>
    <w:rsid w:val="00925139"/>
    <w:rsid w:val="00925B70"/>
    <w:rsid w:val="009326F6"/>
    <w:rsid w:val="0093492E"/>
    <w:rsid w:val="00937888"/>
    <w:rsid w:val="009400E5"/>
    <w:rsid w:val="00940D0C"/>
    <w:rsid w:val="0094240D"/>
    <w:rsid w:val="0094264E"/>
    <w:rsid w:val="00944CE5"/>
    <w:rsid w:val="0095378F"/>
    <w:rsid w:val="00954EBC"/>
    <w:rsid w:val="009559BE"/>
    <w:rsid w:val="00956A5E"/>
    <w:rsid w:val="00957EAA"/>
    <w:rsid w:val="009608A3"/>
    <w:rsid w:val="0096453C"/>
    <w:rsid w:val="00974F20"/>
    <w:rsid w:val="00976C83"/>
    <w:rsid w:val="0097745E"/>
    <w:rsid w:val="00980E31"/>
    <w:rsid w:val="009818AD"/>
    <w:rsid w:val="00982D00"/>
    <w:rsid w:val="0098358D"/>
    <w:rsid w:val="00991972"/>
    <w:rsid w:val="0099538D"/>
    <w:rsid w:val="009A0A46"/>
    <w:rsid w:val="009A1199"/>
    <w:rsid w:val="009A2AEF"/>
    <w:rsid w:val="009A7BBB"/>
    <w:rsid w:val="009B0EC1"/>
    <w:rsid w:val="009B0F9B"/>
    <w:rsid w:val="009B101E"/>
    <w:rsid w:val="009B2AD0"/>
    <w:rsid w:val="009B505A"/>
    <w:rsid w:val="009C075E"/>
    <w:rsid w:val="009C2669"/>
    <w:rsid w:val="009D000C"/>
    <w:rsid w:val="009D38EF"/>
    <w:rsid w:val="009D7B23"/>
    <w:rsid w:val="009E594C"/>
    <w:rsid w:val="009E72F2"/>
    <w:rsid w:val="009F33B3"/>
    <w:rsid w:val="00A00612"/>
    <w:rsid w:val="00A011CE"/>
    <w:rsid w:val="00A01C95"/>
    <w:rsid w:val="00A052A3"/>
    <w:rsid w:val="00A10210"/>
    <w:rsid w:val="00A10545"/>
    <w:rsid w:val="00A123F1"/>
    <w:rsid w:val="00A13FB3"/>
    <w:rsid w:val="00A1418F"/>
    <w:rsid w:val="00A16BB2"/>
    <w:rsid w:val="00A17A47"/>
    <w:rsid w:val="00A27BA2"/>
    <w:rsid w:val="00A27CC3"/>
    <w:rsid w:val="00A27F52"/>
    <w:rsid w:val="00A33A26"/>
    <w:rsid w:val="00A33FC0"/>
    <w:rsid w:val="00A36BE9"/>
    <w:rsid w:val="00A4074F"/>
    <w:rsid w:val="00A417B0"/>
    <w:rsid w:val="00A50A37"/>
    <w:rsid w:val="00A50FDD"/>
    <w:rsid w:val="00A531CF"/>
    <w:rsid w:val="00A54E6A"/>
    <w:rsid w:val="00A5666A"/>
    <w:rsid w:val="00A577F6"/>
    <w:rsid w:val="00A60606"/>
    <w:rsid w:val="00A635F3"/>
    <w:rsid w:val="00A64EBF"/>
    <w:rsid w:val="00A67FBC"/>
    <w:rsid w:val="00A71B89"/>
    <w:rsid w:val="00A80A10"/>
    <w:rsid w:val="00A83610"/>
    <w:rsid w:val="00A85C13"/>
    <w:rsid w:val="00A87A53"/>
    <w:rsid w:val="00A9052D"/>
    <w:rsid w:val="00A92275"/>
    <w:rsid w:val="00A9232A"/>
    <w:rsid w:val="00A93EA6"/>
    <w:rsid w:val="00A94761"/>
    <w:rsid w:val="00A96162"/>
    <w:rsid w:val="00A97365"/>
    <w:rsid w:val="00A97C49"/>
    <w:rsid w:val="00AA0FA6"/>
    <w:rsid w:val="00AA215D"/>
    <w:rsid w:val="00AA3FBE"/>
    <w:rsid w:val="00AA5F5F"/>
    <w:rsid w:val="00AA76B0"/>
    <w:rsid w:val="00AB09D8"/>
    <w:rsid w:val="00AB0BD1"/>
    <w:rsid w:val="00AB4C97"/>
    <w:rsid w:val="00AB54A5"/>
    <w:rsid w:val="00AB7402"/>
    <w:rsid w:val="00AC08AE"/>
    <w:rsid w:val="00AC2ACF"/>
    <w:rsid w:val="00AC7214"/>
    <w:rsid w:val="00AD39B5"/>
    <w:rsid w:val="00AD6A5A"/>
    <w:rsid w:val="00AE16C3"/>
    <w:rsid w:val="00AE4E74"/>
    <w:rsid w:val="00AF1CAA"/>
    <w:rsid w:val="00AF61E5"/>
    <w:rsid w:val="00AF7BEF"/>
    <w:rsid w:val="00B0098E"/>
    <w:rsid w:val="00B02112"/>
    <w:rsid w:val="00B023B3"/>
    <w:rsid w:val="00B02542"/>
    <w:rsid w:val="00B02DBE"/>
    <w:rsid w:val="00B05154"/>
    <w:rsid w:val="00B054D9"/>
    <w:rsid w:val="00B057D0"/>
    <w:rsid w:val="00B10B71"/>
    <w:rsid w:val="00B10E21"/>
    <w:rsid w:val="00B12DBF"/>
    <w:rsid w:val="00B245D9"/>
    <w:rsid w:val="00B25242"/>
    <w:rsid w:val="00B25CAB"/>
    <w:rsid w:val="00B3329C"/>
    <w:rsid w:val="00B3534F"/>
    <w:rsid w:val="00B37A1A"/>
    <w:rsid w:val="00B42742"/>
    <w:rsid w:val="00B43E71"/>
    <w:rsid w:val="00B4413E"/>
    <w:rsid w:val="00B463BA"/>
    <w:rsid w:val="00B5569A"/>
    <w:rsid w:val="00B60701"/>
    <w:rsid w:val="00B61FAF"/>
    <w:rsid w:val="00B626BF"/>
    <w:rsid w:val="00B62C4C"/>
    <w:rsid w:val="00B6485E"/>
    <w:rsid w:val="00B66ECD"/>
    <w:rsid w:val="00B7054E"/>
    <w:rsid w:val="00B73D80"/>
    <w:rsid w:val="00B75151"/>
    <w:rsid w:val="00B76E68"/>
    <w:rsid w:val="00B77724"/>
    <w:rsid w:val="00B777E5"/>
    <w:rsid w:val="00B8567C"/>
    <w:rsid w:val="00B9315F"/>
    <w:rsid w:val="00B94C3D"/>
    <w:rsid w:val="00B9509D"/>
    <w:rsid w:val="00B95609"/>
    <w:rsid w:val="00B962B3"/>
    <w:rsid w:val="00B97B70"/>
    <w:rsid w:val="00BA0437"/>
    <w:rsid w:val="00BA075B"/>
    <w:rsid w:val="00BA0E3D"/>
    <w:rsid w:val="00BA48A7"/>
    <w:rsid w:val="00BA5FE4"/>
    <w:rsid w:val="00BB0E2C"/>
    <w:rsid w:val="00BB70D8"/>
    <w:rsid w:val="00BC36D0"/>
    <w:rsid w:val="00BC5E68"/>
    <w:rsid w:val="00BD03F6"/>
    <w:rsid w:val="00BD0617"/>
    <w:rsid w:val="00BD69F8"/>
    <w:rsid w:val="00BD7D15"/>
    <w:rsid w:val="00BE1AED"/>
    <w:rsid w:val="00BE4197"/>
    <w:rsid w:val="00BE4317"/>
    <w:rsid w:val="00BE545C"/>
    <w:rsid w:val="00BE5610"/>
    <w:rsid w:val="00BE5DF4"/>
    <w:rsid w:val="00BE7220"/>
    <w:rsid w:val="00BF01B7"/>
    <w:rsid w:val="00BF476D"/>
    <w:rsid w:val="00C05173"/>
    <w:rsid w:val="00C06BA9"/>
    <w:rsid w:val="00C11588"/>
    <w:rsid w:val="00C1254D"/>
    <w:rsid w:val="00C145C8"/>
    <w:rsid w:val="00C15407"/>
    <w:rsid w:val="00C15BAA"/>
    <w:rsid w:val="00C2253A"/>
    <w:rsid w:val="00C2409A"/>
    <w:rsid w:val="00C243E2"/>
    <w:rsid w:val="00C2517E"/>
    <w:rsid w:val="00C2547F"/>
    <w:rsid w:val="00C356C3"/>
    <w:rsid w:val="00C4036B"/>
    <w:rsid w:val="00C43A04"/>
    <w:rsid w:val="00C46221"/>
    <w:rsid w:val="00C51927"/>
    <w:rsid w:val="00C51B75"/>
    <w:rsid w:val="00C51D31"/>
    <w:rsid w:val="00C51DFC"/>
    <w:rsid w:val="00C62026"/>
    <w:rsid w:val="00C62361"/>
    <w:rsid w:val="00C645D8"/>
    <w:rsid w:val="00C65CF3"/>
    <w:rsid w:val="00C72E2C"/>
    <w:rsid w:val="00C775AC"/>
    <w:rsid w:val="00C77684"/>
    <w:rsid w:val="00C814F4"/>
    <w:rsid w:val="00C828B2"/>
    <w:rsid w:val="00C84AF7"/>
    <w:rsid w:val="00C85FA2"/>
    <w:rsid w:val="00C86539"/>
    <w:rsid w:val="00C87850"/>
    <w:rsid w:val="00C9402C"/>
    <w:rsid w:val="00C9409B"/>
    <w:rsid w:val="00C961F3"/>
    <w:rsid w:val="00CA01EB"/>
    <w:rsid w:val="00CA17CE"/>
    <w:rsid w:val="00CB0AB3"/>
    <w:rsid w:val="00CB37DE"/>
    <w:rsid w:val="00CC28EB"/>
    <w:rsid w:val="00CC36D1"/>
    <w:rsid w:val="00CC36E9"/>
    <w:rsid w:val="00CC3E75"/>
    <w:rsid w:val="00CC5E39"/>
    <w:rsid w:val="00CC6D2A"/>
    <w:rsid w:val="00CC7758"/>
    <w:rsid w:val="00CD4EC7"/>
    <w:rsid w:val="00CD6756"/>
    <w:rsid w:val="00CD7596"/>
    <w:rsid w:val="00CD7C47"/>
    <w:rsid w:val="00CD7F3A"/>
    <w:rsid w:val="00CE18DC"/>
    <w:rsid w:val="00CE3635"/>
    <w:rsid w:val="00CE560C"/>
    <w:rsid w:val="00CE59CC"/>
    <w:rsid w:val="00CE5DAA"/>
    <w:rsid w:val="00CE5FDE"/>
    <w:rsid w:val="00CE6952"/>
    <w:rsid w:val="00CF2B84"/>
    <w:rsid w:val="00CF332E"/>
    <w:rsid w:val="00D0142D"/>
    <w:rsid w:val="00D0594F"/>
    <w:rsid w:val="00D11F80"/>
    <w:rsid w:val="00D135D7"/>
    <w:rsid w:val="00D13FDB"/>
    <w:rsid w:val="00D153BD"/>
    <w:rsid w:val="00D21C36"/>
    <w:rsid w:val="00D236BE"/>
    <w:rsid w:val="00D24106"/>
    <w:rsid w:val="00D255B9"/>
    <w:rsid w:val="00D25E4A"/>
    <w:rsid w:val="00D30928"/>
    <w:rsid w:val="00D30C98"/>
    <w:rsid w:val="00D3509B"/>
    <w:rsid w:val="00D41F9E"/>
    <w:rsid w:val="00D43E96"/>
    <w:rsid w:val="00D4674F"/>
    <w:rsid w:val="00D5087D"/>
    <w:rsid w:val="00D5130F"/>
    <w:rsid w:val="00D51B8C"/>
    <w:rsid w:val="00D523FC"/>
    <w:rsid w:val="00D52500"/>
    <w:rsid w:val="00D52B39"/>
    <w:rsid w:val="00D52D14"/>
    <w:rsid w:val="00D5729B"/>
    <w:rsid w:val="00D57C88"/>
    <w:rsid w:val="00D60007"/>
    <w:rsid w:val="00D616DC"/>
    <w:rsid w:val="00D620B9"/>
    <w:rsid w:val="00D632BC"/>
    <w:rsid w:val="00D669B0"/>
    <w:rsid w:val="00D72617"/>
    <w:rsid w:val="00D74F67"/>
    <w:rsid w:val="00D8609E"/>
    <w:rsid w:val="00D926A6"/>
    <w:rsid w:val="00D937D5"/>
    <w:rsid w:val="00D97851"/>
    <w:rsid w:val="00D97B31"/>
    <w:rsid w:val="00DA1A09"/>
    <w:rsid w:val="00DB0119"/>
    <w:rsid w:val="00DB3405"/>
    <w:rsid w:val="00DB3B6C"/>
    <w:rsid w:val="00DB3C83"/>
    <w:rsid w:val="00DB5CBF"/>
    <w:rsid w:val="00DB5D3D"/>
    <w:rsid w:val="00DB771C"/>
    <w:rsid w:val="00DB7910"/>
    <w:rsid w:val="00DC15C2"/>
    <w:rsid w:val="00DC4547"/>
    <w:rsid w:val="00DC4846"/>
    <w:rsid w:val="00DC4B1F"/>
    <w:rsid w:val="00DC6142"/>
    <w:rsid w:val="00DD0F4D"/>
    <w:rsid w:val="00DD19D4"/>
    <w:rsid w:val="00DD2BDA"/>
    <w:rsid w:val="00DD46D1"/>
    <w:rsid w:val="00DD48ED"/>
    <w:rsid w:val="00DD7389"/>
    <w:rsid w:val="00DD73F0"/>
    <w:rsid w:val="00DE05EC"/>
    <w:rsid w:val="00DE0AF2"/>
    <w:rsid w:val="00DE0B92"/>
    <w:rsid w:val="00DE2AF3"/>
    <w:rsid w:val="00DE2D35"/>
    <w:rsid w:val="00DE3514"/>
    <w:rsid w:val="00DE587A"/>
    <w:rsid w:val="00DE70F4"/>
    <w:rsid w:val="00DE7156"/>
    <w:rsid w:val="00DF04F3"/>
    <w:rsid w:val="00DF45BD"/>
    <w:rsid w:val="00E02478"/>
    <w:rsid w:val="00E03C07"/>
    <w:rsid w:val="00E051BA"/>
    <w:rsid w:val="00E0554C"/>
    <w:rsid w:val="00E058B5"/>
    <w:rsid w:val="00E05B0B"/>
    <w:rsid w:val="00E073A6"/>
    <w:rsid w:val="00E075FF"/>
    <w:rsid w:val="00E10191"/>
    <w:rsid w:val="00E15137"/>
    <w:rsid w:val="00E177C3"/>
    <w:rsid w:val="00E200CD"/>
    <w:rsid w:val="00E21152"/>
    <w:rsid w:val="00E24955"/>
    <w:rsid w:val="00E262A5"/>
    <w:rsid w:val="00E269F0"/>
    <w:rsid w:val="00E33CFE"/>
    <w:rsid w:val="00E406EE"/>
    <w:rsid w:val="00E45FC0"/>
    <w:rsid w:val="00E46760"/>
    <w:rsid w:val="00E478E4"/>
    <w:rsid w:val="00E5022F"/>
    <w:rsid w:val="00E50DCC"/>
    <w:rsid w:val="00E52AB2"/>
    <w:rsid w:val="00E53CD2"/>
    <w:rsid w:val="00E6655A"/>
    <w:rsid w:val="00E67627"/>
    <w:rsid w:val="00E70E2D"/>
    <w:rsid w:val="00E71487"/>
    <w:rsid w:val="00E7322A"/>
    <w:rsid w:val="00E75273"/>
    <w:rsid w:val="00E76DC1"/>
    <w:rsid w:val="00E7756E"/>
    <w:rsid w:val="00E778C3"/>
    <w:rsid w:val="00E80919"/>
    <w:rsid w:val="00E81D24"/>
    <w:rsid w:val="00E83005"/>
    <w:rsid w:val="00E84C22"/>
    <w:rsid w:val="00E87B0E"/>
    <w:rsid w:val="00E907D9"/>
    <w:rsid w:val="00E91800"/>
    <w:rsid w:val="00E939C9"/>
    <w:rsid w:val="00E94A5C"/>
    <w:rsid w:val="00E95852"/>
    <w:rsid w:val="00E97043"/>
    <w:rsid w:val="00EA0988"/>
    <w:rsid w:val="00EA09B0"/>
    <w:rsid w:val="00EA0F9D"/>
    <w:rsid w:val="00EB6831"/>
    <w:rsid w:val="00EC132E"/>
    <w:rsid w:val="00EC23E4"/>
    <w:rsid w:val="00EC3043"/>
    <w:rsid w:val="00EC4E36"/>
    <w:rsid w:val="00EC538E"/>
    <w:rsid w:val="00ED1FFC"/>
    <w:rsid w:val="00EE7A55"/>
    <w:rsid w:val="00EF2666"/>
    <w:rsid w:val="00EF426B"/>
    <w:rsid w:val="00EF59FD"/>
    <w:rsid w:val="00F0128F"/>
    <w:rsid w:val="00F05B01"/>
    <w:rsid w:val="00F104E9"/>
    <w:rsid w:val="00F140D1"/>
    <w:rsid w:val="00F16547"/>
    <w:rsid w:val="00F16B89"/>
    <w:rsid w:val="00F23061"/>
    <w:rsid w:val="00F2452F"/>
    <w:rsid w:val="00F250B5"/>
    <w:rsid w:val="00F3263A"/>
    <w:rsid w:val="00F3605C"/>
    <w:rsid w:val="00F44D6D"/>
    <w:rsid w:val="00F452C2"/>
    <w:rsid w:val="00F452CE"/>
    <w:rsid w:val="00F503F8"/>
    <w:rsid w:val="00F54B9A"/>
    <w:rsid w:val="00F55779"/>
    <w:rsid w:val="00F56C3E"/>
    <w:rsid w:val="00F602BB"/>
    <w:rsid w:val="00F603D1"/>
    <w:rsid w:val="00F609A3"/>
    <w:rsid w:val="00F61A04"/>
    <w:rsid w:val="00F62BD5"/>
    <w:rsid w:val="00F63F2B"/>
    <w:rsid w:val="00F64D74"/>
    <w:rsid w:val="00F70140"/>
    <w:rsid w:val="00F741F4"/>
    <w:rsid w:val="00F75659"/>
    <w:rsid w:val="00F76D1A"/>
    <w:rsid w:val="00F77EB8"/>
    <w:rsid w:val="00F77F41"/>
    <w:rsid w:val="00F807FB"/>
    <w:rsid w:val="00F80F12"/>
    <w:rsid w:val="00F85348"/>
    <w:rsid w:val="00F876F1"/>
    <w:rsid w:val="00F87CD4"/>
    <w:rsid w:val="00F91876"/>
    <w:rsid w:val="00F952B4"/>
    <w:rsid w:val="00FA08D1"/>
    <w:rsid w:val="00FA0C63"/>
    <w:rsid w:val="00FA2980"/>
    <w:rsid w:val="00FA5CA5"/>
    <w:rsid w:val="00FB02C5"/>
    <w:rsid w:val="00FB10D9"/>
    <w:rsid w:val="00FB14ED"/>
    <w:rsid w:val="00FB3C52"/>
    <w:rsid w:val="00FB4A5D"/>
    <w:rsid w:val="00FB6479"/>
    <w:rsid w:val="00FB6CDE"/>
    <w:rsid w:val="00FB6E0F"/>
    <w:rsid w:val="00FC6EE9"/>
    <w:rsid w:val="00FD1EBE"/>
    <w:rsid w:val="00FD23B0"/>
    <w:rsid w:val="00FD3897"/>
    <w:rsid w:val="00FD3FE0"/>
    <w:rsid w:val="00FD4782"/>
    <w:rsid w:val="00FD678B"/>
    <w:rsid w:val="00FE03AE"/>
    <w:rsid w:val="00FE1DB3"/>
    <w:rsid w:val="00FE3C1F"/>
    <w:rsid w:val="00FF544D"/>
    <w:rsid w:val="0E6C4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2206E6"/>
  <w15:docId w15:val="{6D981F76-B86D-4460-9BB5-957FE788D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outlineLvl w:val="1"/>
    </w:pPr>
    <w:rPr>
      <w:rFonts w:eastAsiaTheme="majorEastAsia"/>
      <w:b/>
      <w:bCs/>
    </w:rPr>
  </w:style>
  <w:style w:type="paragraph" w:styleId="3">
    <w:name w:val="heading 3"/>
    <w:basedOn w:val="2"/>
    <w:next w:val="a"/>
    <w:link w:val="30"/>
    <w:uiPriority w:val="9"/>
    <w:unhideWhenUsed/>
    <w:qFormat/>
    <w:pPr>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annotation text"/>
    <w:basedOn w:val="a"/>
    <w:link w:val="a6"/>
    <w:uiPriority w:val="99"/>
    <w:semiHidden/>
    <w:unhideWhenUsed/>
    <w:qFormat/>
    <w:pPr>
      <w:jc w:val="left"/>
    </w:pPr>
  </w:style>
  <w:style w:type="paragraph" w:styleId="a7">
    <w:name w:val="annotation subject"/>
    <w:basedOn w:val="a5"/>
    <w:next w:val="a5"/>
    <w:link w:val="a8"/>
    <w:uiPriority w:val="99"/>
    <w:semiHidden/>
    <w:unhideWhenUsed/>
    <w:qFormat/>
    <w:rPr>
      <w:b/>
      <w:bCs/>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rPr>
  </w:style>
  <w:style w:type="character" w:styleId="ae">
    <w:name w:val="annotation reference"/>
    <w:basedOn w:val="a0"/>
    <w:uiPriority w:val="99"/>
    <w:semiHidden/>
    <w:unhideWhenUsed/>
    <w:qFormat/>
    <w:rPr>
      <w:sz w:val="21"/>
      <w:szCs w:val="21"/>
    </w:rPr>
  </w:style>
  <w:style w:type="character" w:styleId="af">
    <w:name w:val="FollowedHyperlink"/>
    <w:basedOn w:val="a0"/>
    <w:uiPriority w:val="99"/>
    <w:semiHidden/>
    <w:unhideWhenUsed/>
    <w:qFormat/>
    <w:rPr>
      <w:color w:val="954F72" w:themeColor="followedHyperlink"/>
      <w:u w:val="single"/>
    </w:rPr>
  </w:style>
  <w:style w:type="character" w:styleId="af0">
    <w:name w:val="Hyperlink"/>
    <w:basedOn w:val="a0"/>
    <w:uiPriority w:val="99"/>
    <w:unhideWhenUsed/>
    <w:qFormat/>
    <w:rPr>
      <w:color w:val="0563C1" w:themeColor="hyperlink"/>
      <w:u w:val="single"/>
    </w:rPr>
  </w:style>
  <w:style w:type="character" w:styleId="af1">
    <w:name w:val="line number"/>
    <w:basedOn w:val="a0"/>
    <w:uiPriority w:val="99"/>
    <w:semiHidden/>
    <w:unhideWhenUsed/>
    <w:qFormat/>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11">
    <w:name w:val="未处理的提及1"/>
    <w:basedOn w:val="a0"/>
    <w:uiPriority w:val="99"/>
    <w:semiHidden/>
    <w:unhideWhenUsed/>
    <w:qFormat/>
    <w:rPr>
      <w:color w:val="605E5C"/>
      <w:shd w:val="clear" w:color="auto" w:fill="E1DFDD"/>
    </w:rPr>
  </w:style>
  <w:style w:type="paragraph" w:styleId="af2">
    <w:name w:val="List Paragraph"/>
    <w:basedOn w:val="a"/>
    <w:uiPriority w:val="34"/>
    <w:qFormat/>
    <w:pPr>
      <w:ind w:firstLineChars="200" w:firstLine="420"/>
    </w:pPr>
  </w:style>
  <w:style w:type="character" w:customStyle="1" w:styleId="20">
    <w:name w:val="标题 2 字符"/>
    <w:basedOn w:val="a0"/>
    <w:link w:val="2"/>
    <w:uiPriority w:val="9"/>
    <w:rPr>
      <w:rFonts w:ascii="Times New Roman" w:eastAsiaTheme="majorEastAsia" w:hAnsi="Times New Roman" w:cs="Times New Roman"/>
      <w:b/>
      <w:bCs/>
      <w:sz w:val="24"/>
      <w:szCs w:val="24"/>
    </w:rPr>
  </w:style>
  <w:style w:type="character" w:customStyle="1" w:styleId="30">
    <w:name w:val="标题 3 字符"/>
    <w:basedOn w:val="a0"/>
    <w:link w:val="3"/>
    <w:uiPriority w:val="9"/>
    <w:qFormat/>
    <w:rPr>
      <w:rFonts w:ascii="Times New Roman" w:eastAsiaTheme="majorEastAsia" w:hAnsi="Times New Roman" w:cs="Times New Roman"/>
      <w:b/>
      <w:bCs/>
      <w:sz w:val="24"/>
      <w:szCs w:val="24"/>
    </w:rPr>
  </w:style>
  <w:style w:type="character" w:customStyle="1" w:styleId="a4">
    <w:name w:val="批注框文本 字符"/>
    <w:basedOn w:val="a0"/>
    <w:link w:val="a3"/>
    <w:uiPriority w:val="99"/>
    <w:semiHidden/>
    <w:qFormat/>
    <w:rPr>
      <w:rFonts w:ascii="Times New Roman" w:eastAsia="Times New Roman" w:hAnsi="Times New Roman"/>
      <w:sz w:val="18"/>
      <w:szCs w:val="18"/>
    </w:rPr>
  </w:style>
  <w:style w:type="paragraph" w:styleId="af3">
    <w:name w:val="No Spacing"/>
    <w:uiPriority w:val="1"/>
    <w:qFormat/>
    <w:pPr>
      <w:widowControl w:val="0"/>
      <w:jc w:val="both"/>
    </w:pPr>
    <w:rPr>
      <w:rFonts w:eastAsia="Times New Roman"/>
      <w:kern w:val="2"/>
      <w:sz w:val="24"/>
      <w:szCs w:val="24"/>
    </w:rPr>
  </w:style>
  <w:style w:type="character" w:customStyle="1" w:styleId="a6">
    <w:name w:val="批注文字 字符"/>
    <w:basedOn w:val="a0"/>
    <w:link w:val="a5"/>
    <w:uiPriority w:val="99"/>
    <w:semiHidden/>
    <w:qFormat/>
    <w:rPr>
      <w:rFonts w:ascii="Times New Roman" w:eastAsia="Times New Roman" w:hAnsi="Times New Roman"/>
      <w:sz w:val="24"/>
    </w:rPr>
  </w:style>
  <w:style w:type="character" w:customStyle="1" w:styleId="a8">
    <w:name w:val="批注主题 字符"/>
    <w:basedOn w:val="a6"/>
    <w:link w:val="a7"/>
    <w:uiPriority w:val="99"/>
    <w:semiHidden/>
    <w:qFormat/>
    <w:rPr>
      <w:rFonts w:ascii="Times New Roman" w:eastAsia="Times New Roman" w:hAnsi="Times New Roman"/>
      <w:b/>
      <w:bCs/>
      <w:sz w:val="24"/>
    </w:rPr>
  </w:style>
  <w:style w:type="paragraph" w:customStyle="1" w:styleId="EndNoteBibliographyTitle">
    <w:name w:val="EndNote Bibliography Title"/>
    <w:basedOn w:val="a"/>
    <w:link w:val="EndNoteBibliographyTitle0"/>
    <w:qFormat/>
    <w:pPr>
      <w:jc w:val="center"/>
    </w:pPr>
  </w:style>
  <w:style w:type="character" w:customStyle="1" w:styleId="EndNoteBibliographyTitle0">
    <w:name w:val="EndNote Bibliography Title 字符"/>
    <w:basedOn w:val="a0"/>
    <w:link w:val="EndNoteBibliographyTitle"/>
    <w:qFormat/>
    <w:rPr>
      <w:kern w:val="2"/>
      <w:sz w:val="24"/>
      <w:szCs w:val="24"/>
    </w:rPr>
  </w:style>
  <w:style w:type="paragraph" w:customStyle="1" w:styleId="EndNoteBibliography">
    <w:name w:val="EndNote Bibliography"/>
    <w:basedOn w:val="a"/>
    <w:link w:val="EndNoteBibliography0"/>
    <w:qFormat/>
  </w:style>
  <w:style w:type="character" w:customStyle="1" w:styleId="EndNoteBibliography0">
    <w:name w:val="EndNote Bibliography 字符"/>
    <w:basedOn w:val="a0"/>
    <w:link w:val="EndNoteBibliography"/>
    <w:rPr>
      <w:kern w:val="2"/>
      <w:sz w:val="24"/>
      <w:szCs w:val="24"/>
    </w:rPr>
  </w:style>
  <w:style w:type="paragraph" w:customStyle="1" w:styleId="af4">
    <w:name w:val="石墨文档正文"/>
    <w:link w:val="af5"/>
    <w:qFormat/>
    <w:rPr>
      <w:rFonts w:ascii="微软雅黑" w:eastAsia="微软雅黑" w:hAnsi="微软雅黑" w:cs="微软雅黑"/>
      <w:sz w:val="22"/>
      <w:szCs w:val="22"/>
    </w:rPr>
  </w:style>
  <w:style w:type="paragraph" w:customStyle="1" w:styleId="Default">
    <w:name w:val="Default"/>
    <w:qFormat/>
    <w:pPr>
      <w:widowControl w:val="0"/>
      <w:autoSpaceDE w:val="0"/>
      <w:autoSpaceDN w:val="0"/>
      <w:adjustRightInd w:val="0"/>
    </w:pPr>
    <w:rPr>
      <w:color w:val="000000"/>
      <w:sz w:val="24"/>
      <w:szCs w:val="24"/>
    </w:rPr>
  </w:style>
  <w:style w:type="character" w:customStyle="1" w:styleId="af5">
    <w:name w:val="石墨文档正文 字符"/>
    <w:basedOn w:val="a0"/>
    <w:link w:val="af4"/>
    <w:qFormat/>
    <w:rPr>
      <w:rFonts w:ascii="微软雅黑" w:eastAsia="微软雅黑" w:hAnsi="微软雅黑" w:cs="微软雅黑"/>
      <w:kern w:val="0"/>
      <w:sz w:val="22"/>
      <w:szCs w:val="22"/>
    </w:rPr>
  </w:style>
  <w:style w:type="character" w:customStyle="1" w:styleId="21">
    <w:name w:val="未处理的提及2"/>
    <w:basedOn w:val="a0"/>
    <w:uiPriority w:val="99"/>
    <w:semiHidden/>
    <w:unhideWhenUsed/>
    <w:qFormat/>
    <w:rPr>
      <w:color w:val="605E5C"/>
      <w:shd w:val="clear" w:color="auto" w:fill="E1DFDD"/>
    </w:rPr>
  </w:style>
  <w:style w:type="paragraph" w:customStyle="1" w:styleId="12">
    <w:name w:val="修订1"/>
    <w:hidden/>
    <w:uiPriority w:val="99"/>
    <w:semiHidden/>
    <w:qFormat/>
    <w:rPr>
      <w:kern w:val="2"/>
      <w:sz w:val="24"/>
      <w:szCs w:val="24"/>
    </w:rPr>
  </w:style>
  <w:style w:type="character" w:customStyle="1" w:styleId="31">
    <w:name w:val="未处理的提及3"/>
    <w:basedOn w:val="a0"/>
    <w:uiPriority w:val="99"/>
    <w:semiHidden/>
    <w:unhideWhenUsed/>
    <w:qFormat/>
    <w:rPr>
      <w:color w:val="605E5C"/>
      <w:shd w:val="clear" w:color="auto" w:fill="E1DFDD"/>
    </w:rPr>
  </w:style>
  <w:style w:type="character" w:styleId="af6">
    <w:name w:val="Emphasis"/>
    <w:basedOn w:val="a0"/>
    <w:uiPriority w:val="20"/>
    <w:qFormat/>
    <w:rsid w:val="00DB3B6C"/>
    <w:rPr>
      <w:i/>
      <w:iCs/>
    </w:rPr>
  </w:style>
  <w:style w:type="character" w:customStyle="1" w:styleId="apple-converted-space">
    <w:name w:val="apple-converted-space"/>
    <w:basedOn w:val="a0"/>
    <w:rsid w:val="00DB3B6C"/>
  </w:style>
  <w:style w:type="paragraph" w:customStyle="1" w:styleId="13">
    <w:name w:val="无间隔1"/>
    <w:uiPriority w:val="1"/>
    <w:qFormat/>
    <w:rsid w:val="001C4FC5"/>
    <w:pPr>
      <w:widowControl w:val="0"/>
      <w:jc w:val="both"/>
    </w:pPr>
    <w:rPr>
      <w:rFonts w:eastAsia="Times New Roman"/>
      <w:kern w:val="2"/>
      <w:sz w:val="24"/>
      <w:szCs w:val="24"/>
    </w:rPr>
  </w:style>
  <w:style w:type="character" w:customStyle="1" w:styleId="4">
    <w:name w:val="未处理的提及4"/>
    <w:basedOn w:val="a0"/>
    <w:uiPriority w:val="99"/>
    <w:semiHidden/>
    <w:unhideWhenUsed/>
    <w:rsid w:val="00FB6CDE"/>
    <w:rPr>
      <w:color w:val="605E5C"/>
      <w:shd w:val="clear" w:color="auto" w:fill="E1DFDD"/>
    </w:rPr>
  </w:style>
  <w:style w:type="paragraph" w:styleId="af7">
    <w:name w:val="Revision"/>
    <w:hidden/>
    <w:uiPriority w:val="99"/>
    <w:semiHidden/>
    <w:rsid w:val="00752553"/>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6196362">
      <w:bodyDiv w:val="1"/>
      <w:marLeft w:val="0"/>
      <w:marRight w:val="0"/>
      <w:marTop w:val="0"/>
      <w:marBottom w:val="0"/>
      <w:divBdr>
        <w:top w:val="none" w:sz="0" w:space="0" w:color="auto"/>
        <w:left w:val="none" w:sz="0" w:space="0" w:color="auto"/>
        <w:bottom w:val="none" w:sz="0" w:space="0" w:color="auto"/>
        <w:right w:val="none" w:sz="0" w:space="0" w:color="auto"/>
      </w:divBdr>
    </w:div>
    <w:div w:id="1706439111">
      <w:bodyDiv w:val="1"/>
      <w:marLeft w:val="0"/>
      <w:marRight w:val="0"/>
      <w:marTop w:val="0"/>
      <w:marBottom w:val="0"/>
      <w:divBdr>
        <w:top w:val="none" w:sz="0" w:space="0" w:color="auto"/>
        <w:left w:val="none" w:sz="0" w:space="0" w:color="auto"/>
        <w:bottom w:val="none" w:sz="0" w:space="0" w:color="auto"/>
        <w:right w:val="none" w:sz="0" w:space="0" w:color="auto"/>
      </w:divBdr>
    </w:div>
    <w:div w:id="1743942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customXml" Target="../customXml/item3.xml"/><Relationship Id="rId21" Type="http://schemas.openxmlformats.org/officeDocument/2006/relationships/theme" Target="theme/theme1.xml"/><Relationship Id="rId47" Type="http://schemas.microsoft.com/office/2018/08/relationships/commentsExtensible" Target="commentsExtensi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customXml" Target="../customXml/item5.xml"/><Relationship Id="rId15"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C323CBD8D59143A9372B9F8F7FB983" ma:contentTypeVersion="5" ma:contentTypeDescription="Create a new document." ma:contentTypeScope="" ma:versionID="199157c7a2741889828d1abc8f9297d4">
  <xsd:schema xmlns:xsd="http://www.w3.org/2001/XMLSchema" xmlns:xs="http://www.w3.org/2001/XMLSchema" xmlns:p="http://schemas.microsoft.com/office/2006/metadata/properties" xmlns:ns3="fda397dc-ee17-47b7-937a-66022cb259c2" xmlns:ns4="fdd8c754-b763-47b2-8aeb-506d67560e14" targetNamespace="http://schemas.microsoft.com/office/2006/metadata/properties" ma:root="true" ma:fieldsID="0b6750676bca81fbf351bf6da145c899" ns3:_="" ns4:_="">
    <xsd:import namespace="fda397dc-ee17-47b7-937a-66022cb259c2"/>
    <xsd:import namespace="fdd8c754-b763-47b2-8aeb-506d67560e1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a397dc-ee17-47b7-937a-66022cb259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dd8c754-b763-47b2-8aeb-506d67560e1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s:customData xmlns="http://www.wps.cn/officeDocument/2013/wpsCustomData" xmlns:s="http://www.wps.cn/officeDocument/2013/wpsCustomData">
  <customSectProps>
    <customSectPr/>
  </customSectProps>
</s:custom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F0AB50-016A-49AD-9129-992ADEBD9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a397dc-ee17-47b7-937a-66022cb259c2"/>
    <ds:schemaRef ds:uri="fdd8c754-b763-47b2-8aeb-506d67560e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14F0DE-B2D1-43F0-A64D-05DEC088C25A}">
  <ds:schemaRefs>
    <ds:schemaRef ds:uri="http://schemas.microsoft.com/sharepoint/v3/contenttype/form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BE44A43C-8F69-4369-B5DA-388EB0BDD451}">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D6185331-4116-4A6E-824F-67FFE1E5D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8</Pages>
  <Words>544</Words>
  <Characters>3102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周郁文(Yuwen Zhou)</dc:creator>
  <cp:keywords/>
  <dc:description/>
  <cp:lastModifiedBy>陈东升(Dongsheng Chen)</cp:lastModifiedBy>
  <cp:revision>26</cp:revision>
  <cp:lastPrinted>2020-07-17T01:25:00Z</cp:lastPrinted>
  <dcterms:created xsi:type="dcterms:W3CDTF">2020-07-27T11:24:00Z</dcterms:created>
  <dcterms:modified xsi:type="dcterms:W3CDTF">2020-08-13T15:34:00Z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0x0101001CC323CBD8D59143A9372B9F8F7FB983</vt:lpwstr>
  </property>
  <property fmtid="{D5CDD505-2E9C-101B-9397-08002B2CF9AE}" pid="3" name="KSOProductBuildVer">
    <vt:lpwstr>1033-11.2.0.9453</vt:lpwstr>
  </property>
</Properties>
</file>