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BC4899" w14:textId="7A4E6D9B" w:rsidR="006A6076" w:rsidRDefault="000D0B1E" w:rsidP="006A6076">
      <w:pPr>
        <w:pStyle w:val="Heading1"/>
        <w:spacing w:before="0"/>
      </w:pPr>
      <w:bookmarkStart w:id="0" w:name="_Toc69812950"/>
      <w:r>
        <w:t>Appendix</w:t>
      </w:r>
      <w:r w:rsidR="006A6076" w:rsidRPr="00E543A0">
        <w:t>:</w:t>
      </w:r>
      <w:r w:rsidR="006A6076" w:rsidRPr="00E368AC">
        <w:rPr>
          <w:color w:val="000000" w:themeColor="text1"/>
          <w:sz w:val="28"/>
          <w:szCs w:val="28"/>
        </w:rPr>
        <w:t xml:space="preserve"> “Automated caries detection using a 3D intraoral scanner. An </w:t>
      </w:r>
      <w:r w:rsidR="006A6076" w:rsidRPr="00E368AC">
        <w:rPr>
          <w:i/>
          <w:iCs/>
          <w:color w:val="000000" w:themeColor="text1"/>
          <w:sz w:val="28"/>
          <w:szCs w:val="28"/>
        </w:rPr>
        <w:t>in vivo</w:t>
      </w:r>
      <w:r w:rsidR="006A6076" w:rsidRPr="00E368AC">
        <w:rPr>
          <w:color w:val="000000" w:themeColor="text1"/>
          <w:sz w:val="28"/>
          <w:szCs w:val="28"/>
        </w:rPr>
        <w:t xml:space="preserve"> validation study</w:t>
      </w:r>
      <w:r w:rsidR="006A6076">
        <w:rPr>
          <w:color w:val="000000" w:themeColor="text1"/>
          <w:sz w:val="28"/>
          <w:szCs w:val="28"/>
        </w:rPr>
        <w:t>.”</w:t>
      </w:r>
      <w:bookmarkEnd w:id="0"/>
    </w:p>
    <w:sdt>
      <w:sdtPr>
        <w:rPr>
          <w:rFonts w:asciiTheme="minorHAnsi" w:eastAsiaTheme="minorHAnsi" w:hAnsiTheme="minorHAnsi" w:cstheme="minorBidi"/>
          <w:color w:val="auto"/>
          <w:sz w:val="22"/>
          <w:szCs w:val="22"/>
        </w:rPr>
        <w:id w:val="461615588"/>
        <w:docPartObj>
          <w:docPartGallery w:val="Table of Contents"/>
          <w:docPartUnique/>
        </w:docPartObj>
      </w:sdtPr>
      <w:sdtEndPr>
        <w:rPr>
          <w:b/>
          <w:bCs/>
          <w:noProof/>
        </w:rPr>
      </w:sdtEndPr>
      <w:sdtContent>
        <w:p w14:paraId="45FC2AEC" w14:textId="5FDD8263" w:rsidR="003A6240" w:rsidRDefault="003A6240">
          <w:pPr>
            <w:pStyle w:val="TOCHeading"/>
          </w:pPr>
          <w:r>
            <w:t>Contents</w:t>
          </w:r>
        </w:p>
        <w:p w14:paraId="63D18759" w14:textId="0F07CEE0" w:rsidR="003A6240" w:rsidRDefault="003A6240">
          <w:pPr>
            <w:pStyle w:val="TOC1"/>
            <w:tabs>
              <w:tab w:val="right" w:leader="dot" w:pos="9016"/>
            </w:tabs>
            <w:rPr>
              <w:rFonts w:eastAsiaTheme="minorEastAsia"/>
              <w:noProof/>
              <w:lang w:val="da-DK" w:eastAsia="da-DK"/>
            </w:rPr>
          </w:pPr>
          <w:r>
            <w:fldChar w:fldCharType="begin"/>
          </w:r>
          <w:r>
            <w:instrText xml:space="preserve"> TOC \o "1-3" \h \z \u </w:instrText>
          </w:r>
          <w:r>
            <w:fldChar w:fldCharType="separate"/>
          </w:r>
          <w:hyperlink w:anchor="_Toc69812950" w:history="1">
            <w:r w:rsidRPr="00371B80">
              <w:rPr>
                <w:rStyle w:val="Hyperlink"/>
                <w:noProof/>
              </w:rPr>
              <w:t xml:space="preserve">Appendix: “Automated caries detection using a 3D intraoral scanner. An </w:t>
            </w:r>
            <w:r w:rsidRPr="00371B80">
              <w:rPr>
                <w:rStyle w:val="Hyperlink"/>
                <w:i/>
                <w:iCs/>
                <w:noProof/>
              </w:rPr>
              <w:t>in vivo</w:t>
            </w:r>
            <w:r w:rsidRPr="00371B80">
              <w:rPr>
                <w:rStyle w:val="Hyperlink"/>
                <w:noProof/>
              </w:rPr>
              <w:t xml:space="preserve"> validation study.”</w:t>
            </w:r>
            <w:r>
              <w:rPr>
                <w:noProof/>
                <w:webHidden/>
              </w:rPr>
              <w:tab/>
            </w:r>
            <w:r>
              <w:rPr>
                <w:noProof/>
                <w:webHidden/>
              </w:rPr>
              <w:fldChar w:fldCharType="begin"/>
            </w:r>
            <w:r>
              <w:rPr>
                <w:noProof/>
                <w:webHidden/>
              </w:rPr>
              <w:instrText xml:space="preserve"> PAGEREF _Toc69812950 \h </w:instrText>
            </w:r>
            <w:r>
              <w:rPr>
                <w:noProof/>
                <w:webHidden/>
              </w:rPr>
            </w:r>
            <w:r>
              <w:rPr>
                <w:noProof/>
                <w:webHidden/>
              </w:rPr>
              <w:fldChar w:fldCharType="separate"/>
            </w:r>
            <w:r>
              <w:rPr>
                <w:noProof/>
                <w:webHidden/>
              </w:rPr>
              <w:t>1</w:t>
            </w:r>
            <w:r>
              <w:rPr>
                <w:noProof/>
                <w:webHidden/>
              </w:rPr>
              <w:fldChar w:fldCharType="end"/>
            </w:r>
          </w:hyperlink>
        </w:p>
        <w:p w14:paraId="78424B21" w14:textId="03016B8F" w:rsidR="003A6240" w:rsidRDefault="00DA71A6">
          <w:pPr>
            <w:pStyle w:val="TOC2"/>
            <w:tabs>
              <w:tab w:val="right" w:leader="dot" w:pos="9016"/>
            </w:tabs>
            <w:rPr>
              <w:rFonts w:eastAsiaTheme="minorEastAsia"/>
              <w:noProof/>
              <w:lang w:val="da-DK" w:eastAsia="da-DK"/>
            </w:rPr>
          </w:pPr>
          <w:hyperlink w:anchor="_Toc69812951" w:history="1">
            <w:r w:rsidR="003A6240" w:rsidRPr="00371B80">
              <w:rPr>
                <w:rStyle w:val="Hyperlink"/>
                <w:noProof/>
              </w:rPr>
              <w:t>Supplementary methods</w:t>
            </w:r>
            <w:r w:rsidR="003A6240">
              <w:rPr>
                <w:noProof/>
                <w:webHidden/>
              </w:rPr>
              <w:tab/>
            </w:r>
            <w:r w:rsidR="003A6240">
              <w:rPr>
                <w:noProof/>
                <w:webHidden/>
              </w:rPr>
              <w:fldChar w:fldCharType="begin"/>
            </w:r>
            <w:r w:rsidR="003A6240">
              <w:rPr>
                <w:noProof/>
                <w:webHidden/>
              </w:rPr>
              <w:instrText xml:space="preserve"> PAGEREF _Toc69812951 \h </w:instrText>
            </w:r>
            <w:r w:rsidR="003A6240">
              <w:rPr>
                <w:noProof/>
                <w:webHidden/>
              </w:rPr>
            </w:r>
            <w:r w:rsidR="003A6240">
              <w:rPr>
                <w:noProof/>
                <w:webHidden/>
              </w:rPr>
              <w:fldChar w:fldCharType="separate"/>
            </w:r>
            <w:r w:rsidR="003A6240">
              <w:rPr>
                <w:noProof/>
                <w:webHidden/>
              </w:rPr>
              <w:t>1</w:t>
            </w:r>
            <w:r w:rsidR="003A6240">
              <w:rPr>
                <w:noProof/>
                <w:webHidden/>
              </w:rPr>
              <w:fldChar w:fldCharType="end"/>
            </w:r>
          </w:hyperlink>
        </w:p>
        <w:p w14:paraId="22491D1D" w14:textId="116DBFEF" w:rsidR="003A6240" w:rsidRDefault="00DA71A6">
          <w:pPr>
            <w:pStyle w:val="TOC3"/>
            <w:tabs>
              <w:tab w:val="right" w:leader="dot" w:pos="9016"/>
            </w:tabs>
            <w:rPr>
              <w:rFonts w:eastAsiaTheme="minorEastAsia"/>
              <w:noProof/>
              <w:lang w:val="da-DK" w:eastAsia="da-DK"/>
            </w:rPr>
          </w:pPr>
          <w:hyperlink w:anchor="_Toc69812952" w:history="1">
            <w:r w:rsidR="003A6240" w:rsidRPr="00371B80">
              <w:rPr>
                <w:rStyle w:val="Hyperlink"/>
                <w:noProof/>
              </w:rPr>
              <w:t>Researchers’ blinding</w:t>
            </w:r>
            <w:r w:rsidR="003A6240">
              <w:rPr>
                <w:noProof/>
                <w:webHidden/>
              </w:rPr>
              <w:tab/>
            </w:r>
            <w:r w:rsidR="003A6240">
              <w:rPr>
                <w:noProof/>
                <w:webHidden/>
              </w:rPr>
              <w:fldChar w:fldCharType="begin"/>
            </w:r>
            <w:r w:rsidR="003A6240">
              <w:rPr>
                <w:noProof/>
                <w:webHidden/>
              </w:rPr>
              <w:instrText xml:space="preserve"> PAGEREF _Toc69812952 \h </w:instrText>
            </w:r>
            <w:r w:rsidR="003A6240">
              <w:rPr>
                <w:noProof/>
                <w:webHidden/>
              </w:rPr>
            </w:r>
            <w:r w:rsidR="003A6240">
              <w:rPr>
                <w:noProof/>
                <w:webHidden/>
              </w:rPr>
              <w:fldChar w:fldCharType="separate"/>
            </w:r>
            <w:r w:rsidR="003A6240">
              <w:rPr>
                <w:noProof/>
                <w:webHidden/>
              </w:rPr>
              <w:t>1</w:t>
            </w:r>
            <w:r w:rsidR="003A6240">
              <w:rPr>
                <w:noProof/>
                <w:webHidden/>
              </w:rPr>
              <w:fldChar w:fldCharType="end"/>
            </w:r>
          </w:hyperlink>
        </w:p>
        <w:p w14:paraId="69EE9934" w14:textId="5C9EC74F" w:rsidR="003A6240" w:rsidRDefault="00DA71A6">
          <w:pPr>
            <w:pStyle w:val="TOC3"/>
            <w:tabs>
              <w:tab w:val="right" w:leader="dot" w:pos="9016"/>
            </w:tabs>
            <w:rPr>
              <w:rFonts w:eastAsiaTheme="minorEastAsia"/>
              <w:noProof/>
              <w:lang w:val="da-DK" w:eastAsia="da-DK"/>
            </w:rPr>
          </w:pPr>
          <w:hyperlink w:anchor="_Toc69812953" w:history="1">
            <w:r w:rsidR="003A6240" w:rsidRPr="00371B80">
              <w:rPr>
                <w:rStyle w:val="Hyperlink"/>
                <w:noProof/>
              </w:rPr>
              <w:t>Researchers’ calibration</w:t>
            </w:r>
            <w:r w:rsidR="003A6240">
              <w:rPr>
                <w:noProof/>
                <w:webHidden/>
              </w:rPr>
              <w:tab/>
            </w:r>
            <w:r w:rsidR="003A6240">
              <w:rPr>
                <w:noProof/>
                <w:webHidden/>
              </w:rPr>
              <w:fldChar w:fldCharType="begin"/>
            </w:r>
            <w:r w:rsidR="003A6240">
              <w:rPr>
                <w:noProof/>
                <w:webHidden/>
              </w:rPr>
              <w:instrText xml:space="preserve"> PAGEREF _Toc69812953 \h </w:instrText>
            </w:r>
            <w:r w:rsidR="003A6240">
              <w:rPr>
                <w:noProof/>
                <w:webHidden/>
              </w:rPr>
            </w:r>
            <w:r w:rsidR="003A6240">
              <w:rPr>
                <w:noProof/>
                <w:webHidden/>
              </w:rPr>
              <w:fldChar w:fldCharType="separate"/>
            </w:r>
            <w:r w:rsidR="003A6240">
              <w:rPr>
                <w:noProof/>
                <w:webHidden/>
              </w:rPr>
              <w:t>1</w:t>
            </w:r>
            <w:r w:rsidR="003A6240">
              <w:rPr>
                <w:noProof/>
                <w:webHidden/>
              </w:rPr>
              <w:fldChar w:fldCharType="end"/>
            </w:r>
          </w:hyperlink>
        </w:p>
        <w:p w14:paraId="01785E86" w14:textId="75D39E49" w:rsidR="003A6240" w:rsidRDefault="00DA71A6">
          <w:pPr>
            <w:pStyle w:val="TOC2"/>
            <w:tabs>
              <w:tab w:val="right" w:leader="dot" w:pos="9016"/>
            </w:tabs>
            <w:rPr>
              <w:rFonts w:eastAsiaTheme="minorEastAsia"/>
              <w:noProof/>
              <w:lang w:val="da-DK" w:eastAsia="da-DK"/>
            </w:rPr>
          </w:pPr>
          <w:hyperlink w:anchor="_Toc69812954" w:history="1">
            <w:r w:rsidR="003A6240" w:rsidRPr="00371B80">
              <w:rPr>
                <w:rStyle w:val="Hyperlink"/>
                <w:noProof/>
              </w:rPr>
              <w:t>Supplementary results</w:t>
            </w:r>
            <w:r w:rsidR="003A6240">
              <w:rPr>
                <w:noProof/>
                <w:webHidden/>
              </w:rPr>
              <w:tab/>
            </w:r>
            <w:r w:rsidR="003A6240">
              <w:rPr>
                <w:noProof/>
                <w:webHidden/>
              </w:rPr>
              <w:fldChar w:fldCharType="begin"/>
            </w:r>
            <w:r w:rsidR="003A6240">
              <w:rPr>
                <w:noProof/>
                <w:webHidden/>
              </w:rPr>
              <w:instrText xml:space="preserve"> PAGEREF _Toc69812954 \h </w:instrText>
            </w:r>
            <w:r w:rsidR="003A6240">
              <w:rPr>
                <w:noProof/>
                <w:webHidden/>
              </w:rPr>
            </w:r>
            <w:r w:rsidR="003A6240">
              <w:rPr>
                <w:noProof/>
                <w:webHidden/>
              </w:rPr>
              <w:fldChar w:fldCharType="separate"/>
            </w:r>
            <w:r w:rsidR="003A6240">
              <w:rPr>
                <w:noProof/>
                <w:webHidden/>
              </w:rPr>
              <w:t>2</w:t>
            </w:r>
            <w:r w:rsidR="003A6240">
              <w:rPr>
                <w:noProof/>
                <w:webHidden/>
              </w:rPr>
              <w:fldChar w:fldCharType="end"/>
            </w:r>
          </w:hyperlink>
        </w:p>
        <w:p w14:paraId="01CEED1C" w14:textId="35CE38BB" w:rsidR="003A6240" w:rsidRDefault="00DA71A6">
          <w:pPr>
            <w:pStyle w:val="TOC2"/>
            <w:tabs>
              <w:tab w:val="right" w:leader="dot" w:pos="9016"/>
            </w:tabs>
            <w:rPr>
              <w:rFonts w:eastAsiaTheme="minorEastAsia"/>
              <w:noProof/>
              <w:lang w:val="da-DK" w:eastAsia="da-DK"/>
            </w:rPr>
          </w:pPr>
          <w:hyperlink w:anchor="_Toc69812955" w:history="1">
            <w:r w:rsidR="003A6240" w:rsidRPr="00371B80">
              <w:rPr>
                <w:rStyle w:val="Hyperlink"/>
                <w:noProof/>
              </w:rPr>
              <w:t>Appendix table 1.</w:t>
            </w:r>
            <w:r w:rsidR="003A6240">
              <w:rPr>
                <w:noProof/>
                <w:webHidden/>
              </w:rPr>
              <w:tab/>
            </w:r>
            <w:r w:rsidR="003A6240">
              <w:rPr>
                <w:noProof/>
                <w:webHidden/>
              </w:rPr>
              <w:fldChar w:fldCharType="begin"/>
            </w:r>
            <w:r w:rsidR="003A6240">
              <w:rPr>
                <w:noProof/>
                <w:webHidden/>
              </w:rPr>
              <w:instrText xml:space="preserve"> PAGEREF _Toc69812955 \h </w:instrText>
            </w:r>
            <w:r w:rsidR="003A6240">
              <w:rPr>
                <w:noProof/>
                <w:webHidden/>
              </w:rPr>
            </w:r>
            <w:r w:rsidR="003A6240">
              <w:rPr>
                <w:noProof/>
                <w:webHidden/>
              </w:rPr>
              <w:fldChar w:fldCharType="separate"/>
            </w:r>
            <w:r w:rsidR="003A6240">
              <w:rPr>
                <w:noProof/>
                <w:webHidden/>
              </w:rPr>
              <w:t>2</w:t>
            </w:r>
            <w:r w:rsidR="003A6240">
              <w:rPr>
                <w:noProof/>
                <w:webHidden/>
              </w:rPr>
              <w:fldChar w:fldCharType="end"/>
            </w:r>
          </w:hyperlink>
        </w:p>
        <w:p w14:paraId="760781AA" w14:textId="7A6B0803" w:rsidR="003A6240" w:rsidRDefault="003A6240">
          <w:r>
            <w:rPr>
              <w:b/>
              <w:bCs/>
              <w:noProof/>
            </w:rPr>
            <w:fldChar w:fldCharType="end"/>
          </w:r>
        </w:p>
      </w:sdtContent>
    </w:sdt>
    <w:p w14:paraId="424F806B" w14:textId="77777777" w:rsidR="003A6240" w:rsidRDefault="003A6240" w:rsidP="003A6240">
      <w:pPr>
        <w:pStyle w:val="Heading2"/>
      </w:pPr>
    </w:p>
    <w:p w14:paraId="15E6A966" w14:textId="12A796C3" w:rsidR="006A6076" w:rsidRPr="003A6240" w:rsidRDefault="003A6240" w:rsidP="003A6240">
      <w:pPr>
        <w:pStyle w:val="Heading2"/>
      </w:pPr>
      <w:bookmarkStart w:id="1" w:name="_Toc69812951"/>
      <w:r>
        <w:t>Supplementary methods</w:t>
      </w:r>
      <w:bookmarkEnd w:id="1"/>
    </w:p>
    <w:p w14:paraId="328A4DF0" w14:textId="375A387F" w:rsidR="006A6076" w:rsidRDefault="00802494" w:rsidP="003A6240">
      <w:pPr>
        <w:pStyle w:val="Heading3"/>
        <w:rPr>
          <w:rFonts w:eastAsiaTheme="minorHAnsi"/>
        </w:rPr>
      </w:pPr>
      <w:bookmarkStart w:id="2" w:name="_Toc69812952"/>
      <w:r>
        <w:rPr>
          <w:rFonts w:eastAsiaTheme="minorHAnsi"/>
        </w:rPr>
        <w:t>Researchers’</w:t>
      </w:r>
      <w:r w:rsidR="006A6076">
        <w:rPr>
          <w:rFonts w:eastAsiaTheme="minorHAnsi"/>
        </w:rPr>
        <w:t xml:space="preserve"> blinding</w:t>
      </w:r>
      <w:bookmarkEnd w:id="2"/>
      <w:r w:rsidR="004019ED">
        <w:rPr>
          <w:rFonts w:eastAsiaTheme="minorHAnsi"/>
        </w:rPr>
        <w:t xml:space="preserve"> </w:t>
      </w:r>
    </w:p>
    <w:p w14:paraId="6CD614FE" w14:textId="15EA15F4" w:rsidR="00802494" w:rsidRDefault="006A6076" w:rsidP="006A6076">
      <w:r>
        <w:t>The clinical examiner (P</w:t>
      </w:r>
      <w:r w:rsidR="00167429">
        <w:t>.</w:t>
      </w:r>
      <w:r>
        <w:t>N</w:t>
      </w:r>
      <w:r w:rsidR="00167429">
        <w:t>.</w:t>
      </w:r>
      <w:r>
        <w:t xml:space="preserve">) </w:t>
      </w:r>
      <w:r w:rsidR="00B62F2A">
        <w:t xml:space="preserve">selected the examination sited, </w:t>
      </w:r>
      <w:r w:rsidR="004019ED">
        <w:t xml:space="preserve">conducted the visual examination using ICDAS criteria and </w:t>
      </w:r>
      <w:r w:rsidR="00B62F2A">
        <w:t>operated the 3D intraoral scan</w:t>
      </w:r>
      <w:r w:rsidR="003D7375">
        <w:t>ner</w:t>
      </w:r>
      <w:r w:rsidR="00B62F2A">
        <w:t xml:space="preserve"> to obtain the 3D models of the teeth, both </w:t>
      </w:r>
      <w:r w:rsidR="00B62F2A">
        <w:rPr>
          <w:i/>
          <w:iCs/>
        </w:rPr>
        <w:t xml:space="preserve">in vitro </w:t>
      </w:r>
      <w:r w:rsidR="00B62F2A" w:rsidRPr="00B62F2A">
        <w:t>and</w:t>
      </w:r>
      <w:r w:rsidR="00B62F2A">
        <w:rPr>
          <w:i/>
          <w:iCs/>
        </w:rPr>
        <w:t xml:space="preserve"> in vivo. </w:t>
      </w:r>
      <w:r w:rsidR="00B62F2A">
        <w:t>This examiner was blinded to the results from the automated caries scoring system algorithms a</w:t>
      </w:r>
      <w:r w:rsidR="003D7375">
        <w:t>nd</w:t>
      </w:r>
      <w:r w:rsidR="00B62F2A">
        <w:t xml:space="preserve"> histology. </w:t>
      </w:r>
    </w:p>
    <w:p w14:paraId="417A27C6" w14:textId="4EA3FCC7" w:rsidR="004019ED" w:rsidRDefault="00B62F2A" w:rsidP="006A6076">
      <w:r>
        <w:t>The second examiner (S</w:t>
      </w:r>
      <w:r w:rsidR="00167429">
        <w:t>.</w:t>
      </w:r>
      <w:r>
        <w:t>M</w:t>
      </w:r>
      <w:r w:rsidR="00167429">
        <w:t>.</w:t>
      </w:r>
      <w:r>
        <w:t xml:space="preserve">) extracted the measurements for the four algorithms and conducted the histological analysis. </w:t>
      </w:r>
      <w:r w:rsidR="002C193C">
        <w:t xml:space="preserve">The histological analysis was conducted </w:t>
      </w:r>
      <w:r w:rsidR="003D7375">
        <w:t>before</w:t>
      </w:r>
      <w:r w:rsidR="002C193C">
        <w:t xml:space="preserve"> the assessment with the different algorithms</w:t>
      </w:r>
      <w:r w:rsidR="003D7375">
        <w:t>. A</w:t>
      </w:r>
      <w:r w:rsidR="002C193C">
        <w:t xml:space="preserve">t that time, the examiner </w:t>
      </w:r>
      <w:r w:rsidR="00A3554F">
        <w:t xml:space="preserve">did not </w:t>
      </w:r>
      <w:r w:rsidR="00726780">
        <w:t>ha</w:t>
      </w:r>
      <w:r w:rsidR="00A3554F">
        <w:t>ve</w:t>
      </w:r>
      <w:r w:rsidR="002C193C">
        <w:t xml:space="preserve"> access to the results</w:t>
      </w:r>
      <w:r w:rsidR="00167429">
        <w:t xml:space="preserve"> </w:t>
      </w:r>
      <w:r w:rsidR="002C193C">
        <w:t xml:space="preserve">from </w:t>
      </w:r>
      <w:r w:rsidR="00802494">
        <w:t xml:space="preserve">the visual assessment </w:t>
      </w:r>
      <w:r w:rsidR="00A3554F">
        <w:t>or</w:t>
      </w:r>
      <w:r w:rsidR="00167429">
        <w:t xml:space="preserve"> </w:t>
      </w:r>
      <w:r w:rsidR="00802494">
        <w:t>the four algorithms</w:t>
      </w:r>
      <w:r w:rsidR="002C193C">
        <w:t>. The s</w:t>
      </w:r>
      <w:r w:rsidR="003D7375">
        <w:t>ame examiner scored the examination sites with the four algorithms</w:t>
      </w:r>
      <w:r w:rsidR="002C193C">
        <w:t xml:space="preserve"> at least two weeks after the histological analysis.</w:t>
      </w:r>
      <w:r w:rsidR="00802494">
        <w:t xml:space="preserve"> </w:t>
      </w:r>
      <w:r>
        <w:t xml:space="preserve">Although blinding when extracting the </w:t>
      </w:r>
      <w:r w:rsidR="00D85CA6">
        <w:t>scores for the four algorithms was not possible, we judge that this did not add any potential bias in the results, as the s</w:t>
      </w:r>
      <w:r w:rsidR="003D7375">
        <w:t>oftware automatically generated the scores</w:t>
      </w:r>
      <w:r w:rsidR="00D85CA6">
        <w:t xml:space="preserve"> without the examiner having any influence on it. </w:t>
      </w:r>
    </w:p>
    <w:p w14:paraId="073BE173" w14:textId="6BD757A1" w:rsidR="00802494" w:rsidRDefault="00802494" w:rsidP="003A6240">
      <w:pPr>
        <w:pStyle w:val="Heading3"/>
        <w:rPr>
          <w:rFonts w:eastAsiaTheme="minorHAnsi"/>
        </w:rPr>
      </w:pPr>
      <w:bookmarkStart w:id="3" w:name="_Toc69812953"/>
      <w:r>
        <w:rPr>
          <w:rFonts w:eastAsiaTheme="minorHAnsi"/>
        </w:rPr>
        <w:t>Researchers’ calibration</w:t>
      </w:r>
      <w:bookmarkEnd w:id="3"/>
      <w:r>
        <w:rPr>
          <w:rFonts w:eastAsiaTheme="minorHAnsi"/>
        </w:rPr>
        <w:t xml:space="preserve"> </w:t>
      </w:r>
    </w:p>
    <w:p w14:paraId="7C862EE3" w14:textId="2998DE6F" w:rsidR="004019ED" w:rsidRDefault="004019ED" w:rsidP="004019ED">
      <w:r>
        <w:t xml:space="preserve">The </w:t>
      </w:r>
      <w:r w:rsidR="00802494">
        <w:t xml:space="preserve">two researchers that conducted the </w:t>
      </w:r>
      <w:r w:rsidR="00802494" w:rsidRPr="00802494">
        <w:rPr>
          <w:i/>
          <w:iCs/>
        </w:rPr>
        <w:t>in vivo</w:t>
      </w:r>
      <w:r w:rsidR="00802494">
        <w:t xml:space="preserve"> and </w:t>
      </w:r>
      <w:r w:rsidR="00802494" w:rsidRPr="00802494">
        <w:rPr>
          <w:i/>
          <w:iCs/>
        </w:rPr>
        <w:t>in vitro</w:t>
      </w:r>
      <w:r w:rsidR="00802494">
        <w:t xml:space="preserve"> examinations (P</w:t>
      </w:r>
      <w:r w:rsidR="00167429">
        <w:t>.</w:t>
      </w:r>
      <w:r w:rsidR="00802494">
        <w:t>N</w:t>
      </w:r>
      <w:r w:rsidR="00167429">
        <w:t>.</w:t>
      </w:r>
      <w:r w:rsidR="00802494">
        <w:t>, S</w:t>
      </w:r>
      <w:r w:rsidR="00167429">
        <w:t>.</w:t>
      </w:r>
      <w:r w:rsidR="00802494">
        <w:t>M</w:t>
      </w:r>
      <w:r w:rsidR="00167429">
        <w:t>.</w:t>
      </w:r>
      <w:r w:rsidR="00802494">
        <w:t>)</w:t>
      </w:r>
      <w:r>
        <w:t xml:space="preserve"> were trained and calibrated </w:t>
      </w:r>
      <w:r w:rsidR="003D7375">
        <w:t xml:space="preserve">prior to this study </w:t>
      </w:r>
      <w:r>
        <w:t xml:space="preserve">for each respective test. </w:t>
      </w:r>
    </w:p>
    <w:p w14:paraId="7BB8BD91" w14:textId="31A9577A" w:rsidR="00167429" w:rsidRDefault="00802494" w:rsidP="004019ED">
      <w:r>
        <w:t>When this study was conducted, the clinical examiner (P</w:t>
      </w:r>
      <w:r w:rsidR="00167429">
        <w:t>.</w:t>
      </w:r>
      <w:r>
        <w:t>N</w:t>
      </w:r>
      <w:r w:rsidR="00167429">
        <w:t>.</w:t>
      </w:r>
      <w:r>
        <w:t xml:space="preserve">) was a postgraduate student in </w:t>
      </w:r>
      <w:r w:rsidR="003E7E6B">
        <w:t xml:space="preserve">restorative dentistry with at least </w:t>
      </w:r>
      <w:r w:rsidR="003D7375">
        <w:t>five</w:t>
      </w:r>
      <w:r w:rsidR="003E7E6B">
        <w:t xml:space="preserve"> years of experience and clinical application of </w:t>
      </w:r>
      <w:r w:rsidR="00726780">
        <w:t xml:space="preserve">the </w:t>
      </w:r>
      <w:r w:rsidR="003E7E6B">
        <w:t xml:space="preserve">ICDAS system. </w:t>
      </w:r>
      <w:r w:rsidR="00167429">
        <w:t>The examiner was first trained on an ICDAS educational software</w:t>
      </w:r>
      <w:r w:rsidR="003D7375">
        <w:t>,</w:t>
      </w:r>
      <w:r w:rsidR="00167429">
        <w:t xml:space="preserve"> and afterwards</w:t>
      </w:r>
      <w:r w:rsidR="00726780">
        <w:t>,</w:t>
      </w:r>
      <w:r w:rsidR="00167429">
        <w:t xml:space="preserve"> </w:t>
      </w:r>
      <w:r w:rsidR="003E7E6B">
        <w:t xml:space="preserve">he was calibrated by a certified ICDAS trainer on an independent sample of teeth. </w:t>
      </w:r>
      <w:r w:rsidR="00167429">
        <w:t xml:space="preserve">For the calibration purposes, the trainer and P.N. first scored ten teeth independently and then discussed the scores presenting disagreement until reaching an agreement. Afterwards, </w:t>
      </w:r>
      <w:r w:rsidR="00726780">
        <w:t xml:space="preserve">the trainer and P.N. scored a sample of 20 new teeth independently, and the consensus was found almost perfect (inter-examiner reliability, </w:t>
      </w:r>
      <w:r w:rsidR="003D7375" w:rsidRPr="003D7375">
        <w:rPr>
          <w:i/>
          <w:iCs/>
          <w:lang w:val="el-GR"/>
        </w:rPr>
        <w:t>κ</w:t>
      </w:r>
      <w:r w:rsidR="003D7375" w:rsidRPr="003D7375">
        <w:rPr>
          <w:i/>
          <w:iCs/>
        </w:rPr>
        <w:t xml:space="preserve"> </w:t>
      </w:r>
      <w:r w:rsidR="00726780">
        <w:t>=</w:t>
      </w:r>
      <w:r w:rsidR="003D7375" w:rsidRPr="003D7375">
        <w:t xml:space="preserve"> </w:t>
      </w:r>
      <w:r w:rsidR="00726780">
        <w:t>0.9). Finally, two weeks after the latter examination,  P.N. re-assessed the sample of 20 teeth resulting in an intra-examiner agreement of</w:t>
      </w:r>
      <w:r w:rsidR="00726780" w:rsidRPr="00726780">
        <w:t xml:space="preserve"> </w:t>
      </w:r>
      <w:r w:rsidR="003D7375" w:rsidRPr="003D7375">
        <w:rPr>
          <w:i/>
          <w:iCs/>
          <w:lang w:val="el-GR"/>
        </w:rPr>
        <w:t>κ</w:t>
      </w:r>
      <w:r w:rsidR="003D7375" w:rsidRPr="003D7375">
        <w:rPr>
          <w:i/>
          <w:iCs/>
        </w:rPr>
        <w:t xml:space="preserve"> </w:t>
      </w:r>
      <w:r w:rsidR="003D7375">
        <w:t>=</w:t>
      </w:r>
      <w:r w:rsidR="003D7375" w:rsidRPr="003D7375">
        <w:t xml:space="preserve"> </w:t>
      </w:r>
      <w:r w:rsidR="00726780">
        <w:t>0.85.</w:t>
      </w:r>
    </w:p>
    <w:p w14:paraId="47ACE5E5" w14:textId="5CE25474" w:rsidR="000A269A" w:rsidRDefault="003E7E6B" w:rsidP="004019ED">
      <w:r>
        <w:t>The second examiner (S</w:t>
      </w:r>
      <w:r w:rsidR="00167429">
        <w:t>.</w:t>
      </w:r>
      <w:r>
        <w:t>M</w:t>
      </w:r>
      <w:r w:rsidR="00167429">
        <w:t>.</w:t>
      </w:r>
      <w:r>
        <w:t>),</w:t>
      </w:r>
      <w:r w:rsidR="004019ED">
        <w:t xml:space="preserve"> </w:t>
      </w:r>
      <w:r>
        <w:t xml:space="preserve">at </w:t>
      </w:r>
      <w:r w:rsidR="004019ED">
        <w:t>the time of the study,</w:t>
      </w:r>
      <w:r>
        <w:t xml:space="preserve"> </w:t>
      </w:r>
      <w:r w:rsidR="004019ED">
        <w:t xml:space="preserve">was a PhD student with </w:t>
      </w:r>
      <w:r>
        <w:t>four</w:t>
      </w:r>
      <w:r w:rsidR="004019ED">
        <w:t xml:space="preserve"> years of </w:t>
      </w:r>
      <w:r w:rsidR="00726780">
        <w:t xml:space="preserve">research </w:t>
      </w:r>
      <w:r w:rsidR="004019ED">
        <w:t>experience</w:t>
      </w:r>
      <w:r>
        <w:t xml:space="preserve"> </w:t>
      </w:r>
      <w:r w:rsidR="00726780">
        <w:t>within</w:t>
      </w:r>
      <w:r>
        <w:t xml:space="preserve"> cariology</w:t>
      </w:r>
      <w:r w:rsidR="004019ED">
        <w:t>. S</w:t>
      </w:r>
      <w:r w:rsidR="00167429">
        <w:t>.</w:t>
      </w:r>
      <w:r w:rsidR="004019ED">
        <w:t>M</w:t>
      </w:r>
      <w:r w:rsidR="00167429">
        <w:t>.</w:t>
      </w:r>
      <w:r w:rsidR="004019ED">
        <w:t xml:space="preserve"> was trained and calibrate</w:t>
      </w:r>
      <w:r>
        <w:t xml:space="preserve">d to conduct the </w:t>
      </w:r>
      <w:r w:rsidR="000A269A">
        <w:t>histological analysis at a previous study</w:t>
      </w:r>
      <w:r w:rsidR="004019ED">
        <w:t xml:space="preserve"> </w:t>
      </w:r>
      <w:r w:rsidR="00D35209">
        <w:fldChar w:fldCharType="begin" w:fldLock="1"/>
      </w:r>
      <w:r w:rsidR="00D35209">
        <w:instrText>ADDIN CSL_CITATION {"citationItems":[{"id":"ITEM-1","itemData":{"DOI":"10.1159/000509925","ISSN":"0008-6568","PMID":"33053552","abstract":"&lt;b&gt;&lt;i&gt;Objectives:&lt;/i&gt;&lt;/b&gt; To develop an automated fluorescence-based caries scoring system for an intraoral scanner and to&lt;i&gt;&lt;/i&gt;test the performance of the system compared to state-of-the-art methods. &lt;b&gt;&lt;i&gt;Methods:&lt;/i&gt;&lt;/b&gt; Seventy-three permanent posterior teeth were scanned with a three-dimensional (3D) intraoral scanner prototype which emitted light at 415 nm. An overlay representing the fluorescence signal from the tissue was mapped onto 3D models of the teeth. Multiple examination sites (&lt;i&gt;n&lt;/i&gt; = 139) on the occlusal surfaces were chosen, and their red and green fluorescence signal components were extracted. These components were used to calculate 4 mathematical functions upon which a caries scoring system for the scanner prototype could be based. Visual-tactile (International Caries Detection and Assessment System, ICDAS), radiographic (ICDAS), and histological assessments were conducted on the same examination sites. &lt;b&gt;&lt;i&gt;Results:&lt;/i&gt;&lt;/b&gt; Most index tests showed significant correlation with histology. The strongest correlation was observed for the visual-tactile examination (&lt;i&gt;r&lt;/i&gt;&lt;sub&gt;s&lt;/sub&gt; = 0.80) followed by the scanner supported by the caries classification function that quantifies the overall fluorescence compared to sound surfaces (&lt;i&gt;r&lt;/i&gt;&lt;sub&gt;s&lt;/sub&gt; = 0.78). Additionally, this function resulted in the highest intra-examiner reliability (κ = 0.964), and the highest sum of sensitivity (SE) and specificity (SP) (sum SE-SP: 1.60–1.84) at the 2 histological levels where the comparison with visual-tactile assessment was possible (κ = 0.886, sum SE-SP = 1.57–1.81) and at the 3 out of 4 histological levels where the comparison with radiographic assessment was possible (κ = 0.911, sum SE-SP = 1.37–1.78); the only exception was for the lesions in the outer third of dentin, where the radiographic assessment showed the highest sum SE-SP (1.78). &lt;b&gt;&lt;i&gt;Conclusion:&lt;/i&gt;&lt;/b&gt; A fluorescence-based caries scoring system was developed for the intraoral scanner showing promising performance compared to state-of-the-art caries detection methods. The intraoral scanner accompanied by an automated caries scoring system may improve objective caries detection and increase the efficiency and effectiveness of oral examinations. Furthermore, this device has the potential to support reliable monitoring of early caries lesions.","author":[{"dropping-particle":"","family":"Michou","given":"Stavroula","non-dropping-particle":"","parse-names":false,"suffix":""},{"dropping-particle":"","family":"Benetti","given":"Ana Raquel","non-dropping-particle":"","parse-names":false,"suffix":""},{"dropping-particle":"","family":"Vannahme","given":"Christoph","non-dropping-particle":"","parse-names":false,"suffix":""},{"dropping-particle":"","family":"Hermannsson","given":"Pétur Gordon","non-dropping-particle":"","parse-names":false,"suffix":""},{"dropping-particle":"","family":"Bakhshandeh","given":"Azam","non-dropping-particle":"","parse-names":false,"suffix":""},{"dropping-particle":"","family":"Ekstrand","given":"Kim Rud","non-dropping-particle":"","parse-names":false,"suffix":""}],"container-title":"Caries Research","id":"ITEM-1","issue":"4","issued":{"date-parts":[["2020"]]},"page":"324-335","title":"Development of a Fluorescence-Based Caries Scoring System for an Intraoral Scanner: An in vitro Study","type":"article-journal","volume":"54"},"uris":["http://www.mendeley.com/documents/?uuid=555161f6-2e27-4016-8adf-c7c0402e2ea6"]}],"mendeley":{"formattedCitation":"[1]","plainTextFormattedCitation":"[1]"},"properties":{"noteIndex":0},"schema":"https://github.com/citation-style-language/schema/raw/master/csl-citation.json"}</w:instrText>
      </w:r>
      <w:r w:rsidR="00D35209">
        <w:fldChar w:fldCharType="separate"/>
      </w:r>
      <w:r w:rsidR="00D35209" w:rsidRPr="00D35209">
        <w:rPr>
          <w:noProof/>
        </w:rPr>
        <w:t>[1]</w:t>
      </w:r>
      <w:r w:rsidR="00D35209">
        <w:fldChar w:fldCharType="end"/>
      </w:r>
      <w:r w:rsidR="004019ED">
        <w:t xml:space="preserve">. </w:t>
      </w:r>
    </w:p>
    <w:p w14:paraId="0F1FB80C" w14:textId="4CDAFA00" w:rsidR="006A6076" w:rsidRDefault="004019ED" w:rsidP="006A6076">
      <w:r>
        <w:lastRenderedPageBreak/>
        <w:t xml:space="preserve">Furthermore, </w:t>
      </w:r>
      <w:r w:rsidR="000A269A">
        <w:t xml:space="preserve">in the </w:t>
      </w:r>
      <w:r w:rsidR="003D7375">
        <w:t>study mentioned above</w:t>
      </w:r>
      <w:r w:rsidR="00726780">
        <w:t>,</w:t>
      </w:r>
      <w:r w:rsidR="000A269A">
        <w:t xml:space="preserve"> </w:t>
      </w:r>
      <w:r>
        <w:t>she was</w:t>
      </w:r>
      <w:r w:rsidR="000A269A">
        <w:t xml:space="preserve"> </w:t>
      </w:r>
      <w:r>
        <w:t xml:space="preserve">trained </w:t>
      </w:r>
      <w:r w:rsidR="000A269A">
        <w:t xml:space="preserve">to analyze 3D models and extract the caries classification scores from different algorithms </w:t>
      </w:r>
      <w:r w:rsidR="003A6240">
        <w:t xml:space="preserve">(intra-examiner agreement, weighted kappa </w:t>
      </w:r>
      <w:r w:rsidR="003A6240">
        <w:rPr>
          <w:rFonts w:cstheme="minorHAnsi"/>
        </w:rPr>
        <w:t>≥</w:t>
      </w:r>
      <w:r w:rsidR="003A6240">
        <w:t xml:space="preserve"> 0.9).</w:t>
      </w:r>
    </w:p>
    <w:p w14:paraId="2A102104" w14:textId="3C5D31EB" w:rsidR="006A6076" w:rsidRPr="006A6076" w:rsidRDefault="003A6240" w:rsidP="003A6240">
      <w:pPr>
        <w:pStyle w:val="Heading2"/>
      </w:pPr>
      <w:bookmarkStart w:id="4" w:name="_Toc69812954"/>
      <w:r>
        <w:t>Supplementary results</w:t>
      </w:r>
      <w:bookmarkEnd w:id="4"/>
    </w:p>
    <w:p w14:paraId="651B2220" w14:textId="77777777" w:rsidR="003A6240" w:rsidRDefault="003E181C" w:rsidP="003E181C">
      <w:pPr>
        <w:pStyle w:val="Heading2"/>
        <w:rPr>
          <w:b/>
          <w:bCs/>
          <w:color w:val="000000" w:themeColor="text1"/>
          <w:sz w:val="24"/>
          <w:szCs w:val="24"/>
        </w:rPr>
      </w:pPr>
      <w:bookmarkStart w:id="5" w:name="_Toc69812955"/>
      <w:r w:rsidRPr="003A6240">
        <w:rPr>
          <w:rStyle w:val="Heading3Char"/>
        </w:rPr>
        <w:t xml:space="preserve">Appendix table </w:t>
      </w:r>
      <w:r w:rsidR="00201F0E" w:rsidRPr="003A6240">
        <w:rPr>
          <w:rStyle w:val="Heading3Char"/>
        </w:rPr>
        <w:t>1</w:t>
      </w:r>
      <w:r w:rsidRPr="003A6240">
        <w:rPr>
          <w:rStyle w:val="Heading3Char"/>
        </w:rPr>
        <w:t>.</w:t>
      </w:r>
      <w:bookmarkEnd w:id="5"/>
      <w:r w:rsidRPr="00E368AC">
        <w:rPr>
          <w:b/>
          <w:bCs/>
          <w:color w:val="000000" w:themeColor="text1"/>
          <w:sz w:val="24"/>
          <w:szCs w:val="24"/>
        </w:rPr>
        <w:t xml:space="preserve"> </w:t>
      </w:r>
    </w:p>
    <w:p w14:paraId="107B25BD" w14:textId="68D0C1DD" w:rsidR="00410710" w:rsidRPr="007E6C36" w:rsidRDefault="003E181C" w:rsidP="003A6240">
      <w:pPr>
        <w:spacing w:line="240" w:lineRule="auto"/>
      </w:pPr>
      <w:r w:rsidRPr="00E368AC">
        <w:t>Cross-tabulation</w:t>
      </w:r>
      <w:r w:rsidR="00410710">
        <w:t>s</w:t>
      </w:r>
      <w:r w:rsidRPr="00E368AC">
        <w:rPr>
          <w:b/>
          <w:bCs/>
          <w:sz w:val="24"/>
          <w:szCs w:val="24"/>
        </w:rPr>
        <w:t xml:space="preserve"> </w:t>
      </w:r>
      <w:r w:rsidRPr="00E368AC">
        <w:t>present</w:t>
      </w:r>
      <w:r w:rsidR="00410710">
        <w:t>ing</w:t>
      </w:r>
      <w:r w:rsidRPr="00E368AC">
        <w:t xml:space="preserve"> </w:t>
      </w:r>
      <w:r>
        <w:t>s</w:t>
      </w:r>
      <w:r w:rsidRPr="00E368AC">
        <w:t>cores from the different algorithms</w:t>
      </w:r>
      <w:r w:rsidRPr="00E368AC">
        <w:rPr>
          <w:i/>
          <w:iCs/>
        </w:rPr>
        <w:t xml:space="preserve"> (ALG1-ALG4</w:t>
      </w:r>
      <w:r w:rsidRPr="00E368AC">
        <w:t xml:space="preserve">) plotted against histological scores. Algorithm measurements obtained on </w:t>
      </w:r>
      <w:r w:rsidRPr="00E368AC">
        <w:rPr>
          <w:i/>
          <w:iCs/>
        </w:rPr>
        <w:t xml:space="preserve">in vivo </w:t>
      </w:r>
      <w:r w:rsidRPr="00E368AC">
        <w:t xml:space="preserve">and </w:t>
      </w:r>
      <w:r w:rsidRPr="00E368AC">
        <w:rPr>
          <w:i/>
          <w:iCs/>
        </w:rPr>
        <w:t xml:space="preserve">in vitro </w:t>
      </w:r>
      <w:r w:rsidRPr="00E368AC">
        <w:t>models</w:t>
      </w:r>
      <w:r w:rsidR="00A3554F">
        <w:t xml:space="preserve"> and visual examination scores</w:t>
      </w:r>
      <w:r w:rsidRPr="00167429">
        <w:t xml:space="preserve"> are presented</w:t>
      </w:r>
      <w:r w:rsidRPr="00E368AC">
        <w:rPr>
          <w:i/>
          <w:iCs/>
        </w:rPr>
        <w:t xml:space="preserve">. </w:t>
      </w:r>
      <w:r w:rsidR="007E6C36">
        <w:t xml:space="preserve">The </w:t>
      </w:r>
      <w:r w:rsidR="003D7375">
        <w:t>scoring systems</w:t>
      </w:r>
      <w:r w:rsidR="007E6C36">
        <w:t xml:space="preserve"> used are </w:t>
      </w:r>
      <w:r w:rsidR="003D7375">
        <w:t>shown</w:t>
      </w:r>
      <w:r w:rsidR="007E6C36">
        <w:t xml:space="preserve"> in the main article, </w:t>
      </w:r>
      <w:r w:rsidR="007E6C36" w:rsidRPr="007E6C36">
        <w:rPr>
          <w:b/>
          <w:bCs/>
        </w:rPr>
        <w:t xml:space="preserve">table </w:t>
      </w:r>
      <w:r w:rsidR="007E6C36">
        <w:rPr>
          <w:b/>
          <w:bCs/>
        </w:rPr>
        <w:t>2</w:t>
      </w:r>
      <w:r w:rsidR="007E6C36">
        <w:t>.</w:t>
      </w:r>
      <w:r w:rsidR="00410710">
        <w:t xml:space="preserve"> The colored lines (</w:t>
      </w:r>
      <w:r w:rsidR="00410710" w:rsidRPr="00410710">
        <w:rPr>
          <w:color w:val="C00000"/>
        </w:rPr>
        <w:t>red</w:t>
      </w:r>
      <w:r w:rsidR="00410710">
        <w:t xml:space="preserve">, </w:t>
      </w:r>
      <w:r w:rsidR="00410710" w:rsidRPr="00410710">
        <w:rPr>
          <w:color w:val="70AD47" w:themeColor="accent6"/>
        </w:rPr>
        <w:t>green</w:t>
      </w:r>
      <w:r w:rsidR="00410710">
        <w:t xml:space="preserve">, </w:t>
      </w:r>
      <w:r w:rsidR="00410710" w:rsidRPr="00D94FAF">
        <w:rPr>
          <w:color w:val="FFC000" w:themeColor="accent4"/>
          <w:highlight w:val="black"/>
        </w:rPr>
        <w:t>yellow</w:t>
      </w:r>
      <w:r w:rsidR="00410710">
        <w:t xml:space="preserve">) represent the cut-offs corresponding to E1, D1 and D2 histological level respectively. </w:t>
      </w:r>
    </w:p>
    <w:p w14:paraId="1E9EBB11" w14:textId="289E363F" w:rsidR="00AC49EA" w:rsidRPr="003E181C" w:rsidRDefault="00410710" w:rsidP="003A6240">
      <w:pPr>
        <w:rPr>
          <w:rFonts w:asciiTheme="majorHAnsi" w:eastAsiaTheme="majorEastAsia" w:hAnsiTheme="majorHAnsi" w:cstheme="majorBidi"/>
          <w:b/>
          <w:bCs/>
          <w:color w:val="000000" w:themeColor="text1"/>
          <w:sz w:val="24"/>
          <w:szCs w:val="24"/>
        </w:rPr>
      </w:pPr>
      <w:r>
        <w:rPr>
          <w:rFonts w:asciiTheme="majorHAnsi" w:eastAsiaTheme="majorEastAsia" w:hAnsiTheme="majorHAnsi" w:cstheme="majorBidi"/>
          <w:b/>
          <w:bCs/>
          <w:noProof/>
          <w:color w:val="000000" w:themeColor="text1"/>
          <w:sz w:val="24"/>
          <w:szCs w:val="24"/>
        </w:rPr>
        <w:drawing>
          <wp:inline distT="0" distB="0" distL="0" distR="0" wp14:anchorId="33B741D7" wp14:editId="1AC0CD4C">
            <wp:extent cx="5819775" cy="6336044"/>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26926" cy="6343829"/>
                    </a:xfrm>
                    <a:prstGeom prst="rect">
                      <a:avLst/>
                    </a:prstGeom>
                    <a:noFill/>
                    <a:ln>
                      <a:noFill/>
                    </a:ln>
                  </pic:spPr>
                </pic:pic>
              </a:graphicData>
            </a:graphic>
          </wp:inline>
        </w:drawing>
      </w:r>
    </w:p>
    <w:sectPr w:rsidR="00AC49EA" w:rsidRPr="003E181C" w:rsidSect="006A6076">
      <w:pgSz w:w="11906" w:h="16838"/>
      <w:pgMar w:top="709"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3932B7" w14:textId="77777777" w:rsidR="00DA71A6" w:rsidRDefault="00DA71A6" w:rsidP="00201F0E">
      <w:pPr>
        <w:spacing w:after="0" w:line="240" w:lineRule="auto"/>
      </w:pPr>
      <w:r>
        <w:separator/>
      </w:r>
    </w:p>
  </w:endnote>
  <w:endnote w:type="continuationSeparator" w:id="0">
    <w:p w14:paraId="1FD9A0FD" w14:textId="77777777" w:rsidR="00DA71A6" w:rsidRDefault="00DA71A6" w:rsidP="00201F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998110" w14:textId="77777777" w:rsidR="00DA71A6" w:rsidRDefault="00DA71A6" w:rsidP="00201F0E">
      <w:pPr>
        <w:spacing w:after="0" w:line="240" w:lineRule="auto"/>
      </w:pPr>
      <w:r>
        <w:separator/>
      </w:r>
    </w:p>
  </w:footnote>
  <w:footnote w:type="continuationSeparator" w:id="0">
    <w:p w14:paraId="6AE70EAF" w14:textId="77777777" w:rsidR="00DA71A6" w:rsidRDefault="00DA71A6" w:rsidP="00201F0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TQ0N7awNDC0MLE0MTdW0lEKTi0uzszPAykwNKwFAHR+qtstAAAA"/>
  </w:docVars>
  <w:rsids>
    <w:rsidRoot w:val="002C0A96"/>
    <w:rsid w:val="000277DB"/>
    <w:rsid w:val="00050529"/>
    <w:rsid w:val="000A269A"/>
    <w:rsid w:val="000D0B1E"/>
    <w:rsid w:val="000D6BF8"/>
    <w:rsid w:val="00122498"/>
    <w:rsid w:val="00167429"/>
    <w:rsid w:val="001B09EB"/>
    <w:rsid w:val="001B65DB"/>
    <w:rsid w:val="00201F0E"/>
    <w:rsid w:val="00222844"/>
    <w:rsid w:val="00260340"/>
    <w:rsid w:val="00275452"/>
    <w:rsid w:val="002C0A96"/>
    <w:rsid w:val="002C193C"/>
    <w:rsid w:val="00314BE3"/>
    <w:rsid w:val="003A6240"/>
    <w:rsid w:val="003D7375"/>
    <w:rsid w:val="003E181C"/>
    <w:rsid w:val="003E7E6B"/>
    <w:rsid w:val="004019ED"/>
    <w:rsid w:val="00410710"/>
    <w:rsid w:val="00483DC6"/>
    <w:rsid w:val="004E0259"/>
    <w:rsid w:val="005B0ACA"/>
    <w:rsid w:val="005E2A30"/>
    <w:rsid w:val="0066185E"/>
    <w:rsid w:val="006A6076"/>
    <w:rsid w:val="006E78A2"/>
    <w:rsid w:val="00726780"/>
    <w:rsid w:val="007A7A5E"/>
    <w:rsid w:val="007B5F0E"/>
    <w:rsid w:val="007E6C36"/>
    <w:rsid w:val="007E78FF"/>
    <w:rsid w:val="00802494"/>
    <w:rsid w:val="00933DF9"/>
    <w:rsid w:val="009567EC"/>
    <w:rsid w:val="00962E9C"/>
    <w:rsid w:val="00A32190"/>
    <w:rsid w:val="00A3554F"/>
    <w:rsid w:val="00A650C9"/>
    <w:rsid w:val="00AA6F19"/>
    <w:rsid w:val="00AC49EA"/>
    <w:rsid w:val="00AD2A90"/>
    <w:rsid w:val="00B62F2A"/>
    <w:rsid w:val="00B64177"/>
    <w:rsid w:val="00BD3A5A"/>
    <w:rsid w:val="00C30293"/>
    <w:rsid w:val="00CC6087"/>
    <w:rsid w:val="00D35209"/>
    <w:rsid w:val="00D5299A"/>
    <w:rsid w:val="00D85CA6"/>
    <w:rsid w:val="00D94FAF"/>
    <w:rsid w:val="00DA71A6"/>
    <w:rsid w:val="00DD1761"/>
    <w:rsid w:val="00E02D2D"/>
    <w:rsid w:val="00E368AC"/>
    <w:rsid w:val="00E51CA0"/>
    <w:rsid w:val="00E543A0"/>
    <w:rsid w:val="00EC4BB2"/>
    <w:rsid w:val="00F67401"/>
    <w:rsid w:val="00FA6051"/>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FA2A10"/>
  <w15:chartTrackingRefBased/>
  <w15:docId w15:val="{B68C3AF8-C7D4-407E-825C-F6E889915D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link w:val="Heading1Char"/>
    <w:uiPriority w:val="9"/>
    <w:qFormat/>
    <w:rsid w:val="00AD2A9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D2A9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3A624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D2A90"/>
    <w:rPr>
      <w:rFonts w:asciiTheme="majorHAnsi" w:eastAsiaTheme="majorEastAsia" w:hAnsiTheme="majorHAnsi" w:cstheme="majorBidi"/>
      <w:color w:val="2F5496" w:themeColor="accent1" w:themeShade="BF"/>
      <w:sz w:val="26"/>
      <w:szCs w:val="26"/>
      <w:lang w:val="en-US"/>
    </w:rPr>
  </w:style>
  <w:style w:type="character" w:customStyle="1" w:styleId="Heading1Char">
    <w:name w:val="Heading 1 Char"/>
    <w:basedOn w:val="DefaultParagraphFont"/>
    <w:link w:val="Heading1"/>
    <w:uiPriority w:val="9"/>
    <w:rsid w:val="00AD2A90"/>
    <w:rPr>
      <w:rFonts w:asciiTheme="majorHAnsi" w:eastAsiaTheme="majorEastAsia" w:hAnsiTheme="majorHAnsi" w:cstheme="majorBidi"/>
      <w:color w:val="2F5496" w:themeColor="accent1" w:themeShade="BF"/>
      <w:sz w:val="32"/>
      <w:szCs w:val="32"/>
      <w:lang w:val="en-US"/>
    </w:rPr>
  </w:style>
  <w:style w:type="character" w:customStyle="1" w:styleId="F17Sub">
    <w:name w:val="F17_Sub"/>
    <w:rsid w:val="00A32190"/>
    <w:rPr>
      <w:vertAlign w:val="subscript"/>
    </w:rPr>
  </w:style>
  <w:style w:type="paragraph" w:customStyle="1" w:styleId="G05TableBody">
    <w:name w:val="G05_TableBody"/>
    <w:basedOn w:val="Normal"/>
    <w:uiPriority w:val="4"/>
    <w:rsid w:val="00A32190"/>
    <w:pPr>
      <w:spacing w:after="0" w:line="212" w:lineRule="exact"/>
    </w:pPr>
    <w:rPr>
      <w:rFonts w:ascii="Arial" w:eastAsia="Times New Roman" w:hAnsi="Arial" w:cs="Arial"/>
      <w:sz w:val="18"/>
      <w:szCs w:val="19"/>
      <w:lang w:val="de-CH" w:eastAsia="de-CH"/>
    </w:rPr>
  </w:style>
  <w:style w:type="paragraph" w:customStyle="1" w:styleId="G06TableFootnote">
    <w:name w:val="G06_TableFootnote"/>
    <w:basedOn w:val="Normal"/>
    <w:autoRedefine/>
    <w:rsid w:val="00A32190"/>
    <w:pPr>
      <w:spacing w:after="0" w:line="212" w:lineRule="exact"/>
      <w:ind w:firstLine="255"/>
      <w:jc w:val="both"/>
    </w:pPr>
    <w:rPr>
      <w:rFonts w:ascii="Arial" w:eastAsia="Times New Roman" w:hAnsi="Arial" w:cs="Arial"/>
      <w:spacing w:val="-2"/>
      <w:sz w:val="18"/>
      <w:szCs w:val="19"/>
      <w:lang w:eastAsia="de-CH"/>
    </w:rPr>
  </w:style>
  <w:style w:type="character" w:styleId="CommentReference">
    <w:name w:val="annotation reference"/>
    <w:basedOn w:val="DefaultParagraphFont"/>
    <w:uiPriority w:val="99"/>
    <w:semiHidden/>
    <w:unhideWhenUsed/>
    <w:rsid w:val="00A32190"/>
    <w:rPr>
      <w:sz w:val="16"/>
      <w:szCs w:val="16"/>
    </w:rPr>
  </w:style>
  <w:style w:type="paragraph" w:styleId="CommentText">
    <w:name w:val="annotation text"/>
    <w:basedOn w:val="Normal"/>
    <w:link w:val="CommentTextChar"/>
    <w:uiPriority w:val="99"/>
    <w:unhideWhenUsed/>
    <w:rsid w:val="00A32190"/>
    <w:pPr>
      <w:spacing w:line="240" w:lineRule="auto"/>
    </w:pPr>
    <w:rPr>
      <w:sz w:val="20"/>
      <w:szCs w:val="20"/>
    </w:rPr>
  </w:style>
  <w:style w:type="character" w:customStyle="1" w:styleId="CommentTextChar">
    <w:name w:val="Comment Text Char"/>
    <w:basedOn w:val="DefaultParagraphFont"/>
    <w:link w:val="CommentText"/>
    <w:uiPriority w:val="99"/>
    <w:rsid w:val="00A32190"/>
    <w:rPr>
      <w:sz w:val="20"/>
      <w:szCs w:val="20"/>
      <w:lang w:val="en-US"/>
    </w:rPr>
  </w:style>
  <w:style w:type="paragraph" w:styleId="CommentSubject">
    <w:name w:val="annotation subject"/>
    <w:basedOn w:val="CommentText"/>
    <w:next w:val="CommentText"/>
    <w:link w:val="CommentSubjectChar"/>
    <w:uiPriority w:val="99"/>
    <w:semiHidden/>
    <w:unhideWhenUsed/>
    <w:rsid w:val="00A32190"/>
    <w:rPr>
      <w:b/>
      <w:bCs/>
    </w:rPr>
  </w:style>
  <w:style w:type="character" w:customStyle="1" w:styleId="CommentSubjectChar">
    <w:name w:val="Comment Subject Char"/>
    <w:basedOn w:val="CommentTextChar"/>
    <w:link w:val="CommentSubject"/>
    <w:uiPriority w:val="99"/>
    <w:semiHidden/>
    <w:rsid w:val="00A32190"/>
    <w:rPr>
      <w:b/>
      <w:bCs/>
      <w:sz w:val="20"/>
      <w:szCs w:val="20"/>
      <w:lang w:val="en-US"/>
    </w:rPr>
  </w:style>
  <w:style w:type="table" w:styleId="TableGrid">
    <w:name w:val="Table Grid"/>
    <w:basedOn w:val="TableNormal"/>
    <w:uiPriority w:val="39"/>
    <w:rsid w:val="00E368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01F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201F0E"/>
    <w:rPr>
      <w:lang w:val="en-US"/>
    </w:rPr>
  </w:style>
  <w:style w:type="paragraph" w:styleId="Footer">
    <w:name w:val="footer"/>
    <w:basedOn w:val="Normal"/>
    <w:link w:val="FooterChar"/>
    <w:uiPriority w:val="99"/>
    <w:unhideWhenUsed/>
    <w:rsid w:val="00201F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201F0E"/>
    <w:rPr>
      <w:lang w:val="en-US"/>
    </w:rPr>
  </w:style>
  <w:style w:type="character" w:customStyle="1" w:styleId="Heading3Char">
    <w:name w:val="Heading 3 Char"/>
    <w:basedOn w:val="DefaultParagraphFont"/>
    <w:link w:val="Heading3"/>
    <w:uiPriority w:val="9"/>
    <w:rsid w:val="003A6240"/>
    <w:rPr>
      <w:rFonts w:asciiTheme="majorHAnsi" w:eastAsiaTheme="majorEastAsia" w:hAnsiTheme="majorHAnsi" w:cstheme="majorBidi"/>
      <w:color w:val="1F3763" w:themeColor="accent1" w:themeShade="7F"/>
      <w:sz w:val="24"/>
      <w:szCs w:val="24"/>
      <w:lang w:val="en-US"/>
    </w:rPr>
  </w:style>
  <w:style w:type="paragraph" w:styleId="TOCHeading">
    <w:name w:val="TOC Heading"/>
    <w:basedOn w:val="Heading1"/>
    <w:next w:val="Normal"/>
    <w:uiPriority w:val="39"/>
    <w:unhideWhenUsed/>
    <w:qFormat/>
    <w:rsid w:val="003A6240"/>
    <w:pPr>
      <w:outlineLvl w:val="9"/>
    </w:pPr>
  </w:style>
  <w:style w:type="paragraph" w:styleId="TOC1">
    <w:name w:val="toc 1"/>
    <w:basedOn w:val="Normal"/>
    <w:next w:val="Normal"/>
    <w:autoRedefine/>
    <w:uiPriority w:val="39"/>
    <w:unhideWhenUsed/>
    <w:rsid w:val="003A6240"/>
    <w:pPr>
      <w:spacing w:after="100"/>
    </w:pPr>
  </w:style>
  <w:style w:type="paragraph" w:styleId="TOC2">
    <w:name w:val="toc 2"/>
    <w:basedOn w:val="Normal"/>
    <w:next w:val="Normal"/>
    <w:autoRedefine/>
    <w:uiPriority w:val="39"/>
    <w:unhideWhenUsed/>
    <w:rsid w:val="003A6240"/>
    <w:pPr>
      <w:spacing w:after="100"/>
      <w:ind w:left="220"/>
    </w:pPr>
  </w:style>
  <w:style w:type="paragraph" w:styleId="TOC3">
    <w:name w:val="toc 3"/>
    <w:basedOn w:val="Normal"/>
    <w:next w:val="Normal"/>
    <w:autoRedefine/>
    <w:uiPriority w:val="39"/>
    <w:unhideWhenUsed/>
    <w:rsid w:val="003A6240"/>
    <w:pPr>
      <w:spacing w:after="100"/>
      <w:ind w:left="440"/>
    </w:pPr>
  </w:style>
  <w:style w:type="character" w:styleId="Hyperlink">
    <w:name w:val="Hyperlink"/>
    <w:basedOn w:val="DefaultParagraphFont"/>
    <w:uiPriority w:val="99"/>
    <w:unhideWhenUsed/>
    <w:rsid w:val="003A624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721538">
      <w:bodyDiv w:val="1"/>
      <w:marLeft w:val="0"/>
      <w:marRight w:val="0"/>
      <w:marTop w:val="0"/>
      <w:marBottom w:val="0"/>
      <w:divBdr>
        <w:top w:val="none" w:sz="0" w:space="0" w:color="auto"/>
        <w:left w:val="none" w:sz="0" w:space="0" w:color="auto"/>
        <w:bottom w:val="none" w:sz="0" w:space="0" w:color="auto"/>
        <w:right w:val="none" w:sz="0" w:space="0" w:color="auto"/>
      </w:divBdr>
    </w:div>
    <w:div w:id="317077589">
      <w:bodyDiv w:val="1"/>
      <w:marLeft w:val="0"/>
      <w:marRight w:val="0"/>
      <w:marTop w:val="0"/>
      <w:marBottom w:val="0"/>
      <w:divBdr>
        <w:top w:val="none" w:sz="0" w:space="0" w:color="auto"/>
        <w:left w:val="none" w:sz="0" w:space="0" w:color="auto"/>
        <w:bottom w:val="none" w:sz="0" w:space="0" w:color="auto"/>
        <w:right w:val="none" w:sz="0" w:space="0" w:color="auto"/>
      </w:divBdr>
    </w:div>
    <w:div w:id="436680750">
      <w:bodyDiv w:val="1"/>
      <w:marLeft w:val="0"/>
      <w:marRight w:val="0"/>
      <w:marTop w:val="0"/>
      <w:marBottom w:val="0"/>
      <w:divBdr>
        <w:top w:val="none" w:sz="0" w:space="0" w:color="auto"/>
        <w:left w:val="none" w:sz="0" w:space="0" w:color="auto"/>
        <w:bottom w:val="none" w:sz="0" w:space="0" w:color="auto"/>
        <w:right w:val="none" w:sz="0" w:space="0" w:color="auto"/>
      </w:divBdr>
    </w:div>
    <w:div w:id="718743940">
      <w:bodyDiv w:val="1"/>
      <w:marLeft w:val="0"/>
      <w:marRight w:val="0"/>
      <w:marTop w:val="0"/>
      <w:marBottom w:val="0"/>
      <w:divBdr>
        <w:top w:val="none" w:sz="0" w:space="0" w:color="auto"/>
        <w:left w:val="none" w:sz="0" w:space="0" w:color="auto"/>
        <w:bottom w:val="none" w:sz="0" w:space="0" w:color="auto"/>
        <w:right w:val="none" w:sz="0" w:space="0" w:color="auto"/>
      </w:divBdr>
    </w:div>
    <w:div w:id="743457506">
      <w:bodyDiv w:val="1"/>
      <w:marLeft w:val="0"/>
      <w:marRight w:val="0"/>
      <w:marTop w:val="0"/>
      <w:marBottom w:val="0"/>
      <w:divBdr>
        <w:top w:val="none" w:sz="0" w:space="0" w:color="auto"/>
        <w:left w:val="none" w:sz="0" w:space="0" w:color="auto"/>
        <w:bottom w:val="none" w:sz="0" w:space="0" w:color="auto"/>
        <w:right w:val="none" w:sz="0" w:space="0" w:color="auto"/>
      </w:divBdr>
    </w:div>
    <w:div w:id="839932845">
      <w:bodyDiv w:val="1"/>
      <w:marLeft w:val="0"/>
      <w:marRight w:val="0"/>
      <w:marTop w:val="0"/>
      <w:marBottom w:val="0"/>
      <w:divBdr>
        <w:top w:val="none" w:sz="0" w:space="0" w:color="auto"/>
        <w:left w:val="none" w:sz="0" w:space="0" w:color="auto"/>
        <w:bottom w:val="none" w:sz="0" w:space="0" w:color="auto"/>
        <w:right w:val="none" w:sz="0" w:space="0" w:color="auto"/>
      </w:divBdr>
    </w:div>
    <w:div w:id="1095250104">
      <w:bodyDiv w:val="1"/>
      <w:marLeft w:val="0"/>
      <w:marRight w:val="0"/>
      <w:marTop w:val="0"/>
      <w:marBottom w:val="0"/>
      <w:divBdr>
        <w:top w:val="none" w:sz="0" w:space="0" w:color="auto"/>
        <w:left w:val="none" w:sz="0" w:space="0" w:color="auto"/>
        <w:bottom w:val="none" w:sz="0" w:space="0" w:color="auto"/>
        <w:right w:val="none" w:sz="0" w:space="0" w:color="auto"/>
      </w:divBdr>
    </w:div>
    <w:div w:id="1128940238">
      <w:bodyDiv w:val="1"/>
      <w:marLeft w:val="0"/>
      <w:marRight w:val="0"/>
      <w:marTop w:val="0"/>
      <w:marBottom w:val="0"/>
      <w:divBdr>
        <w:top w:val="none" w:sz="0" w:space="0" w:color="auto"/>
        <w:left w:val="none" w:sz="0" w:space="0" w:color="auto"/>
        <w:bottom w:val="none" w:sz="0" w:space="0" w:color="auto"/>
        <w:right w:val="none" w:sz="0" w:space="0" w:color="auto"/>
      </w:divBdr>
    </w:div>
    <w:div w:id="1203905520">
      <w:bodyDiv w:val="1"/>
      <w:marLeft w:val="0"/>
      <w:marRight w:val="0"/>
      <w:marTop w:val="0"/>
      <w:marBottom w:val="0"/>
      <w:divBdr>
        <w:top w:val="none" w:sz="0" w:space="0" w:color="auto"/>
        <w:left w:val="none" w:sz="0" w:space="0" w:color="auto"/>
        <w:bottom w:val="none" w:sz="0" w:space="0" w:color="auto"/>
        <w:right w:val="none" w:sz="0" w:space="0" w:color="auto"/>
      </w:divBdr>
    </w:div>
    <w:div w:id="1328901132">
      <w:bodyDiv w:val="1"/>
      <w:marLeft w:val="0"/>
      <w:marRight w:val="0"/>
      <w:marTop w:val="0"/>
      <w:marBottom w:val="0"/>
      <w:divBdr>
        <w:top w:val="none" w:sz="0" w:space="0" w:color="auto"/>
        <w:left w:val="none" w:sz="0" w:space="0" w:color="auto"/>
        <w:bottom w:val="none" w:sz="0" w:space="0" w:color="auto"/>
        <w:right w:val="none" w:sz="0" w:space="0" w:color="auto"/>
      </w:divBdr>
    </w:div>
    <w:div w:id="1559629763">
      <w:bodyDiv w:val="1"/>
      <w:marLeft w:val="0"/>
      <w:marRight w:val="0"/>
      <w:marTop w:val="0"/>
      <w:marBottom w:val="0"/>
      <w:divBdr>
        <w:top w:val="none" w:sz="0" w:space="0" w:color="auto"/>
        <w:left w:val="none" w:sz="0" w:space="0" w:color="auto"/>
        <w:bottom w:val="none" w:sz="0" w:space="0" w:color="auto"/>
        <w:right w:val="none" w:sz="0" w:space="0" w:color="auto"/>
      </w:divBdr>
    </w:div>
    <w:div w:id="1750226167">
      <w:bodyDiv w:val="1"/>
      <w:marLeft w:val="0"/>
      <w:marRight w:val="0"/>
      <w:marTop w:val="0"/>
      <w:marBottom w:val="0"/>
      <w:divBdr>
        <w:top w:val="none" w:sz="0" w:space="0" w:color="auto"/>
        <w:left w:val="none" w:sz="0" w:space="0" w:color="auto"/>
        <w:bottom w:val="none" w:sz="0" w:space="0" w:color="auto"/>
        <w:right w:val="none" w:sz="0" w:space="0" w:color="auto"/>
      </w:divBdr>
    </w:div>
    <w:div w:id="2118326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284158C848CF6428A373265265E0AC9" ma:contentTypeVersion="12" ma:contentTypeDescription="Create a new document." ma:contentTypeScope="" ma:versionID="febcd1afb2d82b21d7fce7fe5d294eff">
  <xsd:schema xmlns:xsd="http://www.w3.org/2001/XMLSchema" xmlns:xs="http://www.w3.org/2001/XMLSchema" xmlns:p="http://schemas.microsoft.com/office/2006/metadata/properties" xmlns:ns2="7a29d505-8237-43cd-b9cb-1f4bddc5e0ec" xmlns:ns3="89c1f2a0-7e5b-480c-af23-1814714da873" targetNamespace="http://schemas.microsoft.com/office/2006/metadata/properties" ma:root="true" ma:fieldsID="9ca21031bdaf53463dc3836547f4a65e" ns2:_="" ns3:_="">
    <xsd:import namespace="7a29d505-8237-43cd-b9cb-1f4bddc5e0ec"/>
    <xsd:import namespace="89c1f2a0-7e5b-480c-af23-1814714da8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a29d505-8237-43cd-b9cb-1f4bddc5e0e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9c1f2a0-7e5b-480c-af23-1814714da87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3AB4E42-C0BC-4BDA-A3ED-0AF2DD4273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a29d505-8237-43cd-b9cb-1f4bddc5e0ec"/>
    <ds:schemaRef ds:uri="89c1f2a0-7e5b-480c-af23-1814714da8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9D10C9E-EA6D-494F-A499-2E4DEB17C8F6}">
  <ds:schemaRefs>
    <ds:schemaRef ds:uri="http://schemas.microsoft.com/sharepoint/v3/contenttype/forms"/>
  </ds:schemaRefs>
</ds:datastoreItem>
</file>

<file path=customXml/itemProps3.xml><?xml version="1.0" encoding="utf-8"?>
<ds:datastoreItem xmlns:ds="http://schemas.openxmlformats.org/officeDocument/2006/customXml" ds:itemID="{9910B7E2-0E31-426E-9336-2AF53CFF59B9}">
  <ds:schemaRefs>
    <ds:schemaRef ds:uri="http://schemas.openxmlformats.org/officeDocument/2006/bibliography"/>
  </ds:schemaRefs>
</ds:datastoreItem>
</file>

<file path=customXml/itemProps4.xml><?xml version="1.0" encoding="utf-8"?>
<ds:datastoreItem xmlns:ds="http://schemas.openxmlformats.org/officeDocument/2006/customXml" ds:itemID="{FC4A6108-4926-440D-B97B-96FBC16F4B1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2</Pages>
  <Words>1058</Words>
  <Characters>6454</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Stavroula Michou</dc:creator>
  <cp:keywords/>
  <dc:description/>
  <cp:lastModifiedBy>Stavroula Michou</cp:lastModifiedBy>
  <cp:revision>7</cp:revision>
  <dcterms:created xsi:type="dcterms:W3CDTF">2021-06-03T16:23:00Z</dcterms:created>
  <dcterms:modified xsi:type="dcterms:W3CDTF">2021-06-04T08:36:00Z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0x010100E284158C848CF6428A373265265E0AC9</vt:lpwstr>
  </property>
  <property fmtid="{D5CDD505-2E9C-101B-9397-08002B2CF9AE}" pid="3" name="Mendeley Document_1">
    <vt:lpwstr>True</vt:lpwstr>
  </property>
  <property fmtid="{D5CDD505-2E9C-101B-9397-08002B2CF9AE}" pid="4" name="Mendeley Unique User Id_1">
    <vt:lpwstr>1d9b8fea-3e2e-33ab-bb7c-f832c1ee828c</vt:lpwstr>
  </property>
  <property fmtid="{D5CDD505-2E9C-101B-9397-08002B2CF9AE}" pid="5" name="Mendeley Citation Style_1">
    <vt:lpwstr>http://www.zotero.org/styles/journal-of-dentistry</vt:lpwstr>
  </property>
</Properties>
</file>