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2435C" w14:textId="77777777" w:rsidR="004A6433" w:rsidRDefault="004A6433" w:rsidP="004A6433">
      <w:pPr>
        <w:jc w:val="center"/>
        <w:rPr>
          <w:rFonts w:ascii="Palatino Linotype" w:hAnsi="Palatino Linotype"/>
          <w:sz w:val="24"/>
        </w:rPr>
      </w:pPr>
      <w:r w:rsidRPr="004A6433">
        <w:rPr>
          <w:rFonts w:ascii="Palatino Linotype" w:hAnsi="Palatino Linotype"/>
          <w:b/>
          <w:sz w:val="24"/>
        </w:rPr>
        <w:t>Supplementary Materials</w:t>
      </w:r>
    </w:p>
    <w:p w14:paraId="4F7EE116" w14:textId="77777777" w:rsidR="004A6433" w:rsidRPr="004A6433" w:rsidRDefault="004A6433" w:rsidP="004A6433">
      <w:pPr>
        <w:rPr>
          <w:rFonts w:ascii="Palatino Linotype" w:hAnsi="Palatino Linotype"/>
          <w:sz w:val="24"/>
        </w:rPr>
      </w:pPr>
    </w:p>
    <w:p w14:paraId="518DD977" w14:textId="77777777" w:rsidR="00222F48" w:rsidRDefault="008A1340" w:rsidP="004A6433">
      <w:pPr>
        <w:jc w:val="center"/>
        <w:rPr>
          <w:rFonts w:ascii="Palatino Linotype" w:hAnsi="Palatino Linotype"/>
          <w:sz w:val="18"/>
        </w:rPr>
      </w:pPr>
      <w:r>
        <w:rPr>
          <w:rFonts w:ascii="Palatino Linotype" w:hAnsi="Palatino Linotype"/>
          <w:noProof/>
          <w:sz w:val="18"/>
        </w:rPr>
        <w:drawing>
          <wp:inline distT="0" distB="0" distL="0" distR="0" wp14:anchorId="308F267B" wp14:editId="7EC3F746">
            <wp:extent cx="4148455" cy="3844124"/>
            <wp:effectExtent l="0" t="0" r="444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4320" cy="3849559"/>
                    </a:xfrm>
                    <a:prstGeom prst="rect">
                      <a:avLst/>
                    </a:prstGeom>
                    <a:noFill/>
                  </pic:spPr>
                </pic:pic>
              </a:graphicData>
            </a:graphic>
          </wp:inline>
        </w:drawing>
      </w:r>
    </w:p>
    <w:p w14:paraId="49DC8737" w14:textId="77777777" w:rsidR="004A6433" w:rsidRPr="009738C8" w:rsidRDefault="00915ABB" w:rsidP="004A6433">
      <w:pPr>
        <w:rPr>
          <w:rFonts w:ascii="Palatino Linotype" w:hAnsi="Palatino Linotype"/>
          <w:sz w:val="18"/>
        </w:rPr>
      </w:pPr>
      <w:r w:rsidRPr="00915ABB">
        <w:rPr>
          <w:rFonts w:ascii="Palatino Linotype" w:hAnsi="Palatino Linotype"/>
          <w:b/>
          <w:bCs/>
          <w:sz w:val="18"/>
        </w:rPr>
        <w:t>Figure S1. Identification of CAF Infiltration-Related Genes.</w:t>
      </w:r>
      <w:r>
        <w:rPr>
          <w:rFonts w:ascii="Palatino Linotype" w:hAnsi="Palatino Linotype"/>
          <w:b/>
          <w:bCs/>
          <w:sz w:val="18"/>
        </w:rPr>
        <w:t xml:space="preserve"> </w:t>
      </w:r>
      <w:r w:rsidRPr="00915ABB">
        <w:rPr>
          <w:rFonts w:ascii="Palatino Linotype" w:hAnsi="Palatino Linotype"/>
          <w:sz w:val="18"/>
        </w:rPr>
        <w:t>Scatter plots show the correlation between CAF infiltration scores and the expression of all genes in the TCGA LUAD dataset, calculated using the MCPCOUNTER (A) and XCELL (B) algorithms. The Venn diagrams illustrate the overlap of genes that are positively (C) and negatively (D) correlated with CAF infiltration scores, based on the two algorithms</w:t>
      </w:r>
      <w:r w:rsidRPr="009738C8">
        <w:rPr>
          <w:rFonts w:ascii="Palatino Linotype" w:hAnsi="Palatino Linotype"/>
          <w:sz w:val="18"/>
        </w:rPr>
        <w:t>.</w:t>
      </w:r>
      <w:r w:rsidR="009738C8" w:rsidRPr="009738C8">
        <w:rPr>
          <w:rFonts w:ascii="Palatino Linotype" w:hAnsi="Palatino Linotype"/>
          <w:sz w:val="18"/>
        </w:rPr>
        <w:t xml:space="preserve"> </w:t>
      </w:r>
      <w:r w:rsidRPr="009738C8">
        <w:rPr>
          <w:rFonts w:ascii="Palatino Linotype" w:hAnsi="Palatino Linotype"/>
          <w:bCs/>
          <w:sz w:val="18"/>
        </w:rPr>
        <w:t>TCGA</w:t>
      </w:r>
      <w:r w:rsidRPr="009738C8">
        <w:rPr>
          <w:rFonts w:ascii="Palatino Linotype" w:hAnsi="Palatino Linotype"/>
          <w:sz w:val="18"/>
        </w:rPr>
        <w:t>: The Cancer Genome Atlas; </w:t>
      </w:r>
      <w:r w:rsidRPr="009738C8">
        <w:rPr>
          <w:rFonts w:ascii="Palatino Linotype" w:hAnsi="Palatino Linotype"/>
          <w:bCs/>
          <w:sz w:val="18"/>
        </w:rPr>
        <w:t>LUAD</w:t>
      </w:r>
      <w:r w:rsidRPr="009738C8">
        <w:rPr>
          <w:rFonts w:ascii="Palatino Linotype" w:hAnsi="Palatino Linotype"/>
          <w:sz w:val="18"/>
        </w:rPr>
        <w:t>: Lung adenocarcinoma; </w:t>
      </w:r>
      <w:r w:rsidRPr="009738C8">
        <w:rPr>
          <w:rFonts w:ascii="Palatino Linotype" w:hAnsi="Palatino Linotype"/>
          <w:bCs/>
          <w:sz w:val="18"/>
        </w:rPr>
        <w:t>CAF</w:t>
      </w:r>
      <w:r w:rsidRPr="009738C8">
        <w:rPr>
          <w:rFonts w:ascii="Palatino Linotype" w:hAnsi="Palatino Linotype"/>
          <w:sz w:val="18"/>
        </w:rPr>
        <w:t>: Tumor-associated fibroblast.</w:t>
      </w:r>
    </w:p>
    <w:p w14:paraId="2C3C32C8" w14:textId="77777777" w:rsidR="004A6433" w:rsidRDefault="004A6433" w:rsidP="004A6433">
      <w:pPr>
        <w:jc w:val="center"/>
        <w:rPr>
          <w:rFonts w:ascii="Palatino Linotype" w:hAnsi="Palatino Linotype"/>
          <w:sz w:val="18"/>
        </w:rPr>
      </w:pPr>
      <w:r>
        <w:rPr>
          <w:rFonts w:ascii="Palatino Linotype" w:hAnsi="Palatino Linotype"/>
          <w:noProof/>
          <w:sz w:val="18"/>
        </w:rPr>
        <w:drawing>
          <wp:inline distT="0" distB="0" distL="0" distR="0" wp14:anchorId="3EF23A48" wp14:editId="6DB2ADC0">
            <wp:extent cx="5553075" cy="27107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6406" cy="2717281"/>
                    </a:xfrm>
                    <a:prstGeom prst="rect">
                      <a:avLst/>
                    </a:prstGeom>
                    <a:noFill/>
                  </pic:spPr>
                </pic:pic>
              </a:graphicData>
            </a:graphic>
          </wp:inline>
        </w:drawing>
      </w:r>
    </w:p>
    <w:p w14:paraId="1C74E86B" w14:textId="77777777" w:rsidR="004A6433" w:rsidRPr="00915ABB" w:rsidRDefault="00915ABB" w:rsidP="004A6433">
      <w:pPr>
        <w:jc w:val="center"/>
        <w:rPr>
          <w:rFonts w:ascii="Palatino Linotype" w:hAnsi="Palatino Linotype"/>
          <w:b/>
          <w:sz w:val="18"/>
        </w:rPr>
      </w:pPr>
      <w:r w:rsidRPr="00915ABB">
        <w:rPr>
          <w:rFonts w:ascii="Palatino Linotype" w:hAnsi="Palatino Linotype" w:hint="eastAsia"/>
          <w:b/>
          <w:sz w:val="18"/>
        </w:rPr>
        <w:t>F</w:t>
      </w:r>
      <w:r w:rsidRPr="00915ABB">
        <w:rPr>
          <w:rFonts w:ascii="Palatino Linotype" w:hAnsi="Palatino Linotype"/>
          <w:b/>
          <w:sz w:val="18"/>
        </w:rPr>
        <w:t xml:space="preserve">igure </w:t>
      </w:r>
      <w:r w:rsidR="008A1340" w:rsidRPr="00915ABB">
        <w:rPr>
          <w:rFonts w:ascii="Palatino Linotype" w:hAnsi="Palatino Linotype" w:hint="eastAsia"/>
          <w:b/>
          <w:sz w:val="18"/>
        </w:rPr>
        <w:t>S2.</w:t>
      </w:r>
      <w:r w:rsidR="008A1340" w:rsidRPr="00915ABB">
        <w:rPr>
          <w:rFonts w:ascii="Palatino Linotype" w:hAnsi="Palatino Linotype"/>
          <w:b/>
          <w:sz w:val="18"/>
        </w:rPr>
        <w:t xml:space="preserve"> LASSO Cox regression analysis identified a total of 30 CAFRGs for overall survival.</w:t>
      </w:r>
    </w:p>
    <w:p w14:paraId="4C050878" w14:textId="77777777" w:rsidR="004A6433" w:rsidRDefault="004A6433" w:rsidP="004A6433">
      <w:pPr>
        <w:jc w:val="center"/>
        <w:rPr>
          <w:rFonts w:ascii="Palatino Linotype" w:hAnsi="Palatino Linotype"/>
          <w:sz w:val="18"/>
        </w:rPr>
      </w:pPr>
    </w:p>
    <w:p w14:paraId="7822B4E3" w14:textId="77777777" w:rsidR="004A6433" w:rsidRDefault="004A6433" w:rsidP="004A6433">
      <w:pPr>
        <w:jc w:val="center"/>
        <w:rPr>
          <w:rFonts w:ascii="Palatino Linotype" w:hAnsi="Palatino Linotype"/>
          <w:sz w:val="18"/>
        </w:rPr>
      </w:pPr>
      <w:r>
        <w:rPr>
          <w:rFonts w:ascii="Palatino Linotype" w:hAnsi="Palatino Linotype"/>
          <w:noProof/>
          <w:sz w:val="18"/>
        </w:rPr>
        <w:drawing>
          <wp:inline distT="0" distB="0" distL="0" distR="0" wp14:anchorId="7AC09788" wp14:editId="4982351E">
            <wp:extent cx="5895340" cy="4548851"/>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6591" cy="4565248"/>
                    </a:xfrm>
                    <a:prstGeom prst="rect">
                      <a:avLst/>
                    </a:prstGeom>
                    <a:noFill/>
                  </pic:spPr>
                </pic:pic>
              </a:graphicData>
            </a:graphic>
          </wp:inline>
        </w:drawing>
      </w:r>
    </w:p>
    <w:p w14:paraId="66826BBD" w14:textId="77777777" w:rsidR="004A6433" w:rsidRDefault="00915ABB" w:rsidP="008A1340">
      <w:pPr>
        <w:jc w:val="left"/>
        <w:rPr>
          <w:rFonts w:ascii="Palatino Linotype" w:hAnsi="Palatino Linotype"/>
          <w:sz w:val="18"/>
        </w:rPr>
      </w:pPr>
      <w:r w:rsidRPr="00915ABB">
        <w:rPr>
          <w:rFonts w:ascii="Palatino Linotype" w:hAnsi="Palatino Linotype" w:hint="eastAsia"/>
          <w:b/>
          <w:sz w:val="18"/>
        </w:rPr>
        <w:t>F</w:t>
      </w:r>
      <w:r w:rsidRPr="00915ABB">
        <w:rPr>
          <w:rFonts w:ascii="Palatino Linotype" w:hAnsi="Palatino Linotype"/>
          <w:b/>
          <w:sz w:val="18"/>
        </w:rPr>
        <w:t xml:space="preserve">igure </w:t>
      </w:r>
      <w:r w:rsidR="008A1340" w:rsidRPr="00915ABB">
        <w:rPr>
          <w:rFonts w:ascii="Palatino Linotype" w:hAnsi="Palatino Linotype" w:hint="eastAsia"/>
          <w:b/>
          <w:sz w:val="18"/>
        </w:rPr>
        <w:t>S</w:t>
      </w:r>
      <w:r w:rsidR="002A47F5">
        <w:rPr>
          <w:rFonts w:ascii="Palatino Linotype" w:hAnsi="Palatino Linotype"/>
          <w:b/>
          <w:sz w:val="18"/>
        </w:rPr>
        <w:t>3</w:t>
      </w:r>
      <w:r w:rsidR="008A1340" w:rsidRPr="00915ABB">
        <w:rPr>
          <w:rFonts w:ascii="Palatino Linotype" w:hAnsi="Palatino Linotype"/>
          <w:b/>
          <w:sz w:val="18"/>
        </w:rPr>
        <w:t xml:space="preserve">. </w:t>
      </w:r>
      <w:r w:rsidR="008A1340" w:rsidRPr="00915ABB">
        <w:rPr>
          <w:rFonts w:ascii="Palatino Linotype" w:hAnsi="Palatino Linotype"/>
          <w:b/>
          <w:bCs/>
          <w:sz w:val="18"/>
        </w:rPr>
        <w:t xml:space="preserve">Validation of the Model's Robustness in </w:t>
      </w:r>
      <w:r w:rsidR="008A1340" w:rsidRPr="00915ABB">
        <w:rPr>
          <w:rFonts w:ascii="Palatino Linotype" w:hAnsi="Palatino Linotype" w:hint="eastAsia"/>
          <w:b/>
          <w:bCs/>
          <w:sz w:val="18"/>
        </w:rPr>
        <w:t>GSE13213</w:t>
      </w:r>
      <w:r w:rsidR="008A1340" w:rsidRPr="00915ABB">
        <w:rPr>
          <w:rFonts w:ascii="Palatino Linotype" w:hAnsi="Palatino Linotype"/>
          <w:b/>
          <w:bCs/>
          <w:sz w:val="18"/>
        </w:rPr>
        <w:t xml:space="preserve">. </w:t>
      </w:r>
      <w:r w:rsidR="008A1340" w:rsidRPr="008A1340">
        <w:rPr>
          <w:rFonts w:ascii="Palatino Linotype" w:hAnsi="Palatino Linotype"/>
          <w:bCs/>
          <w:sz w:val="18"/>
        </w:rPr>
        <w:t>(A) ROC curve showing ROC and AUC values for 1</w:t>
      </w:r>
      <w:r w:rsidR="008A1340">
        <w:rPr>
          <w:rFonts w:ascii="Palatino Linotype" w:hAnsi="Palatino Linotype"/>
          <w:bCs/>
          <w:sz w:val="18"/>
        </w:rPr>
        <w:t xml:space="preserve"> </w:t>
      </w:r>
      <w:r w:rsidR="008A1340" w:rsidRPr="008A1340">
        <w:rPr>
          <w:rFonts w:ascii="Palatino Linotype" w:hAnsi="Palatino Linotype"/>
          <w:bCs/>
          <w:sz w:val="18"/>
        </w:rPr>
        <w:t xml:space="preserve">year in the </w:t>
      </w:r>
      <w:r w:rsidR="008A1340" w:rsidRPr="008A1340">
        <w:rPr>
          <w:rFonts w:ascii="Palatino Linotype" w:hAnsi="Palatino Linotype" w:hint="eastAsia"/>
          <w:bCs/>
          <w:sz w:val="18"/>
        </w:rPr>
        <w:t>GSE13213</w:t>
      </w:r>
      <w:r w:rsidR="008A1340" w:rsidRPr="008A1340">
        <w:rPr>
          <w:rFonts w:ascii="Palatino Linotype" w:hAnsi="Palatino Linotype"/>
          <w:bCs/>
          <w:sz w:val="18"/>
        </w:rPr>
        <w:t xml:space="preserve"> dataset; (B) Survival curves comparing high-risk and low-risk patients in the </w:t>
      </w:r>
      <w:r w:rsidR="008A1340" w:rsidRPr="008A1340">
        <w:rPr>
          <w:rFonts w:ascii="Palatino Linotype" w:hAnsi="Palatino Linotype" w:hint="eastAsia"/>
          <w:bCs/>
          <w:sz w:val="18"/>
        </w:rPr>
        <w:t>GSE13213</w:t>
      </w:r>
      <w:r w:rsidR="008A1340" w:rsidRPr="008A1340">
        <w:rPr>
          <w:rFonts w:ascii="Palatino Linotype" w:hAnsi="Palatino Linotype"/>
          <w:bCs/>
          <w:sz w:val="18"/>
        </w:rPr>
        <w:t xml:space="preserve"> dataset; (C) Distribution of risk scores and survival outcomes in high- and low-risk samples in the </w:t>
      </w:r>
      <w:r w:rsidR="008A1340" w:rsidRPr="008A1340">
        <w:rPr>
          <w:rFonts w:ascii="Palatino Linotype" w:hAnsi="Palatino Linotype" w:hint="eastAsia"/>
          <w:bCs/>
          <w:sz w:val="18"/>
        </w:rPr>
        <w:t>GSE13213</w:t>
      </w:r>
      <w:r w:rsidR="008A1340" w:rsidRPr="008A1340">
        <w:rPr>
          <w:rFonts w:ascii="Palatino Linotype" w:hAnsi="Palatino Linotype"/>
          <w:bCs/>
          <w:sz w:val="18"/>
        </w:rPr>
        <w:t xml:space="preserve"> dataset</w:t>
      </w:r>
      <w:r w:rsidR="008A1340">
        <w:rPr>
          <w:rFonts w:ascii="Palatino Linotype" w:hAnsi="Palatino Linotype"/>
          <w:bCs/>
          <w:sz w:val="18"/>
        </w:rPr>
        <w:t xml:space="preserve">. </w:t>
      </w:r>
      <w:r w:rsidR="008A1340" w:rsidRPr="008A1340">
        <w:rPr>
          <w:rFonts w:ascii="Palatino Linotype" w:hAnsi="Palatino Linotype"/>
          <w:bCs/>
          <w:sz w:val="18"/>
        </w:rPr>
        <w:t>ROC: Receiver Operating Characteristic; AUC: Area Under the Curve.</w:t>
      </w:r>
    </w:p>
    <w:p w14:paraId="346C147E" w14:textId="77777777" w:rsidR="004A6433" w:rsidRDefault="004A6433" w:rsidP="004A6433">
      <w:pPr>
        <w:jc w:val="center"/>
        <w:rPr>
          <w:rFonts w:ascii="Palatino Linotype" w:hAnsi="Palatino Linotype"/>
          <w:sz w:val="18"/>
        </w:rPr>
      </w:pPr>
    </w:p>
    <w:p w14:paraId="315AEFA7" w14:textId="77777777" w:rsidR="004A6433" w:rsidRDefault="004A6433" w:rsidP="004A6433">
      <w:pPr>
        <w:jc w:val="center"/>
        <w:rPr>
          <w:rFonts w:ascii="Palatino Linotype" w:hAnsi="Palatino Linotype"/>
          <w:sz w:val="18"/>
        </w:rPr>
      </w:pPr>
      <w:r>
        <w:rPr>
          <w:rFonts w:ascii="Palatino Linotype" w:hAnsi="Palatino Linotype"/>
          <w:noProof/>
          <w:sz w:val="18"/>
        </w:rPr>
        <w:lastRenderedPageBreak/>
        <w:drawing>
          <wp:inline distT="0" distB="0" distL="0" distR="0" wp14:anchorId="233C8B5A" wp14:editId="64BAD229">
            <wp:extent cx="5725795" cy="5981624"/>
            <wp:effectExtent l="0" t="0" r="825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945" cy="5988049"/>
                    </a:xfrm>
                    <a:prstGeom prst="rect">
                      <a:avLst/>
                    </a:prstGeom>
                    <a:noFill/>
                  </pic:spPr>
                </pic:pic>
              </a:graphicData>
            </a:graphic>
          </wp:inline>
        </w:drawing>
      </w:r>
    </w:p>
    <w:p w14:paraId="08A8B742" w14:textId="77777777" w:rsidR="002A47F5" w:rsidRPr="002A47F5" w:rsidRDefault="002A47F5" w:rsidP="002A47F5">
      <w:pPr>
        <w:rPr>
          <w:rFonts w:ascii="Palatino Linotype" w:hAnsi="Palatino Linotype"/>
          <w:bCs/>
          <w:sz w:val="18"/>
          <w:lang w:bidi="en-US"/>
        </w:rPr>
      </w:pPr>
      <w:bookmarkStart w:id="0" w:name="_Hlk188603666"/>
      <w:r w:rsidRPr="002A47F5">
        <w:rPr>
          <w:rFonts w:ascii="Palatino Linotype" w:hAnsi="Palatino Linotype"/>
          <w:b/>
          <w:bCs/>
          <w:sz w:val="18"/>
          <w:lang w:bidi="en-US"/>
        </w:rPr>
        <w:t xml:space="preserve">Figure </w:t>
      </w:r>
      <w:r>
        <w:rPr>
          <w:rFonts w:ascii="Palatino Linotype" w:hAnsi="Palatino Linotype" w:hint="eastAsia"/>
          <w:b/>
          <w:bCs/>
          <w:sz w:val="18"/>
          <w:lang w:bidi="en-US"/>
        </w:rPr>
        <w:t>S4</w:t>
      </w:r>
      <w:r w:rsidRPr="002A47F5">
        <w:rPr>
          <w:rFonts w:ascii="Palatino Linotype" w:hAnsi="Palatino Linotype"/>
          <w:b/>
          <w:bCs/>
          <w:sz w:val="18"/>
          <w:lang w:bidi="en-US"/>
        </w:rPr>
        <w:t xml:space="preserve">. Correlation of Risk Score with Immune Cell Infiltration and Immunotherapy in </w:t>
      </w:r>
      <w:r>
        <w:rPr>
          <w:rFonts w:ascii="Palatino Linotype" w:hAnsi="Palatino Linotype" w:hint="eastAsia"/>
          <w:b/>
          <w:bCs/>
          <w:sz w:val="18"/>
          <w:lang w:bidi="en-US"/>
        </w:rPr>
        <w:t>GSE31210</w:t>
      </w:r>
      <w:r w:rsidRPr="002A47F5">
        <w:rPr>
          <w:rFonts w:ascii="Palatino Linotype" w:hAnsi="Palatino Linotype"/>
          <w:b/>
          <w:bCs/>
          <w:sz w:val="18"/>
          <w:lang w:bidi="en-US"/>
        </w:rPr>
        <w:t xml:space="preserve"> Dataset. </w:t>
      </w:r>
      <w:r w:rsidRPr="002A47F5">
        <w:rPr>
          <w:rFonts w:ascii="Palatino Linotype" w:hAnsi="Palatino Linotype"/>
          <w:bCs/>
          <w:sz w:val="18"/>
          <w:lang w:bidi="en-US"/>
        </w:rPr>
        <w:t xml:space="preserve">(A) Lollipop plot showing the correlation between risk score and immune cell infiltration scores calculated by the </w:t>
      </w:r>
      <w:proofErr w:type="spellStart"/>
      <w:r w:rsidRPr="002A47F5">
        <w:rPr>
          <w:rFonts w:ascii="Palatino Linotype" w:hAnsi="Palatino Linotype"/>
          <w:bCs/>
          <w:sz w:val="18"/>
          <w:lang w:bidi="en-US"/>
        </w:rPr>
        <w:t>xCell</w:t>
      </w:r>
      <w:proofErr w:type="spellEnd"/>
      <w:r w:rsidRPr="002A47F5">
        <w:rPr>
          <w:rFonts w:ascii="Palatino Linotype" w:hAnsi="Palatino Linotype"/>
          <w:bCs/>
          <w:sz w:val="18"/>
          <w:lang w:bidi="en-US"/>
        </w:rPr>
        <w:t xml:space="preserve"> algorithm; Scatter plots depicting the correlation between risk score and </w:t>
      </w:r>
      <w:r>
        <w:rPr>
          <w:rFonts w:ascii="Palatino Linotype" w:hAnsi="Palatino Linotype" w:hint="eastAsia"/>
          <w:bCs/>
          <w:sz w:val="18"/>
          <w:lang w:bidi="en-US"/>
        </w:rPr>
        <w:t>fibroblasts</w:t>
      </w:r>
      <w:r>
        <w:rPr>
          <w:rFonts w:ascii="Palatino Linotype" w:hAnsi="Palatino Linotype"/>
          <w:bCs/>
          <w:sz w:val="18"/>
          <w:lang w:bidi="en-US"/>
        </w:rPr>
        <w:t xml:space="preserve"> </w:t>
      </w:r>
      <w:r>
        <w:rPr>
          <w:rFonts w:ascii="Palatino Linotype" w:hAnsi="Palatino Linotype" w:hint="eastAsia"/>
          <w:bCs/>
          <w:sz w:val="18"/>
          <w:lang w:bidi="en-US"/>
        </w:rPr>
        <w:t>infiltration</w:t>
      </w:r>
      <w:r>
        <w:rPr>
          <w:rFonts w:ascii="Palatino Linotype" w:hAnsi="Palatino Linotype"/>
          <w:bCs/>
          <w:sz w:val="18"/>
          <w:lang w:bidi="en-US"/>
        </w:rPr>
        <w:t xml:space="preserve"> </w:t>
      </w:r>
      <w:r w:rsidRPr="002A47F5">
        <w:rPr>
          <w:rFonts w:ascii="Palatino Linotype" w:hAnsi="Palatino Linotype"/>
          <w:bCs/>
          <w:sz w:val="18"/>
          <w:lang w:bidi="en-US"/>
        </w:rPr>
        <w:t xml:space="preserve">score (B) and </w:t>
      </w:r>
      <w:r>
        <w:rPr>
          <w:rFonts w:ascii="Palatino Linotype" w:hAnsi="Palatino Linotype" w:hint="eastAsia"/>
          <w:bCs/>
          <w:sz w:val="18"/>
          <w:lang w:bidi="en-US"/>
        </w:rPr>
        <w:t>stroma</w:t>
      </w:r>
      <w:r>
        <w:rPr>
          <w:rFonts w:ascii="Palatino Linotype" w:hAnsi="Palatino Linotype"/>
          <w:bCs/>
          <w:sz w:val="18"/>
          <w:lang w:bidi="en-US"/>
        </w:rPr>
        <w:t xml:space="preserve"> </w:t>
      </w:r>
      <w:r w:rsidRPr="002A47F5">
        <w:rPr>
          <w:rFonts w:ascii="Palatino Linotype" w:hAnsi="Palatino Linotype"/>
          <w:bCs/>
          <w:sz w:val="18"/>
          <w:lang w:bidi="en-US"/>
        </w:rPr>
        <w:t>score (C)</w:t>
      </w:r>
      <w:r>
        <w:rPr>
          <w:rFonts w:ascii="Palatino Linotype" w:hAnsi="Palatino Linotype"/>
          <w:bCs/>
          <w:sz w:val="18"/>
          <w:lang w:bidi="en-US"/>
        </w:rPr>
        <w:t>.</w:t>
      </w:r>
      <w:r w:rsidRPr="002A47F5">
        <w:rPr>
          <w:rFonts w:ascii="Palatino Linotype" w:hAnsi="Palatino Linotype"/>
          <w:bCs/>
          <w:sz w:val="18"/>
          <w:lang w:bidi="en-US"/>
        </w:rPr>
        <w:t xml:space="preserve"> Scatter plots demonstrating the correlation between risk score and immune infiltration scores of T cell dysfunction (</w:t>
      </w:r>
      <w:r>
        <w:rPr>
          <w:rFonts w:ascii="Palatino Linotype" w:hAnsi="Palatino Linotype" w:hint="eastAsia"/>
          <w:bCs/>
          <w:sz w:val="18"/>
          <w:lang w:bidi="en-US"/>
        </w:rPr>
        <w:t>D</w:t>
      </w:r>
      <w:r w:rsidRPr="002A47F5">
        <w:rPr>
          <w:rFonts w:ascii="Palatino Linotype" w:hAnsi="Palatino Linotype"/>
          <w:bCs/>
          <w:sz w:val="18"/>
          <w:lang w:bidi="en-US"/>
        </w:rPr>
        <w:t>), exclusion (</w:t>
      </w:r>
      <w:r>
        <w:rPr>
          <w:rFonts w:ascii="Palatino Linotype" w:hAnsi="Palatino Linotype"/>
          <w:bCs/>
          <w:sz w:val="18"/>
          <w:lang w:bidi="en-US"/>
        </w:rPr>
        <w:t>E</w:t>
      </w:r>
      <w:r w:rsidRPr="002A47F5">
        <w:rPr>
          <w:rFonts w:ascii="Palatino Linotype" w:hAnsi="Palatino Linotype"/>
          <w:bCs/>
          <w:sz w:val="18"/>
          <w:lang w:bidi="en-US"/>
        </w:rPr>
        <w:t>), CAF (</w:t>
      </w:r>
      <w:r>
        <w:rPr>
          <w:rFonts w:ascii="Palatino Linotype" w:hAnsi="Palatino Linotype"/>
          <w:bCs/>
          <w:sz w:val="18"/>
          <w:lang w:bidi="en-US"/>
        </w:rPr>
        <w:t>F</w:t>
      </w:r>
      <w:r w:rsidRPr="002A47F5">
        <w:rPr>
          <w:rFonts w:ascii="Palatino Linotype" w:hAnsi="Palatino Linotype"/>
          <w:bCs/>
          <w:sz w:val="18"/>
          <w:lang w:bidi="en-US"/>
        </w:rPr>
        <w:t>), and MDSC (</w:t>
      </w:r>
      <w:r>
        <w:rPr>
          <w:rFonts w:ascii="Palatino Linotype" w:hAnsi="Palatino Linotype"/>
          <w:bCs/>
          <w:sz w:val="18"/>
          <w:lang w:bidi="en-US"/>
        </w:rPr>
        <w:t>G</w:t>
      </w:r>
      <w:r w:rsidRPr="002A47F5">
        <w:rPr>
          <w:rFonts w:ascii="Palatino Linotype" w:hAnsi="Palatino Linotype"/>
          <w:bCs/>
          <w:sz w:val="18"/>
          <w:lang w:bidi="en-US"/>
        </w:rPr>
        <w:t>) based on the TIDE algorithm</w:t>
      </w:r>
      <w:r>
        <w:rPr>
          <w:rFonts w:ascii="Palatino Linotype" w:hAnsi="Palatino Linotype"/>
          <w:bCs/>
          <w:sz w:val="18"/>
          <w:lang w:bidi="en-US"/>
        </w:rPr>
        <w:t xml:space="preserve">. </w:t>
      </w:r>
      <w:r w:rsidRPr="002A47F5">
        <w:rPr>
          <w:rFonts w:ascii="Palatino Linotype" w:hAnsi="Palatino Linotype"/>
          <w:bCs/>
          <w:sz w:val="18"/>
          <w:lang w:bidi="en-US"/>
        </w:rPr>
        <w:t>TIDE: Tumor Immune Dysfunction and Exclusion; CAF: Cancer-Associated Fibroblasts; MDSC: Myeloid-Derived Suppressor Cells.</w:t>
      </w:r>
    </w:p>
    <w:bookmarkEnd w:id="0"/>
    <w:p w14:paraId="4B8B0D6F" w14:textId="0CDA6779" w:rsidR="002A47F5" w:rsidRDefault="00E71F6C" w:rsidP="00E71F6C">
      <w:pPr>
        <w:jc w:val="center"/>
        <w:rPr>
          <w:rFonts w:ascii="Palatino Linotype" w:hAnsi="Palatino Linotype"/>
          <w:sz w:val="18"/>
        </w:rPr>
      </w:pPr>
      <w:r>
        <w:rPr>
          <w:rFonts w:ascii="Palatino Linotype" w:hAnsi="Palatino Linotype"/>
          <w:noProof/>
          <w:sz w:val="18"/>
        </w:rPr>
        <w:lastRenderedPageBreak/>
        <w:drawing>
          <wp:inline distT="0" distB="0" distL="0" distR="0" wp14:anchorId="2F9323CC" wp14:editId="087E88BA">
            <wp:extent cx="4316095" cy="501713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6095" cy="5017135"/>
                    </a:xfrm>
                    <a:prstGeom prst="rect">
                      <a:avLst/>
                    </a:prstGeom>
                    <a:noFill/>
                  </pic:spPr>
                </pic:pic>
              </a:graphicData>
            </a:graphic>
          </wp:inline>
        </w:drawing>
      </w:r>
    </w:p>
    <w:p w14:paraId="520687BB" w14:textId="73E4AE34" w:rsidR="00E71F6C" w:rsidRPr="002A47F5" w:rsidRDefault="00E71F6C" w:rsidP="00E71F6C">
      <w:pPr>
        <w:rPr>
          <w:rFonts w:ascii="Palatino Linotype" w:hAnsi="Palatino Linotype"/>
          <w:bCs/>
          <w:sz w:val="18"/>
          <w:lang w:bidi="en-US"/>
        </w:rPr>
      </w:pPr>
      <w:r w:rsidRPr="002A47F5">
        <w:rPr>
          <w:rFonts w:ascii="Palatino Linotype" w:hAnsi="Palatino Linotype"/>
          <w:b/>
          <w:bCs/>
          <w:sz w:val="18"/>
          <w:lang w:bidi="en-US"/>
        </w:rPr>
        <w:t xml:space="preserve">Figure </w:t>
      </w:r>
      <w:r>
        <w:rPr>
          <w:rFonts w:ascii="Palatino Linotype" w:hAnsi="Palatino Linotype" w:hint="eastAsia"/>
          <w:b/>
          <w:bCs/>
          <w:sz w:val="18"/>
          <w:lang w:bidi="en-US"/>
        </w:rPr>
        <w:t>S</w:t>
      </w:r>
      <w:r>
        <w:rPr>
          <w:rFonts w:ascii="Palatino Linotype" w:hAnsi="Palatino Linotype"/>
          <w:b/>
          <w:bCs/>
          <w:sz w:val="18"/>
          <w:lang w:bidi="en-US"/>
        </w:rPr>
        <w:t>5</w:t>
      </w:r>
      <w:r w:rsidRPr="002A47F5">
        <w:rPr>
          <w:rFonts w:ascii="Palatino Linotype" w:hAnsi="Palatino Linotype"/>
          <w:b/>
          <w:bCs/>
          <w:sz w:val="18"/>
          <w:lang w:bidi="en-US"/>
        </w:rPr>
        <w:t xml:space="preserve">. </w:t>
      </w:r>
      <w:r>
        <w:rPr>
          <w:rFonts w:ascii="Palatino Linotype" w:hAnsi="Palatino Linotype"/>
          <w:b/>
          <w:bCs/>
          <w:sz w:val="18"/>
          <w:lang w:bidi="en-US"/>
        </w:rPr>
        <w:t>COX6A1 contributes to poor prognosis and relates to immune cells infiltration</w:t>
      </w:r>
      <w:r w:rsidRPr="002A47F5">
        <w:rPr>
          <w:rFonts w:ascii="Palatino Linotype" w:hAnsi="Palatino Linotype"/>
          <w:b/>
          <w:bCs/>
          <w:sz w:val="18"/>
          <w:lang w:bidi="en-US"/>
        </w:rPr>
        <w:t xml:space="preserve">. </w:t>
      </w:r>
      <w:r w:rsidRPr="002A47F5">
        <w:rPr>
          <w:rFonts w:ascii="Palatino Linotype" w:hAnsi="Palatino Linotype"/>
          <w:bCs/>
          <w:sz w:val="18"/>
          <w:lang w:bidi="en-US"/>
        </w:rPr>
        <w:t>(A)</w:t>
      </w:r>
      <w:r w:rsidRPr="00E71F6C">
        <w:t xml:space="preserve"> </w:t>
      </w:r>
      <w:r w:rsidRPr="00E71F6C">
        <w:rPr>
          <w:rFonts w:ascii="Palatino Linotype" w:hAnsi="Palatino Linotype"/>
          <w:bCs/>
          <w:sz w:val="18"/>
          <w:lang w:bidi="en-US"/>
        </w:rPr>
        <w:t xml:space="preserve">The KM survival curve </w:t>
      </w:r>
      <w:r>
        <w:rPr>
          <w:rFonts w:ascii="Palatino Linotype" w:hAnsi="Palatino Linotype"/>
          <w:bCs/>
          <w:sz w:val="18"/>
          <w:lang w:bidi="en-US"/>
        </w:rPr>
        <w:t xml:space="preserve">of </w:t>
      </w:r>
      <w:r w:rsidRPr="00932922">
        <w:rPr>
          <w:rFonts w:ascii="Times New Roman" w:eastAsia="Times New Roman" w:hAnsi="Times New Roman"/>
          <w:bCs/>
          <w:snapToGrid w:val="0"/>
          <w:szCs w:val="21"/>
          <w:lang w:eastAsia="de-DE" w:bidi="en-US"/>
        </w:rPr>
        <w:t>overall surviva</w:t>
      </w:r>
      <w:r w:rsidRPr="00E71F6C">
        <w:rPr>
          <w:rFonts w:ascii="Times New Roman" w:eastAsia="Times New Roman" w:hAnsi="Times New Roman"/>
          <w:bCs/>
          <w:snapToGrid w:val="0"/>
          <w:szCs w:val="21"/>
          <w:lang w:eastAsia="de-DE" w:bidi="en-US"/>
        </w:rPr>
        <w:t>l (</w:t>
      </w:r>
      <w:r w:rsidRPr="00E71F6C">
        <w:rPr>
          <w:rFonts w:ascii="Times New Roman" w:eastAsia="Times New Roman" w:hAnsi="Times New Roman"/>
          <w:bCs/>
          <w:snapToGrid w:val="0"/>
          <w:szCs w:val="21"/>
          <w:lang w:eastAsia="de-DE" w:bidi="en-US"/>
        </w:rPr>
        <w:t>A</w:t>
      </w:r>
      <w:r w:rsidRPr="00E71F6C">
        <w:rPr>
          <w:rFonts w:ascii="Times New Roman" w:eastAsia="Times New Roman" w:hAnsi="Times New Roman"/>
          <w:bCs/>
          <w:snapToGrid w:val="0"/>
          <w:szCs w:val="21"/>
          <w:lang w:eastAsia="de-DE" w:bidi="en-US"/>
        </w:rPr>
        <w:t>) and first progression (B)</w:t>
      </w:r>
      <w:r>
        <w:rPr>
          <w:rFonts w:ascii="Times New Roman" w:eastAsia="Times New Roman" w:hAnsi="Times New Roman"/>
          <w:bCs/>
          <w:snapToGrid w:val="0"/>
          <w:szCs w:val="21"/>
          <w:lang w:eastAsia="de-DE" w:bidi="en-US"/>
        </w:rPr>
        <w:t xml:space="preserve"> </w:t>
      </w:r>
      <w:r w:rsidRPr="00E71F6C">
        <w:rPr>
          <w:rFonts w:ascii="Palatino Linotype" w:hAnsi="Palatino Linotype"/>
          <w:bCs/>
          <w:sz w:val="18"/>
          <w:lang w:bidi="en-US"/>
        </w:rPr>
        <w:t xml:space="preserve">for patients with high and low expression of COX6A1 </w:t>
      </w:r>
      <w:r>
        <w:rPr>
          <w:rFonts w:ascii="Palatino Linotype" w:hAnsi="Palatino Linotype"/>
          <w:bCs/>
          <w:sz w:val="18"/>
          <w:lang w:bidi="en-US"/>
        </w:rPr>
        <w:t>based on KM plotter tool.</w:t>
      </w:r>
      <w:r w:rsidRPr="00E71F6C">
        <w:t xml:space="preserve"> </w:t>
      </w:r>
      <w:r w:rsidRPr="00E71F6C">
        <w:rPr>
          <w:rFonts w:ascii="Palatino Linotype" w:hAnsi="Palatino Linotype"/>
          <w:bCs/>
          <w:sz w:val="18"/>
          <w:lang w:bidi="en-US"/>
        </w:rPr>
        <w:t>(</w:t>
      </w:r>
      <w:r>
        <w:rPr>
          <w:rFonts w:ascii="Palatino Linotype" w:hAnsi="Palatino Linotype"/>
          <w:bCs/>
          <w:sz w:val="18"/>
          <w:lang w:bidi="en-US"/>
        </w:rPr>
        <w:t>C</w:t>
      </w:r>
      <w:r w:rsidRPr="00E71F6C">
        <w:rPr>
          <w:rFonts w:ascii="Palatino Linotype" w:hAnsi="Palatino Linotype"/>
          <w:bCs/>
          <w:sz w:val="18"/>
          <w:lang w:bidi="en-US"/>
        </w:rPr>
        <w:t xml:space="preserve">) The lollipop plot illustrates the correlation between COX6A1 expression and immune cell infiltration scores derived from </w:t>
      </w:r>
      <w:proofErr w:type="spellStart"/>
      <w:r w:rsidRPr="00E71F6C">
        <w:rPr>
          <w:rFonts w:ascii="Palatino Linotype" w:hAnsi="Palatino Linotype"/>
          <w:bCs/>
          <w:sz w:val="18"/>
          <w:lang w:bidi="en-US"/>
        </w:rPr>
        <w:t>xCell</w:t>
      </w:r>
      <w:proofErr w:type="spellEnd"/>
      <w:r>
        <w:rPr>
          <w:rFonts w:ascii="Palatino Linotype" w:hAnsi="Palatino Linotype"/>
          <w:bCs/>
          <w:sz w:val="18"/>
          <w:lang w:bidi="en-US"/>
        </w:rPr>
        <w:t>.</w:t>
      </w:r>
    </w:p>
    <w:p w14:paraId="31C04EAC" w14:textId="77777777" w:rsidR="00E71F6C" w:rsidRPr="00E71F6C" w:rsidRDefault="00E71F6C" w:rsidP="00E71F6C">
      <w:pPr>
        <w:jc w:val="center"/>
        <w:rPr>
          <w:rFonts w:ascii="Palatino Linotype" w:hAnsi="Palatino Linotype" w:hint="eastAsia"/>
          <w:sz w:val="18"/>
        </w:rPr>
      </w:pPr>
    </w:p>
    <w:sectPr w:rsidR="00E71F6C" w:rsidRPr="00E71F6C" w:rsidSect="004A643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00D92" w14:textId="77777777" w:rsidR="001B2BF5" w:rsidRDefault="001B2BF5" w:rsidP="00E71F6C">
      <w:r>
        <w:separator/>
      </w:r>
    </w:p>
  </w:endnote>
  <w:endnote w:type="continuationSeparator" w:id="0">
    <w:p w14:paraId="34E74C46" w14:textId="77777777" w:rsidR="001B2BF5" w:rsidRDefault="001B2BF5" w:rsidP="00E71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A6ED1" w14:textId="77777777" w:rsidR="001B2BF5" w:rsidRDefault="001B2BF5" w:rsidP="00E71F6C">
      <w:r>
        <w:separator/>
      </w:r>
    </w:p>
  </w:footnote>
  <w:footnote w:type="continuationSeparator" w:id="0">
    <w:p w14:paraId="3AB92694" w14:textId="77777777" w:rsidR="001B2BF5" w:rsidRDefault="001B2BF5" w:rsidP="00E71F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AzM7MwN7E0MDIzNTBT0lEKTi0uzszPAykwrAUA77nO9SwAAAA="/>
  </w:docVars>
  <w:rsids>
    <w:rsidRoot w:val="004A6433"/>
    <w:rsid w:val="00182F2E"/>
    <w:rsid w:val="001B2BF5"/>
    <w:rsid w:val="00222F48"/>
    <w:rsid w:val="002A47F5"/>
    <w:rsid w:val="004A6433"/>
    <w:rsid w:val="00701798"/>
    <w:rsid w:val="008A1340"/>
    <w:rsid w:val="00915ABB"/>
    <w:rsid w:val="009738C8"/>
    <w:rsid w:val="00996471"/>
    <w:rsid w:val="00E71F6C"/>
    <w:rsid w:val="00E74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12C8A"/>
  <w15:chartTrackingRefBased/>
  <w15:docId w15:val="{68C17F51-F7AF-4F62-A947-3823452A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1F6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71F6C"/>
    <w:rPr>
      <w:sz w:val="18"/>
      <w:szCs w:val="18"/>
    </w:rPr>
  </w:style>
  <w:style w:type="paragraph" w:styleId="a5">
    <w:name w:val="footer"/>
    <w:basedOn w:val="a"/>
    <w:link w:val="a6"/>
    <w:uiPriority w:val="99"/>
    <w:unhideWhenUsed/>
    <w:rsid w:val="00E71F6C"/>
    <w:pPr>
      <w:tabs>
        <w:tab w:val="center" w:pos="4153"/>
        <w:tab w:val="right" w:pos="8306"/>
      </w:tabs>
      <w:snapToGrid w:val="0"/>
      <w:jc w:val="left"/>
    </w:pPr>
    <w:rPr>
      <w:sz w:val="18"/>
      <w:szCs w:val="18"/>
    </w:rPr>
  </w:style>
  <w:style w:type="character" w:customStyle="1" w:styleId="a6">
    <w:name w:val="页脚 字符"/>
    <w:basedOn w:val="a0"/>
    <w:link w:val="a5"/>
    <w:uiPriority w:val="99"/>
    <w:rsid w:val="00E71F6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310</Words>
  <Characters>1770</Characters>
  <Application>Microsoft Office Word</Application>
  <DocSecurity>0</DocSecurity>
  <Lines>14</Lines>
  <Paragraphs>4</Paragraphs>
  <ScaleCrop>false</ScaleCrop>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王进</dc:creator>
  <cp:keywords/>
  <dc:description/>
  <cp:lastModifiedBy>进 王</cp:lastModifiedBy>
  <cp:revision>2</cp:revision>
  <dcterms:created xsi:type="dcterms:W3CDTF">2025-01-24T01:39:00Z</dcterms:created>
  <dcterms:modified xsi:type="dcterms:W3CDTF">2025-01-24T01:39:00Z</dcterms:modified>
</cp:coreProperties>
</file>