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8B143E" w14:textId="77777777" w:rsidR="0079328C" w:rsidRDefault="0079328C" w:rsidP="0092643B">
      <w:pPr>
        <w:spacing w:before="180" w:after="0" w:line="240" w:lineRule="auto"/>
        <w:jc w:val="center"/>
        <w:rPr>
          <w:b/>
          <w:bCs/>
          <w:color w:val="000000" w:themeColor="text1"/>
          <w:sz w:val="28"/>
        </w:rPr>
      </w:pPr>
      <w:r w:rsidRPr="0079328C">
        <w:rPr>
          <w:b/>
          <w:bCs/>
          <w:color w:val="000000" w:themeColor="text1"/>
          <w:sz w:val="28"/>
        </w:rPr>
        <w:t xml:space="preserve">γ-Glutamyl Transferase-to-Platelet Ratio in Liver Fibrosis: A Comprehensive Meta-Analysis of Diagnostic Accuracy and Cut-Off Points </w:t>
      </w:r>
    </w:p>
    <w:p w14:paraId="55343CA3" w14:textId="7FF3A197" w:rsidR="002C7FFA" w:rsidRPr="006015D7" w:rsidRDefault="002C7FFA" w:rsidP="0092643B">
      <w:pPr>
        <w:spacing w:before="180" w:after="0" w:line="240" w:lineRule="auto"/>
        <w:jc w:val="center"/>
        <w:rPr>
          <w:b/>
          <w:bCs/>
          <w:color w:val="000000" w:themeColor="text1"/>
          <w:sz w:val="24"/>
          <w:szCs w:val="24"/>
          <w:rtl/>
        </w:rPr>
      </w:pPr>
      <w:r w:rsidRPr="006015D7">
        <w:rPr>
          <w:color w:val="000000" w:themeColor="text1"/>
          <w:sz w:val="24"/>
          <w:szCs w:val="24"/>
        </w:rPr>
        <w:t>Ahmed N. Farrag,</w:t>
      </w:r>
      <w:r w:rsidRPr="006015D7">
        <w:rPr>
          <w:b/>
          <w:bCs/>
          <w:color w:val="000000" w:themeColor="text1"/>
          <w:sz w:val="24"/>
          <w:szCs w:val="24"/>
        </w:rPr>
        <w:t xml:space="preserve"> BPharm</w:t>
      </w:r>
      <w:r w:rsidRPr="006015D7">
        <w:rPr>
          <w:b/>
          <w:bCs/>
          <w:color w:val="000000" w:themeColor="text1"/>
          <w:sz w:val="24"/>
          <w:szCs w:val="24"/>
          <w:vertAlign w:val="superscript"/>
        </w:rPr>
        <w:t xml:space="preserve"> 1</w:t>
      </w:r>
      <w:r>
        <w:rPr>
          <w:b/>
          <w:bCs/>
          <w:color w:val="000000" w:themeColor="text1"/>
          <w:sz w:val="24"/>
          <w:szCs w:val="24"/>
          <w:vertAlign w:val="superscript"/>
        </w:rPr>
        <w:t>*</w:t>
      </w:r>
      <w:r w:rsidRPr="006015D7">
        <w:rPr>
          <w:b/>
          <w:bCs/>
          <w:color w:val="000000" w:themeColor="text1"/>
          <w:sz w:val="24"/>
          <w:szCs w:val="24"/>
        </w:rPr>
        <w:t xml:space="preserve">, </w:t>
      </w:r>
      <w:r w:rsidRPr="006015D7">
        <w:rPr>
          <w:color w:val="000000" w:themeColor="text1"/>
          <w:sz w:val="24"/>
          <w:szCs w:val="24"/>
        </w:rPr>
        <w:t>Ahmed M. Kamel,</w:t>
      </w:r>
      <w:r w:rsidRPr="006015D7">
        <w:rPr>
          <w:b/>
          <w:bCs/>
          <w:color w:val="000000" w:themeColor="text1"/>
          <w:sz w:val="24"/>
          <w:szCs w:val="24"/>
        </w:rPr>
        <w:t xml:space="preserve"> PhD</w:t>
      </w:r>
      <w:r w:rsidRPr="006015D7">
        <w:rPr>
          <w:b/>
          <w:bCs/>
          <w:color w:val="000000" w:themeColor="text1"/>
          <w:sz w:val="24"/>
          <w:szCs w:val="24"/>
          <w:vertAlign w:val="superscript"/>
        </w:rPr>
        <w:t xml:space="preserve"> 1</w:t>
      </w:r>
      <w:r w:rsidRPr="006015D7">
        <w:rPr>
          <w:b/>
          <w:bCs/>
          <w:color w:val="000000" w:themeColor="text1"/>
          <w:sz w:val="24"/>
          <w:szCs w:val="24"/>
        </w:rPr>
        <w:t>*</w:t>
      </w:r>
    </w:p>
    <w:p w14:paraId="500729FB" w14:textId="77777777" w:rsidR="002C7FFA" w:rsidRPr="006015D7" w:rsidRDefault="002C7FFA" w:rsidP="0092643B">
      <w:pPr>
        <w:spacing w:before="180" w:after="0" w:line="240" w:lineRule="auto"/>
        <w:jc w:val="center"/>
        <w:rPr>
          <w:color w:val="000000" w:themeColor="text1"/>
          <w:sz w:val="24"/>
          <w:szCs w:val="24"/>
        </w:rPr>
      </w:pPr>
    </w:p>
    <w:p w14:paraId="3DE26A2F" w14:textId="77777777" w:rsidR="002C7FFA" w:rsidRPr="006015D7" w:rsidRDefault="002C7FFA" w:rsidP="0092643B">
      <w:pPr>
        <w:spacing w:before="0" w:after="160" w:line="259" w:lineRule="auto"/>
        <w:rPr>
          <w:color w:val="000000" w:themeColor="text1"/>
          <w:sz w:val="24"/>
          <w:szCs w:val="24"/>
        </w:rPr>
      </w:pPr>
      <w:r w:rsidRPr="006015D7">
        <w:rPr>
          <w:color w:val="000000" w:themeColor="text1"/>
          <w:sz w:val="24"/>
          <w:szCs w:val="24"/>
          <w:vertAlign w:val="superscript"/>
        </w:rPr>
        <w:t>1</w:t>
      </w:r>
      <w:r w:rsidRPr="006015D7">
        <w:rPr>
          <w:color w:val="000000" w:themeColor="text1"/>
          <w:sz w:val="24"/>
          <w:szCs w:val="24"/>
        </w:rPr>
        <w:t xml:space="preserve"> Clinical Pharmacy Department, College of Pharmacy, Cairo University, Cairo, 11562, Egypt</w:t>
      </w:r>
    </w:p>
    <w:p w14:paraId="32106B69" w14:textId="77777777" w:rsidR="002C7FFA" w:rsidRDefault="002C7FFA" w:rsidP="0092643B">
      <w:pPr>
        <w:spacing w:before="0" w:after="160" w:line="259" w:lineRule="auto"/>
        <w:rPr>
          <w:b/>
          <w:bCs/>
          <w:color w:val="000000" w:themeColor="text1"/>
          <w:sz w:val="24"/>
          <w:szCs w:val="24"/>
        </w:rPr>
      </w:pPr>
      <w:r w:rsidRPr="006015D7">
        <w:rPr>
          <w:b/>
          <w:bCs/>
          <w:color w:val="000000" w:themeColor="text1"/>
          <w:sz w:val="24"/>
          <w:szCs w:val="24"/>
        </w:rPr>
        <w:t>* Corresponding author</w:t>
      </w:r>
      <w:r>
        <w:rPr>
          <w:b/>
          <w:bCs/>
          <w:color w:val="000000" w:themeColor="text1"/>
          <w:sz w:val="24"/>
          <w:szCs w:val="24"/>
        </w:rPr>
        <w:t>s</w:t>
      </w:r>
      <w:r w:rsidRPr="006015D7">
        <w:rPr>
          <w:b/>
          <w:bCs/>
          <w:color w:val="000000" w:themeColor="text1"/>
          <w:sz w:val="24"/>
          <w:szCs w:val="24"/>
        </w:rPr>
        <w:t xml:space="preserve">: </w:t>
      </w:r>
    </w:p>
    <w:p w14:paraId="3AF568EC" w14:textId="77777777" w:rsidR="002C7FFA" w:rsidRPr="006015D7" w:rsidRDefault="002C7FFA" w:rsidP="0092643B">
      <w:pPr>
        <w:spacing w:before="0" w:after="160" w:line="259" w:lineRule="auto"/>
        <w:rPr>
          <w:color w:val="000000" w:themeColor="text1"/>
          <w:sz w:val="24"/>
          <w:szCs w:val="24"/>
        </w:rPr>
      </w:pPr>
      <w:r w:rsidRPr="006015D7">
        <w:rPr>
          <w:b/>
          <w:bCs/>
          <w:color w:val="000000" w:themeColor="text1"/>
          <w:sz w:val="24"/>
          <w:szCs w:val="24"/>
        </w:rPr>
        <w:t xml:space="preserve">Ahmed </w:t>
      </w:r>
      <w:r>
        <w:rPr>
          <w:b/>
          <w:bCs/>
          <w:color w:val="000000" w:themeColor="text1"/>
          <w:sz w:val="24"/>
          <w:szCs w:val="24"/>
        </w:rPr>
        <w:t>N</w:t>
      </w:r>
      <w:r w:rsidRPr="006015D7">
        <w:rPr>
          <w:b/>
          <w:bCs/>
          <w:color w:val="000000" w:themeColor="text1"/>
          <w:sz w:val="24"/>
          <w:szCs w:val="24"/>
        </w:rPr>
        <w:t xml:space="preserve">. </w:t>
      </w:r>
      <w:r>
        <w:rPr>
          <w:b/>
          <w:bCs/>
          <w:color w:val="000000" w:themeColor="text1"/>
          <w:sz w:val="24"/>
          <w:szCs w:val="24"/>
        </w:rPr>
        <w:t>Farrag</w:t>
      </w:r>
      <w:r w:rsidRPr="006015D7">
        <w:rPr>
          <w:color w:val="000000" w:themeColor="text1"/>
          <w:sz w:val="24"/>
          <w:szCs w:val="24"/>
        </w:rPr>
        <w:t xml:space="preserve">, </w:t>
      </w:r>
      <w:r w:rsidRPr="006015D7">
        <w:rPr>
          <w:rFonts w:ascii="Segoe UI Symbol" w:hAnsi="Segoe UI Symbol" w:cs="Segoe UI Symbol"/>
          <w:color w:val="000000" w:themeColor="text1"/>
          <w:sz w:val="24"/>
          <w:szCs w:val="24"/>
        </w:rPr>
        <w:t>✉</w:t>
      </w:r>
      <w:r w:rsidRPr="006015D7">
        <w:rPr>
          <w:color w:val="000000" w:themeColor="text1"/>
          <w:sz w:val="24"/>
          <w:szCs w:val="24"/>
        </w:rPr>
        <w:t xml:space="preserve"> </w:t>
      </w:r>
      <w:hyperlink r:id="rId8" w:history="1">
        <w:r w:rsidRPr="0032372F">
          <w:rPr>
            <w:rStyle w:val="Hyperlink"/>
            <w:sz w:val="24"/>
            <w:szCs w:val="24"/>
          </w:rPr>
          <w:t>ahmed.farrag@cu.edu.eg</w:t>
        </w:r>
      </w:hyperlink>
      <w:r>
        <w:rPr>
          <w:color w:val="000000" w:themeColor="text1"/>
          <w:sz w:val="24"/>
          <w:szCs w:val="24"/>
        </w:rPr>
        <w:t xml:space="preserve">, </w:t>
      </w:r>
      <w:r w:rsidRPr="006015D7">
        <w:rPr>
          <w:b/>
          <w:bCs/>
          <w:color w:val="000000" w:themeColor="text1"/>
          <w:sz w:val="24"/>
          <w:szCs w:val="24"/>
        </w:rPr>
        <w:t>ORCID ID</w:t>
      </w:r>
      <w:r w:rsidRPr="006015D7">
        <w:rPr>
          <w:color w:val="000000" w:themeColor="text1"/>
          <w:sz w:val="24"/>
          <w:szCs w:val="24"/>
        </w:rPr>
        <w:t>: 0000-0001-9241-0127</w:t>
      </w:r>
    </w:p>
    <w:p w14:paraId="73C6EE0A" w14:textId="77777777" w:rsidR="002C7FFA" w:rsidRPr="006015D7" w:rsidRDefault="002C7FFA" w:rsidP="0092643B">
      <w:pPr>
        <w:spacing w:before="0" w:after="160" w:line="259" w:lineRule="auto"/>
        <w:rPr>
          <w:color w:val="000000" w:themeColor="text1"/>
          <w:sz w:val="24"/>
          <w:szCs w:val="24"/>
        </w:rPr>
      </w:pPr>
      <w:r w:rsidRPr="006015D7">
        <w:rPr>
          <w:b/>
          <w:bCs/>
          <w:color w:val="000000" w:themeColor="text1"/>
          <w:sz w:val="24"/>
          <w:szCs w:val="24"/>
        </w:rPr>
        <w:t>Ahmed M. Kamel</w:t>
      </w:r>
      <w:r w:rsidRPr="006015D7">
        <w:rPr>
          <w:color w:val="000000" w:themeColor="text1"/>
          <w:sz w:val="24"/>
          <w:szCs w:val="24"/>
        </w:rPr>
        <w:t xml:space="preserve">, </w:t>
      </w:r>
      <w:r w:rsidRPr="006015D7">
        <w:rPr>
          <w:rFonts w:ascii="Segoe UI Symbol" w:hAnsi="Segoe UI Symbol" w:cs="Segoe UI Symbol"/>
          <w:color w:val="000000" w:themeColor="text1"/>
          <w:sz w:val="24"/>
          <w:szCs w:val="24"/>
        </w:rPr>
        <w:t>✉</w:t>
      </w:r>
      <w:r w:rsidRPr="006015D7">
        <w:rPr>
          <w:color w:val="000000" w:themeColor="text1"/>
          <w:sz w:val="24"/>
          <w:szCs w:val="24"/>
        </w:rPr>
        <w:t xml:space="preserve"> </w:t>
      </w:r>
      <w:hyperlink r:id="rId9" w:history="1">
        <w:r w:rsidRPr="00A21518">
          <w:rPr>
            <w:rStyle w:val="Hyperlink"/>
            <w:sz w:val="24"/>
            <w:szCs w:val="24"/>
          </w:rPr>
          <w:t>ahmedm.kamel@pharma.cu.edu.eg</w:t>
        </w:r>
      </w:hyperlink>
      <w:r w:rsidRPr="006015D7">
        <w:rPr>
          <w:color w:val="000000" w:themeColor="text1"/>
          <w:sz w:val="24"/>
          <w:szCs w:val="24"/>
        </w:rPr>
        <w:t xml:space="preserve"> </w:t>
      </w:r>
      <w:r>
        <w:rPr>
          <w:color w:val="000000" w:themeColor="text1"/>
          <w:sz w:val="24"/>
          <w:szCs w:val="24"/>
        </w:rPr>
        <w:t xml:space="preserve">, </w:t>
      </w:r>
      <w:r w:rsidRPr="006015D7">
        <w:rPr>
          <w:b/>
          <w:bCs/>
          <w:color w:val="000000" w:themeColor="text1"/>
          <w:sz w:val="24"/>
          <w:szCs w:val="24"/>
        </w:rPr>
        <w:t>ORCID ID</w:t>
      </w:r>
      <w:r w:rsidRPr="006015D7">
        <w:rPr>
          <w:color w:val="000000" w:themeColor="text1"/>
          <w:sz w:val="24"/>
          <w:szCs w:val="24"/>
        </w:rPr>
        <w:t>: 0000-0002-3791-5998</w:t>
      </w:r>
    </w:p>
    <w:p w14:paraId="31A6DA56" w14:textId="77777777" w:rsidR="002C7FFA" w:rsidRPr="006015D7" w:rsidRDefault="002C7FFA" w:rsidP="0092643B">
      <w:pPr>
        <w:spacing w:before="0" w:after="160" w:line="259" w:lineRule="auto"/>
        <w:rPr>
          <w:color w:val="000000" w:themeColor="text1"/>
          <w:sz w:val="24"/>
          <w:szCs w:val="24"/>
        </w:rPr>
      </w:pPr>
      <w:r w:rsidRPr="006015D7">
        <w:rPr>
          <w:color w:val="000000" w:themeColor="text1"/>
          <w:sz w:val="24"/>
          <w:szCs w:val="24"/>
        </w:rPr>
        <w:t xml:space="preserve">Clinical Pharmacy Department, Faculty of Pharmacy, Cairo University, Cairo, 11562, Egypt </w:t>
      </w:r>
    </w:p>
    <w:p w14:paraId="6912F3E0" w14:textId="77777777" w:rsidR="002C7FFA" w:rsidRPr="006015D7" w:rsidRDefault="002C7FFA" w:rsidP="0092643B">
      <w:pPr>
        <w:spacing w:before="0" w:after="160" w:line="259" w:lineRule="auto"/>
        <w:rPr>
          <w:color w:val="000000" w:themeColor="text1"/>
          <w:sz w:val="24"/>
          <w:szCs w:val="24"/>
        </w:rPr>
      </w:pPr>
      <w:r w:rsidRPr="006015D7">
        <w:rPr>
          <w:b/>
          <w:bCs/>
          <w:color w:val="000000" w:themeColor="text1"/>
          <w:sz w:val="24"/>
          <w:szCs w:val="24"/>
        </w:rPr>
        <w:t>Tel</w:t>
      </w:r>
      <w:r w:rsidRPr="006015D7">
        <w:rPr>
          <w:color w:val="000000" w:themeColor="text1"/>
          <w:sz w:val="24"/>
          <w:szCs w:val="24"/>
        </w:rPr>
        <w:t xml:space="preserve">.: </w:t>
      </w:r>
      <w:bookmarkStart w:id="0" w:name="_Hlk157178226"/>
      <w:r w:rsidRPr="006015D7">
        <w:rPr>
          <w:color w:val="000000" w:themeColor="text1"/>
          <w:sz w:val="24"/>
          <w:szCs w:val="24"/>
        </w:rPr>
        <w:t>+01</w:t>
      </w:r>
      <w:r>
        <w:rPr>
          <w:color w:val="000000" w:themeColor="text1"/>
          <w:sz w:val="24"/>
          <w:szCs w:val="24"/>
        </w:rPr>
        <w:t>1</w:t>
      </w:r>
      <w:r w:rsidRPr="006015D7">
        <w:rPr>
          <w:color w:val="000000" w:themeColor="text1"/>
          <w:sz w:val="24"/>
          <w:szCs w:val="24"/>
        </w:rPr>
        <w:t>-</w:t>
      </w:r>
      <w:r>
        <w:rPr>
          <w:color w:val="000000" w:themeColor="text1"/>
          <w:sz w:val="24"/>
          <w:szCs w:val="24"/>
        </w:rPr>
        <w:t>1203</w:t>
      </w:r>
      <w:r w:rsidRPr="006015D7">
        <w:rPr>
          <w:color w:val="000000" w:themeColor="text1"/>
          <w:sz w:val="24"/>
          <w:szCs w:val="24"/>
        </w:rPr>
        <w:t>-</w:t>
      </w:r>
      <w:r>
        <w:rPr>
          <w:color w:val="000000" w:themeColor="text1"/>
          <w:sz w:val="24"/>
          <w:szCs w:val="24"/>
        </w:rPr>
        <w:t>9434</w:t>
      </w:r>
      <w:bookmarkEnd w:id="0"/>
      <w:r w:rsidRPr="006015D7">
        <w:rPr>
          <w:color w:val="000000" w:themeColor="text1"/>
          <w:sz w:val="24"/>
          <w:szCs w:val="24"/>
        </w:rPr>
        <w:t xml:space="preserve">, </w:t>
      </w:r>
      <w:r w:rsidRPr="006015D7">
        <w:rPr>
          <w:b/>
          <w:bCs/>
          <w:color w:val="000000" w:themeColor="text1"/>
          <w:sz w:val="24"/>
          <w:szCs w:val="24"/>
        </w:rPr>
        <w:t>Fax</w:t>
      </w:r>
      <w:r w:rsidRPr="006015D7">
        <w:rPr>
          <w:color w:val="000000" w:themeColor="text1"/>
          <w:sz w:val="24"/>
          <w:szCs w:val="24"/>
        </w:rPr>
        <w:t xml:space="preserve">: +011-202-25320005 </w:t>
      </w:r>
    </w:p>
    <w:p w14:paraId="1722C207" w14:textId="77777777" w:rsidR="002C7FFA" w:rsidRPr="008035A5" w:rsidRDefault="002C7FFA" w:rsidP="008035A5">
      <w:pPr>
        <w:spacing w:before="180" w:after="0" w:line="240" w:lineRule="auto"/>
        <w:jc w:val="center"/>
        <w:rPr>
          <w:b/>
          <w:bCs/>
          <w:color w:val="000000" w:themeColor="text1"/>
          <w:sz w:val="32"/>
          <w:szCs w:val="32"/>
        </w:rPr>
      </w:pPr>
    </w:p>
    <w:sdt>
      <w:sdtPr>
        <w:rPr>
          <w:rFonts w:asciiTheme="majorBidi" w:eastAsia="Times New Roman" w:hAnsiTheme="majorBidi"/>
          <w:color w:val="auto"/>
          <w:sz w:val="22"/>
          <w:szCs w:val="28"/>
          <w:lang w:eastAsia="en-GB" w:bidi="ar-EG"/>
        </w:rPr>
        <w:id w:val="-1430188173"/>
        <w:docPartObj>
          <w:docPartGallery w:val="Table of Contents"/>
          <w:docPartUnique/>
        </w:docPartObj>
      </w:sdtPr>
      <w:sdtEndPr>
        <w:rPr>
          <w:b/>
          <w:bCs/>
          <w:noProof/>
        </w:rPr>
      </w:sdtEndPr>
      <w:sdtContent>
        <w:p w14:paraId="2B7A3E5E" w14:textId="77777777" w:rsidR="002C7FFA" w:rsidRPr="008035A5" w:rsidRDefault="002C7FFA" w:rsidP="008035A5">
          <w:pPr>
            <w:pStyle w:val="TOCHeading"/>
            <w:rPr>
              <w:rFonts w:asciiTheme="majorBidi" w:hAnsiTheme="majorBidi"/>
              <w:b/>
              <w:bCs/>
              <w:color w:val="auto"/>
            </w:rPr>
          </w:pPr>
          <w:r>
            <w:rPr>
              <w:rFonts w:asciiTheme="majorBidi" w:hAnsiTheme="majorBidi"/>
              <w:b/>
              <w:bCs/>
              <w:color w:val="auto"/>
            </w:rPr>
            <w:t>Appendix B</w:t>
          </w:r>
        </w:p>
        <w:p w14:paraId="0BB75BFE" w14:textId="77777777" w:rsidR="002C7FFA" w:rsidRPr="008035A5" w:rsidRDefault="002C7FFA">
          <w:pPr>
            <w:pStyle w:val="TOC1"/>
            <w:rPr>
              <w:rFonts w:eastAsiaTheme="minorEastAsia"/>
              <w:noProof/>
              <w:kern w:val="2"/>
              <w:sz w:val="24"/>
              <w:szCs w:val="24"/>
              <w:lang w:eastAsia="en-US" w:bidi="ar-SA"/>
              <w14:ligatures w14:val="standardContextual"/>
            </w:rPr>
          </w:pPr>
          <w:r w:rsidRPr="008035A5">
            <w:fldChar w:fldCharType="begin"/>
          </w:r>
          <w:r w:rsidRPr="008035A5">
            <w:instrText xml:space="preserve"> TOC \o "1-3" \h \z \u </w:instrText>
          </w:r>
          <w:r w:rsidRPr="008035A5">
            <w:fldChar w:fldCharType="separate"/>
          </w:r>
          <w:hyperlink w:anchor="_Toc156977639" w:history="1">
            <w:r w:rsidRPr="008035A5">
              <w:rPr>
                <w:rStyle w:val="Hyperlink"/>
                <w:noProof/>
                <w:lang w:val="en-GB" w:eastAsia="en-US"/>
              </w:rPr>
              <w:t>1.</w:t>
            </w:r>
            <w:r w:rsidRPr="008035A5">
              <w:rPr>
                <w:rFonts w:eastAsiaTheme="minorEastAsia"/>
                <w:noProof/>
                <w:kern w:val="2"/>
                <w:sz w:val="24"/>
                <w:szCs w:val="24"/>
                <w:lang w:eastAsia="en-US" w:bidi="ar-SA"/>
                <w14:ligatures w14:val="standardContextual"/>
              </w:rPr>
              <w:tab/>
            </w:r>
            <w:r w:rsidRPr="008035A5">
              <w:rPr>
                <w:rStyle w:val="Hyperlink"/>
                <w:noProof/>
                <w:lang w:val="en-GB" w:eastAsia="en-US"/>
              </w:rPr>
              <w:t>Search Strategy</w:t>
            </w:r>
            <w:r w:rsidRPr="008035A5">
              <w:rPr>
                <w:noProof/>
                <w:webHidden/>
              </w:rPr>
              <w:tab/>
            </w:r>
            <w:r w:rsidRPr="008035A5">
              <w:rPr>
                <w:noProof/>
                <w:webHidden/>
              </w:rPr>
              <w:fldChar w:fldCharType="begin"/>
            </w:r>
            <w:r w:rsidRPr="008035A5">
              <w:rPr>
                <w:noProof/>
                <w:webHidden/>
              </w:rPr>
              <w:instrText xml:space="preserve"> PAGEREF _Toc156977639 \h </w:instrText>
            </w:r>
            <w:r w:rsidRPr="008035A5">
              <w:rPr>
                <w:noProof/>
                <w:webHidden/>
              </w:rPr>
            </w:r>
            <w:r w:rsidRPr="008035A5">
              <w:rPr>
                <w:noProof/>
                <w:webHidden/>
              </w:rPr>
              <w:fldChar w:fldCharType="separate"/>
            </w:r>
            <w:r w:rsidRPr="008035A5">
              <w:rPr>
                <w:noProof/>
                <w:webHidden/>
              </w:rPr>
              <w:t>3</w:t>
            </w:r>
            <w:r w:rsidRPr="008035A5">
              <w:rPr>
                <w:noProof/>
                <w:webHidden/>
              </w:rPr>
              <w:fldChar w:fldCharType="end"/>
            </w:r>
          </w:hyperlink>
        </w:p>
        <w:p w14:paraId="1450C976" w14:textId="77777777" w:rsidR="002C7FFA" w:rsidRPr="008035A5" w:rsidRDefault="002C7FFA">
          <w:pPr>
            <w:pStyle w:val="TOC1"/>
            <w:rPr>
              <w:rFonts w:eastAsiaTheme="minorEastAsia"/>
              <w:noProof/>
              <w:kern w:val="2"/>
              <w:sz w:val="24"/>
              <w:szCs w:val="24"/>
              <w:lang w:eastAsia="en-US" w:bidi="ar-SA"/>
              <w14:ligatures w14:val="standardContextual"/>
            </w:rPr>
          </w:pPr>
          <w:hyperlink w:anchor="_Toc156977640" w:history="1">
            <w:r w:rsidRPr="008035A5">
              <w:rPr>
                <w:rStyle w:val="Hyperlink"/>
                <w:rFonts w:eastAsiaTheme="minorHAnsi"/>
                <w:noProof/>
                <w:lang w:val="en-GB" w:eastAsia="en-US"/>
              </w:rPr>
              <w:t>2.</w:t>
            </w:r>
            <w:r w:rsidRPr="008035A5">
              <w:rPr>
                <w:rFonts w:eastAsiaTheme="minorEastAsia"/>
                <w:noProof/>
                <w:kern w:val="2"/>
                <w:sz w:val="24"/>
                <w:szCs w:val="24"/>
                <w:lang w:eastAsia="en-US" w:bidi="ar-SA"/>
                <w14:ligatures w14:val="standardContextual"/>
              </w:rPr>
              <w:tab/>
            </w:r>
            <w:r w:rsidRPr="008035A5">
              <w:rPr>
                <w:rStyle w:val="Hyperlink"/>
                <w:rFonts w:eastAsiaTheme="minorHAnsi"/>
                <w:noProof/>
                <w:lang w:val="en-GB" w:eastAsia="en-US"/>
              </w:rPr>
              <w:t>Characteristics of the included studies (n = 3</w:t>
            </w:r>
            <w:r>
              <w:rPr>
                <w:rStyle w:val="Hyperlink"/>
                <w:rFonts w:eastAsiaTheme="minorHAnsi"/>
                <w:noProof/>
                <w:lang w:val="en-GB" w:eastAsia="en-US"/>
              </w:rPr>
              <w:t>3</w:t>
            </w:r>
            <w:r w:rsidRPr="008035A5">
              <w:rPr>
                <w:rStyle w:val="Hyperlink"/>
                <w:rFonts w:eastAsiaTheme="minorHAnsi"/>
                <w:noProof/>
                <w:lang w:val="en-GB" w:eastAsia="en-US"/>
              </w:rPr>
              <w:t>)</w:t>
            </w:r>
            <w:r w:rsidRPr="008035A5">
              <w:rPr>
                <w:noProof/>
                <w:webHidden/>
              </w:rPr>
              <w:tab/>
            </w:r>
            <w:r w:rsidRPr="008035A5">
              <w:rPr>
                <w:noProof/>
                <w:webHidden/>
              </w:rPr>
              <w:fldChar w:fldCharType="begin"/>
            </w:r>
            <w:r w:rsidRPr="008035A5">
              <w:rPr>
                <w:noProof/>
                <w:webHidden/>
              </w:rPr>
              <w:instrText xml:space="preserve"> PAGEREF _Toc156977640 \h </w:instrText>
            </w:r>
            <w:r w:rsidRPr="008035A5">
              <w:rPr>
                <w:noProof/>
                <w:webHidden/>
              </w:rPr>
            </w:r>
            <w:r w:rsidRPr="008035A5">
              <w:rPr>
                <w:noProof/>
                <w:webHidden/>
              </w:rPr>
              <w:fldChar w:fldCharType="separate"/>
            </w:r>
            <w:r w:rsidRPr="008035A5">
              <w:rPr>
                <w:noProof/>
                <w:webHidden/>
              </w:rPr>
              <w:t>4</w:t>
            </w:r>
            <w:r w:rsidRPr="008035A5">
              <w:rPr>
                <w:noProof/>
                <w:webHidden/>
              </w:rPr>
              <w:fldChar w:fldCharType="end"/>
            </w:r>
          </w:hyperlink>
        </w:p>
        <w:p w14:paraId="7A4D7174" w14:textId="77777777" w:rsidR="002C7FFA" w:rsidRPr="008035A5" w:rsidRDefault="002C7FFA">
          <w:pPr>
            <w:pStyle w:val="TOC1"/>
            <w:rPr>
              <w:rFonts w:eastAsiaTheme="minorEastAsia"/>
              <w:noProof/>
              <w:kern w:val="2"/>
              <w:sz w:val="24"/>
              <w:szCs w:val="24"/>
              <w:lang w:eastAsia="en-US" w:bidi="ar-SA"/>
              <w14:ligatures w14:val="standardContextual"/>
            </w:rPr>
          </w:pPr>
          <w:hyperlink w:anchor="_Toc156977641" w:history="1">
            <w:r w:rsidRPr="008035A5">
              <w:rPr>
                <w:rStyle w:val="Hyperlink"/>
                <w:noProof/>
                <w:lang w:val="en-GB" w:eastAsia="en-US"/>
              </w:rPr>
              <w:t>3.</w:t>
            </w:r>
            <w:r w:rsidRPr="008035A5">
              <w:rPr>
                <w:rFonts w:eastAsiaTheme="minorEastAsia"/>
                <w:noProof/>
                <w:kern w:val="2"/>
                <w:sz w:val="24"/>
                <w:szCs w:val="24"/>
                <w:lang w:eastAsia="en-US" w:bidi="ar-SA"/>
                <w14:ligatures w14:val="standardContextual"/>
              </w:rPr>
              <w:tab/>
            </w:r>
            <w:r w:rsidRPr="008035A5">
              <w:rPr>
                <w:rStyle w:val="Hyperlink"/>
                <w:noProof/>
                <w:lang w:val="en-GB" w:eastAsia="en-US"/>
              </w:rPr>
              <w:t>Risk of bias assessment</w:t>
            </w:r>
            <w:r w:rsidRPr="008035A5">
              <w:rPr>
                <w:noProof/>
                <w:webHidden/>
              </w:rPr>
              <w:tab/>
            </w:r>
            <w:r w:rsidRPr="008035A5">
              <w:rPr>
                <w:noProof/>
                <w:webHidden/>
              </w:rPr>
              <w:fldChar w:fldCharType="begin"/>
            </w:r>
            <w:r w:rsidRPr="008035A5">
              <w:rPr>
                <w:noProof/>
                <w:webHidden/>
              </w:rPr>
              <w:instrText xml:space="preserve"> PAGEREF _Toc156977641 \h </w:instrText>
            </w:r>
            <w:r w:rsidRPr="008035A5">
              <w:rPr>
                <w:noProof/>
                <w:webHidden/>
              </w:rPr>
            </w:r>
            <w:r w:rsidRPr="008035A5">
              <w:rPr>
                <w:noProof/>
                <w:webHidden/>
              </w:rPr>
              <w:fldChar w:fldCharType="separate"/>
            </w:r>
            <w:r w:rsidRPr="008035A5">
              <w:rPr>
                <w:noProof/>
                <w:webHidden/>
              </w:rPr>
              <w:t>7</w:t>
            </w:r>
            <w:r w:rsidRPr="008035A5">
              <w:rPr>
                <w:noProof/>
                <w:webHidden/>
              </w:rPr>
              <w:fldChar w:fldCharType="end"/>
            </w:r>
          </w:hyperlink>
        </w:p>
        <w:p w14:paraId="08067B2F" w14:textId="77777777" w:rsidR="002C7FFA" w:rsidRPr="008035A5" w:rsidRDefault="002C7FFA">
          <w:pPr>
            <w:pStyle w:val="TOC1"/>
            <w:rPr>
              <w:rFonts w:eastAsiaTheme="minorEastAsia"/>
              <w:noProof/>
              <w:kern w:val="2"/>
              <w:sz w:val="24"/>
              <w:szCs w:val="24"/>
              <w:lang w:eastAsia="en-US" w:bidi="ar-SA"/>
              <w14:ligatures w14:val="standardContextual"/>
            </w:rPr>
          </w:pPr>
          <w:hyperlink w:anchor="_Toc156977642" w:history="1">
            <w:r w:rsidRPr="008035A5">
              <w:rPr>
                <w:rStyle w:val="Hyperlink"/>
                <w:noProof/>
                <w:lang w:val="en-GB" w:eastAsia="en-US"/>
              </w:rPr>
              <w:t>4.</w:t>
            </w:r>
            <w:r w:rsidRPr="008035A5">
              <w:rPr>
                <w:rFonts w:eastAsiaTheme="minorEastAsia"/>
                <w:noProof/>
                <w:kern w:val="2"/>
                <w:sz w:val="24"/>
                <w:szCs w:val="24"/>
                <w:lang w:eastAsia="en-US" w:bidi="ar-SA"/>
                <w14:ligatures w14:val="standardContextual"/>
              </w:rPr>
              <w:tab/>
            </w:r>
            <w:r w:rsidRPr="008035A5">
              <w:rPr>
                <w:rStyle w:val="Hyperlink"/>
                <w:noProof/>
                <w:lang w:val="en-GB" w:eastAsia="en-US"/>
              </w:rPr>
              <w:t>Summary of risk of bias assessment</w:t>
            </w:r>
            <w:r w:rsidRPr="008035A5">
              <w:rPr>
                <w:noProof/>
                <w:webHidden/>
              </w:rPr>
              <w:tab/>
            </w:r>
            <w:r w:rsidRPr="008035A5">
              <w:rPr>
                <w:noProof/>
                <w:webHidden/>
              </w:rPr>
              <w:fldChar w:fldCharType="begin"/>
            </w:r>
            <w:r w:rsidRPr="008035A5">
              <w:rPr>
                <w:noProof/>
                <w:webHidden/>
              </w:rPr>
              <w:instrText xml:space="preserve"> PAGEREF _Toc156977642 \h </w:instrText>
            </w:r>
            <w:r w:rsidRPr="008035A5">
              <w:rPr>
                <w:noProof/>
                <w:webHidden/>
              </w:rPr>
            </w:r>
            <w:r w:rsidRPr="008035A5">
              <w:rPr>
                <w:noProof/>
                <w:webHidden/>
              </w:rPr>
              <w:fldChar w:fldCharType="separate"/>
            </w:r>
            <w:r w:rsidRPr="008035A5">
              <w:rPr>
                <w:noProof/>
                <w:webHidden/>
              </w:rPr>
              <w:t>8</w:t>
            </w:r>
            <w:r w:rsidRPr="008035A5">
              <w:rPr>
                <w:noProof/>
                <w:webHidden/>
              </w:rPr>
              <w:fldChar w:fldCharType="end"/>
            </w:r>
          </w:hyperlink>
        </w:p>
        <w:p w14:paraId="7BB08047" w14:textId="77777777" w:rsidR="002C7FFA" w:rsidRPr="008035A5" w:rsidRDefault="002C7FFA">
          <w:pPr>
            <w:pStyle w:val="TOC1"/>
            <w:rPr>
              <w:rFonts w:eastAsiaTheme="minorEastAsia"/>
              <w:noProof/>
              <w:kern w:val="2"/>
              <w:sz w:val="24"/>
              <w:szCs w:val="24"/>
              <w:lang w:eastAsia="en-US" w:bidi="ar-SA"/>
              <w14:ligatures w14:val="standardContextual"/>
            </w:rPr>
          </w:pPr>
          <w:hyperlink w:anchor="_Toc156977643" w:history="1">
            <w:r w:rsidRPr="008035A5">
              <w:rPr>
                <w:rStyle w:val="Hyperlink"/>
                <w:noProof/>
                <w:lang w:val="en-GB" w:eastAsia="en-US"/>
              </w:rPr>
              <w:t>5.</w:t>
            </w:r>
            <w:r w:rsidRPr="008035A5">
              <w:rPr>
                <w:rFonts w:eastAsiaTheme="minorEastAsia"/>
                <w:noProof/>
                <w:kern w:val="2"/>
                <w:sz w:val="24"/>
                <w:szCs w:val="24"/>
                <w:lang w:eastAsia="en-US" w:bidi="ar-SA"/>
                <w14:ligatures w14:val="standardContextual"/>
              </w:rPr>
              <w:tab/>
            </w:r>
            <w:r w:rsidRPr="008035A5">
              <w:rPr>
                <w:rStyle w:val="Hyperlink"/>
                <w:noProof/>
              </w:rPr>
              <w:t>Pooled sensitivity and Specificity of GPR in diagnosing severe fibrosis (F3)</w:t>
            </w:r>
            <w:r w:rsidRPr="008035A5">
              <w:rPr>
                <w:noProof/>
                <w:webHidden/>
              </w:rPr>
              <w:tab/>
            </w:r>
            <w:r w:rsidRPr="008035A5">
              <w:rPr>
                <w:noProof/>
                <w:webHidden/>
              </w:rPr>
              <w:fldChar w:fldCharType="begin"/>
            </w:r>
            <w:r w:rsidRPr="008035A5">
              <w:rPr>
                <w:noProof/>
                <w:webHidden/>
              </w:rPr>
              <w:instrText xml:space="preserve"> PAGEREF _Toc156977643 \h </w:instrText>
            </w:r>
            <w:r w:rsidRPr="008035A5">
              <w:rPr>
                <w:noProof/>
                <w:webHidden/>
              </w:rPr>
            </w:r>
            <w:r w:rsidRPr="008035A5">
              <w:rPr>
                <w:noProof/>
                <w:webHidden/>
              </w:rPr>
              <w:fldChar w:fldCharType="separate"/>
            </w:r>
            <w:r w:rsidRPr="008035A5">
              <w:rPr>
                <w:noProof/>
                <w:webHidden/>
              </w:rPr>
              <w:t>9</w:t>
            </w:r>
            <w:r w:rsidRPr="008035A5">
              <w:rPr>
                <w:noProof/>
                <w:webHidden/>
              </w:rPr>
              <w:fldChar w:fldCharType="end"/>
            </w:r>
          </w:hyperlink>
        </w:p>
        <w:p w14:paraId="3D362B90" w14:textId="77777777" w:rsidR="002C7FFA" w:rsidRPr="008035A5" w:rsidRDefault="002C7FFA">
          <w:pPr>
            <w:pStyle w:val="TOC1"/>
            <w:rPr>
              <w:rFonts w:eastAsiaTheme="minorEastAsia"/>
              <w:noProof/>
              <w:kern w:val="2"/>
              <w:sz w:val="24"/>
              <w:szCs w:val="24"/>
              <w:lang w:eastAsia="en-US" w:bidi="ar-SA"/>
              <w14:ligatures w14:val="standardContextual"/>
            </w:rPr>
          </w:pPr>
          <w:hyperlink w:anchor="_Toc156977644" w:history="1">
            <w:r w:rsidRPr="008035A5">
              <w:rPr>
                <w:rStyle w:val="Hyperlink"/>
                <w:noProof/>
                <w:lang w:val="en-GB" w:eastAsia="en-US"/>
              </w:rPr>
              <w:t>6.</w:t>
            </w:r>
            <w:r w:rsidRPr="008035A5">
              <w:rPr>
                <w:rFonts w:eastAsiaTheme="minorEastAsia"/>
                <w:noProof/>
                <w:kern w:val="2"/>
                <w:sz w:val="24"/>
                <w:szCs w:val="24"/>
                <w:lang w:eastAsia="en-US" w:bidi="ar-SA"/>
                <w14:ligatures w14:val="standardContextual"/>
              </w:rPr>
              <w:tab/>
            </w:r>
            <w:r w:rsidRPr="008035A5">
              <w:rPr>
                <w:rStyle w:val="Hyperlink"/>
                <w:noProof/>
                <w:lang w:val="en-GB" w:eastAsia="en-US"/>
              </w:rPr>
              <w:t>Heirerchical Summary Receiver Operating Curve for the different fibrosis staages</w:t>
            </w:r>
            <w:r w:rsidRPr="008035A5">
              <w:rPr>
                <w:noProof/>
                <w:webHidden/>
              </w:rPr>
              <w:tab/>
            </w:r>
            <w:r w:rsidRPr="008035A5">
              <w:rPr>
                <w:noProof/>
                <w:webHidden/>
              </w:rPr>
              <w:fldChar w:fldCharType="begin"/>
            </w:r>
            <w:r w:rsidRPr="008035A5">
              <w:rPr>
                <w:noProof/>
                <w:webHidden/>
              </w:rPr>
              <w:instrText xml:space="preserve"> PAGEREF _Toc156977644 \h </w:instrText>
            </w:r>
            <w:r w:rsidRPr="008035A5">
              <w:rPr>
                <w:noProof/>
                <w:webHidden/>
              </w:rPr>
            </w:r>
            <w:r w:rsidRPr="008035A5">
              <w:rPr>
                <w:noProof/>
                <w:webHidden/>
              </w:rPr>
              <w:fldChar w:fldCharType="separate"/>
            </w:r>
            <w:r w:rsidRPr="008035A5">
              <w:rPr>
                <w:noProof/>
                <w:webHidden/>
              </w:rPr>
              <w:t>11</w:t>
            </w:r>
            <w:r w:rsidRPr="008035A5">
              <w:rPr>
                <w:noProof/>
                <w:webHidden/>
              </w:rPr>
              <w:fldChar w:fldCharType="end"/>
            </w:r>
          </w:hyperlink>
        </w:p>
        <w:p w14:paraId="6232123F" w14:textId="77777777" w:rsidR="002C7FFA" w:rsidRPr="008035A5" w:rsidRDefault="002C7FFA">
          <w:pPr>
            <w:pStyle w:val="TOC1"/>
            <w:rPr>
              <w:rFonts w:eastAsiaTheme="minorEastAsia"/>
              <w:noProof/>
              <w:kern w:val="2"/>
              <w:sz w:val="24"/>
              <w:szCs w:val="24"/>
              <w:lang w:eastAsia="en-US" w:bidi="ar-SA"/>
              <w14:ligatures w14:val="standardContextual"/>
            </w:rPr>
          </w:pPr>
          <w:hyperlink w:anchor="_Toc156977645" w:history="1">
            <w:r w:rsidRPr="008035A5">
              <w:rPr>
                <w:rStyle w:val="Hyperlink"/>
                <w:noProof/>
                <w:lang w:val="en-GB" w:eastAsia="en-US"/>
              </w:rPr>
              <w:t>7.</w:t>
            </w:r>
            <w:r w:rsidRPr="008035A5">
              <w:rPr>
                <w:rFonts w:eastAsiaTheme="minorEastAsia"/>
                <w:noProof/>
                <w:kern w:val="2"/>
                <w:sz w:val="24"/>
                <w:szCs w:val="24"/>
                <w:lang w:eastAsia="en-US" w:bidi="ar-SA"/>
                <w14:ligatures w14:val="standardContextual"/>
              </w:rPr>
              <w:tab/>
            </w:r>
            <w:r w:rsidRPr="008035A5">
              <w:rPr>
                <w:rStyle w:val="Hyperlink"/>
                <w:noProof/>
                <w:lang w:val="en-GB" w:eastAsia="en-US"/>
              </w:rPr>
              <w:t>Association between Youden’s index and sensitivity estimates for Cirrhosis</w:t>
            </w:r>
            <w:r w:rsidRPr="008035A5">
              <w:rPr>
                <w:noProof/>
                <w:webHidden/>
              </w:rPr>
              <w:tab/>
            </w:r>
            <w:r w:rsidRPr="008035A5">
              <w:rPr>
                <w:noProof/>
                <w:webHidden/>
              </w:rPr>
              <w:fldChar w:fldCharType="begin"/>
            </w:r>
            <w:r w:rsidRPr="008035A5">
              <w:rPr>
                <w:noProof/>
                <w:webHidden/>
              </w:rPr>
              <w:instrText xml:space="preserve"> PAGEREF _Toc156977645 \h </w:instrText>
            </w:r>
            <w:r w:rsidRPr="008035A5">
              <w:rPr>
                <w:noProof/>
                <w:webHidden/>
              </w:rPr>
            </w:r>
            <w:r w:rsidRPr="008035A5">
              <w:rPr>
                <w:noProof/>
                <w:webHidden/>
              </w:rPr>
              <w:fldChar w:fldCharType="separate"/>
            </w:r>
            <w:r w:rsidRPr="008035A5">
              <w:rPr>
                <w:noProof/>
                <w:webHidden/>
              </w:rPr>
              <w:t>12</w:t>
            </w:r>
            <w:r w:rsidRPr="008035A5">
              <w:rPr>
                <w:noProof/>
                <w:webHidden/>
              </w:rPr>
              <w:fldChar w:fldCharType="end"/>
            </w:r>
          </w:hyperlink>
        </w:p>
        <w:p w14:paraId="35F2DA0C" w14:textId="77777777" w:rsidR="002C7FFA" w:rsidRPr="008035A5" w:rsidRDefault="002C7FFA">
          <w:pPr>
            <w:pStyle w:val="TOC1"/>
            <w:rPr>
              <w:rFonts w:eastAsiaTheme="minorEastAsia"/>
              <w:noProof/>
              <w:kern w:val="2"/>
              <w:sz w:val="24"/>
              <w:szCs w:val="24"/>
              <w:lang w:eastAsia="en-US" w:bidi="ar-SA"/>
              <w14:ligatures w14:val="standardContextual"/>
            </w:rPr>
          </w:pPr>
          <w:hyperlink w:anchor="_Toc156977646" w:history="1">
            <w:r w:rsidRPr="008035A5">
              <w:rPr>
                <w:rStyle w:val="Hyperlink"/>
                <w:noProof/>
              </w:rPr>
              <w:t>8.</w:t>
            </w:r>
            <w:r w:rsidRPr="008035A5">
              <w:rPr>
                <w:rFonts w:eastAsiaTheme="minorEastAsia"/>
                <w:noProof/>
                <w:kern w:val="2"/>
                <w:sz w:val="24"/>
                <w:szCs w:val="24"/>
                <w:lang w:eastAsia="en-US" w:bidi="ar-SA"/>
                <w14:ligatures w14:val="standardContextual"/>
              </w:rPr>
              <w:tab/>
            </w:r>
            <w:r w:rsidRPr="008035A5">
              <w:rPr>
                <w:rStyle w:val="Hyperlink"/>
                <w:noProof/>
              </w:rPr>
              <w:t>Determination of thresholds for GPR</w:t>
            </w:r>
            <w:r w:rsidRPr="008035A5">
              <w:rPr>
                <w:noProof/>
                <w:webHidden/>
              </w:rPr>
              <w:tab/>
            </w:r>
            <w:r w:rsidRPr="008035A5">
              <w:rPr>
                <w:noProof/>
                <w:webHidden/>
              </w:rPr>
              <w:fldChar w:fldCharType="begin"/>
            </w:r>
            <w:r w:rsidRPr="008035A5">
              <w:rPr>
                <w:noProof/>
                <w:webHidden/>
              </w:rPr>
              <w:instrText xml:space="preserve"> PAGEREF _Toc156977646 \h </w:instrText>
            </w:r>
            <w:r w:rsidRPr="008035A5">
              <w:rPr>
                <w:noProof/>
                <w:webHidden/>
              </w:rPr>
            </w:r>
            <w:r w:rsidRPr="008035A5">
              <w:rPr>
                <w:noProof/>
                <w:webHidden/>
              </w:rPr>
              <w:fldChar w:fldCharType="separate"/>
            </w:r>
            <w:r w:rsidRPr="008035A5">
              <w:rPr>
                <w:noProof/>
                <w:webHidden/>
              </w:rPr>
              <w:t>13</w:t>
            </w:r>
            <w:r w:rsidRPr="008035A5">
              <w:rPr>
                <w:noProof/>
                <w:webHidden/>
              </w:rPr>
              <w:fldChar w:fldCharType="end"/>
            </w:r>
          </w:hyperlink>
        </w:p>
        <w:p w14:paraId="40A3CC0F" w14:textId="77777777" w:rsidR="002C7FFA" w:rsidRPr="008035A5" w:rsidRDefault="002C7FFA">
          <w:pPr>
            <w:pStyle w:val="TOC2"/>
            <w:tabs>
              <w:tab w:val="left" w:pos="960"/>
              <w:tab w:val="right" w:leader="dot" w:pos="9350"/>
            </w:tabs>
            <w:rPr>
              <w:rFonts w:eastAsiaTheme="minorEastAsia"/>
              <w:noProof/>
              <w:kern w:val="2"/>
              <w:sz w:val="24"/>
              <w:szCs w:val="24"/>
              <w:lang w:eastAsia="en-US" w:bidi="ar-SA"/>
              <w14:ligatures w14:val="standardContextual"/>
            </w:rPr>
          </w:pPr>
          <w:hyperlink w:anchor="_Toc156977647" w:history="1">
            <w:r w:rsidRPr="008035A5">
              <w:rPr>
                <w:rStyle w:val="Hyperlink"/>
                <w:noProof/>
              </w:rPr>
              <w:t>8.1</w:t>
            </w:r>
            <w:r w:rsidRPr="008035A5">
              <w:rPr>
                <w:rFonts w:eastAsiaTheme="minorEastAsia"/>
                <w:noProof/>
                <w:kern w:val="2"/>
                <w:sz w:val="24"/>
                <w:szCs w:val="24"/>
                <w:lang w:eastAsia="en-US" w:bidi="ar-SA"/>
                <w14:ligatures w14:val="standardContextual"/>
              </w:rPr>
              <w:tab/>
            </w:r>
            <w:r w:rsidRPr="008035A5">
              <w:rPr>
                <w:rStyle w:val="Hyperlink"/>
                <w:noProof/>
              </w:rPr>
              <w:t>Optimal cut-point and performance of GPR in predicting significant fibrosis</w:t>
            </w:r>
            <w:r w:rsidRPr="008035A5">
              <w:rPr>
                <w:noProof/>
                <w:webHidden/>
              </w:rPr>
              <w:tab/>
            </w:r>
            <w:r w:rsidRPr="008035A5">
              <w:rPr>
                <w:noProof/>
                <w:webHidden/>
              </w:rPr>
              <w:fldChar w:fldCharType="begin"/>
            </w:r>
            <w:r w:rsidRPr="008035A5">
              <w:rPr>
                <w:noProof/>
                <w:webHidden/>
              </w:rPr>
              <w:instrText xml:space="preserve"> PAGEREF _Toc156977647 \h </w:instrText>
            </w:r>
            <w:r w:rsidRPr="008035A5">
              <w:rPr>
                <w:noProof/>
                <w:webHidden/>
              </w:rPr>
            </w:r>
            <w:r w:rsidRPr="008035A5">
              <w:rPr>
                <w:noProof/>
                <w:webHidden/>
              </w:rPr>
              <w:fldChar w:fldCharType="separate"/>
            </w:r>
            <w:r w:rsidRPr="008035A5">
              <w:rPr>
                <w:noProof/>
                <w:webHidden/>
              </w:rPr>
              <w:t>14</w:t>
            </w:r>
            <w:r w:rsidRPr="008035A5">
              <w:rPr>
                <w:noProof/>
                <w:webHidden/>
              </w:rPr>
              <w:fldChar w:fldCharType="end"/>
            </w:r>
          </w:hyperlink>
        </w:p>
        <w:p w14:paraId="66D84326" w14:textId="77777777" w:rsidR="002C7FFA" w:rsidRPr="008035A5" w:rsidRDefault="002C7FFA">
          <w:pPr>
            <w:pStyle w:val="TOC2"/>
            <w:tabs>
              <w:tab w:val="left" w:pos="960"/>
              <w:tab w:val="right" w:leader="dot" w:pos="9350"/>
            </w:tabs>
            <w:rPr>
              <w:rFonts w:eastAsiaTheme="minorEastAsia"/>
              <w:noProof/>
              <w:kern w:val="2"/>
              <w:sz w:val="24"/>
              <w:szCs w:val="24"/>
              <w:lang w:eastAsia="en-US" w:bidi="ar-SA"/>
              <w14:ligatures w14:val="standardContextual"/>
            </w:rPr>
          </w:pPr>
          <w:hyperlink w:anchor="_Toc156977648" w:history="1">
            <w:r w:rsidRPr="008035A5">
              <w:rPr>
                <w:rStyle w:val="Hyperlink"/>
                <w:noProof/>
              </w:rPr>
              <w:t>8.2</w:t>
            </w:r>
            <w:r w:rsidRPr="008035A5">
              <w:rPr>
                <w:rFonts w:eastAsiaTheme="minorEastAsia"/>
                <w:noProof/>
                <w:kern w:val="2"/>
                <w:sz w:val="24"/>
                <w:szCs w:val="24"/>
                <w:lang w:eastAsia="en-US" w:bidi="ar-SA"/>
                <w14:ligatures w14:val="standardContextual"/>
              </w:rPr>
              <w:tab/>
            </w:r>
            <w:r w:rsidRPr="008035A5">
              <w:rPr>
                <w:rStyle w:val="Hyperlink"/>
                <w:noProof/>
              </w:rPr>
              <w:t>Optimal cut-point and performance of GPR in predicting Cirrhosis</w:t>
            </w:r>
            <w:r w:rsidRPr="008035A5">
              <w:rPr>
                <w:noProof/>
                <w:webHidden/>
              </w:rPr>
              <w:tab/>
            </w:r>
            <w:r w:rsidRPr="008035A5">
              <w:rPr>
                <w:noProof/>
                <w:webHidden/>
              </w:rPr>
              <w:fldChar w:fldCharType="begin"/>
            </w:r>
            <w:r w:rsidRPr="008035A5">
              <w:rPr>
                <w:noProof/>
                <w:webHidden/>
              </w:rPr>
              <w:instrText xml:space="preserve"> PAGEREF _Toc156977648 \h </w:instrText>
            </w:r>
            <w:r w:rsidRPr="008035A5">
              <w:rPr>
                <w:noProof/>
                <w:webHidden/>
              </w:rPr>
            </w:r>
            <w:r w:rsidRPr="008035A5">
              <w:rPr>
                <w:noProof/>
                <w:webHidden/>
              </w:rPr>
              <w:fldChar w:fldCharType="separate"/>
            </w:r>
            <w:r w:rsidRPr="008035A5">
              <w:rPr>
                <w:noProof/>
                <w:webHidden/>
              </w:rPr>
              <w:t>16</w:t>
            </w:r>
            <w:r w:rsidRPr="008035A5">
              <w:rPr>
                <w:noProof/>
                <w:webHidden/>
              </w:rPr>
              <w:fldChar w:fldCharType="end"/>
            </w:r>
          </w:hyperlink>
        </w:p>
        <w:p w14:paraId="1194F1A2" w14:textId="77777777" w:rsidR="002C7FFA" w:rsidRPr="008035A5" w:rsidRDefault="002C7FFA">
          <w:pPr>
            <w:pStyle w:val="TOC1"/>
            <w:rPr>
              <w:rFonts w:eastAsiaTheme="minorEastAsia"/>
              <w:noProof/>
              <w:kern w:val="2"/>
              <w:sz w:val="24"/>
              <w:szCs w:val="24"/>
              <w:lang w:eastAsia="en-US" w:bidi="ar-SA"/>
              <w14:ligatures w14:val="standardContextual"/>
            </w:rPr>
          </w:pPr>
          <w:hyperlink w:anchor="_Toc156977649" w:history="1">
            <w:r w:rsidRPr="008035A5">
              <w:rPr>
                <w:rStyle w:val="Hyperlink"/>
                <w:noProof/>
              </w:rPr>
              <w:t>9.</w:t>
            </w:r>
            <w:r w:rsidRPr="008035A5">
              <w:rPr>
                <w:rFonts w:eastAsiaTheme="minorEastAsia"/>
                <w:noProof/>
                <w:kern w:val="2"/>
                <w:sz w:val="24"/>
                <w:szCs w:val="24"/>
                <w:lang w:eastAsia="en-US" w:bidi="ar-SA"/>
                <w14:ligatures w14:val="standardContextual"/>
              </w:rPr>
              <w:tab/>
            </w:r>
            <w:r w:rsidRPr="008035A5">
              <w:rPr>
                <w:rStyle w:val="Hyperlink"/>
                <w:noProof/>
              </w:rPr>
              <w:t>Performance of GPR in diagnosing and excluding significant fibrosis (left graph) and cirrhosis (right graph) using the suggested optimal cut-off thresholds</w:t>
            </w:r>
            <w:r w:rsidRPr="008035A5">
              <w:rPr>
                <w:noProof/>
                <w:webHidden/>
              </w:rPr>
              <w:tab/>
            </w:r>
            <w:r w:rsidRPr="008035A5">
              <w:rPr>
                <w:noProof/>
                <w:webHidden/>
              </w:rPr>
              <w:fldChar w:fldCharType="begin"/>
            </w:r>
            <w:r w:rsidRPr="008035A5">
              <w:rPr>
                <w:noProof/>
                <w:webHidden/>
              </w:rPr>
              <w:instrText xml:space="preserve"> PAGEREF _Toc156977649 \h </w:instrText>
            </w:r>
            <w:r w:rsidRPr="008035A5">
              <w:rPr>
                <w:noProof/>
                <w:webHidden/>
              </w:rPr>
            </w:r>
            <w:r w:rsidRPr="008035A5">
              <w:rPr>
                <w:noProof/>
                <w:webHidden/>
              </w:rPr>
              <w:fldChar w:fldCharType="separate"/>
            </w:r>
            <w:r w:rsidRPr="008035A5">
              <w:rPr>
                <w:noProof/>
                <w:webHidden/>
              </w:rPr>
              <w:t>18</w:t>
            </w:r>
            <w:r w:rsidRPr="008035A5">
              <w:rPr>
                <w:noProof/>
                <w:webHidden/>
              </w:rPr>
              <w:fldChar w:fldCharType="end"/>
            </w:r>
          </w:hyperlink>
        </w:p>
        <w:p w14:paraId="1A068BC0" w14:textId="77777777" w:rsidR="002C7FFA" w:rsidRPr="008035A5" w:rsidRDefault="002C7FFA">
          <w:pPr>
            <w:pStyle w:val="TOC1"/>
            <w:rPr>
              <w:rFonts w:eastAsiaTheme="minorEastAsia"/>
              <w:noProof/>
              <w:kern w:val="2"/>
              <w:sz w:val="24"/>
              <w:szCs w:val="24"/>
              <w:lang w:eastAsia="en-US" w:bidi="ar-SA"/>
              <w14:ligatures w14:val="standardContextual"/>
            </w:rPr>
          </w:pPr>
          <w:hyperlink w:anchor="_Toc156977650" w:history="1">
            <w:r w:rsidRPr="008035A5">
              <w:rPr>
                <w:rStyle w:val="Hyperlink"/>
                <w:noProof/>
                <w:lang w:eastAsia="en-US"/>
              </w:rPr>
              <w:t>10.</w:t>
            </w:r>
            <w:r w:rsidRPr="008035A5">
              <w:rPr>
                <w:rFonts w:eastAsiaTheme="minorEastAsia"/>
                <w:noProof/>
                <w:kern w:val="2"/>
                <w:sz w:val="24"/>
                <w:szCs w:val="24"/>
                <w:lang w:eastAsia="en-US" w:bidi="ar-SA"/>
                <w14:ligatures w14:val="standardContextual"/>
              </w:rPr>
              <w:tab/>
            </w:r>
            <w:r w:rsidRPr="008035A5">
              <w:rPr>
                <w:rStyle w:val="Hyperlink"/>
                <w:noProof/>
                <w:lang w:eastAsia="en-US"/>
              </w:rPr>
              <w:t>References</w:t>
            </w:r>
            <w:r w:rsidRPr="008035A5">
              <w:rPr>
                <w:noProof/>
                <w:webHidden/>
              </w:rPr>
              <w:tab/>
            </w:r>
            <w:r w:rsidRPr="008035A5">
              <w:rPr>
                <w:noProof/>
                <w:webHidden/>
              </w:rPr>
              <w:fldChar w:fldCharType="begin"/>
            </w:r>
            <w:r w:rsidRPr="008035A5">
              <w:rPr>
                <w:noProof/>
                <w:webHidden/>
              </w:rPr>
              <w:instrText xml:space="preserve"> PAGEREF _Toc156977650 \h </w:instrText>
            </w:r>
            <w:r w:rsidRPr="008035A5">
              <w:rPr>
                <w:noProof/>
                <w:webHidden/>
              </w:rPr>
            </w:r>
            <w:r w:rsidRPr="008035A5">
              <w:rPr>
                <w:noProof/>
                <w:webHidden/>
              </w:rPr>
              <w:fldChar w:fldCharType="separate"/>
            </w:r>
            <w:r w:rsidRPr="008035A5">
              <w:rPr>
                <w:noProof/>
                <w:webHidden/>
              </w:rPr>
              <w:t>19</w:t>
            </w:r>
            <w:r w:rsidRPr="008035A5">
              <w:rPr>
                <w:noProof/>
                <w:webHidden/>
              </w:rPr>
              <w:fldChar w:fldCharType="end"/>
            </w:r>
          </w:hyperlink>
        </w:p>
        <w:p w14:paraId="082C0B90" w14:textId="77777777" w:rsidR="002C7FFA" w:rsidRPr="008035A5" w:rsidRDefault="002C7FFA" w:rsidP="006A2D1F">
          <w:r w:rsidRPr="008035A5">
            <w:rPr>
              <w:b/>
              <w:bCs/>
              <w:noProof/>
            </w:rPr>
            <w:fldChar w:fldCharType="end"/>
          </w:r>
        </w:p>
      </w:sdtContent>
    </w:sdt>
    <w:p w14:paraId="1CC43961" w14:textId="77777777" w:rsidR="002C7FFA" w:rsidRPr="008035A5" w:rsidRDefault="002C7FFA" w:rsidP="006A2D1F"/>
    <w:p w14:paraId="2ED9FC35" w14:textId="77777777" w:rsidR="002C7FFA" w:rsidRPr="008035A5" w:rsidRDefault="002C7FFA" w:rsidP="00A94D8E"/>
    <w:p w14:paraId="7BAD390B" w14:textId="77777777" w:rsidR="002C7FFA" w:rsidRPr="008035A5" w:rsidRDefault="002C7FFA">
      <w:pPr>
        <w:spacing w:before="0" w:after="160" w:line="259" w:lineRule="auto"/>
        <w:jc w:val="left"/>
      </w:pPr>
      <w:r w:rsidRPr="008035A5">
        <w:br w:type="page"/>
      </w:r>
    </w:p>
    <w:p w14:paraId="3F725940" w14:textId="77777777" w:rsidR="002C7FFA" w:rsidRPr="008035A5" w:rsidRDefault="002C7FFA" w:rsidP="00A94D8E">
      <w:pPr>
        <w:rPr>
          <w:lang w:val="en-GB" w:eastAsia="en-US" w:bidi="ar-SA"/>
        </w:rPr>
      </w:pPr>
    </w:p>
    <w:p w14:paraId="20D6C8A4" w14:textId="77777777" w:rsidR="002C7FFA" w:rsidRPr="008035A5" w:rsidRDefault="002C7FFA" w:rsidP="00150144">
      <w:pPr>
        <w:pStyle w:val="Heading1"/>
        <w:rPr>
          <w:lang w:val="en-GB" w:eastAsia="en-US" w:bidi="ar-SA"/>
        </w:rPr>
      </w:pPr>
      <w:bookmarkStart w:id="1" w:name="_Toc154930078"/>
      <w:bookmarkStart w:id="2" w:name="_Toc156977639"/>
      <w:r w:rsidRPr="008035A5">
        <w:rPr>
          <w:lang w:val="en-GB" w:eastAsia="en-US" w:bidi="ar-SA"/>
        </w:rPr>
        <w:t>Search Strategy</w:t>
      </w:r>
      <w:bookmarkEnd w:id="1"/>
      <w:bookmarkEnd w:id="2"/>
    </w:p>
    <w:p w14:paraId="6ADBEDA1" w14:textId="77777777" w:rsidR="002C7FFA" w:rsidRPr="008035A5" w:rsidRDefault="002C7FFA" w:rsidP="004745F6">
      <w:pPr>
        <w:pStyle w:val="Paragraph"/>
        <w:spacing w:line="360" w:lineRule="auto"/>
        <w:rPr>
          <w:rFonts w:asciiTheme="majorBidi" w:eastAsiaTheme="minorHAnsi" w:hAnsiTheme="majorBidi" w:cstheme="majorBidi"/>
          <w:lang w:eastAsia="en-US"/>
        </w:rPr>
      </w:pPr>
      <w:r w:rsidRPr="008035A5">
        <w:rPr>
          <w:rFonts w:asciiTheme="majorBidi" w:eastAsiaTheme="minorHAnsi" w:hAnsiTheme="majorBidi" w:cstheme="majorBidi"/>
          <w:lang w:eastAsia="en-US"/>
        </w:rPr>
        <w:t>Advanced Search Queries used in each electronic database was as follows:</w:t>
      </w:r>
    </w:p>
    <w:p w14:paraId="12382038" w14:textId="77777777" w:rsidR="002C7FFA" w:rsidRPr="008035A5" w:rsidRDefault="002C7FFA" w:rsidP="004745F6">
      <w:pPr>
        <w:pStyle w:val="Paragraph"/>
        <w:spacing w:line="360" w:lineRule="auto"/>
        <w:rPr>
          <w:rFonts w:asciiTheme="majorBidi" w:eastAsiaTheme="minorHAnsi" w:hAnsiTheme="majorBidi" w:cstheme="majorBidi"/>
          <w:lang w:eastAsia="en-US"/>
        </w:rPr>
      </w:pPr>
      <w:r w:rsidRPr="008035A5">
        <w:rPr>
          <w:rFonts w:asciiTheme="majorBidi" w:eastAsiaTheme="minorHAnsi" w:hAnsiTheme="majorBidi" w:cstheme="majorBidi"/>
          <w:lang w:eastAsia="en-US"/>
        </w:rPr>
        <w:t xml:space="preserve"> </w:t>
      </w:r>
      <w:r w:rsidRPr="008035A5">
        <w:rPr>
          <w:rFonts w:asciiTheme="majorBidi" w:eastAsiaTheme="minorHAnsi" w:hAnsiTheme="majorBidi" w:cstheme="majorBidi"/>
          <w:lang w:eastAsia="en-US"/>
        </w:rPr>
        <w:br/>
      </w:r>
      <w:r w:rsidRPr="008035A5">
        <w:rPr>
          <w:rFonts w:asciiTheme="majorBidi" w:eastAsiaTheme="minorHAnsi" w:hAnsiTheme="majorBidi" w:cstheme="majorBidi"/>
          <w:b/>
          <w:bCs/>
          <w:lang w:eastAsia="en-US"/>
        </w:rPr>
        <w:t>PubMed</w:t>
      </w:r>
      <w:r w:rsidRPr="008035A5">
        <w:rPr>
          <w:rFonts w:asciiTheme="majorBidi" w:eastAsiaTheme="minorHAnsi" w:hAnsiTheme="majorBidi" w:cstheme="majorBidi"/>
          <w:lang w:eastAsia="en-US"/>
        </w:rPr>
        <w:t xml:space="preserve">: </w:t>
      </w:r>
    </w:p>
    <w:p w14:paraId="0E38B906" w14:textId="77777777" w:rsidR="002C7FFA" w:rsidRPr="008035A5" w:rsidRDefault="002C7FFA" w:rsidP="00535728">
      <w:pPr>
        <w:pStyle w:val="Paragraph"/>
        <w:numPr>
          <w:ilvl w:val="0"/>
          <w:numId w:val="16"/>
        </w:numPr>
        <w:spacing w:line="360" w:lineRule="auto"/>
        <w:rPr>
          <w:rFonts w:asciiTheme="majorBidi" w:eastAsiaTheme="minorHAnsi" w:hAnsiTheme="majorBidi" w:cstheme="majorBidi"/>
          <w:lang w:eastAsia="en-US"/>
        </w:rPr>
      </w:pPr>
      <w:r w:rsidRPr="008035A5">
        <w:rPr>
          <w:rFonts w:asciiTheme="majorBidi" w:eastAsiaTheme="minorHAnsi" w:hAnsiTheme="majorBidi" w:cstheme="majorBidi"/>
          <w:lang w:eastAsia="en-US"/>
        </w:rPr>
        <w:t>(glutamyl transpeptidase to platelet[Title/Abstract]) OR (glutamyl transferase to platelet[Title/Abstract])  &gt; 85  results</w:t>
      </w:r>
    </w:p>
    <w:p w14:paraId="311EC2E5" w14:textId="77777777" w:rsidR="002C7FFA" w:rsidRPr="008035A5" w:rsidRDefault="002C7FFA" w:rsidP="00535728">
      <w:pPr>
        <w:pStyle w:val="Paragraph"/>
        <w:numPr>
          <w:ilvl w:val="0"/>
          <w:numId w:val="16"/>
        </w:numPr>
        <w:spacing w:line="360" w:lineRule="auto"/>
        <w:rPr>
          <w:rFonts w:asciiTheme="majorBidi" w:eastAsiaTheme="minorHAnsi" w:hAnsiTheme="majorBidi" w:cstheme="majorBidi"/>
          <w:lang w:eastAsia="en-US"/>
        </w:rPr>
      </w:pPr>
      <w:r w:rsidRPr="008035A5">
        <w:rPr>
          <w:rFonts w:asciiTheme="majorBidi" w:eastAsiaTheme="minorHAnsi" w:hAnsiTheme="majorBidi" w:cstheme="majorBidi"/>
          <w:lang w:eastAsia="en-US"/>
        </w:rPr>
        <w:t xml:space="preserve">((fibrosis[Title/Abstract]) OR (cirrhosis[Title/Abstract])) &gt; 336,033 </w:t>
      </w:r>
      <w:r w:rsidRPr="008035A5">
        <w:rPr>
          <w:rFonts w:asciiTheme="majorBidi" w:eastAsiaTheme="minorHAnsi" w:hAnsiTheme="majorBidi" w:cstheme="majorBidi"/>
          <w:lang w:eastAsia="en-US" w:bidi="ar-EG"/>
        </w:rPr>
        <w:t>results</w:t>
      </w:r>
    </w:p>
    <w:p w14:paraId="04278903" w14:textId="77777777" w:rsidR="002C7FFA" w:rsidRPr="008035A5" w:rsidRDefault="002C7FFA" w:rsidP="0030072E">
      <w:pPr>
        <w:pStyle w:val="Paragraph"/>
        <w:numPr>
          <w:ilvl w:val="0"/>
          <w:numId w:val="16"/>
        </w:numPr>
        <w:spacing w:line="360" w:lineRule="auto"/>
        <w:rPr>
          <w:rFonts w:asciiTheme="majorBidi" w:eastAsiaTheme="minorHAnsi" w:hAnsiTheme="majorBidi" w:cstheme="majorBidi"/>
          <w:lang w:eastAsia="en-US"/>
        </w:rPr>
      </w:pPr>
      <w:r w:rsidRPr="008035A5">
        <w:rPr>
          <w:rFonts w:asciiTheme="majorBidi" w:eastAsiaTheme="minorHAnsi" w:hAnsiTheme="majorBidi" w:cstheme="majorBidi"/>
          <w:lang w:eastAsia="en-US"/>
        </w:rPr>
        <w:t xml:space="preserve">A+B &gt; 68 </w:t>
      </w:r>
      <w:r w:rsidRPr="008035A5">
        <w:rPr>
          <w:rFonts w:asciiTheme="majorBidi" w:eastAsiaTheme="minorHAnsi" w:hAnsiTheme="majorBidi" w:cstheme="majorBidi"/>
          <w:lang w:eastAsia="en-US" w:bidi="ar-EG"/>
        </w:rPr>
        <w:t>results</w:t>
      </w:r>
    </w:p>
    <w:p w14:paraId="7BBFE5F1" w14:textId="77777777" w:rsidR="002C7FFA" w:rsidRPr="008035A5" w:rsidRDefault="002C7FFA" w:rsidP="004745F6">
      <w:pPr>
        <w:pStyle w:val="Paragraph"/>
        <w:spacing w:line="360" w:lineRule="auto"/>
        <w:rPr>
          <w:rFonts w:asciiTheme="majorBidi" w:eastAsiaTheme="minorHAnsi" w:hAnsiTheme="majorBidi" w:cstheme="majorBidi"/>
          <w:lang w:eastAsia="en-US"/>
        </w:rPr>
      </w:pPr>
      <w:r w:rsidRPr="008035A5">
        <w:rPr>
          <w:rFonts w:asciiTheme="majorBidi" w:eastAsiaTheme="minorHAnsi" w:hAnsiTheme="majorBidi" w:cstheme="majorBidi"/>
          <w:b/>
          <w:bCs/>
          <w:lang w:eastAsia="en-US"/>
        </w:rPr>
        <w:t>Scopus</w:t>
      </w:r>
      <w:r w:rsidRPr="008035A5">
        <w:rPr>
          <w:rFonts w:asciiTheme="majorBidi" w:eastAsiaTheme="minorHAnsi" w:hAnsiTheme="majorBidi" w:cstheme="majorBidi"/>
          <w:lang w:eastAsia="en-US"/>
        </w:rPr>
        <w:t xml:space="preserve">: </w:t>
      </w:r>
    </w:p>
    <w:p w14:paraId="0BE5550D" w14:textId="77777777" w:rsidR="002C7FFA" w:rsidRPr="008035A5" w:rsidRDefault="002C7FFA" w:rsidP="00DB02E3">
      <w:pPr>
        <w:pStyle w:val="Paragraph"/>
        <w:numPr>
          <w:ilvl w:val="0"/>
          <w:numId w:val="14"/>
        </w:numPr>
        <w:spacing w:line="360" w:lineRule="auto"/>
        <w:rPr>
          <w:rFonts w:asciiTheme="majorBidi" w:eastAsiaTheme="minorHAnsi" w:hAnsiTheme="majorBidi" w:cstheme="majorBidi"/>
          <w:lang w:eastAsia="en-US"/>
        </w:rPr>
      </w:pPr>
      <w:r w:rsidRPr="008035A5">
        <w:rPr>
          <w:rFonts w:asciiTheme="majorBidi" w:eastAsiaTheme="minorHAnsi" w:hAnsiTheme="majorBidi" w:cstheme="majorBidi"/>
          <w:lang w:eastAsia="en-US"/>
        </w:rPr>
        <w:t xml:space="preserve">TITLE-ABS-KEY (glutamyl AND transpeptidase AND to AND platelet) OR TITLE-ABS-KEY (glutamyl transpeptidase to platelet ratio)     → 951 </w:t>
      </w:r>
      <w:r w:rsidRPr="008035A5">
        <w:rPr>
          <w:rFonts w:asciiTheme="majorBidi" w:eastAsiaTheme="minorHAnsi" w:hAnsiTheme="majorBidi" w:cstheme="majorBidi"/>
          <w:lang w:eastAsia="en-US" w:bidi="ar-EG"/>
        </w:rPr>
        <w:t>results</w:t>
      </w:r>
    </w:p>
    <w:p w14:paraId="77FC88FE" w14:textId="77777777" w:rsidR="002C7FFA" w:rsidRPr="008035A5" w:rsidRDefault="002C7FFA" w:rsidP="006C29A4">
      <w:pPr>
        <w:pStyle w:val="Paragraph"/>
        <w:numPr>
          <w:ilvl w:val="0"/>
          <w:numId w:val="14"/>
        </w:numPr>
        <w:spacing w:line="360" w:lineRule="auto"/>
        <w:rPr>
          <w:rFonts w:asciiTheme="majorBidi" w:eastAsiaTheme="minorHAnsi" w:hAnsiTheme="majorBidi" w:cstheme="majorBidi"/>
          <w:lang w:eastAsia="en-US"/>
        </w:rPr>
      </w:pPr>
      <w:r w:rsidRPr="008035A5">
        <w:rPr>
          <w:rFonts w:asciiTheme="majorBidi" w:eastAsiaTheme="minorHAnsi" w:hAnsiTheme="majorBidi" w:cstheme="majorBidi"/>
          <w:lang w:eastAsia="en-US"/>
        </w:rPr>
        <w:t xml:space="preserve">TITLE-ABS-KEY ( fibrosis ) OR TITLE-ABS-KEY ( cirrhosis ) → 526,594 </w:t>
      </w:r>
      <w:r w:rsidRPr="008035A5">
        <w:rPr>
          <w:rFonts w:asciiTheme="majorBidi" w:eastAsiaTheme="minorHAnsi" w:hAnsiTheme="majorBidi" w:cstheme="majorBidi"/>
          <w:lang w:eastAsia="en-US" w:bidi="ar-EG"/>
        </w:rPr>
        <w:t>results</w:t>
      </w:r>
    </w:p>
    <w:p w14:paraId="2E207E19" w14:textId="77777777" w:rsidR="002C7FFA" w:rsidRPr="008035A5" w:rsidRDefault="002C7FFA" w:rsidP="0030072E">
      <w:pPr>
        <w:pStyle w:val="Paragraph"/>
        <w:numPr>
          <w:ilvl w:val="0"/>
          <w:numId w:val="14"/>
        </w:numPr>
        <w:spacing w:line="360" w:lineRule="auto"/>
        <w:rPr>
          <w:rFonts w:asciiTheme="majorBidi" w:eastAsiaTheme="minorHAnsi" w:hAnsiTheme="majorBidi" w:cstheme="majorBidi"/>
          <w:lang w:eastAsia="en-US"/>
        </w:rPr>
      </w:pPr>
      <w:r w:rsidRPr="008035A5">
        <w:rPr>
          <w:rFonts w:asciiTheme="majorBidi" w:eastAsiaTheme="minorHAnsi" w:hAnsiTheme="majorBidi" w:cstheme="majorBidi"/>
          <w:lang w:eastAsia="en-US"/>
        </w:rPr>
        <w:t xml:space="preserve">A + B → 224 </w:t>
      </w:r>
      <w:r w:rsidRPr="008035A5">
        <w:rPr>
          <w:rFonts w:asciiTheme="majorBidi" w:eastAsiaTheme="minorHAnsi" w:hAnsiTheme="majorBidi" w:cstheme="majorBidi"/>
          <w:lang w:eastAsia="en-US" w:bidi="ar-EG"/>
        </w:rPr>
        <w:t>results</w:t>
      </w:r>
    </w:p>
    <w:p w14:paraId="2F924872" w14:textId="77777777" w:rsidR="002C7FFA" w:rsidRPr="008035A5" w:rsidRDefault="002C7FFA" w:rsidP="009856A2">
      <w:pPr>
        <w:pStyle w:val="ListParagraph"/>
        <w:ind w:left="720"/>
        <w:rPr>
          <w:rFonts w:cstheme="majorBidi"/>
          <w:lang w:val="en-GB" w:bidi="ar-SA"/>
        </w:rPr>
      </w:pPr>
    </w:p>
    <w:p w14:paraId="19F1FC35" w14:textId="77777777" w:rsidR="002C7FFA" w:rsidRPr="008035A5" w:rsidRDefault="002C7FFA" w:rsidP="004745F6">
      <w:pPr>
        <w:pStyle w:val="Paragraph"/>
        <w:spacing w:line="360" w:lineRule="auto"/>
        <w:rPr>
          <w:rFonts w:asciiTheme="majorBidi" w:eastAsiaTheme="minorHAnsi" w:hAnsiTheme="majorBidi" w:cstheme="majorBidi"/>
          <w:lang w:eastAsia="en-US"/>
        </w:rPr>
      </w:pPr>
      <w:r w:rsidRPr="008035A5">
        <w:rPr>
          <w:rFonts w:asciiTheme="majorBidi" w:eastAsiaTheme="minorHAnsi" w:hAnsiTheme="majorBidi" w:cstheme="majorBidi"/>
          <w:b/>
          <w:bCs/>
          <w:lang w:eastAsia="en-US"/>
        </w:rPr>
        <w:t>Web Of Sciences</w:t>
      </w:r>
      <w:r w:rsidRPr="008035A5">
        <w:rPr>
          <w:rFonts w:asciiTheme="majorBidi" w:eastAsiaTheme="minorHAnsi" w:hAnsiTheme="majorBidi" w:cstheme="majorBidi"/>
          <w:lang w:eastAsia="en-US"/>
        </w:rPr>
        <w:t xml:space="preserve">: </w:t>
      </w:r>
    </w:p>
    <w:p w14:paraId="736538F8" w14:textId="77777777" w:rsidR="002C7FFA" w:rsidRPr="008035A5" w:rsidRDefault="002C7FFA" w:rsidP="0030072E">
      <w:pPr>
        <w:pStyle w:val="Paragraph"/>
        <w:numPr>
          <w:ilvl w:val="0"/>
          <w:numId w:val="17"/>
        </w:numPr>
        <w:spacing w:line="360" w:lineRule="auto"/>
        <w:rPr>
          <w:rFonts w:asciiTheme="majorBidi" w:eastAsiaTheme="minorHAnsi" w:hAnsiTheme="majorBidi" w:cstheme="majorBidi"/>
          <w:lang w:eastAsia="en-US"/>
        </w:rPr>
      </w:pPr>
      <w:r w:rsidRPr="008035A5">
        <w:rPr>
          <w:rFonts w:asciiTheme="majorBidi" w:eastAsiaTheme="minorHAnsi" w:hAnsiTheme="majorBidi" w:cstheme="majorBidi"/>
          <w:lang w:eastAsia="en-US"/>
        </w:rPr>
        <w:t xml:space="preserve">AB=("glutamyl transferase to platelet ratio") OR AB=("glutamyl transpeptidase to platelet ratio") → 77 </w:t>
      </w:r>
      <w:r w:rsidRPr="008035A5">
        <w:rPr>
          <w:rFonts w:asciiTheme="majorBidi" w:eastAsiaTheme="minorHAnsi" w:hAnsiTheme="majorBidi" w:cstheme="majorBidi"/>
          <w:lang w:eastAsia="en-US" w:bidi="ar-EG"/>
        </w:rPr>
        <w:t>results</w:t>
      </w:r>
    </w:p>
    <w:p w14:paraId="0D477962" w14:textId="77777777" w:rsidR="002C7FFA" w:rsidRPr="008035A5" w:rsidRDefault="002C7FFA" w:rsidP="0030072E">
      <w:pPr>
        <w:pStyle w:val="Paragraph"/>
        <w:numPr>
          <w:ilvl w:val="0"/>
          <w:numId w:val="17"/>
        </w:numPr>
        <w:spacing w:line="360" w:lineRule="auto"/>
        <w:rPr>
          <w:rFonts w:asciiTheme="majorBidi" w:eastAsiaTheme="minorHAnsi" w:hAnsiTheme="majorBidi" w:cstheme="majorBidi"/>
          <w:lang w:eastAsia="en-US"/>
        </w:rPr>
      </w:pPr>
      <w:r w:rsidRPr="008035A5">
        <w:rPr>
          <w:rFonts w:asciiTheme="majorBidi" w:eastAsiaTheme="minorHAnsi" w:hAnsiTheme="majorBidi" w:cstheme="majorBidi"/>
          <w:lang w:eastAsia="en-US"/>
        </w:rPr>
        <w:t xml:space="preserve"> AB=(fibrosis) OR AB=(cirrhosis) → 247,233 </w:t>
      </w:r>
      <w:r w:rsidRPr="008035A5">
        <w:rPr>
          <w:rFonts w:asciiTheme="majorBidi" w:eastAsiaTheme="minorHAnsi" w:hAnsiTheme="majorBidi" w:cstheme="majorBidi"/>
          <w:lang w:eastAsia="en-US" w:bidi="ar-EG"/>
        </w:rPr>
        <w:t>results</w:t>
      </w:r>
    </w:p>
    <w:p w14:paraId="0A085EAD" w14:textId="77777777" w:rsidR="002C7FFA" w:rsidRPr="008035A5" w:rsidRDefault="002C7FFA" w:rsidP="0030072E">
      <w:pPr>
        <w:pStyle w:val="Paragraph"/>
        <w:numPr>
          <w:ilvl w:val="0"/>
          <w:numId w:val="17"/>
        </w:numPr>
        <w:spacing w:line="360" w:lineRule="auto"/>
        <w:rPr>
          <w:rFonts w:asciiTheme="majorBidi" w:eastAsiaTheme="minorHAnsi" w:hAnsiTheme="majorBidi" w:cstheme="majorBidi"/>
          <w:lang w:eastAsia="en-US"/>
        </w:rPr>
      </w:pPr>
      <w:r w:rsidRPr="008035A5">
        <w:rPr>
          <w:rFonts w:asciiTheme="majorBidi" w:eastAsiaTheme="minorHAnsi" w:hAnsiTheme="majorBidi" w:cstheme="majorBidi"/>
          <w:lang w:eastAsia="en-US"/>
        </w:rPr>
        <w:t xml:space="preserve">A+B  → 64 </w:t>
      </w:r>
      <w:r w:rsidRPr="008035A5">
        <w:rPr>
          <w:rFonts w:asciiTheme="majorBidi" w:eastAsiaTheme="minorHAnsi" w:hAnsiTheme="majorBidi" w:cstheme="majorBidi"/>
          <w:lang w:eastAsia="en-US" w:bidi="ar-EG"/>
        </w:rPr>
        <w:t>results</w:t>
      </w:r>
    </w:p>
    <w:p w14:paraId="7E24BD8E" w14:textId="77777777" w:rsidR="002C7FFA" w:rsidRPr="008035A5" w:rsidRDefault="002C7FFA" w:rsidP="00850EBD">
      <w:pPr>
        <w:rPr>
          <w:lang w:val="en-GB" w:eastAsia="en-US" w:bidi="ar-SA"/>
        </w:rPr>
      </w:pPr>
    </w:p>
    <w:p w14:paraId="6288DEF4" w14:textId="77777777" w:rsidR="002C7FFA" w:rsidRPr="008035A5" w:rsidRDefault="002C7FFA" w:rsidP="00850EBD">
      <w:pPr>
        <w:rPr>
          <w:lang w:val="en-GB" w:eastAsia="en-US" w:bidi="ar-SA"/>
        </w:rPr>
      </w:pPr>
    </w:p>
    <w:p w14:paraId="37DE25E9" w14:textId="77777777" w:rsidR="002C7FFA" w:rsidRPr="008035A5" w:rsidRDefault="002C7FFA" w:rsidP="00850EBD">
      <w:pPr>
        <w:pStyle w:val="Heading1"/>
        <w:rPr>
          <w:rFonts w:eastAsiaTheme="minorHAnsi"/>
          <w:lang w:val="en-GB" w:eastAsia="en-US" w:bidi="ar-SA"/>
        </w:rPr>
        <w:sectPr w:rsidR="002C7FFA" w:rsidRPr="008035A5" w:rsidSect="002C7FFA">
          <w:footerReference w:type="default" r:id="rId10"/>
          <w:pgSz w:w="12240" w:h="15840"/>
          <w:pgMar w:top="810" w:right="1440" w:bottom="1440" w:left="1440" w:header="720" w:footer="720" w:gutter="0"/>
          <w:cols w:space="720"/>
          <w:docGrid w:linePitch="360"/>
        </w:sectPr>
      </w:pPr>
    </w:p>
    <w:p w14:paraId="60612B5E" w14:textId="77777777" w:rsidR="002C7FFA" w:rsidRPr="008035A5" w:rsidRDefault="002C7FFA" w:rsidP="00850EBD">
      <w:pPr>
        <w:pStyle w:val="Heading1"/>
        <w:rPr>
          <w:rFonts w:eastAsiaTheme="minorHAnsi"/>
          <w:lang w:val="en-GB" w:eastAsia="en-US" w:bidi="ar-SA"/>
        </w:rPr>
      </w:pPr>
      <w:bookmarkStart w:id="3" w:name="_Toc156977640"/>
      <w:r w:rsidRPr="008035A5">
        <w:rPr>
          <w:rFonts w:eastAsiaTheme="minorHAnsi"/>
          <w:lang w:val="en-GB" w:eastAsia="en-US" w:bidi="ar-SA"/>
        </w:rPr>
        <w:lastRenderedPageBreak/>
        <w:t>Characteristics of the included studies (n = 3</w:t>
      </w:r>
      <w:r>
        <w:rPr>
          <w:rFonts w:eastAsiaTheme="minorHAnsi"/>
          <w:lang w:val="en-GB" w:eastAsia="en-US" w:bidi="ar-SA"/>
        </w:rPr>
        <w:t>3</w:t>
      </w:r>
      <w:r w:rsidRPr="008035A5">
        <w:rPr>
          <w:rFonts w:eastAsiaTheme="minorHAnsi"/>
          <w:lang w:val="en-GB" w:eastAsia="en-US" w:bidi="ar-SA"/>
        </w:rPr>
        <w:t>)</w:t>
      </w:r>
      <w:bookmarkEnd w:id="3"/>
    </w:p>
    <w:tbl>
      <w:tblPr>
        <w:tblStyle w:val="PlainTable2"/>
        <w:tblW w:w="14970" w:type="dxa"/>
        <w:jc w:val="center"/>
        <w:tblLayout w:type="fixed"/>
        <w:tblLook w:val="04A0" w:firstRow="1" w:lastRow="0" w:firstColumn="1" w:lastColumn="0" w:noHBand="0" w:noVBand="1"/>
      </w:tblPr>
      <w:tblGrid>
        <w:gridCol w:w="645"/>
        <w:gridCol w:w="1960"/>
        <w:gridCol w:w="630"/>
        <w:gridCol w:w="900"/>
        <w:gridCol w:w="900"/>
        <w:gridCol w:w="1260"/>
        <w:gridCol w:w="900"/>
        <w:gridCol w:w="810"/>
        <w:gridCol w:w="900"/>
        <w:gridCol w:w="810"/>
        <w:gridCol w:w="845"/>
        <w:gridCol w:w="810"/>
        <w:gridCol w:w="900"/>
        <w:gridCol w:w="1155"/>
        <w:gridCol w:w="1545"/>
      </w:tblGrid>
      <w:tr w:rsidR="002C7FFA" w:rsidRPr="008035A5" w14:paraId="73063FFE" w14:textId="77777777" w:rsidTr="004F52BC">
        <w:trPr>
          <w:cnfStyle w:val="100000000000" w:firstRow="1" w:lastRow="0" w:firstColumn="0" w:lastColumn="0" w:oddVBand="0" w:evenVBand="0" w:oddHBand="0"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14970" w:type="dxa"/>
            <w:gridSpan w:val="15"/>
            <w:tcBorders>
              <w:top w:val="nil"/>
            </w:tcBorders>
            <w:vAlign w:val="center"/>
          </w:tcPr>
          <w:p w14:paraId="0AC9992E" w14:textId="77777777" w:rsidR="002C7FFA" w:rsidRPr="008035A5" w:rsidRDefault="002C7FFA" w:rsidP="004F52BC">
            <w:pPr>
              <w:pStyle w:val="Caption"/>
              <w:rPr>
                <w:b/>
                <w:bCs/>
              </w:rPr>
            </w:pPr>
            <w:r w:rsidRPr="008035A5">
              <w:rPr>
                <w:b/>
                <w:bCs/>
                <w:color w:val="auto"/>
              </w:rPr>
              <w:t>Table</w:t>
            </w:r>
            <w:r w:rsidRPr="008035A5">
              <w:rPr>
                <w:b/>
                <w:bCs/>
              </w:rPr>
              <w:t xml:space="preserve"> S</w:t>
            </w:r>
            <w:r w:rsidRPr="008035A5">
              <w:rPr>
                <w:b/>
                <w:bCs/>
                <w:noProof/>
              </w:rPr>
              <w:t>1</w:t>
            </w:r>
            <w:r w:rsidRPr="008035A5">
              <w:rPr>
                <w:b/>
                <w:bCs/>
              </w:rPr>
              <w:t>. Detailed characteristics and performance for the included studies</w:t>
            </w:r>
          </w:p>
        </w:tc>
      </w:tr>
      <w:tr w:rsidR="002C7FFA" w:rsidRPr="008035A5" w14:paraId="39B40DD6" w14:textId="77777777" w:rsidTr="004F52BC">
        <w:trPr>
          <w:cnfStyle w:val="000000100000" w:firstRow="0" w:lastRow="0" w:firstColumn="0" w:lastColumn="0" w:oddVBand="0" w:evenVBand="0" w:oddHBand="1"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645" w:type="dxa"/>
            <w:vAlign w:val="center"/>
          </w:tcPr>
          <w:p w14:paraId="51D1DBA6" w14:textId="77777777" w:rsidR="002C7FFA" w:rsidRPr="008035A5" w:rsidRDefault="002C7FFA" w:rsidP="004F52BC">
            <w:pPr>
              <w:pStyle w:val="Paragraph"/>
              <w:spacing w:before="0" w:line="240" w:lineRule="auto"/>
              <w:jc w:val="center"/>
              <w:rPr>
                <w:rFonts w:asciiTheme="majorBidi" w:eastAsiaTheme="minorHAnsi" w:hAnsiTheme="majorBidi" w:cstheme="majorBidi"/>
                <w:b w:val="0"/>
                <w:bCs w:val="0"/>
                <w:i/>
                <w:iCs/>
                <w:sz w:val="18"/>
                <w:szCs w:val="18"/>
                <w:lang w:eastAsia="en-US"/>
              </w:rPr>
            </w:pPr>
            <w:r w:rsidRPr="008035A5">
              <w:rPr>
                <w:rFonts w:asciiTheme="majorBidi" w:eastAsiaTheme="minorHAnsi" w:hAnsiTheme="majorBidi" w:cstheme="majorBidi"/>
                <w:sz w:val="18"/>
                <w:szCs w:val="18"/>
                <w:lang w:eastAsia="en-US"/>
              </w:rPr>
              <w:t>Ref</w:t>
            </w:r>
          </w:p>
        </w:tc>
        <w:tc>
          <w:tcPr>
            <w:tcW w:w="1960" w:type="dxa"/>
            <w:vAlign w:val="center"/>
            <w:hideMark/>
          </w:tcPr>
          <w:p w14:paraId="7AE44A30" w14:textId="77777777" w:rsidR="002C7FFA" w:rsidRPr="008035A5" w:rsidRDefault="002C7FFA" w:rsidP="004F52BC">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i/>
                <w:iCs/>
                <w:sz w:val="18"/>
                <w:szCs w:val="18"/>
                <w:lang w:eastAsia="en-US"/>
              </w:rPr>
            </w:pPr>
            <w:r w:rsidRPr="008035A5">
              <w:rPr>
                <w:rFonts w:asciiTheme="majorBidi" w:eastAsiaTheme="minorHAnsi" w:hAnsiTheme="majorBidi" w:cstheme="majorBidi"/>
                <w:b/>
                <w:bCs/>
                <w:sz w:val="18"/>
                <w:szCs w:val="18"/>
                <w:lang w:eastAsia="en-US"/>
              </w:rPr>
              <w:t>Study</w:t>
            </w:r>
          </w:p>
        </w:tc>
        <w:tc>
          <w:tcPr>
            <w:tcW w:w="630" w:type="dxa"/>
            <w:vAlign w:val="center"/>
            <w:hideMark/>
          </w:tcPr>
          <w:p w14:paraId="22FF204E" w14:textId="77777777" w:rsidR="002C7FFA" w:rsidRPr="008035A5" w:rsidRDefault="002C7FFA" w:rsidP="004F52BC">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i/>
                <w:iCs/>
                <w:sz w:val="18"/>
                <w:szCs w:val="18"/>
                <w:lang w:eastAsia="en-US"/>
              </w:rPr>
            </w:pPr>
            <w:r w:rsidRPr="008035A5">
              <w:rPr>
                <w:rFonts w:asciiTheme="majorBidi" w:eastAsiaTheme="minorHAnsi" w:hAnsiTheme="majorBidi" w:cstheme="majorBidi"/>
                <w:b/>
                <w:bCs/>
                <w:sz w:val="18"/>
                <w:szCs w:val="18"/>
                <w:lang w:eastAsia="en-US"/>
              </w:rPr>
              <w:t>Year</w:t>
            </w:r>
          </w:p>
        </w:tc>
        <w:tc>
          <w:tcPr>
            <w:tcW w:w="900" w:type="dxa"/>
            <w:vAlign w:val="center"/>
            <w:hideMark/>
          </w:tcPr>
          <w:p w14:paraId="30871665"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i/>
                <w:iCs/>
                <w:sz w:val="18"/>
                <w:szCs w:val="18"/>
                <w:lang w:eastAsia="en-US"/>
              </w:rPr>
            </w:pPr>
            <w:r w:rsidRPr="008035A5">
              <w:rPr>
                <w:rFonts w:asciiTheme="majorBidi" w:eastAsiaTheme="minorHAnsi" w:hAnsiTheme="majorBidi" w:cstheme="majorBidi"/>
                <w:b/>
                <w:bCs/>
                <w:sz w:val="18"/>
                <w:szCs w:val="18"/>
                <w:lang w:eastAsia="en-US"/>
              </w:rPr>
              <w:t>Region</w:t>
            </w:r>
          </w:p>
        </w:tc>
        <w:tc>
          <w:tcPr>
            <w:tcW w:w="900" w:type="dxa"/>
            <w:vAlign w:val="center"/>
            <w:hideMark/>
          </w:tcPr>
          <w:p w14:paraId="4972F429"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i/>
                <w:iCs/>
                <w:sz w:val="18"/>
                <w:szCs w:val="18"/>
                <w:lang w:eastAsia="en-US"/>
              </w:rPr>
            </w:pPr>
            <w:r w:rsidRPr="008035A5">
              <w:rPr>
                <w:rFonts w:asciiTheme="majorBidi" w:eastAsiaTheme="minorHAnsi" w:hAnsiTheme="majorBidi" w:cstheme="majorBidi"/>
                <w:b/>
                <w:bCs/>
                <w:sz w:val="18"/>
                <w:szCs w:val="18"/>
                <w:lang w:eastAsia="en-US"/>
              </w:rPr>
              <w:t>Fibrosis</w:t>
            </w:r>
          </w:p>
        </w:tc>
        <w:tc>
          <w:tcPr>
            <w:tcW w:w="1260" w:type="dxa"/>
            <w:vAlign w:val="center"/>
          </w:tcPr>
          <w:p w14:paraId="5A0DB012"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hAnsiTheme="majorBidi" w:cstheme="majorBidi"/>
                <w:b/>
                <w:bCs/>
                <w:sz w:val="18"/>
                <w:szCs w:val="18"/>
              </w:rPr>
              <w:t>Cut-off</w:t>
            </w:r>
          </w:p>
        </w:tc>
        <w:tc>
          <w:tcPr>
            <w:tcW w:w="900" w:type="dxa"/>
            <w:vAlign w:val="center"/>
            <w:hideMark/>
          </w:tcPr>
          <w:p w14:paraId="5A2880F3"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i/>
                <w:iCs/>
                <w:sz w:val="18"/>
                <w:szCs w:val="18"/>
                <w:lang w:eastAsia="en-US"/>
              </w:rPr>
            </w:pPr>
            <w:r w:rsidRPr="008035A5">
              <w:rPr>
                <w:rFonts w:asciiTheme="majorBidi" w:eastAsiaTheme="minorHAnsi" w:hAnsiTheme="majorBidi" w:cstheme="majorBidi"/>
                <w:b/>
                <w:bCs/>
                <w:sz w:val="18"/>
                <w:szCs w:val="18"/>
                <w:lang w:eastAsia="en-US"/>
              </w:rPr>
              <w:t>S</w:t>
            </w:r>
            <w:r w:rsidRPr="008035A5">
              <w:rPr>
                <w:rFonts w:asciiTheme="majorBidi" w:eastAsiaTheme="minorHAnsi" w:hAnsiTheme="majorBidi" w:cstheme="majorBidi"/>
                <w:b/>
                <w:bCs/>
                <w:sz w:val="18"/>
                <w:szCs w:val="18"/>
                <w:vertAlign w:val="subscript"/>
                <w:lang w:eastAsia="en-US"/>
              </w:rPr>
              <w:t>E</w:t>
            </w:r>
          </w:p>
        </w:tc>
        <w:tc>
          <w:tcPr>
            <w:tcW w:w="810" w:type="dxa"/>
            <w:vAlign w:val="center"/>
            <w:hideMark/>
          </w:tcPr>
          <w:p w14:paraId="5EE7BF05"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i/>
                <w:iCs/>
                <w:sz w:val="18"/>
                <w:szCs w:val="18"/>
                <w:lang w:eastAsia="en-US"/>
              </w:rPr>
            </w:pPr>
            <w:r w:rsidRPr="008035A5">
              <w:rPr>
                <w:rFonts w:asciiTheme="majorBidi" w:eastAsiaTheme="minorHAnsi" w:hAnsiTheme="majorBidi" w:cstheme="majorBidi"/>
                <w:b/>
                <w:bCs/>
                <w:sz w:val="18"/>
                <w:szCs w:val="18"/>
                <w:lang w:eastAsia="en-US"/>
              </w:rPr>
              <w:t>S</w:t>
            </w:r>
            <w:r w:rsidRPr="008035A5">
              <w:rPr>
                <w:rFonts w:asciiTheme="majorBidi" w:eastAsiaTheme="minorHAnsi" w:hAnsiTheme="majorBidi" w:cstheme="majorBidi"/>
                <w:b/>
                <w:bCs/>
                <w:sz w:val="18"/>
                <w:szCs w:val="18"/>
                <w:vertAlign w:val="subscript"/>
                <w:lang w:eastAsia="en-US"/>
              </w:rPr>
              <w:t>P</w:t>
            </w:r>
          </w:p>
        </w:tc>
        <w:tc>
          <w:tcPr>
            <w:tcW w:w="900" w:type="dxa"/>
            <w:vAlign w:val="center"/>
            <w:hideMark/>
          </w:tcPr>
          <w:p w14:paraId="7B980D5C"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i/>
                <w:iCs/>
                <w:sz w:val="18"/>
                <w:szCs w:val="18"/>
                <w:lang w:eastAsia="en-US"/>
              </w:rPr>
            </w:pPr>
            <w:r w:rsidRPr="008035A5">
              <w:rPr>
                <w:rFonts w:asciiTheme="majorBidi" w:eastAsiaTheme="minorHAnsi" w:hAnsiTheme="majorBidi" w:cstheme="majorBidi"/>
                <w:b/>
                <w:bCs/>
                <w:sz w:val="18"/>
                <w:szCs w:val="18"/>
                <w:lang w:eastAsia="en-US"/>
              </w:rPr>
              <w:t>PPV</w:t>
            </w:r>
          </w:p>
        </w:tc>
        <w:tc>
          <w:tcPr>
            <w:tcW w:w="810" w:type="dxa"/>
            <w:vAlign w:val="center"/>
            <w:hideMark/>
          </w:tcPr>
          <w:p w14:paraId="13458DDE"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i/>
                <w:iCs/>
                <w:sz w:val="18"/>
                <w:szCs w:val="18"/>
                <w:lang w:eastAsia="en-US"/>
              </w:rPr>
            </w:pPr>
            <w:r w:rsidRPr="008035A5">
              <w:rPr>
                <w:rFonts w:asciiTheme="majorBidi" w:eastAsiaTheme="minorHAnsi" w:hAnsiTheme="majorBidi" w:cstheme="majorBidi"/>
                <w:b/>
                <w:bCs/>
                <w:sz w:val="18"/>
                <w:szCs w:val="18"/>
                <w:lang w:eastAsia="en-US"/>
              </w:rPr>
              <w:t>NPV</w:t>
            </w:r>
          </w:p>
        </w:tc>
        <w:tc>
          <w:tcPr>
            <w:tcW w:w="845" w:type="dxa"/>
            <w:vAlign w:val="center"/>
            <w:hideMark/>
          </w:tcPr>
          <w:p w14:paraId="6E603278"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i/>
                <w:iCs/>
                <w:sz w:val="18"/>
                <w:szCs w:val="18"/>
                <w:lang w:eastAsia="en-US"/>
              </w:rPr>
            </w:pPr>
            <w:r w:rsidRPr="008035A5">
              <w:rPr>
                <w:rFonts w:asciiTheme="majorBidi" w:eastAsiaTheme="minorHAnsi" w:hAnsiTheme="majorBidi" w:cstheme="majorBidi"/>
                <w:b/>
                <w:bCs/>
                <w:sz w:val="18"/>
                <w:szCs w:val="18"/>
                <w:lang w:eastAsia="en-US"/>
              </w:rPr>
              <w:t>N</w:t>
            </w:r>
          </w:p>
        </w:tc>
        <w:tc>
          <w:tcPr>
            <w:tcW w:w="810" w:type="dxa"/>
            <w:vAlign w:val="center"/>
            <w:hideMark/>
          </w:tcPr>
          <w:p w14:paraId="7B7D27F7"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i/>
                <w:iCs/>
                <w:sz w:val="18"/>
                <w:szCs w:val="18"/>
                <w:lang w:eastAsia="en-US"/>
              </w:rPr>
            </w:pPr>
            <w:r w:rsidRPr="008035A5">
              <w:rPr>
                <w:rFonts w:asciiTheme="majorBidi" w:eastAsiaTheme="minorHAnsi" w:hAnsiTheme="majorBidi" w:cstheme="majorBidi"/>
                <w:b/>
                <w:bCs/>
                <w:sz w:val="18"/>
                <w:szCs w:val="18"/>
                <w:lang w:eastAsia="en-US"/>
              </w:rPr>
              <w:t>M%</w:t>
            </w:r>
          </w:p>
        </w:tc>
        <w:tc>
          <w:tcPr>
            <w:tcW w:w="900" w:type="dxa"/>
            <w:vAlign w:val="center"/>
            <w:hideMark/>
          </w:tcPr>
          <w:p w14:paraId="0B733109"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i/>
                <w:iCs/>
                <w:sz w:val="18"/>
                <w:szCs w:val="18"/>
                <w:lang w:eastAsia="en-US"/>
              </w:rPr>
            </w:pPr>
            <w:r w:rsidRPr="008035A5">
              <w:rPr>
                <w:rFonts w:asciiTheme="majorBidi" w:eastAsiaTheme="minorHAnsi" w:hAnsiTheme="majorBidi" w:cstheme="majorBidi"/>
                <w:b/>
                <w:bCs/>
                <w:sz w:val="18"/>
                <w:szCs w:val="18"/>
                <w:lang w:eastAsia="en-US"/>
              </w:rPr>
              <w:t>Age (Yrs)</w:t>
            </w:r>
          </w:p>
        </w:tc>
        <w:tc>
          <w:tcPr>
            <w:tcW w:w="1155" w:type="dxa"/>
            <w:vAlign w:val="center"/>
          </w:tcPr>
          <w:p w14:paraId="5D2CD4F3"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sz w:val="18"/>
                <w:szCs w:val="18"/>
              </w:rPr>
            </w:pPr>
            <w:r w:rsidRPr="008035A5">
              <w:rPr>
                <w:rFonts w:asciiTheme="majorBidi" w:hAnsiTheme="majorBidi" w:cstheme="majorBidi"/>
                <w:b/>
                <w:bCs/>
                <w:sz w:val="18"/>
                <w:szCs w:val="18"/>
              </w:rPr>
              <w:t>Scoring System</w:t>
            </w:r>
          </w:p>
        </w:tc>
        <w:tc>
          <w:tcPr>
            <w:tcW w:w="1545" w:type="dxa"/>
            <w:vAlign w:val="center"/>
          </w:tcPr>
          <w:p w14:paraId="1BF24E57"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8035A5">
              <w:rPr>
                <w:rFonts w:asciiTheme="majorBidi" w:eastAsiaTheme="minorHAnsi" w:hAnsiTheme="majorBidi" w:cstheme="majorBidi"/>
                <w:b/>
                <w:bCs/>
                <w:sz w:val="18"/>
                <w:szCs w:val="18"/>
                <w:lang w:eastAsia="en-US"/>
              </w:rPr>
              <w:t>Comorbidity</w:t>
            </w:r>
          </w:p>
        </w:tc>
      </w:tr>
      <w:tr w:rsidR="002C7FFA" w:rsidRPr="008035A5" w14:paraId="2FA71232" w14:textId="77777777" w:rsidTr="004F52BC">
        <w:trPr>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restart"/>
            <w:vAlign w:val="center"/>
          </w:tcPr>
          <w:p w14:paraId="4B83A75A" w14:textId="77777777" w:rsidR="002C7FFA" w:rsidRPr="008035A5" w:rsidRDefault="002C7FFA" w:rsidP="004F52BC">
            <w:pPr>
              <w:pStyle w:val="Paragraph"/>
              <w:spacing w:before="0" w:line="240" w:lineRule="auto"/>
              <w:jc w:val="center"/>
              <w:rPr>
                <w:rFonts w:asciiTheme="majorBidi" w:hAnsiTheme="majorBidi" w:cstheme="majorBidi"/>
                <w:b w:val="0"/>
                <w:bCs w:val="0"/>
                <w:i/>
                <w:iCs/>
                <w:sz w:val="18"/>
                <w:szCs w:val="18"/>
              </w:rPr>
            </w:pPr>
            <w:r>
              <w:rPr>
                <w:rFonts w:asciiTheme="majorBidi" w:hAnsiTheme="majorBidi" w:cstheme="majorBidi"/>
                <w:i/>
                <w:iCs/>
                <w:sz w:val="18"/>
                <w:szCs w:val="18"/>
              </w:rPr>
              <w:fldChar w:fldCharType="begin" w:fldLock="1"/>
            </w:r>
            <w:r>
              <w:rPr>
                <w:rFonts w:asciiTheme="majorBidi" w:hAnsiTheme="majorBidi" w:cstheme="majorBidi"/>
                <w:b w:val="0"/>
                <w:bCs w:val="0"/>
                <w:i/>
                <w:iCs/>
                <w:sz w:val="18"/>
                <w:szCs w:val="18"/>
              </w:rPr>
              <w:instrText>ADDIN CSL_CITATION {"citationItems":[{"id":"ITEM-1","itemData":{"DOI":"10.7759/cureus.33744","ISSN":"2168-8184 (Print)","PMID":"36793825","abstract":"Background The gamma-glutamyl transpeptidase (GGT)-to-platelet ratio (GPR) is  identified as a new model for the assessment of liver fibrosis in patients with chronic hepatitis B (CHB). We aimed to determine the diagnostic performance of GPR for the prediction of liver fibrosis in patients with CHB. Methods In an observational cohort study, patients with CHB were enrolled. The diagnostic performance of GPR was compared with transient elastography (TE), aspartate aminotransferase-to-platelet ratio index (APRI), and fibrosis-4 (FIB-4) scores for the prediction of liver fibrosis using liver histology as a gold standard. Results Forty-eight patients with CHB with a mean age of 33.42 ± 15.72 years were enrolled. Liver histology showed meta-analysis of histological data in viral hepatitis (METAVIR) stage F0, F1, F2, F3, and F4 fibrosis in 11, 12, 11, seven, and seven patients, respectively. The Spearman correlation of METAVIR fibrosis stage with APRI, FIB-4, GPR, and TE were 0.354, 0.402, 0.551, and 0.726, respectively (P value &lt; 0.05). TE had the highest sensitivity, specificity, positive predictive value (PPV), and negative predictive value (NPV) (80%, 83%, 83%, and 79%, respectively), followed by GPR (76%, 65%, 70%, and 71%, respectively) for predicting significant fibrosis (≥F2). However, TE had comparable sensitivity, specificity, PPV, and NPV with GPR (86%, 82%, 42%, and 93%, and 86%, 71%, 42%, and 92%, respectively) for predicting extensive fibrosis (≥F3). Conclusion The performance of GPR is comparable to TE in predicting significant and extensive liver fibrosis. GPR may be an acceptable, low-cost alternative for predicting compensated advanced chronic liver disease (cACLD) (F3-F4) in CHB patients.","author":[{"dropping-particle":"","family":"Purkayastha","given":"Subham","non-dropping-particle":"","parse-names":false,"suffix":""},{"dropping-particle":"","family":"Jha","given":"Ashish K","non-dropping-particle":"","parse-names":false,"suffix":""},{"dropping-particle":"","family":"Kumar","given":"Ravikant","non-dropping-particle":"","parse-names":false,"suffix":""},{"dropping-particle":"","family":"Dayal","given":"Vishwa Mohan","non-dropping-particle":"","parse-names":false,"suffix":""},{"dropping-particle":"","family":"Jha","given":"Sanjeev K","non-dropping-particle":"","parse-names":false,"suffix":""}],"container-title":"Cureus","id":"ITEM-1","issue":"1","issued":{"date-parts":[["2023","1"]]},"language":"eng","page":"e33744","publisher-place":"United States","title":"Serum Gamma-Glutamyl Transpeptidase-to-Platelet Ratio as a Noninvasive Marker of  Liver Fibrosis in Chronic Hepatitis B.","type":"article-journal","volume":"15"},"uris":["http://www.mendeley.com/documents/?uuid=eed7e97a-e31a-46fb-8d16-be2365023c9f"]}],"mendeley":{"formattedCitation":"[1]","plainTextFormattedCitation":"[1]","previouslyFormattedCitation":"[1]"},"properties":{"noteIndex":0},"schema":"https://github.com/citation-style-language/schema/raw/master/csl-citation.json"}</w:instrText>
            </w:r>
            <w:r>
              <w:rPr>
                <w:rFonts w:asciiTheme="majorBidi" w:hAnsiTheme="majorBidi" w:cstheme="majorBidi"/>
                <w:i/>
                <w:iCs/>
                <w:sz w:val="18"/>
                <w:szCs w:val="18"/>
              </w:rPr>
              <w:fldChar w:fldCharType="separate"/>
            </w:r>
            <w:r w:rsidRPr="005B400C">
              <w:rPr>
                <w:rFonts w:asciiTheme="majorBidi" w:hAnsiTheme="majorBidi" w:cstheme="majorBidi"/>
                <w:b w:val="0"/>
                <w:bCs w:val="0"/>
                <w:iCs/>
                <w:noProof/>
                <w:sz w:val="18"/>
                <w:szCs w:val="18"/>
              </w:rPr>
              <w:t>[1]</w:t>
            </w:r>
            <w:r>
              <w:rPr>
                <w:rFonts w:asciiTheme="majorBidi" w:hAnsiTheme="majorBidi" w:cstheme="majorBidi"/>
                <w:i/>
                <w:iCs/>
                <w:sz w:val="18"/>
                <w:szCs w:val="18"/>
              </w:rPr>
              <w:fldChar w:fldCharType="end"/>
            </w:r>
          </w:p>
        </w:tc>
        <w:tc>
          <w:tcPr>
            <w:tcW w:w="1960" w:type="dxa"/>
            <w:vMerge w:val="restart"/>
            <w:vAlign w:val="center"/>
            <w:hideMark/>
          </w:tcPr>
          <w:p w14:paraId="14B81505" w14:textId="77777777" w:rsidR="002C7FFA" w:rsidRPr="008035A5" w:rsidRDefault="002C7FFA" w:rsidP="004F52BC">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Purkayastha S. et al</w:t>
            </w:r>
          </w:p>
        </w:tc>
        <w:tc>
          <w:tcPr>
            <w:tcW w:w="630" w:type="dxa"/>
            <w:vMerge w:val="restart"/>
            <w:vAlign w:val="center"/>
            <w:hideMark/>
          </w:tcPr>
          <w:p w14:paraId="750B14D0" w14:textId="77777777" w:rsidR="002C7FFA" w:rsidRPr="008035A5" w:rsidRDefault="002C7FFA" w:rsidP="004F52BC">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2023</w:t>
            </w:r>
          </w:p>
        </w:tc>
        <w:tc>
          <w:tcPr>
            <w:tcW w:w="900" w:type="dxa"/>
            <w:vMerge w:val="restart"/>
            <w:vAlign w:val="center"/>
            <w:hideMark/>
          </w:tcPr>
          <w:p w14:paraId="452A7203"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India</w:t>
            </w:r>
          </w:p>
        </w:tc>
        <w:tc>
          <w:tcPr>
            <w:tcW w:w="900" w:type="dxa"/>
            <w:vAlign w:val="center"/>
            <w:hideMark/>
          </w:tcPr>
          <w:p w14:paraId="0864C013"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F2</w:t>
            </w:r>
          </w:p>
        </w:tc>
        <w:tc>
          <w:tcPr>
            <w:tcW w:w="1260" w:type="dxa"/>
            <w:vAlign w:val="center"/>
          </w:tcPr>
          <w:p w14:paraId="1C294A5C"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0.28</w:t>
            </w:r>
          </w:p>
        </w:tc>
        <w:tc>
          <w:tcPr>
            <w:tcW w:w="900" w:type="dxa"/>
            <w:vAlign w:val="center"/>
            <w:hideMark/>
          </w:tcPr>
          <w:p w14:paraId="77165A66"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0.76</w:t>
            </w:r>
          </w:p>
        </w:tc>
        <w:tc>
          <w:tcPr>
            <w:tcW w:w="810" w:type="dxa"/>
            <w:vAlign w:val="center"/>
            <w:hideMark/>
          </w:tcPr>
          <w:p w14:paraId="2F96F6FD"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0.65</w:t>
            </w:r>
          </w:p>
        </w:tc>
        <w:tc>
          <w:tcPr>
            <w:tcW w:w="900" w:type="dxa"/>
            <w:vAlign w:val="center"/>
            <w:hideMark/>
          </w:tcPr>
          <w:p w14:paraId="4D8E0C2B"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0.71</w:t>
            </w:r>
          </w:p>
        </w:tc>
        <w:tc>
          <w:tcPr>
            <w:tcW w:w="810" w:type="dxa"/>
            <w:vAlign w:val="center"/>
            <w:hideMark/>
          </w:tcPr>
          <w:p w14:paraId="5D75B9AB"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0.70</w:t>
            </w:r>
          </w:p>
        </w:tc>
        <w:tc>
          <w:tcPr>
            <w:tcW w:w="845" w:type="dxa"/>
            <w:vMerge w:val="restart"/>
            <w:vAlign w:val="center"/>
            <w:hideMark/>
          </w:tcPr>
          <w:p w14:paraId="0860AC1E"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hAnsiTheme="majorBidi" w:cstheme="majorBidi"/>
                <w:b/>
                <w:bCs/>
                <w:sz w:val="18"/>
                <w:szCs w:val="18"/>
              </w:rPr>
              <w:t>48</w:t>
            </w:r>
          </w:p>
        </w:tc>
        <w:tc>
          <w:tcPr>
            <w:tcW w:w="810" w:type="dxa"/>
            <w:vAlign w:val="center"/>
            <w:hideMark/>
          </w:tcPr>
          <w:p w14:paraId="7FB7A9F3"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0.92</w:t>
            </w:r>
          </w:p>
        </w:tc>
        <w:tc>
          <w:tcPr>
            <w:tcW w:w="900" w:type="dxa"/>
            <w:vAlign w:val="center"/>
            <w:hideMark/>
          </w:tcPr>
          <w:p w14:paraId="43FFD22D"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38</w:t>
            </w:r>
          </w:p>
        </w:tc>
        <w:tc>
          <w:tcPr>
            <w:tcW w:w="1155" w:type="dxa"/>
            <w:vMerge w:val="restart"/>
            <w:vAlign w:val="center"/>
          </w:tcPr>
          <w:p w14:paraId="482EEEC6"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8035A5">
              <w:rPr>
                <w:rFonts w:asciiTheme="majorBidi" w:hAnsiTheme="majorBidi" w:cstheme="majorBidi"/>
                <w:b/>
                <w:bCs/>
                <w:sz w:val="18"/>
                <w:szCs w:val="18"/>
              </w:rPr>
              <w:t>METAVIR</w:t>
            </w:r>
          </w:p>
        </w:tc>
        <w:tc>
          <w:tcPr>
            <w:tcW w:w="1545" w:type="dxa"/>
            <w:vMerge w:val="restart"/>
            <w:vAlign w:val="center"/>
          </w:tcPr>
          <w:p w14:paraId="4B8B0762"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8035A5">
              <w:rPr>
                <w:rFonts w:asciiTheme="majorBidi" w:eastAsiaTheme="minorHAnsi" w:hAnsiTheme="majorBidi" w:cstheme="majorBidi"/>
                <w:b/>
                <w:bCs/>
                <w:sz w:val="18"/>
                <w:szCs w:val="18"/>
                <w:lang w:eastAsia="en-US"/>
              </w:rPr>
              <w:t>HBV</w:t>
            </w:r>
          </w:p>
        </w:tc>
      </w:tr>
      <w:tr w:rsidR="002C7FFA" w:rsidRPr="008035A5" w14:paraId="0991BCC4" w14:textId="77777777" w:rsidTr="004F52BC">
        <w:trPr>
          <w:cnfStyle w:val="000000100000" w:firstRow="0" w:lastRow="0" w:firstColumn="0" w:lastColumn="0" w:oddVBand="0" w:evenVBand="0" w:oddHBand="1"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3771C89A" w14:textId="77777777" w:rsidR="002C7FFA" w:rsidRPr="008035A5" w:rsidRDefault="002C7FFA" w:rsidP="004F52BC">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23299DE1" w14:textId="77777777" w:rsidR="002C7FFA" w:rsidRPr="008035A5" w:rsidRDefault="002C7FFA" w:rsidP="004F52BC">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hideMark/>
          </w:tcPr>
          <w:p w14:paraId="0E9A83BA" w14:textId="77777777" w:rsidR="002C7FFA" w:rsidRPr="008035A5" w:rsidRDefault="002C7FFA" w:rsidP="004F52BC">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58BC38E1"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47DF066D"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F3</w:t>
            </w:r>
          </w:p>
        </w:tc>
        <w:tc>
          <w:tcPr>
            <w:tcW w:w="1260" w:type="dxa"/>
            <w:vAlign w:val="center"/>
          </w:tcPr>
          <w:p w14:paraId="520652A5"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0.32</w:t>
            </w:r>
          </w:p>
        </w:tc>
        <w:tc>
          <w:tcPr>
            <w:tcW w:w="900" w:type="dxa"/>
            <w:vAlign w:val="center"/>
            <w:hideMark/>
          </w:tcPr>
          <w:p w14:paraId="579D75FB"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0.86</w:t>
            </w:r>
          </w:p>
        </w:tc>
        <w:tc>
          <w:tcPr>
            <w:tcW w:w="810" w:type="dxa"/>
            <w:vAlign w:val="center"/>
            <w:hideMark/>
          </w:tcPr>
          <w:p w14:paraId="4EC4098E"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0.71</w:t>
            </w:r>
          </w:p>
        </w:tc>
        <w:tc>
          <w:tcPr>
            <w:tcW w:w="900" w:type="dxa"/>
            <w:vAlign w:val="center"/>
            <w:hideMark/>
          </w:tcPr>
          <w:p w14:paraId="51AF7197"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0.42</w:t>
            </w:r>
          </w:p>
        </w:tc>
        <w:tc>
          <w:tcPr>
            <w:tcW w:w="810" w:type="dxa"/>
            <w:vAlign w:val="center"/>
            <w:hideMark/>
          </w:tcPr>
          <w:p w14:paraId="52A58200"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0.92</w:t>
            </w:r>
          </w:p>
        </w:tc>
        <w:tc>
          <w:tcPr>
            <w:tcW w:w="845" w:type="dxa"/>
            <w:vMerge/>
            <w:vAlign w:val="center"/>
            <w:hideMark/>
          </w:tcPr>
          <w:p w14:paraId="3279132A"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810" w:type="dxa"/>
            <w:vAlign w:val="center"/>
            <w:hideMark/>
          </w:tcPr>
          <w:p w14:paraId="69E111F0"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0.93</w:t>
            </w:r>
          </w:p>
        </w:tc>
        <w:tc>
          <w:tcPr>
            <w:tcW w:w="900" w:type="dxa"/>
            <w:vAlign w:val="center"/>
            <w:hideMark/>
          </w:tcPr>
          <w:p w14:paraId="7A7A22AA"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39</w:t>
            </w:r>
          </w:p>
        </w:tc>
        <w:tc>
          <w:tcPr>
            <w:tcW w:w="1155" w:type="dxa"/>
            <w:vMerge/>
            <w:vAlign w:val="center"/>
          </w:tcPr>
          <w:p w14:paraId="3A90C4FA"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c>
          <w:tcPr>
            <w:tcW w:w="1545" w:type="dxa"/>
            <w:vMerge/>
            <w:vAlign w:val="center"/>
          </w:tcPr>
          <w:p w14:paraId="5EE16FFA"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r>
      <w:tr w:rsidR="002C7FFA" w:rsidRPr="008035A5" w14:paraId="293972B2" w14:textId="77777777" w:rsidTr="004F52BC">
        <w:trPr>
          <w:trHeight w:val="737"/>
          <w:jc w:val="center"/>
        </w:trPr>
        <w:tc>
          <w:tcPr>
            <w:cnfStyle w:val="001000000000" w:firstRow="0" w:lastRow="0" w:firstColumn="1" w:lastColumn="0" w:oddVBand="0" w:evenVBand="0" w:oddHBand="0" w:evenHBand="0" w:firstRowFirstColumn="0" w:firstRowLastColumn="0" w:lastRowFirstColumn="0" w:lastRowLastColumn="0"/>
            <w:tcW w:w="645" w:type="dxa"/>
            <w:vAlign w:val="center"/>
          </w:tcPr>
          <w:p w14:paraId="370350BE" w14:textId="77777777" w:rsidR="002C7FFA" w:rsidRPr="008035A5" w:rsidRDefault="002C7FFA" w:rsidP="004F52BC">
            <w:pPr>
              <w:pStyle w:val="Paragraph"/>
              <w:spacing w:before="0" w:line="240" w:lineRule="auto"/>
              <w:jc w:val="center"/>
              <w:rPr>
                <w:rFonts w:asciiTheme="majorBidi" w:hAnsiTheme="majorBidi" w:cstheme="majorBidi"/>
                <w:b w:val="0"/>
                <w:bCs w:val="0"/>
                <w:i/>
                <w:iCs/>
                <w:sz w:val="18"/>
                <w:szCs w:val="18"/>
                <w:lang w:val="en-US"/>
              </w:rPr>
            </w:pPr>
            <w:r>
              <w:rPr>
                <w:rFonts w:asciiTheme="majorBidi" w:hAnsiTheme="majorBidi" w:cstheme="majorBidi"/>
                <w:noProof/>
                <w:sz w:val="18"/>
                <w:szCs w:val="18"/>
                <w:vertAlign w:val="superscript"/>
                <w:lang w:val="en-US"/>
              </w:rPr>
              <w:fldChar w:fldCharType="begin" w:fldLock="1"/>
            </w:r>
            <w:r>
              <w:rPr>
                <w:rFonts w:asciiTheme="majorBidi" w:hAnsiTheme="majorBidi" w:cstheme="majorBidi"/>
                <w:noProof/>
                <w:sz w:val="18"/>
                <w:szCs w:val="18"/>
                <w:vertAlign w:val="superscript"/>
                <w:lang w:val="en-US"/>
              </w:rPr>
              <w:instrText>ADDIN CSL_CITATION {"citationItems":[{"id":"ITEM-1","itemData":{"DOI":"10.1016/j.aohep.2021.100544","ISSN":"1665-2681 (Print)","PMID":"34571267","abstract":"INTRODUCTION AND OBJECTIVES: Evaluation of liver fibrosis is important for  treatment decisions, complications and to predict prognosis in patients with chronic hepatitis B (CHB). Our aim was to develop a new non-invasive fibrosis scoring method and prove its accuracy in the differentiation of no/low grade and advanced fibrosis in patients with CHB. PATIENTS AND METHODS: Our study included 273 chronic hepatitis B patients who underwent liver biopsy from February, 2007 to February, 2019 with medical records retrospectively reviewed. Preparations of these patients were divided into two groups as ≤ 3 no-low grade fibrosis (n=236) and ≥ 4 advanced fibrosis (n=37) according to histological ISHAK fibrosis scoring system. RESULTS: The newly developed AGAP score and other non-invasive fibrosis scores; Fibrosis-4 index, Aspartate aminotransferase to platelets ratio, Gamma glutamyl transpeptidase to platelet ratio, Goteborg University Cirrhosis Index, King's score, Albumin-bilirubin index, Fibrosis cirrhosis index, Fibrosis index, Fibrosis quotient, Lok score and mean and/or median values of Fibroindex were significantly higher in the advanced fibrosis group compared to the no/low grade fibrosis group (p&lt;0.001). However, there was no significant difference in AAR score among the groups (p=0.265). With cut-off value of 4.038, AUROC value of 0.803, sensitivity of 75.7%, specificity of 73.7% and accuracy of 0.740, AGAP score showed the best performance in advanced fibrosis differentiation compared to 12 other non-invasive fibrosis scoring methods. CONCLUSIONS: The newly developed AGAP score showed better performance in patients with CHB compared to 12 other non-invasive fibrosis scores in differentiation of no/low grade fibrosis and advanced fibrosis.","author":[{"dropping-particle":"","family":"Okdemir","given":"Sannur","non-dropping-particle":"","parse-names":false,"suffix":""},{"dropping-particle":"","family":"Cakmak","given":"Erol","non-dropping-particle":"","parse-names":false,"suffix":""}],"container-title":"Annals of hepatology","id":"ITEM-1","issue":"1","issued":{"date-parts":[["2022"]]},"language":"eng","page":"100544","publisher-place":"Mexico","title":"A novel non-invasive score for the prediction of advanced fibrosis in patients  with chronic hepatitis B.","type":"article-journal","volume":"27"},"uris":["http://www.mendeley.com/documents/?uuid=753d06a2-d147-4e7d-aca8-918e9ec334b7"]}],"mendeley":{"formattedCitation":"[2]","plainTextFormattedCitation":"[2]","previouslyFormattedCitation":"[2]"},"properties":{"noteIndex":0},"schema":"https://github.com/citation-style-language/schema/raw/master/csl-citation.json"}</w:instrText>
            </w:r>
            <w:r>
              <w:rPr>
                <w:rFonts w:asciiTheme="majorBidi" w:hAnsiTheme="majorBidi" w:cstheme="majorBidi"/>
                <w:noProof/>
                <w:sz w:val="18"/>
                <w:szCs w:val="18"/>
                <w:vertAlign w:val="superscript"/>
                <w:lang w:val="en-US"/>
              </w:rPr>
              <w:fldChar w:fldCharType="separate"/>
            </w:r>
            <w:r w:rsidRPr="005B400C">
              <w:rPr>
                <w:rFonts w:asciiTheme="majorBidi" w:hAnsiTheme="majorBidi" w:cstheme="majorBidi"/>
                <w:b w:val="0"/>
                <w:noProof/>
                <w:sz w:val="18"/>
                <w:szCs w:val="18"/>
                <w:lang w:val="en-US"/>
              </w:rPr>
              <w:t>[2]</w:t>
            </w:r>
            <w:r>
              <w:rPr>
                <w:rFonts w:asciiTheme="majorBidi" w:hAnsiTheme="majorBidi" w:cstheme="majorBidi"/>
                <w:noProof/>
                <w:sz w:val="18"/>
                <w:szCs w:val="18"/>
                <w:vertAlign w:val="superscript"/>
                <w:lang w:val="en-US"/>
              </w:rPr>
              <w:fldChar w:fldCharType="end"/>
            </w:r>
          </w:p>
        </w:tc>
        <w:tc>
          <w:tcPr>
            <w:tcW w:w="1960" w:type="dxa"/>
            <w:vAlign w:val="center"/>
            <w:hideMark/>
          </w:tcPr>
          <w:p w14:paraId="153D62F1" w14:textId="77777777" w:rsidR="002C7FFA" w:rsidRPr="008035A5" w:rsidRDefault="002C7FFA" w:rsidP="004F52BC">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roofErr w:type="spellStart"/>
            <w:r w:rsidRPr="008035A5">
              <w:rPr>
                <w:rFonts w:asciiTheme="majorBidi" w:eastAsiaTheme="minorHAnsi" w:hAnsiTheme="majorBidi" w:cstheme="majorBidi"/>
                <w:b/>
                <w:bCs/>
                <w:sz w:val="18"/>
                <w:szCs w:val="18"/>
                <w:lang w:eastAsia="en-US"/>
              </w:rPr>
              <w:t>Sannur</w:t>
            </w:r>
            <w:proofErr w:type="spellEnd"/>
            <w:r w:rsidRPr="008035A5">
              <w:rPr>
                <w:rFonts w:asciiTheme="majorBidi" w:eastAsiaTheme="minorHAnsi" w:hAnsiTheme="majorBidi" w:cstheme="majorBidi"/>
                <w:b/>
                <w:bCs/>
                <w:sz w:val="18"/>
                <w:szCs w:val="18"/>
                <w:lang w:eastAsia="en-US"/>
              </w:rPr>
              <w:t xml:space="preserve"> O. and Erol C.</w:t>
            </w:r>
          </w:p>
        </w:tc>
        <w:tc>
          <w:tcPr>
            <w:tcW w:w="630" w:type="dxa"/>
            <w:vAlign w:val="center"/>
            <w:hideMark/>
          </w:tcPr>
          <w:p w14:paraId="6F0969D3" w14:textId="77777777" w:rsidR="002C7FFA" w:rsidRPr="008035A5" w:rsidRDefault="002C7FFA" w:rsidP="004F52BC">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2022</w:t>
            </w:r>
          </w:p>
        </w:tc>
        <w:tc>
          <w:tcPr>
            <w:tcW w:w="900" w:type="dxa"/>
            <w:vAlign w:val="center"/>
            <w:hideMark/>
          </w:tcPr>
          <w:p w14:paraId="572DBF48"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Turkey</w:t>
            </w:r>
          </w:p>
        </w:tc>
        <w:tc>
          <w:tcPr>
            <w:tcW w:w="900" w:type="dxa"/>
            <w:vAlign w:val="center"/>
            <w:hideMark/>
          </w:tcPr>
          <w:p w14:paraId="11102246"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F3</w:t>
            </w:r>
          </w:p>
        </w:tc>
        <w:tc>
          <w:tcPr>
            <w:tcW w:w="1260" w:type="dxa"/>
            <w:vAlign w:val="center"/>
          </w:tcPr>
          <w:p w14:paraId="32FF873C"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0.63</w:t>
            </w:r>
          </w:p>
        </w:tc>
        <w:tc>
          <w:tcPr>
            <w:tcW w:w="900" w:type="dxa"/>
            <w:vAlign w:val="center"/>
            <w:hideMark/>
          </w:tcPr>
          <w:p w14:paraId="0FF3DE4B"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0.73</w:t>
            </w:r>
          </w:p>
        </w:tc>
        <w:tc>
          <w:tcPr>
            <w:tcW w:w="810" w:type="dxa"/>
            <w:vAlign w:val="center"/>
            <w:hideMark/>
          </w:tcPr>
          <w:p w14:paraId="19A3A064"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0.72</w:t>
            </w:r>
          </w:p>
        </w:tc>
        <w:tc>
          <w:tcPr>
            <w:tcW w:w="900" w:type="dxa"/>
            <w:vAlign w:val="center"/>
            <w:hideMark/>
          </w:tcPr>
          <w:p w14:paraId="354CD832"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0.93</w:t>
            </w:r>
          </w:p>
        </w:tc>
        <w:tc>
          <w:tcPr>
            <w:tcW w:w="810" w:type="dxa"/>
            <w:vAlign w:val="center"/>
            <w:hideMark/>
          </w:tcPr>
          <w:p w14:paraId="600ED506"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0.30</w:t>
            </w:r>
          </w:p>
        </w:tc>
        <w:tc>
          <w:tcPr>
            <w:tcW w:w="845" w:type="dxa"/>
            <w:vAlign w:val="center"/>
            <w:hideMark/>
          </w:tcPr>
          <w:p w14:paraId="340F1F5F"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hAnsiTheme="majorBidi" w:cstheme="majorBidi"/>
                <w:b/>
                <w:bCs/>
                <w:sz w:val="18"/>
                <w:szCs w:val="18"/>
              </w:rPr>
              <w:t>237</w:t>
            </w:r>
          </w:p>
        </w:tc>
        <w:tc>
          <w:tcPr>
            <w:tcW w:w="810" w:type="dxa"/>
            <w:vAlign w:val="center"/>
            <w:hideMark/>
          </w:tcPr>
          <w:p w14:paraId="43335155"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0.51</w:t>
            </w:r>
          </w:p>
        </w:tc>
        <w:tc>
          <w:tcPr>
            <w:tcW w:w="900" w:type="dxa"/>
            <w:vAlign w:val="center"/>
            <w:hideMark/>
          </w:tcPr>
          <w:p w14:paraId="22C41135"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49</w:t>
            </w:r>
          </w:p>
        </w:tc>
        <w:tc>
          <w:tcPr>
            <w:tcW w:w="1155" w:type="dxa"/>
            <w:vAlign w:val="center"/>
          </w:tcPr>
          <w:p w14:paraId="56D4E43C"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8035A5">
              <w:rPr>
                <w:rFonts w:asciiTheme="majorBidi" w:hAnsiTheme="majorBidi" w:cstheme="majorBidi"/>
                <w:b/>
                <w:bCs/>
                <w:sz w:val="18"/>
                <w:szCs w:val="18"/>
              </w:rPr>
              <w:t>ISHAK</w:t>
            </w:r>
          </w:p>
        </w:tc>
        <w:tc>
          <w:tcPr>
            <w:tcW w:w="1545" w:type="dxa"/>
            <w:vAlign w:val="center"/>
          </w:tcPr>
          <w:p w14:paraId="4044C4AA"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8035A5">
              <w:rPr>
                <w:rFonts w:asciiTheme="majorBidi" w:eastAsiaTheme="minorHAnsi" w:hAnsiTheme="majorBidi" w:cstheme="majorBidi"/>
                <w:b/>
                <w:bCs/>
                <w:sz w:val="18"/>
                <w:szCs w:val="18"/>
                <w:lang w:eastAsia="en-US"/>
              </w:rPr>
              <w:t>HBV</w:t>
            </w:r>
          </w:p>
        </w:tc>
      </w:tr>
      <w:tr w:rsidR="002C7FFA" w:rsidRPr="008035A5" w14:paraId="3474E05A" w14:textId="77777777" w:rsidTr="004F52BC">
        <w:trPr>
          <w:cnfStyle w:val="000000100000" w:firstRow="0" w:lastRow="0" w:firstColumn="0" w:lastColumn="0" w:oddVBand="0" w:evenVBand="0" w:oddHBand="1"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restart"/>
            <w:vAlign w:val="center"/>
          </w:tcPr>
          <w:p w14:paraId="1BF1CE57" w14:textId="77777777" w:rsidR="002C7FFA" w:rsidRPr="008035A5" w:rsidRDefault="002C7FFA" w:rsidP="004F52BC">
            <w:pPr>
              <w:pStyle w:val="Paragraph"/>
              <w:spacing w:before="0" w:line="240" w:lineRule="auto"/>
              <w:jc w:val="center"/>
              <w:rPr>
                <w:rFonts w:asciiTheme="majorBidi" w:hAnsiTheme="majorBidi" w:cstheme="majorBidi"/>
                <w:b w:val="0"/>
                <w:bCs w:val="0"/>
                <w:i/>
                <w:iCs/>
                <w:sz w:val="18"/>
                <w:szCs w:val="18"/>
              </w:rPr>
            </w:pPr>
            <w:r>
              <w:rPr>
                <w:rFonts w:asciiTheme="majorBidi" w:hAnsiTheme="majorBidi" w:cstheme="majorBidi"/>
                <w:noProof/>
                <w:sz w:val="18"/>
                <w:szCs w:val="18"/>
                <w:vertAlign w:val="superscript"/>
              </w:rPr>
              <w:fldChar w:fldCharType="begin" w:fldLock="1"/>
            </w:r>
            <w:r>
              <w:rPr>
                <w:rFonts w:asciiTheme="majorBidi" w:hAnsiTheme="majorBidi" w:cstheme="majorBidi"/>
                <w:noProof/>
                <w:sz w:val="18"/>
                <w:szCs w:val="18"/>
                <w:vertAlign w:val="superscript"/>
              </w:rPr>
              <w:instrText>ADDIN CSL_CITATION {"citationItems":[{"id":"ITEM-1","itemData":{"DOI":"10.2147/IJGM.S364216","ISSN":"1178-7074 (Print)","PMID":"35642202","abstract":"BACKGROUND: At present, there is a lack of cheap, effective and convenient  detection methods for hepatitis B-related liver fibrosis, especially in the developing area. AIM: To evaluate the non-invasive methods for the significant and advanced fibrosis stage in chronic hepatitis B virus (HBV) patients in basic hospitals and to assess their diagnostic utility. METHODS: The study included 436 consecutive naive HBV individuals who had their livers biopsied. They were examined in one week using aspartate aminotransferase-to-aspartate aminotransferase ratio (AAR), age-platelet index (API), aspartate aminotransferase-to-platelet ratio index (APRI), fibrosis-4 (FIB-4), Forns, gamma-glutamyl transpeptidase-to-platelet ratio (GPR), S-index and transient elastography (TE). Scheuer scoring system was used to determine the histologic fibrosis grades (S0-S4). The diagnostic effectiveness was assessed using AUROCs and the DeLong test, both of which were based on statistical comparisons. RESULTS: For both substantial (</w:instrText>
            </w:r>
            <w:r>
              <w:rPr>
                <w:rFonts w:ascii="Cambria Math" w:hAnsi="Cambria Math" w:cs="Cambria Math"/>
                <w:noProof/>
                <w:sz w:val="18"/>
                <w:szCs w:val="18"/>
                <w:vertAlign w:val="superscript"/>
              </w:rPr>
              <w:instrText>≧</w:instrText>
            </w:r>
            <w:r>
              <w:rPr>
                <w:rFonts w:asciiTheme="majorBidi" w:hAnsiTheme="majorBidi" w:cstheme="majorBidi"/>
                <w:noProof/>
                <w:sz w:val="18"/>
                <w:szCs w:val="18"/>
                <w:vertAlign w:val="superscript"/>
              </w:rPr>
              <w:instrText>S2) and advanced (</w:instrText>
            </w:r>
            <w:r>
              <w:rPr>
                <w:rFonts w:ascii="Cambria Math" w:hAnsi="Cambria Math" w:cs="Cambria Math"/>
                <w:noProof/>
                <w:sz w:val="18"/>
                <w:szCs w:val="18"/>
                <w:vertAlign w:val="superscript"/>
              </w:rPr>
              <w:instrText>≧</w:instrText>
            </w:r>
            <w:r>
              <w:rPr>
                <w:rFonts w:asciiTheme="majorBidi" w:hAnsiTheme="majorBidi" w:cstheme="majorBidi"/>
                <w:noProof/>
                <w:sz w:val="18"/>
                <w:szCs w:val="18"/>
                <w:vertAlign w:val="superscript"/>
              </w:rPr>
              <w:instrText>S3) fibrosis phases, TE had good diagnostic performance in determining the hepatic fibrosis. Similar diagnostic performance was shown with Forns and S-index when it came to detecting fibrosis stages lower than S3. One model's diagnostic value was not significantly improved by combining serum models. Correlation coefficients between clinical features and fibrosis phases were greatest for Forns (r = 0.397), S-index (r = 0.382) and TE (r = 0.535) when compared to other variables. CONCLUSION: This investigation showed that Forns and S-index may be helpful strategies for detecting advanced fibrosis in HBV patients admitted to community hospitals.","author":[{"dropping-particle":"","family":"Wang","given":"Zeyu","non-dropping-particle":"","parse-names":false,"suffix":""},{"dropping-particle":"","family":"Zhou","given":"Yonghe","non-dropping-particle":"","parse-names":false,"suffix":""},{"dropping-particle":"","family":"Yu","given":"Pengzhi","non-dropping-particle":"","parse-names":false,"suffix":""},{"dropping-particle":"","family":"Liu","given":"Yonggang","non-dropping-particle":"","parse-names":false,"suffix":""},{"dropping-particle":"","family":"Mei","given":"Mei","non-dropping-particle":"","parse-names":false,"suffix":""},{"dropping-particle":"","family":"Bian","given":"Zhuo","non-dropping-particle":"","parse-names":false,"suffix":""},{"dropping-particle":"","family":"Shao","given":"Wei","non-dropping-particle":"","parse-names":false,"suffix":""},{"dropping-particle":"","family":"Lv","given":"Jinxia","non-dropping-particle":"","parse-names":false,"suffix":""},{"dropping-particle":"","family":"Li","given":"Xin","non-dropping-particle":"","parse-names":false,"suffix":""},{"dropping-particle":"","family":"Lu","given":"Wei","non-dropping-particle":"","parse-names":false,"suffix":""},{"dropping-particle":"","family":"Xu","given":"Liang","non-dropping-particle":"","parse-names":false,"suffix":""}],"container-title":"International journal of general medicine","id":"ITEM-1","issued":{"date-parts":[["2022"]]},"language":"eng","page":"5159-5171","publisher-place":"New Zealand","title":"Retrospective Evaluation of Non-Invasive Assessment Based on Routine Laboratory  Markers for Assessing Advanced Liver Fibrosis in Chronic Hepatitis B Patients.","type":"article-journal","volume":"15"},"uris":["http://www.mendeley.com/documents/?uuid=3a196559-dc3a-4d0a-acdc-b2932deddd35"]}],"mendeley":{"formattedCitation":"[3]","plainTextFormattedCitation":"[3]","previouslyFormattedCitation":"[3]"},"properties":{"noteIndex":0},"schema":"https://github.com/citation-style-language/schema/raw/master/csl-citation.json"}</w:instrText>
            </w:r>
            <w:r>
              <w:rPr>
                <w:rFonts w:asciiTheme="majorBidi" w:hAnsiTheme="majorBidi" w:cstheme="majorBidi"/>
                <w:noProof/>
                <w:sz w:val="18"/>
                <w:szCs w:val="18"/>
                <w:vertAlign w:val="superscript"/>
              </w:rPr>
              <w:fldChar w:fldCharType="separate"/>
            </w:r>
            <w:r w:rsidRPr="005B400C">
              <w:rPr>
                <w:rFonts w:asciiTheme="majorBidi" w:hAnsiTheme="majorBidi" w:cstheme="majorBidi"/>
                <w:b w:val="0"/>
                <w:noProof/>
                <w:sz w:val="18"/>
                <w:szCs w:val="18"/>
              </w:rPr>
              <w:t>[3]</w:t>
            </w:r>
            <w:r>
              <w:rPr>
                <w:rFonts w:asciiTheme="majorBidi" w:hAnsiTheme="majorBidi" w:cstheme="majorBidi"/>
                <w:noProof/>
                <w:sz w:val="18"/>
                <w:szCs w:val="18"/>
                <w:vertAlign w:val="superscript"/>
              </w:rPr>
              <w:fldChar w:fldCharType="end"/>
            </w:r>
          </w:p>
        </w:tc>
        <w:tc>
          <w:tcPr>
            <w:tcW w:w="1960" w:type="dxa"/>
            <w:vMerge w:val="restart"/>
            <w:vAlign w:val="center"/>
            <w:hideMark/>
          </w:tcPr>
          <w:p w14:paraId="26859182" w14:textId="77777777" w:rsidR="002C7FFA" w:rsidRPr="008035A5" w:rsidRDefault="002C7FFA" w:rsidP="004F52BC">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Wang Z et al</w:t>
            </w:r>
          </w:p>
        </w:tc>
        <w:tc>
          <w:tcPr>
            <w:tcW w:w="630" w:type="dxa"/>
            <w:vMerge w:val="restart"/>
            <w:vAlign w:val="center"/>
            <w:hideMark/>
          </w:tcPr>
          <w:p w14:paraId="6D2C0104" w14:textId="77777777" w:rsidR="002C7FFA" w:rsidRPr="008035A5" w:rsidRDefault="002C7FFA" w:rsidP="004F52BC">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2022</w:t>
            </w:r>
          </w:p>
        </w:tc>
        <w:tc>
          <w:tcPr>
            <w:tcW w:w="900" w:type="dxa"/>
            <w:vMerge w:val="restart"/>
            <w:vAlign w:val="center"/>
            <w:hideMark/>
          </w:tcPr>
          <w:p w14:paraId="4C2FD9A8"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China</w:t>
            </w:r>
          </w:p>
        </w:tc>
        <w:tc>
          <w:tcPr>
            <w:tcW w:w="900" w:type="dxa"/>
            <w:vAlign w:val="center"/>
            <w:hideMark/>
          </w:tcPr>
          <w:p w14:paraId="62BDEEC0"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F2</w:t>
            </w:r>
          </w:p>
        </w:tc>
        <w:tc>
          <w:tcPr>
            <w:tcW w:w="1260" w:type="dxa"/>
            <w:vAlign w:val="center"/>
          </w:tcPr>
          <w:p w14:paraId="2B7D2B18"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0.55</w:t>
            </w:r>
          </w:p>
        </w:tc>
        <w:tc>
          <w:tcPr>
            <w:tcW w:w="900" w:type="dxa"/>
            <w:vAlign w:val="center"/>
            <w:hideMark/>
          </w:tcPr>
          <w:p w14:paraId="7BEB0E68"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0.57</w:t>
            </w:r>
          </w:p>
        </w:tc>
        <w:tc>
          <w:tcPr>
            <w:tcW w:w="810" w:type="dxa"/>
            <w:vAlign w:val="center"/>
            <w:hideMark/>
          </w:tcPr>
          <w:p w14:paraId="0394B20F"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0.75</w:t>
            </w:r>
          </w:p>
        </w:tc>
        <w:tc>
          <w:tcPr>
            <w:tcW w:w="900" w:type="dxa"/>
            <w:vAlign w:val="center"/>
            <w:hideMark/>
          </w:tcPr>
          <w:p w14:paraId="7A7F89BD"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0.67</w:t>
            </w:r>
          </w:p>
        </w:tc>
        <w:tc>
          <w:tcPr>
            <w:tcW w:w="810" w:type="dxa"/>
            <w:vAlign w:val="center"/>
            <w:hideMark/>
          </w:tcPr>
          <w:p w14:paraId="09D422E1"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0.66</w:t>
            </w:r>
          </w:p>
        </w:tc>
        <w:tc>
          <w:tcPr>
            <w:tcW w:w="845" w:type="dxa"/>
            <w:vMerge w:val="restart"/>
            <w:vAlign w:val="center"/>
            <w:hideMark/>
          </w:tcPr>
          <w:p w14:paraId="2A4AD819"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hAnsiTheme="majorBidi" w:cstheme="majorBidi"/>
                <w:b/>
                <w:bCs/>
                <w:sz w:val="18"/>
                <w:szCs w:val="18"/>
              </w:rPr>
              <w:t>436</w:t>
            </w:r>
          </w:p>
        </w:tc>
        <w:tc>
          <w:tcPr>
            <w:tcW w:w="810" w:type="dxa"/>
            <w:vMerge w:val="restart"/>
            <w:vAlign w:val="center"/>
            <w:hideMark/>
          </w:tcPr>
          <w:p w14:paraId="14510011"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0.72</w:t>
            </w:r>
          </w:p>
        </w:tc>
        <w:tc>
          <w:tcPr>
            <w:tcW w:w="900" w:type="dxa"/>
            <w:vMerge w:val="restart"/>
            <w:vAlign w:val="center"/>
            <w:hideMark/>
          </w:tcPr>
          <w:p w14:paraId="027C3C82"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40</w:t>
            </w:r>
          </w:p>
        </w:tc>
        <w:tc>
          <w:tcPr>
            <w:tcW w:w="1155" w:type="dxa"/>
            <w:vMerge w:val="restart"/>
            <w:vAlign w:val="center"/>
          </w:tcPr>
          <w:p w14:paraId="732A00C5"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roofErr w:type="spellStart"/>
            <w:r w:rsidRPr="008035A5">
              <w:rPr>
                <w:rFonts w:asciiTheme="majorBidi" w:hAnsiTheme="majorBidi" w:cstheme="majorBidi"/>
                <w:b/>
                <w:bCs/>
                <w:sz w:val="18"/>
                <w:szCs w:val="18"/>
              </w:rPr>
              <w:t>Sheuer</w:t>
            </w:r>
            <w:proofErr w:type="spellEnd"/>
          </w:p>
        </w:tc>
        <w:tc>
          <w:tcPr>
            <w:tcW w:w="1545" w:type="dxa"/>
            <w:vMerge w:val="restart"/>
            <w:vAlign w:val="center"/>
          </w:tcPr>
          <w:p w14:paraId="2D6C7297"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8035A5">
              <w:rPr>
                <w:rFonts w:asciiTheme="majorBidi" w:eastAsiaTheme="minorHAnsi" w:hAnsiTheme="majorBidi" w:cstheme="majorBidi"/>
                <w:b/>
                <w:bCs/>
                <w:sz w:val="18"/>
                <w:szCs w:val="18"/>
                <w:lang w:eastAsia="en-US"/>
              </w:rPr>
              <w:t>HBV</w:t>
            </w:r>
          </w:p>
        </w:tc>
      </w:tr>
      <w:tr w:rsidR="002C7FFA" w:rsidRPr="008035A5" w14:paraId="6BC6C229" w14:textId="77777777" w:rsidTr="004F52BC">
        <w:trPr>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02CF99D7" w14:textId="77777777" w:rsidR="002C7FFA" w:rsidRPr="008035A5" w:rsidRDefault="002C7FFA" w:rsidP="004F52BC">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714D88F8" w14:textId="77777777" w:rsidR="002C7FFA" w:rsidRPr="008035A5" w:rsidRDefault="002C7FFA" w:rsidP="004F52BC">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hideMark/>
          </w:tcPr>
          <w:p w14:paraId="468C9752" w14:textId="77777777" w:rsidR="002C7FFA" w:rsidRPr="008035A5" w:rsidRDefault="002C7FFA" w:rsidP="004F52BC">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1A95EDB2"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04CC9564"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F3</w:t>
            </w:r>
          </w:p>
        </w:tc>
        <w:tc>
          <w:tcPr>
            <w:tcW w:w="1260" w:type="dxa"/>
            <w:vAlign w:val="center"/>
          </w:tcPr>
          <w:p w14:paraId="378BDAFF"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0.87</w:t>
            </w:r>
          </w:p>
        </w:tc>
        <w:tc>
          <w:tcPr>
            <w:tcW w:w="900" w:type="dxa"/>
            <w:vAlign w:val="center"/>
            <w:hideMark/>
          </w:tcPr>
          <w:p w14:paraId="0B5D2EEC"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0.63</w:t>
            </w:r>
          </w:p>
        </w:tc>
        <w:tc>
          <w:tcPr>
            <w:tcW w:w="810" w:type="dxa"/>
            <w:vAlign w:val="center"/>
            <w:hideMark/>
          </w:tcPr>
          <w:p w14:paraId="10DDD5C0"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0.83</w:t>
            </w:r>
          </w:p>
        </w:tc>
        <w:tc>
          <w:tcPr>
            <w:tcW w:w="900" w:type="dxa"/>
            <w:vAlign w:val="center"/>
            <w:hideMark/>
          </w:tcPr>
          <w:p w14:paraId="295DDB34"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0.43</w:t>
            </w:r>
          </w:p>
        </w:tc>
        <w:tc>
          <w:tcPr>
            <w:tcW w:w="810" w:type="dxa"/>
            <w:vAlign w:val="center"/>
            <w:hideMark/>
          </w:tcPr>
          <w:p w14:paraId="10AF1310"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0.92</w:t>
            </w:r>
          </w:p>
        </w:tc>
        <w:tc>
          <w:tcPr>
            <w:tcW w:w="845" w:type="dxa"/>
            <w:vMerge/>
            <w:vAlign w:val="center"/>
          </w:tcPr>
          <w:p w14:paraId="277B16FE"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810" w:type="dxa"/>
            <w:vMerge/>
            <w:vAlign w:val="center"/>
            <w:hideMark/>
          </w:tcPr>
          <w:p w14:paraId="382DE15F"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532BBDD8"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155" w:type="dxa"/>
            <w:vMerge/>
            <w:vAlign w:val="center"/>
          </w:tcPr>
          <w:p w14:paraId="501EFA7C"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c>
          <w:tcPr>
            <w:tcW w:w="1545" w:type="dxa"/>
            <w:vMerge/>
            <w:vAlign w:val="center"/>
          </w:tcPr>
          <w:p w14:paraId="4F7C39EB"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r>
      <w:tr w:rsidR="002C7FFA" w:rsidRPr="008035A5" w14:paraId="3C75C9CB" w14:textId="77777777" w:rsidTr="004F52BC">
        <w:trPr>
          <w:cnfStyle w:val="000000100000" w:firstRow="0" w:lastRow="0" w:firstColumn="0" w:lastColumn="0" w:oddVBand="0" w:evenVBand="0" w:oddHBand="1"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restart"/>
            <w:vAlign w:val="center"/>
          </w:tcPr>
          <w:p w14:paraId="43139E46" w14:textId="77777777" w:rsidR="002C7FFA" w:rsidRPr="008035A5" w:rsidRDefault="002C7FFA" w:rsidP="004F52BC">
            <w:pPr>
              <w:pStyle w:val="Paragraph"/>
              <w:spacing w:before="0" w:line="240" w:lineRule="auto"/>
              <w:jc w:val="center"/>
              <w:rPr>
                <w:rFonts w:asciiTheme="majorBidi" w:hAnsiTheme="majorBidi" w:cstheme="majorBidi"/>
                <w:b w:val="0"/>
                <w:bCs w:val="0"/>
                <w:i/>
                <w:iCs/>
                <w:sz w:val="18"/>
                <w:szCs w:val="18"/>
              </w:rPr>
            </w:pPr>
            <w:r>
              <w:rPr>
                <w:rFonts w:asciiTheme="majorBidi" w:hAnsiTheme="majorBidi" w:cstheme="majorBidi"/>
                <w:noProof/>
                <w:sz w:val="18"/>
                <w:szCs w:val="18"/>
                <w:vertAlign w:val="superscript"/>
              </w:rPr>
              <w:fldChar w:fldCharType="begin" w:fldLock="1"/>
            </w:r>
            <w:r>
              <w:rPr>
                <w:rFonts w:asciiTheme="majorBidi" w:hAnsiTheme="majorBidi" w:cstheme="majorBidi"/>
                <w:noProof/>
                <w:sz w:val="18"/>
                <w:szCs w:val="18"/>
                <w:vertAlign w:val="superscript"/>
              </w:rPr>
              <w:instrText>ADDIN CSL_CITATION {"citationItems":[{"id":"ITEM-1","itemData":{"DOI":"10.3892/etm.2022.11556","ISSN":"1792-1015 (Electronic)","PMID":"36160889","abstract":"Assessment of the extent of liver fibrosis is a crucial requirement for the  design of antiviral treatments for patients with chronic hepatitis B (CHB). Several non-invasive predictive indices have been developed as potential alternatives to liver biopsy for fibrosis assessment. The present study aimed to establish a novel non-invasive method for predicting liver fibrosis in patients with CHB. A total of 382 patients with CHB who underwent liver biopsy and pathological examination at The Second Hospital of Anhui Medical University (Hefei, China) were enrolled into the present study. Liver fibrosis was assessed according to the meta-analysis of histological data in viral hepatitis scoring system. Logistic regression analyses were performed to explore possibly significant characteristics associated with liver fibrosis. In addition, potential correlations between the alkaline phosphatase (AKP)-to-platelet count (PLT) ratio (APPR) and the aspartate transaminase-to-platelet ratio index (APRI), fibrosis index based on four factors (FIB-4) and γ-glutamyl transpeptidase-to-platelet ratio (GPR) were assessed using Spearman's correlation analysis. Subsequently, the performance of APPR was compared with APRI, FIB-4 and GPR using receiver operating characteristic (ROC) analysis. Logistic regression analysis identified AKP and PLT to be significant independent predictors of fibrosis. Therefore, an index was then constructed for predicting the degree of fibrosis, which was expressed using the formula APPR=AKP (IU/ml)/PLT (1x10(9)/l). APPR was found to be positively associated with the fibrotic stage of the liver in addition to being positively correlated with APRI, FIB-4 and GPR. The area under the ROC curve (AUROC) values of APPR were also significantly higher compared with those of APRI and FIB-4 in predicting significant fibrosis but were equal to those of GPR. However, for advanced fibrosis and cirrhosis, the AUROC value of APPR was shown to be higher compared with that of APRI, FIB-4 and GPR. In conclusion, these observations suggest that APPR is a viable marker that can be used to assess liver fibrosis in patients with CHB.","author":[{"dropping-particle":"","family":"Pan","given":"Ying","non-dropping-particle":"","parse-names":false,"suffix":""},{"dropping-particle":"","family":"Yang","given":"Kai","non-dropping-particle":"","parse-names":false,"suffix":""},{"dropping-particle":"","family":"Sun","given":"Beibei","non-dropping-particle":"","parse-names":false,"suffix":""},{"dropping-particle":"","family":"Chen","given":"Jin","non-dropping-particle":"","parse-names":false,"suffix":""},{"dropping-particle":"","family":"Tian","given":"Pingping","non-dropping-particle":"","parse-names":false,"suffix":""}],"container-title":"Experimental and therapeutic medicine","id":"ITEM-1","issue":"4","issued":{"date-parts":[["2022","10"]]},"language":"eng","page":"619","publisher-place":"Greece","title":"Application of alkaline phosphatase‑to‑platelet ratio as a novel noninvasive  index predicts liver fibrosis in patients with chronic hepatitis B.","type":"article-journal","volume":"24"},"uris":["http://www.mendeley.com/documents/?uuid=6906edd6-5809-4acb-9982-9cc94020c341"]}],"mendeley":{"formattedCitation":"[4]","plainTextFormattedCitation":"[4]","previouslyFormattedCitation":"[4]"},"properties":{"noteIndex":0},"schema":"https://github.com/citation-style-language/schema/raw/master/csl-citation.json"}</w:instrText>
            </w:r>
            <w:r>
              <w:rPr>
                <w:rFonts w:asciiTheme="majorBidi" w:hAnsiTheme="majorBidi" w:cstheme="majorBidi"/>
                <w:noProof/>
                <w:sz w:val="18"/>
                <w:szCs w:val="18"/>
                <w:vertAlign w:val="superscript"/>
              </w:rPr>
              <w:fldChar w:fldCharType="separate"/>
            </w:r>
            <w:r w:rsidRPr="005B400C">
              <w:rPr>
                <w:rFonts w:asciiTheme="majorBidi" w:hAnsiTheme="majorBidi" w:cstheme="majorBidi"/>
                <w:b w:val="0"/>
                <w:noProof/>
                <w:sz w:val="18"/>
                <w:szCs w:val="18"/>
              </w:rPr>
              <w:t>[4]</w:t>
            </w:r>
            <w:r>
              <w:rPr>
                <w:rFonts w:asciiTheme="majorBidi" w:hAnsiTheme="majorBidi" w:cstheme="majorBidi"/>
                <w:noProof/>
                <w:sz w:val="18"/>
                <w:szCs w:val="18"/>
                <w:vertAlign w:val="superscript"/>
              </w:rPr>
              <w:fldChar w:fldCharType="end"/>
            </w:r>
          </w:p>
        </w:tc>
        <w:tc>
          <w:tcPr>
            <w:tcW w:w="1960" w:type="dxa"/>
            <w:vMerge w:val="restart"/>
            <w:vAlign w:val="center"/>
            <w:hideMark/>
          </w:tcPr>
          <w:p w14:paraId="62ABB52D" w14:textId="77777777" w:rsidR="002C7FFA" w:rsidRPr="008035A5" w:rsidRDefault="002C7FFA" w:rsidP="004F52BC">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Ying P. et al</w:t>
            </w:r>
          </w:p>
        </w:tc>
        <w:tc>
          <w:tcPr>
            <w:tcW w:w="630" w:type="dxa"/>
            <w:vMerge w:val="restart"/>
            <w:vAlign w:val="center"/>
            <w:hideMark/>
          </w:tcPr>
          <w:p w14:paraId="70525FB4" w14:textId="77777777" w:rsidR="002C7FFA" w:rsidRPr="008035A5" w:rsidRDefault="002C7FFA" w:rsidP="004F52BC">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2022</w:t>
            </w:r>
          </w:p>
        </w:tc>
        <w:tc>
          <w:tcPr>
            <w:tcW w:w="900" w:type="dxa"/>
            <w:vMerge w:val="restart"/>
            <w:vAlign w:val="center"/>
            <w:hideMark/>
          </w:tcPr>
          <w:p w14:paraId="232E6CDC"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China</w:t>
            </w:r>
          </w:p>
        </w:tc>
        <w:tc>
          <w:tcPr>
            <w:tcW w:w="900" w:type="dxa"/>
            <w:vAlign w:val="center"/>
            <w:hideMark/>
          </w:tcPr>
          <w:p w14:paraId="47130020"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F2</w:t>
            </w:r>
          </w:p>
        </w:tc>
        <w:tc>
          <w:tcPr>
            <w:tcW w:w="1260" w:type="dxa"/>
            <w:vAlign w:val="center"/>
          </w:tcPr>
          <w:p w14:paraId="3EF89B0D"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0.21</w:t>
            </w:r>
          </w:p>
        </w:tc>
        <w:tc>
          <w:tcPr>
            <w:tcW w:w="900" w:type="dxa"/>
            <w:vAlign w:val="center"/>
            <w:hideMark/>
          </w:tcPr>
          <w:p w14:paraId="626109E0"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0.60</w:t>
            </w:r>
          </w:p>
        </w:tc>
        <w:tc>
          <w:tcPr>
            <w:tcW w:w="810" w:type="dxa"/>
            <w:vAlign w:val="center"/>
            <w:hideMark/>
          </w:tcPr>
          <w:p w14:paraId="3FC4D381"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0.77</w:t>
            </w:r>
          </w:p>
        </w:tc>
        <w:tc>
          <w:tcPr>
            <w:tcW w:w="900" w:type="dxa"/>
            <w:vAlign w:val="center"/>
            <w:hideMark/>
          </w:tcPr>
          <w:p w14:paraId="7CF2E2BD"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0.70</w:t>
            </w:r>
          </w:p>
        </w:tc>
        <w:tc>
          <w:tcPr>
            <w:tcW w:w="810" w:type="dxa"/>
            <w:vAlign w:val="center"/>
            <w:hideMark/>
          </w:tcPr>
          <w:p w14:paraId="0CF15590"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0.68</w:t>
            </w:r>
          </w:p>
        </w:tc>
        <w:tc>
          <w:tcPr>
            <w:tcW w:w="845" w:type="dxa"/>
            <w:vMerge w:val="restart"/>
            <w:vAlign w:val="center"/>
            <w:hideMark/>
          </w:tcPr>
          <w:p w14:paraId="216C342E"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hAnsiTheme="majorBidi" w:cstheme="majorBidi"/>
                <w:b/>
                <w:bCs/>
                <w:sz w:val="18"/>
                <w:szCs w:val="18"/>
              </w:rPr>
              <w:t>382</w:t>
            </w:r>
          </w:p>
        </w:tc>
        <w:tc>
          <w:tcPr>
            <w:tcW w:w="810" w:type="dxa"/>
            <w:vMerge w:val="restart"/>
            <w:vAlign w:val="center"/>
            <w:hideMark/>
          </w:tcPr>
          <w:p w14:paraId="4F1A8B66"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0.74</w:t>
            </w:r>
          </w:p>
        </w:tc>
        <w:tc>
          <w:tcPr>
            <w:tcW w:w="900" w:type="dxa"/>
            <w:vMerge w:val="restart"/>
            <w:vAlign w:val="center"/>
            <w:hideMark/>
          </w:tcPr>
          <w:p w14:paraId="486294DB"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39</w:t>
            </w:r>
          </w:p>
        </w:tc>
        <w:tc>
          <w:tcPr>
            <w:tcW w:w="1155" w:type="dxa"/>
            <w:vMerge w:val="restart"/>
            <w:vAlign w:val="center"/>
          </w:tcPr>
          <w:p w14:paraId="08F5765F"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8035A5">
              <w:rPr>
                <w:rFonts w:asciiTheme="majorBidi" w:hAnsiTheme="majorBidi" w:cstheme="majorBidi"/>
                <w:b/>
                <w:bCs/>
                <w:sz w:val="18"/>
                <w:szCs w:val="18"/>
              </w:rPr>
              <w:t>METAVIR</w:t>
            </w:r>
          </w:p>
        </w:tc>
        <w:tc>
          <w:tcPr>
            <w:tcW w:w="1545" w:type="dxa"/>
            <w:vMerge w:val="restart"/>
            <w:vAlign w:val="center"/>
          </w:tcPr>
          <w:p w14:paraId="4BCAC1B3"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8035A5">
              <w:rPr>
                <w:rFonts w:asciiTheme="majorBidi" w:eastAsiaTheme="minorHAnsi" w:hAnsiTheme="majorBidi" w:cstheme="majorBidi"/>
                <w:b/>
                <w:bCs/>
                <w:sz w:val="18"/>
                <w:szCs w:val="18"/>
                <w:lang w:eastAsia="en-US"/>
              </w:rPr>
              <w:t>HBV</w:t>
            </w:r>
          </w:p>
        </w:tc>
      </w:tr>
      <w:tr w:rsidR="002C7FFA" w:rsidRPr="008035A5" w14:paraId="2FFDEDE2" w14:textId="77777777" w:rsidTr="004F52BC">
        <w:trPr>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0DCB3B74"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48B4884A"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hideMark/>
          </w:tcPr>
          <w:p w14:paraId="50DD4CBC"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54D59792"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21249CA0"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F3</w:t>
            </w:r>
          </w:p>
        </w:tc>
        <w:tc>
          <w:tcPr>
            <w:tcW w:w="1260" w:type="dxa"/>
            <w:vAlign w:val="center"/>
          </w:tcPr>
          <w:p w14:paraId="14995EC6"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0.22</w:t>
            </w:r>
          </w:p>
        </w:tc>
        <w:tc>
          <w:tcPr>
            <w:tcW w:w="900" w:type="dxa"/>
            <w:vAlign w:val="center"/>
            <w:hideMark/>
          </w:tcPr>
          <w:p w14:paraId="5AD591B1"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0.69</w:t>
            </w:r>
          </w:p>
        </w:tc>
        <w:tc>
          <w:tcPr>
            <w:tcW w:w="810" w:type="dxa"/>
            <w:vAlign w:val="center"/>
            <w:hideMark/>
          </w:tcPr>
          <w:p w14:paraId="4E43233E"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0.68</w:t>
            </w:r>
          </w:p>
        </w:tc>
        <w:tc>
          <w:tcPr>
            <w:tcW w:w="900" w:type="dxa"/>
            <w:vAlign w:val="center"/>
            <w:hideMark/>
          </w:tcPr>
          <w:p w14:paraId="00ABE99A"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0.41</w:t>
            </w:r>
          </w:p>
        </w:tc>
        <w:tc>
          <w:tcPr>
            <w:tcW w:w="810" w:type="dxa"/>
            <w:vAlign w:val="center"/>
            <w:hideMark/>
          </w:tcPr>
          <w:p w14:paraId="5E2D77E2"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0.87</w:t>
            </w:r>
          </w:p>
        </w:tc>
        <w:tc>
          <w:tcPr>
            <w:tcW w:w="845" w:type="dxa"/>
            <w:vMerge/>
            <w:vAlign w:val="center"/>
          </w:tcPr>
          <w:p w14:paraId="115D0920"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810" w:type="dxa"/>
            <w:vMerge/>
            <w:vAlign w:val="center"/>
            <w:hideMark/>
          </w:tcPr>
          <w:p w14:paraId="3933BE68"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111C74F3"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155" w:type="dxa"/>
            <w:vMerge/>
            <w:vAlign w:val="center"/>
          </w:tcPr>
          <w:p w14:paraId="0BBF479A"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c>
          <w:tcPr>
            <w:tcW w:w="1545" w:type="dxa"/>
            <w:vMerge/>
            <w:vAlign w:val="center"/>
          </w:tcPr>
          <w:p w14:paraId="442A90B3"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r>
      <w:tr w:rsidR="002C7FFA" w:rsidRPr="008035A5" w14:paraId="4D099944" w14:textId="77777777" w:rsidTr="004F52BC">
        <w:trPr>
          <w:cnfStyle w:val="000000100000" w:firstRow="0" w:lastRow="0" w:firstColumn="0" w:lastColumn="0" w:oddVBand="0" w:evenVBand="0" w:oddHBand="1"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3B9BBC30"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608F430B"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hideMark/>
          </w:tcPr>
          <w:p w14:paraId="730BF361"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2C84D024"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7E31D150"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F4</w:t>
            </w:r>
          </w:p>
        </w:tc>
        <w:tc>
          <w:tcPr>
            <w:tcW w:w="1260" w:type="dxa"/>
            <w:vAlign w:val="center"/>
          </w:tcPr>
          <w:p w14:paraId="5837DAE7"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0.27</w:t>
            </w:r>
          </w:p>
        </w:tc>
        <w:tc>
          <w:tcPr>
            <w:tcW w:w="900" w:type="dxa"/>
            <w:vAlign w:val="center"/>
            <w:hideMark/>
          </w:tcPr>
          <w:p w14:paraId="71D5BF09"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0.86</w:t>
            </w:r>
          </w:p>
        </w:tc>
        <w:tc>
          <w:tcPr>
            <w:tcW w:w="810" w:type="dxa"/>
            <w:vAlign w:val="center"/>
            <w:hideMark/>
          </w:tcPr>
          <w:p w14:paraId="300EA46C"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0.66</w:t>
            </w:r>
          </w:p>
        </w:tc>
        <w:tc>
          <w:tcPr>
            <w:tcW w:w="900" w:type="dxa"/>
            <w:vAlign w:val="center"/>
            <w:hideMark/>
          </w:tcPr>
          <w:p w14:paraId="3CC6894B"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0.18</w:t>
            </w:r>
          </w:p>
        </w:tc>
        <w:tc>
          <w:tcPr>
            <w:tcW w:w="810" w:type="dxa"/>
            <w:vAlign w:val="center"/>
            <w:hideMark/>
          </w:tcPr>
          <w:p w14:paraId="278DD5B8"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0.98</w:t>
            </w:r>
          </w:p>
        </w:tc>
        <w:tc>
          <w:tcPr>
            <w:tcW w:w="845" w:type="dxa"/>
            <w:vMerge/>
            <w:vAlign w:val="center"/>
          </w:tcPr>
          <w:p w14:paraId="074CB4A9"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810" w:type="dxa"/>
            <w:vMerge/>
            <w:vAlign w:val="center"/>
            <w:hideMark/>
          </w:tcPr>
          <w:p w14:paraId="24BB6F71"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45AF16CB"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155" w:type="dxa"/>
            <w:vMerge/>
            <w:vAlign w:val="center"/>
          </w:tcPr>
          <w:p w14:paraId="690A544B"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c>
          <w:tcPr>
            <w:tcW w:w="1545" w:type="dxa"/>
            <w:vMerge/>
            <w:vAlign w:val="center"/>
          </w:tcPr>
          <w:p w14:paraId="4C50A653"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r>
      <w:tr w:rsidR="002C7FFA" w:rsidRPr="008035A5" w14:paraId="7F03FE0E" w14:textId="77777777" w:rsidTr="004F52BC">
        <w:trPr>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restart"/>
            <w:vAlign w:val="center"/>
          </w:tcPr>
          <w:p w14:paraId="04499AC0" w14:textId="77777777" w:rsidR="002C7FFA" w:rsidRPr="008035A5" w:rsidRDefault="002C7FFA">
            <w:pPr>
              <w:pStyle w:val="Paragraph"/>
              <w:spacing w:before="0" w:line="240" w:lineRule="auto"/>
              <w:jc w:val="center"/>
              <w:rPr>
                <w:rFonts w:asciiTheme="majorBidi" w:hAnsiTheme="majorBidi" w:cstheme="majorBidi"/>
                <w:b w:val="0"/>
                <w:bCs w:val="0"/>
                <w:i/>
                <w:iCs/>
                <w:sz w:val="18"/>
                <w:szCs w:val="18"/>
              </w:rPr>
            </w:pPr>
            <w:r>
              <w:rPr>
                <w:rFonts w:asciiTheme="majorBidi" w:hAnsiTheme="majorBidi" w:cstheme="majorBidi"/>
                <w:noProof/>
                <w:sz w:val="18"/>
                <w:szCs w:val="18"/>
                <w:vertAlign w:val="superscript"/>
              </w:rPr>
              <w:fldChar w:fldCharType="begin" w:fldLock="1"/>
            </w:r>
            <w:r>
              <w:rPr>
                <w:rFonts w:asciiTheme="majorBidi" w:hAnsiTheme="majorBidi" w:cstheme="majorBidi"/>
                <w:noProof/>
                <w:sz w:val="18"/>
                <w:szCs w:val="18"/>
                <w:vertAlign w:val="superscript"/>
              </w:rPr>
              <w:instrText>ADDIN CSL_CITATION {"citationItems":[{"id":"ITEM-1","itemData":{"DOI":"10.14218/JCTH.2021.00151","ISSN":"2225-0719 (Print)","PMID":"35528978","abstract":"BACKGROUND AND AIMS: Chronic hepatitis B virus (HBV) infection is a serious  health problem worldwide. Evaluating liver injury in patients with hepatitis B e antigen (HBeAg)-negative chronic hepatitis B (CHB) with detectable HBV DNA and normal alanine aminotransferase (ALT) is crucial to guide their clinical management. We aimed to investigate the stages of liver inflammation and fibrosis as well as the predictive accuracy of gamma-glutamyl transpeptidase-to-platelet ratio (GPR) in these patients. METHODS: A total of 184 treatment-naïve HBeAg-negative CHB patients with detectable HBV DNA and normal ALT were enrolled. The Scheuer scoring system was used to classify liver inflammation and fibrosis. RESULTS: The distribution of patients with different liver inflammation grades were as follows: G0, 0 (0%); G1, 97 (52.7%); G2, 68 (37.0%); G3, 12 (6.5%); and G4, 7 (3.8%). The distribution of patients with different liver fibrosis stages were as follows: S0, 22 (12.0%); S1, 72 (39.1%); S2, 42 (22.8%); S3, 19 (10.3%); and S4, 29 (15.8%). The areas under the receiver operating characteristic (AUROC) curves of GPR in predicting significant inflammation, severe inflammation, and advanced inflammation were 0.723, 0.895, and 0.952, respectively. The accuracy of GPR was significantly superior to that of ALT in predicting liver inflammation. The AUROCs of GPR in predicting significant fibrosis, severe fibrosis, and cirrhosis were 0.691, 0.780, and 0.803, respectively. The predictive accuracy of GPR was significantly higher than that of aminotransferase-to-platelet ratio index (APRI) and fibrosis index based on four factors (FIB-4) in identifying advanced fibrosis and cirrhosis, and it was superior to FIB-4 but comparable to APRI in identifying significant fibrosis. CONCLUSIONS: Nearly half of the HBeAg-negative CHB patients with detectable HBV DNA and normal ALT levels had significant liver inflammation or fibrosis. GPR can serve as an accurate predictor of liver inflammation and fibrosis in these patients.","author":[{"dropping-particle":"","family":"Zhao","given":"Xiang-An","non-dropping-particle":"","parse-names":false,"suffix":""},{"dropping-particle":"","family":"Wang","given":"Jian","non-dropping-particle":"","parse-names":false,"suffix":""},{"dropping-particle":"","family":"Wei","given":"Jie","non-dropping-particle":"","parse-names":false,"suffix":""},{"dropping-particle":"","family":"Liu","given":"Jiacheng","non-dropping-particle":"","parse-names":false,"suffix":""},{"dropping-particle":"","family":"Chen","given":"Guangmei","non-dropping-particle":"","parse-names":false,"suffix":""},{"dropping-particle":"","family":"Wang","given":"Li","non-dropping-particle":"","parse-names":false,"suffix":""},{"dropping-particle":"","family":"Wang","given":"Guiyang","non-dropping-particle":"","parse-names":false,"suffix":""},{"dropping-particle":"","family":"Xia","given":"Juan","non-dropping-particle":"","parse-names":false,"suffix":""},{"dropping-particle":"","family":"Wu","given":"Weihua","non-dropping-particle":"","parse-names":false,"suffix":""},{"dropping-particle":"","family":"Yin","given":"Shengxia","non-dropping-particle":"","parse-names":false,"suffix":""},{"dropping-particle":"","family":"Tong","given":"Xin","non-dropping-particle":"","parse-names":false,"suffix":""},{"dropping-particle":"","family":"Yan","given":"Xiaomin","non-dropping-particle":"","parse-names":false,"suffix":""},{"dropping-particle":"","family":"Ding","given":"Weimao","non-dropping-particle":"","parse-names":false,"suffix":""},{"dropping-particle":"","family":"Xiang","given":"Xiaoxing","non-dropping-particle":"","parse-names":false,"suffix":""},{"dropping-particle":"","family":"Huang","given":"Rui","non-dropping-particle":"","parse-names":false,"suffix":""},{"dropping-particle":"","family":"Wu","given":"Chao","non-dropping-particle":"","parse-names":false,"suffix":""}],"container-title":"Journal of clinical and translational hepatology","id":"ITEM-1","issue":"2","issued":{"date-parts":[["2022","4"]]},"language":"eng","page":"247-253","publisher-place":"United States","title":"Gamma-glutamyl Transpeptidase to Platelet Ratio Predicts Liver Injury in  Hepatitis B e Antigen-negative Chronic Hepatitis B Patients With Normal Alanine Aminotransferase.","type":"article-journal","volume":"10"},"uris":["http://www.mendeley.com/documents/?uuid=ad5414e0-e45f-4ea4-8017-f4030d629829"]}],"mendeley":{"formattedCitation":"[5]","plainTextFormattedCitation":"[5]","previouslyFormattedCitation":"[5]"},"properties":{"noteIndex":0},"schema":"https://github.com/citation-style-language/schema/raw/master/csl-citation.json"}</w:instrText>
            </w:r>
            <w:r>
              <w:rPr>
                <w:rFonts w:asciiTheme="majorBidi" w:hAnsiTheme="majorBidi" w:cstheme="majorBidi"/>
                <w:noProof/>
                <w:sz w:val="18"/>
                <w:szCs w:val="18"/>
                <w:vertAlign w:val="superscript"/>
              </w:rPr>
              <w:fldChar w:fldCharType="separate"/>
            </w:r>
            <w:r w:rsidRPr="005B400C">
              <w:rPr>
                <w:rFonts w:asciiTheme="majorBidi" w:hAnsiTheme="majorBidi" w:cstheme="majorBidi"/>
                <w:b w:val="0"/>
                <w:noProof/>
                <w:sz w:val="18"/>
                <w:szCs w:val="18"/>
              </w:rPr>
              <w:t>[5]</w:t>
            </w:r>
            <w:r>
              <w:rPr>
                <w:rFonts w:asciiTheme="majorBidi" w:hAnsiTheme="majorBidi" w:cstheme="majorBidi"/>
                <w:noProof/>
                <w:sz w:val="18"/>
                <w:szCs w:val="18"/>
                <w:vertAlign w:val="superscript"/>
              </w:rPr>
              <w:fldChar w:fldCharType="end"/>
            </w:r>
          </w:p>
        </w:tc>
        <w:tc>
          <w:tcPr>
            <w:tcW w:w="1960" w:type="dxa"/>
            <w:vMerge w:val="restart"/>
            <w:vAlign w:val="center"/>
            <w:hideMark/>
          </w:tcPr>
          <w:p w14:paraId="16C27173"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Xiang-An Z. et al</w:t>
            </w:r>
          </w:p>
        </w:tc>
        <w:tc>
          <w:tcPr>
            <w:tcW w:w="630" w:type="dxa"/>
            <w:vMerge w:val="restart"/>
            <w:vAlign w:val="center"/>
            <w:hideMark/>
          </w:tcPr>
          <w:p w14:paraId="3C86F702"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2022</w:t>
            </w:r>
          </w:p>
        </w:tc>
        <w:tc>
          <w:tcPr>
            <w:tcW w:w="900" w:type="dxa"/>
            <w:vMerge w:val="restart"/>
            <w:vAlign w:val="center"/>
            <w:hideMark/>
          </w:tcPr>
          <w:p w14:paraId="20BEE457"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China</w:t>
            </w:r>
          </w:p>
        </w:tc>
        <w:tc>
          <w:tcPr>
            <w:tcW w:w="900" w:type="dxa"/>
            <w:vAlign w:val="center"/>
            <w:hideMark/>
          </w:tcPr>
          <w:p w14:paraId="564AA490"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F2</w:t>
            </w:r>
          </w:p>
        </w:tc>
        <w:tc>
          <w:tcPr>
            <w:tcW w:w="1260" w:type="dxa"/>
            <w:vAlign w:val="center"/>
          </w:tcPr>
          <w:p w14:paraId="089802AE"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0.21</w:t>
            </w:r>
          </w:p>
        </w:tc>
        <w:tc>
          <w:tcPr>
            <w:tcW w:w="900" w:type="dxa"/>
            <w:vAlign w:val="center"/>
            <w:hideMark/>
          </w:tcPr>
          <w:p w14:paraId="4AAB82EF"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0.70</w:t>
            </w:r>
          </w:p>
        </w:tc>
        <w:tc>
          <w:tcPr>
            <w:tcW w:w="810" w:type="dxa"/>
            <w:vAlign w:val="center"/>
            <w:hideMark/>
          </w:tcPr>
          <w:p w14:paraId="30CAEDBB"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0.64</w:t>
            </w:r>
          </w:p>
        </w:tc>
        <w:tc>
          <w:tcPr>
            <w:tcW w:w="900" w:type="dxa"/>
            <w:vAlign w:val="center"/>
            <w:hideMark/>
          </w:tcPr>
          <w:p w14:paraId="740EEFC7"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0.65</w:t>
            </w:r>
          </w:p>
        </w:tc>
        <w:tc>
          <w:tcPr>
            <w:tcW w:w="810" w:type="dxa"/>
            <w:vAlign w:val="center"/>
            <w:hideMark/>
          </w:tcPr>
          <w:p w14:paraId="7C11A51E"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0.69</w:t>
            </w:r>
          </w:p>
        </w:tc>
        <w:tc>
          <w:tcPr>
            <w:tcW w:w="845" w:type="dxa"/>
            <w:vMerge w:val="restart"/>
            <w:vAlign w:val="center"/>
            <w:hideMark/>
          </w:tcPr>
          <w:p w14:paraId="4BF86B9B"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hAnsiTheme="majorBidi" w:cstheme="majorBidi"/>
                <w:b/>
                <w:bCs/>
                <w:sz w:val="18"/>
                <w:szCs w:val="18"/>
              </w:rPr>
              <w:t>184</w:t>
            </w:r>
          </w:p>
        </w:tc>
        <w:tc>
          <w:tcPr>
            <w:tcW w:w="810" w:type="dxa"/>
            <w:vMerge w:val="restart"/>
            <w:vAlign w:val="center"/>
            <w:hideMark/>
          </w:tcPr>
          <w:p w14:paraId="1444EEF4"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0.52</w:t>
            </w:r>
          </w:p>
        </w:tc>
        <w:tc>
          <w:tcPr>
            <w:tcW w:w="900" w:type="dxa"/>
            <w:vMerge w:val="restart"/>
            <w:vAlign w:val="center"/>
            <w:hideMark/>
          </w:tcPr>
          <w:p w14:paraId="338FD1B8"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43</w:t>
            </w:r>
          </w:p>
        </w:tc>
        <w:tc>
          <w:tcPr>
            <w:tcW w:w="1155" w:type="dxa"/>
            <w:vMerge w:val="restart"/>
            <w:vAlign w:val="center"/>
          </w:tcPr>
          <w:p w14:paraId="2F6D59D5"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roofErr w:type="spellStart"/>
            <w:r w:rsidRPr="008035A5">
              <w:rPr>
                <w:rFonts w:asciiTheme="majorBidi" w:hAnsiTheme="majorBidi" w:cstheme="majorBidi"/>
                <w:b/>
                <w:bCs/>
                <w:sz w:val="18"/>
                <w:szCs w:val="18"/>
              </w:rPr>
              <w:t>Sheuer</w:t>
            </w:r>
            <w:proofErr w:type="spellEnd"/>
          </w:p>
        </w:tc>
        <w:tc>
          <w:tcPr>
            <w:tcW w:w="1545" w:type="dxa"/>
            <w:vMerge w:val="restart"/>
            <w:vAlign w:val="center"/>
          </w:tcPr>
          <w:p w14:paraId="111C1FFE"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8035A5">
              <w:rPr>
                <w:rFonts w:asciiTheme="majorBidi" w:eastAsiaTheme="minorHAnsi" w:hAnsiTheme="majorBidi" w:cstheme="majorBidi"/>
                <w:b/>
                <w:bCs/>
                <w:sz w:val="18"/>
                <w:szCs w:val="18"/>
                <w:lang w:eastAsia="en-US"/>
              </w:rPr>
              <w:t>HBV</w:t>
            </w:r>
          </w:p>
        </w:tc>
      </w:tr>
      <w:tr w:rsidR="002C7FFA" w:rsidRPr="008035A5" w14:paraId="43371B23" w14:textId="77777777" w:rsidTr="004F52BC">
        <w:trPr>
          <w:cnfStyle w:val="000000100000" w:firstRow="0" w:lastRow="0" w:firstColumn="0" w:lastColumn="0" w:oddVBand="0" w:evenVBand="0" w:oddHBand="1"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5736546C"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5A519E75"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hideMark/>
          </w:tcPr>
          <w:p w14:paraId="0838C593"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05004E6E"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77CD8403"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F3</w:t>
            </w:r>
          </w:p>
        </w:tc>
        <w:tc>
          <w:tcPr>
            <w:tcW w:w="1260" w:type="dxa"/>
            <w:vAlign w:val="center"/>
          </w:tcPr>
          <w:p w14:paraId="224E4DD2"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0.24</w:t>
            </w:r>
          </w:p>
        </w:tc>
        <w:tc>
          <w:tcPr>
            <w:tcW w:w="900" w:type="dxa"/>
            <w:vAlign w:val="center"/>
            <w:hideMark/>
          </w:tcPr>
          <w:p w14:paraId="310C25F7"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0.81</w:t>
            </w:r>
          </w:p>
        </w:tc>
        <w:tc>
          <w:tcPr>
            <w:tcW w:w="810" w:type="dxa"/>
            <w:vAlign w:val="center"/>
            <w:hideMark/>
          </w:tcPr>
          <w:p w14:paraId="3A1942CE"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0.65</w:t>
            </w:r>
          </w:p>
        </w:tc>
        <w:tc>
          <w:tcPr>
            <w:tcW w:w="900" w:type="dxa"/>
            <w:vAlign w:val="center"/>
            <w:hideMark/>
          </w:tcPr>
          <w:p w14:paraId="7624BD03"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0.45</w:t>
            </w:r>
          </w:p>
        </w:tc>
        <w:tc>
          <w:tcPr>
            <w:tcW w:w="810" w:type="dxa"/>
            <w:vAlign w:val="center"/>
            <w:hideMark/>
          </w:tcPr>
          <w:p w14:paraId="7A7416AB"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0.91</w:t>
            </w:r>
          </w:p>
        </w:tc>
        <w:tc>
          <w:tcPr>
            <w:tcW w:w="845" w:type="dxa"/>
            <w:vMerge/>
            <w:vAlign w:val="center"/>
          </w:tcPr>
          <w:p w14:paraId="5296A49E"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810" w:type="dxa"/>
            <w:vMerge/>
            <w:vAlign w:val="center"/>
            <w:hideMark/>
          </w:tcPr>
          <w:p w14:paraId="78361D08"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4F04C1BA"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155" w:type="dxa"/>
            <w:vMerge/>
            <w:vAlign w:val="center"/>
          </w:tcPr>
          <w:p w14:paraId="0488E64C"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c>
          <w:tcPr>
            <w:tcW w:w="1545" w:type="dxa"/>
            <w:vMerge/>
            <w:vAlign w:val="center"/>
          </w:tcPr>
          <w:p w14:paraId="12F7B067"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r>
      <w:tr w:rsidR="002C7FFA" w:rsidRPr="008035A5" w14:paraId="50E5DAE5" w14:textId="77777777" w:rsidTr="004F52BC">
        <w:trPr>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3418DEA3"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3921F3A6"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hideMark/>
          </w:tcPr>
          <w:p w14:paraId="668CF860"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4921693E"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21CF5EB8"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F4</w:t>
            </w:r>
          </w:p>
        </w:tc>
        <w:tc>
          <w:tcPr>
            <w:tcW w:w="1260" w:type="dxa"/>
            <w:vAlign w:val="center"/>
          </w:tcPr>
          <w:p w14:paraId="2B71819A"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0.28</w:t>
            </w:r>
          </w:p>
        </w:tc>
        <w:tc>
          <w:tcPr>
            <w:tcW w:w="900" w:type="dxa"/>
            <w:vAlign w:val="center"/>
            <w:hideMark/>
          </w:tcPr>
          <w:p w14:paraId="3C85B2BC"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0.83</w:t>
            </w:r>
          </w:p>
        </w:tc>
        <w:tc>
          <w:tcPr>
            <w:tcW w:w="810" w:type="dxa"/>
            <w:vAlign w:val="center"/>
            <w:hideMark/>
          </w:tcPr>
          <w:p w14:paraId="70269C34"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0.67</w:t>
            </w:r>
          </w:p>
        </w:tc>
        <w:tc>
          <w:tcPr>
            <w:tcW w:w="900" w:type="dxa"/>
            <w:vAlign w:val="center"/>
            <w:hideMark/>
          </w:tcPr>
          <w:p w14:paraId="144362CA"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0.32</w:t>
            </w:r>
          </w:p>
        </w:tc>
        <w:tc>
          <w:tcPr>
            <w:tcW w:w="810" w:type="dxa"/>
            <w:vAlign w:val="center"/>
            <w:hideMark/>
          </w:tcPr>
          <w:p w14:paraId="7831A86F"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0.95</w:t>
            </w:r>
          </w:p>
        </w:tc>
        <w:tc>
          <w:tcPr>
            <w:tcW w:w="845" w:type="dxa"/>
            <w:vMerge/>
            <w:vAlign w:val="center"/>
          </w:tcPr>
          <w:p w14:paraId="2417AE5A"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810" w:type="dxa"/>
            <w:vMerge/>
            <w:vAlign w:val="center"/>
            <w:hideMark/>
          </w:tcPr>
          <w:p w14:paraId="3B886845"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7B14F408"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155" w:type="dxa"/>
            <w:vMerge/>
            <w:vAlign w:val="center"/>
          </w:tcPr>
          <w:p w14:paraId="6DE2D65B"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c>
          <w:tcPr>
            <w:tcW w:w="1545" w:type="dxa"/>
            <w:vMerge/>
            <w:vAlign w:val="center"/>
          </w:tcPr>
          <w:p w14:paraId="32466037"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r>
      <w:tr w:rsidR="002C7FFA" w:rsidRPr="008035A5" w14:paraId="2B22D83D" w14:textId="77777777" w:rsidTr="004F52BC">
        <w:trPr>
          <w:cnfStyle w:val="000000100000" w:firstRow="0" w:lastRow="0" w:firstColumn="0" w:lastColumn="0" w:oddVBand="0" w:evenVBand="0" w:oddHBand="1"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restart"/>
            <w:vAlign w:val="center"/>
          </w:tcPr>
          <w:p w14:paraId="1D0B76E2" w14:textId="77777777" w:rsidR="002C7FFA" w:rsidRPr="008035A5" w:rsidRDefault="002C7FFA">
            <w:pPr>
              <w:pStyle w:val="Paragraph"/>
              <w:spacing w:before="0" w:line="240" w:lineRule="auto"/>
              <w:jc w:val="center"/>
              <w:rPr>
                <w:rFonts w:asciiTheme="majorBidi" w:hAnsiTheme="majorBidi" w:cstheme="majorBidi"/>
                <w:b w:val="0"/>
                <w:bCs w:val="0"/>
                <w:i/>
                <w:iCs/>
                <w:sz w:val="18"/>
                <w:szCs w:val="18"/>
              </w:rPr>
            </w:pPr>
            <w:r>
              <w:rPr>
                <w:rFonts w:asciiTheme="majorBidi" w:hAnsiTheme="majorBidi" w:cstheme="majorBidi"/>
                <w:noProof/>
                <w:sz w:val="18"/>
                <w:szCs w:val="18"/>
                <w:vertAlign w:val="superscript"/>
              </w:rPr>
              <w:fldChar w:fldCharType="begin" w:fldLock="1"/>
            </w:r>
            <w:r>
              <w:rPr>
                <w:rFonts w:asciiTheme="majorBidi" w:hAnsiTheme="majorBidi" w:cstheme="majorBidi"/>
                <w:noProof/>
                <w:sz w:val="18"/>
                <w:szCs w:val="18"/>
                <w:vertAlign w:val="superscript"/>
              </w:rPr>
              <w:instrText>ADDIN CSL_CITATION {"citationItems":[{"id":"ITEM-1","itemData":{"DOI":"10.1016/j.clinre.2022.101968","ISSN":"2210-741X (Electronic)","PMID":"35649482","abstract":"OBJECTIVES: The accuracy of non-invasive liver fibrosis diagnosis based on the  apparent diffusion coefficient (ADC) value combined with the γ-glutamyl transpeptidase-to-platelet ratio (GPR) model to predict the stage of hepatitis B-related fibrosis has not been reported. This study aimed to evaluate the diagnostic efficacy of ADC value combined with GPR for liver fibrosis grading. METHODS: The data of 180 patients with chronic hepatitis B (CHB) diagnosed by liver biopsy were analyzed. The ADC value, GPR, and their combination were assessed in different cirrhosis stages using receiver operating characteristic curve analysis to evaluate their value in diagnosing liver fibrosis. RESULTS: We observed that liver fibrosis stages were inversely associated with ADC values (r=-0.691, P&lt;0.001), and positively associated with GPR (r=0.502, P&lt;0.001). The area under the curve for diagnostic efficacy of ADC values, GPR, and their combination for F≥2 liver fibrosis was 0.831, 0.749, and 0.858, respectively, and for F≥3 was 0.872, 0.771, and 0.903, respectively. The diagnostic cutoffs of the combination for each stage were -7.07, -12.21 and -37.75, respectively. CONCLUSIONS: The combined diagnostic tool of ADC and GPR may improve the accuracy of hepatitis B-related liver fibrosis diagnosis, especially for F≥3.","author":[{"dropping-particle":"","family":"Liu","given":"Xingxiang","non-dropping-particle":"","parse-names":false,"suffix":""},{"dropping-particle":"","family":"Zhou","given":"Jian","non-dropping-particle":"","parse-names":false,"suffix":""},{"dropping-particle":"","family":"Zhu","given":"Liyao","non-dropping-particle":"","parse-names":false,"suffix":""},{"dropping-particle":"","family":"Zhang","given":"Xin","non-dropping-particle":"","parse-names":false,"suffix":""},{"dropping-particle":"","family":"Li","given":"Feng","non-dropping-particle":"","parse-names":false,"suffix":""}],"container-title":"Clinics and research in hepatology and gastroenterology","id":"ITEM-1","issue":"8","issued":{"date-parts":[["2022","10"]]},"language":"eng","page":"101968","publisher-place":"France","title":"Diagnostic accuracy of apparent diffusion coefficient values combined with  γ-glutamyl transpeptidase-to-platelet ratio parameters for predicting hepatitis B-related fibrosis.","type":"article-journal","volume":"46"},"uris":["http://www.mendeley.com/documents/?uuid=32908cff-67e1-42a5-b7df-eaf70adfc18c"]}],"mendeley":{"formattedCitation":"[6]","plainTextFormattedCitation":"[6]","previouslyFormattedCitation":"[6]"},"properties":{"noteIndex":0},"schema":"https://github.com/citation-style-language/schema/raw/master/csl-citation.json"}</w:instrText>
            </w:r>
            <w:r>
              <w:rPr>
                <w:rFonts w:asciiTheme="majorBidi" w:hAnsiTheme="majorBidi" w:cstheme="majorBidi"/>
                <w:noProof/>
                <w:sz w:val="18"/>
                <w:szCs w:val="18"/>
                <w:vertAlign w:val="superscript"/>
              </w:rPr>
              <w:fldChar w:fldCharType="separate"/>
            </w:r>
            <w:r w:rsidRPr="005B400C">
              <w:rPr>
                <w:rFonts w:asciiTheme="majorBidi" w:hAnsiTheme="majorBidi" w:cstheme="majorBidi"/>
                <w:b w:val="0"/>
                <w:noProof/>
                <w:sz w:val="18"/>
                <w:szCs w:val="18"/>
              </w:rPr>
              <w:t>[6]</w:t>
            </w:r>
            <w:r>
              <w:rPr>
                <w:rFonts w:asciiTheme="majorBidi" w:hAnsiTheme="majorBidi" w:cstheme="majorBidi"/>
                <w:noProof/>
                <w:sz w:val="18"/>
                <w:szCs w:val="18"/>
                <w:vertAlign w:val="superscript"/>
              </w:rPr>
              <w:fldChar w:fldCharType="end"/>
            </w:r>
          </w:p>
        </w:tc>
        <w:tc>
          <w:tcPr>
            <w:tcW w:w="1960" w:type="dxa"/>
            <w:vMerge w:val="restart"/>
            <w:vAlign w:val="center"/>
            <w:hideMark/>
          </w:tcPr>
          <w:p w14:paraId="5BDC80F6"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roofErr w:type="spellStart"/>
            <w:r w:rsidRPr="008035A5">
              <w:rPr>
                <w:rFonts w:asciiTheme="majorBidi" w:eastAsiaTheme="minorHAnsi" w:hAnsiTheme="majorBidi" w:cstheme="majorBidi"/>
                <w:b/>
                <w:bCs/>
                <w:sz w:val="18"/>
                <w:szCs w:val="18"/>
                <w:lang w:eastAsia="en-US"/>
              </w:rPr>
              <w:t>Xingxiang</w:t>
            </w:r>
            <w:proofErr w:type="spellEnd"/>
            <w:r w:rsidRPr="008035A5">
              <w:rPr>
                <w:rFonts w:asciiTheme="majorBidi" w:eastAsiaTheme="minorHAnsi" w:hAnsiTheme="majorBidi" w:cstheme="majorBidi"/>
                <w:b/>
                <w:bCs/>
                <w:sz w:val="18"/>
                <w:szCs w:val="18"/>
                <w:lang w:eastAsia="en-US"/>
              </w:rPr>
              <w:t xml:space="preserve"> L. et al</w:t>
            </w:r>
          </w:p>
        </w:tc>
        <w:tc>
          <w:tcPr>
            <w:tcW w:w="630" w:type="dxa"/>
            <w:vMerge w:val="restart"/>
            <w:vAlign w:val="center"/>
            <w:hideMark/>
          </w:tcPr>
          <w:p w14:paraId="354C346F"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2022</w:t>
            </w:r>
          </w:p>
        </w:tc>
        <w:tc>
          <w:tcPr>
            <w:tcW w:w="900" w:type="dxa"/>
            <w:vMerge w:val="restart"/>
            <w:vAlign w:val="center"/>
            <w:hideMark/>
          </w:tcPr>
          <w:p w14:paraId="478462B6"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China</w:t>
            </w:r>
          </w:p>
        </w:tc>
        <w:tc>
          <w:tcPr>
            <w:tcW w:w="900" w:type="dxa"/>
            <w:vAlign w:val="center"/>
            <w:hideMark/>
          </w:tcPr>
          <w:p w14:paraId="3CCBB888"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F2</w:t>
            </w:r>
          </w:p>
        </w:tc>
        <w:tc>
          <w:tcPr>
            <w:tcW w:w="1260" w:type="dxa"/>
            <w:vAlign w:val="center"/>
          </w:tcPr>
          <w:p w14:paraId="6E732021"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0.57</w:t>
            </w:r>
          </w:p>
        </w:tc>
        <w:tc>
          <w:tcPr>
            <w:tcW w:w="900" w:type="dxa"/>
            <w:vAlign w:val="center"/>
            <w:hideMark/>
          </w:tcPr>
          <w:p w14:paraId="51A49350"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0.66</w:t>
            </w:r>
          </w:p>
        </w:tc>
        <w:tc>
          <w:tcPr>
            <w:tcW w:w="810" w:type="dxa"/>
            <w:vAlign w:val="center"/>
            <w:hideMark/>
          </w:tcPr>
          <w:p w14:paraId="31B451AF"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0.82</w:t>
            </w:r>
          </w:p>
        </w:tc>
        <w:tc>
          <w:tcPr>
            <w:tcW w:w="900" w:type="dxa"/>
            <w:vAlign w:val="center"/>
            <w:hideMark/>
          </w:tcPr>
          <w:p w14:paraId="6DAE7672"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0.37</w:t>
            </w:r>
          </w:p>
        </w:tc>
        <w:tc>
          <w:tcPr>
            <w:tcW w:w="810" w:type="dxa"/>
            <w:vAlign w:val="center"/>
            <w:hideMark/>
          </w:tcPr>
          <w:p w14:paraId="5902E561"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0.94</w:t>
            </w:r>
          </w:p>
        </w:tc>
        <w:tc>
          <w:tcPr>
            <w:tcW w:w="845" w:type="dxa"/>
            <w:vMerge w:val="restart"/>
            <w:vAlign w:val="center"/>
            <w:hideMark/>
          </w:tcPr>
          <w:p w14:paraId="5F269EB7"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hAnsiTheme="majorBidi" w:cstheme="majorBidi"/>
                <w:b/>
                <w:bCs/>
                <w:sz w:val="18"/>
                <w:szCs w:val="18"/>
              </w:rPr>
              <w:t>180</w:t>
            </w:r>
          </w:p>
        </w:tc>
        <w:tc>
          <w:tcPr>
            <w:tcW w:w="810" w:type="dxa"/>
            <w:vMerge w:val="restart"/>
            <w:vAlign w:val="center"/>
            <w:hideMark/>
          </w:tcPr>
          <w:p w14:paraId="67A3C292"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0.58</w:t>
            </w:r>
          </w:p>
        </w:tc>
        <w:tc>
          <w:tcPr>
            <w:tcW w:w="900" w:type="dxa"/>
            <w:vMerge w:val="restart"/>
            <w:vAlign w:val="center"/>
            <w:hideMark/>
          </w:tcPr>
          <w:p w14:paraId="106C510E"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45</w:t>
            </w:r>
          </w:p>
        </w:tc>
        <w:tc>
          <w:tcPr>
            <w:tcW w:w="1155" w:type="dxa"/>
            <w:vMerge w:val="restart"/>
            <w:vAlign w:val="center"/>
          </w:tcPr>
          <w:p w14:paraId="266E3CC9"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8035A5">
              <w:rPr>
                <w:rFonts w:asciiTheme="majorBidi" w:hAnsiTheme="majorBidi" w:cstheme="majorBidi"/>
                <w:b/>
                <w:bCs/>
                <w:sz w:val="18"/>
                <w:szCs w:val="18"/>
              </w:rPr>
              <w:t>METAVIR</w:t>
            </w:r>
          </w:p>
        </w:tc>
        <w:tc>
          <w:tcPr>
            <w:tcW w:w="1545" w:type="dxa"/>
            <w:vMerge w:val="restart"/>
            <w:vAlign w:val="center"/>
          </w:tcPr>
          <w:p w14:paraId="6E1EB56C"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8035A5">
              <w:rPr>
                <w:rFonts w:asciiTheme="majorBidi" w:eastAsiaTheme="minorHAnsi" w:hAnsiTheme="majorBidi" w:cstheme="majorBidi"/>
                <w:b/>
                <w:bCs/>
                <w:sz w:val="18"/>
                <w:szCs w:val="18"/>
                <w:lang w:eastAsia="en-US"/>
              </w:rPr>
              <w:t>HBV</w:t>
            </w:r>
          </w:p>
        </w:tc>
      </w:tr>
      <w:tr w:rsidR="002C7FFA" w:rsidRPr="008035A5" w14:paraId="6D46F180" w14:textId="77777777" w:rsidTr="004F52BC">
        <w:trPr>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72CE5421"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707E6A20"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hideMark/>
          </w:tcPr>
          <w:p w14:paraId="3CBA3C72"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4FADADC4"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54F01590"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F3</w:t>
            </w:r>
          </w:p>
        </w:tc>
        <w:tc>
          <w:tcPr>
            <w:tcW w:w="1260" w:type="dxa"/>
            <w:vAlign w:val="center"/>
          </w:tcPr>
          <w:p w14:paraId="19781B98"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0.64</w:t>
            </w:r>
          </w:p>
        </w:tc>
        <w:tc>
          <w:tcPr>
            <w:tcW w:w="900" w:type="dxa"/>
            <w:vAlign w:val="center"/>
            <w:hideMark/>
          </w:tcPr>
          <w:p w14:paraId="2FC7475F"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0.66</w:t>
            </w:r>
          </w:p>
        </w:tc>
        <w:tc>
          <w:tcPr>
            <w:tcW w:w="810" w:type="dxa"/>
            <w:vAlign w:val="center"/>
            <w:hideMark/>
          </w:tcPr>
          <w:p w14:paraId="0B09E759"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0.80</w:t>
            </w:r>
          </w:p>
        </w:tc>
        <w:tc>
          <w:tcPr>
            <w:tcW w:w="900" w:type="dxa"/>
            <w:vAlign w:val="center"/>
            <w:hideMark/>
          </w:tcPr>
          <w:p w14:paraId="15FD0106"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0.77</w:t>
            </w:r>
          </w:p>
        </w:tc>
        <w:tc>
          <w:tcPr>
            <w:tcW w:w="810" w:type="dxa"/>
            <w:vAlign w:val="center"/>
            <w:hideMark/>
          </w:tcPr>
          <w:p w14:paraId="261D05CB"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0.69</w:t>
            </w:r>
          </w:p>
        </w:tc>
        <w:tc>
          <w:tcPr>
            <w:tcW w:w="845" w:type="dxa"/>
            <w:vMerge/>
            <w:vAlign w:val="center"/>
          </w:tcPr>
          <w:p w14:paraId="42740294"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810" w:type="dxa"/>
            <w:vMerge/>
            <w:vAlign w:val="center"/>
            <w:hideMark/>
          </w:tcPr>
          <w:p w14:paraId="7793CCB1"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7C2095D6"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155" w:type="dxa"/>
            <w:vMerge/>
            <w:vAlign w:val="center"/>
          </w:tcPr>
          <w:p w14:paraId="0921368B"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c>
          <w:tcPr>
            <w:tcW w:w="1545" w:type="dxa"/>
            <w:vMerge/>
            <w:vAlign w:val="center"/>
          </w:tcPr>
          <w:p w14:paraId="5A363974"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r>
      <w:tr w:rsidR="002C7FFA" w:rsidRPr="008035A5" w14:paraId="3D7B077E" w14:textId="77777777" w:rsidTr="004F52BC">
        <w:trPr>
          <w:cnfStyle w:val="000000100000" w:firstRow="0" w:lastRow="0" w:firstColumn="0" w:lastColumn="0" w:oddVBand="0" w:evenVBand="0" w:oddHBand="1"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55ABBDF3"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38A2F642"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hideMark/>
          </w:tcPr>
          <w:p w14:paraId="5ECE19CA"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23C05617"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24B385ED"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F4</w:t>
            </w:r>
          </w:p>
        </w:tc>
        <w:tc>
          <w:tcPr>
            <w:tcW w:w="1260" w:type="dxa"/>
            <w:vAlign w:val="center"/>
          </w:tcPr>
          <w:p w14:paraId="16259936"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0.64</w:t>
            </w:r>
          </w:p>
        </w:tc>
        <w:tc>
          <w:tcPr>
            <w:tcW w:w="900" w:type="dxa"/>
            <w:vAlign w:val="center"/>
            <w:hideMark/>
          </w:tcPr>
          <w:p w14:paraId="3B73645D"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0.76</w:t>
            </w:r>
          </w:p>
        </w:tc>
        <w:tc>
          <w:tcPr>
            <w:tcW w:w="810" w:type="dxa"/>
            <w:vAlign w:val="center"/>
            <w:hideMark/>
          </w:tcPr>
          <w:p w14:paraId="54DE2305"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0.72</w:t>
            </w:r>
          </w:p>
        </w:tc>
        <w:tc>
          <w:tcPr>
            <w:tcW w:w="900" w:type="dxa"/>
            <w:vAlign w:val="center"/>
            <w:hideMark/>
          </w:tcPr>
          <w:p w14:paraId="68F24B7C"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0.55</w:t>
            </w:r>
          </w:p>
        </w:tc>
        <w:tc>
          <w:tcPr>
            <w:tcW w:w="810" w:type="dxa"/>
            <w:vAlign w:val="center"/>
            <w:hideMark/>
          </w:tcPr>
          <w:p w14:paraId="3246B7A1"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0.87</w:t>
            </w:r>
          </w:p>
        </w:tc>
        <w:tc>
          <w:tcPr>
            <w:tcW w:w="845" w:type="dxa"/>
            <w:vMerge/>
            <w:vAlign w:val="center"/>
          </w:tcPr>
          <w:p w14:paraId="5DFF5E53"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810" w:type="dxa"/>
            <w:vMerge/>
            <w:vAlign w:val="center"/>
            <w:hideMark/>
          </w:tcPr>
          <w:p w14:paraId="28D270E4"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2C41B365"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155" w:type="dxa"/>
            <w:vMerge/>
            <w:vAlign w:val="center"/>
          </w:tcPr>
          <w:p w14:paraId="6F8BF7FD"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c>
          <w:tcPr>
            <w:tcW w:w="1545" w:type="dxa"/>
            <w:vMerge/>
            <w:vAlign w:val="center"/>
          </w:tcPr>
          <w:p w14:paraId="67B59DFE"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r>
      <w:tr w:rsidR="002C7FFA" w:rsidRPr="008035A5" w14:paraId="496D9B61" w14:textId="77777777" w:rsidTr="004F52BC">
        <w:trPr>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restart"/>
            <w:vAlign w:val="center"/>
          </w:tcPr>
          <w:p w14:paraId="33DB4E08" w14:textId="77777777" w:rsidR="002C7FFA" w:rsidRPr="008035A5" w:rsidRDefault="002C7FFA">
            <w:pPr>
              <w:pStyle w:val="Paragraph"/>
              <w:spacing w:before="0" w:line="240" w:lineRule="auto"/>
              <w:jc w:val="center"/>
              <w:rPr>
                <w:rFonts w:asciiTheme="majorBidi" w:hAnsiTheme="majorBidi" w:cstheme="majorBidi"/>
                <w:b w:val="0"/>
                <w:bCs w:val="0"/>
                <w:i/>
                <w:iCs/>
                <w:sz w:val="18"/>
                <w:szCs w:val="18"/>
              </w:rPr>
            </w:pPr>
            <w:r>
              <w:rPr>
                <w:rFonts w:asciiTheme="majorBidi" w:hAnsiTheme="majorBidi" w:cstheme="majorBidi"/>
                <w:noProof/>
                <w:sz w:val="18"/>
                <w:szCs w:val="18"/>
                <w:vertAlign w:val="superscript"/>
              </w:rPr>
              <w:fldChar w:fldCharType="begin" w:fldLock="1"/>
            </w:r>
            <w:r>
              <w:rPr>
                <w:rFonts w:asciiTheme="majorBidi" w:hAnsiTheme="majorBidi" w:cstheme="majorBidi"/>
                <w:noProof/>
                <w:sz w:val="18"/>
                <w:szCs w:val="18"/>
                <w:vertAlign w:val="superscript"/>
              </w:rPr>
              <w:instrText>ADDIN CSL_CITATION {"citationItems":[{"id":"ITEM-1","itemData":{"DOI":"10.3748/wjg.v28.i27.3503","ISSN":"2219-2840 (Electronic)","PMID":"36158257","abstract":"BACKGROUND: Noninvasive, practical, and convenient means of detection for the  prediction of liver fibrosis and cirrhosis in China are greatly needed. AIM: To develop a precise noninvasive test to stage liver fibrosis and cirrhosis. METHODS: With liver biopsy as the gold standard, we established a new index, [alkaline phosphatase (U/L) + gamma-glutamyl transpeptidase (U/L)/platelet (10(9)/L) (AGPR)], to predict liver fibrosis and cirrhosis. In addition, we compared the area under the receiver operating characteristic curve (AUROC) of AGPR, gamma-glutamyl transpeptidase to platelet ratio, aspartate transaminase to platelet ratio index, and FIB-4 and evaluated the accuracy of these routine laboratory indices in predicting liver fibrosis and cirrhosis. RESULTS: Correlation analysis revealed a significant positive correlation between AGPR and liver fibrosis stage (P &lt; 0.001). In the training cohort, the AUROC of AGPR was 0.83 (95%CI: 0.78-0.87) for predicting fibrosis (≥ F2), 0.84 (95%CI: 0.79-0.88) for predicting extensive fibrosis (≥ F3), and 0.87 (95%CI: 0.83-0.91) for predicting cirrhosis (F4). In the validation cohort, the AUROCs of AGPR to predict ≥ F2, ≥ F3 and F4 were 0.83 (95%CI: 0.77-0.88), 0.83 (95%CI: 0.77-0.89), and 0.84 (95%CI: 0.78-0.89), respectively. CONCLUSION: The AGPR index should become a new, simple, accurate, and noninvasive marker to predict liver fibrosis and cirrhosis in chronic hepatitis B patients.","author":[{"dropping-particle":"","family":"Liao","given":"Min-Jun","non-dropping-particle":"","parse-names":false,"suffix":""},{"dropping-particle":"","family":"Li","given":"Jun","non-dropping-particle":"","parse-names":false,"suffix":""},{"dropping-particle":"","family":"Dang","given":"Wei","non-dropping-particle":"","parse-names":false,"suffix":""},{"dropping-particle":"","family":"Chen","given":"Dong-Bo","non-dropping-particle":"","parse-names":false,"suffix":""},{"dropping-particle":"","family":"Qin","given":"Wan-Ying","non-dropping-particle":"","parse-names":false,"suffix":""},{"dropping-particle":"","family":"Chen","given":"Pu","non-dropping-particle":"","parse-names":false,"suffix":""},{"dropping-particle":"","family":"Zhao","given":"Bi-Geng","non-dropping-particle":"","parse-names":false,"suffix":""},{"dropping-particle":"","family":"Ren","given":"Li-Ying","non-dropping-particle":"","parse-names":false,"suffix":""},{"dropping-particle":"","family":"Xu","given":"Ting-Feng","non-dropping-particle":"","parse-names":false,"suffix":""},{"dropping-particle":"","family":"Chen","given":"Hong-Song","non-dropping-particle":"","parse-names":false,"suffix":""},{"dropping-particle":"","family":"Liao","given":"Wei-Jia","non-dropping-particle":"","parse-names":false,"suffix":""}],"container-title":"World journal of gastroenterology","id":"ITEM-1","issue":"27","issued":{"date-parts":[["2022","7"]]},"language":"eng","page":"3503-3513","publisher-place":"United States","title":"Novel index for the prediction of significant liver fibrosis and cirrhosis in  chronic hepatitis B patients in China.","type":"article-journal","volume":"28"},"uris":["http://www.mendeley.com/documents/?uuid=125662a0-339f-4e2e-8077-85a234e0cc12"]}],"mendeley":{"formattedCitation":"[7]","plainTextFormattedCitation":"[7]","previouslyFormattedCitation":"[7]"},"properties":{"noteIndex":0},"schema":"https://github.com/citation-style-language/schema/raw/master/csl-citation.json"}</w:instrText>
            </w:r>
            <w:r>
              <w:rPr>
                <w:rFonts w:asciiTheme="majorBidi" w:hAnsiTheme="majorBidi" w:cstheme="majorBidi"/>
                <w:noProof/>
                <w:sz w:val="18"/>
                <w:szCs w:val="18"/>
                <w:vertAlign w:val="superscript"/>
              </w:rPr>
              <w:fldChar w:fldCharType="separate"/>
            </w:r>
            <w:r w:rsidRPr="005B400C">
              <w:rPr>
                <w:rFonts w:asciiTheme="majorBidi" w:hAnsiTheme="majorBidi" w:cstheme="majorBidi"/>
                <w:b w:val="0"/>
                <w:noProof/>
                <w:sz w:val="18"/>
                <w:szCs w:val="18"/>
              </w:rPr>
              <w:t>[7]</w:t>
            </w:r>
            <w:r>
              <w:rPr>
                <w:rFonts w:asciiTheme="majorBidi" w:hAnsiTheme="majorBidi" w:cstheme="majorBidi"/>
                <w:noProof/>
                <w:sz w:val="18"/>
                <w:szCs w:val="18"/>
                <w:vertAlign w:val="superscript"/>
              </w:rPr>
              <w:fldChar w:fldCharType="end"/>
            </w:r>
          </w:p>
        </w:tc>
        <w:tc>
          <w:tcPr>
            <w:tcW w:w="1960" w:type="dxa"/>
            <w:vMerge w:val="restart"/>
            <w:vAlign w:val="center"/>
            <w:hideMark/>
          </w:tcPr>
          <w:p w14:paraId="7F4D59E6"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Min-Jun L. et al</w:t>
            </w:r>
          </w:p>
        </w:tc>
        <w:tc>
          <w:tcPr>
            <w:tcW w:w="630" w:type="dxa"/>
            <w:vMerge w:val="restart"/>
            <w:vAlign w:val="center"/>
            <w:hideMark/>
          </w:tcPr>
          <w:p w14:paraId="557EDA51"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2022</w:t>
            </w:r>
          </w:p>
        </w:tc>
        <w:tc>
          <w:tcPr>
            <w:tcW w:w="900" w:type="dxa"/>
            <w:vMerge w:val="restart"/>
            <w:vAlign w:val="center"/>
            <w:hideMark/>
          </w:tcPr>
          <w:p w14:paraId="7E8A48BD"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China</w:t>
            </w:r>
          </w:p>
        </w:tc>
        <w:tc>
          <w:tcPr>
            <w:tcW w:w="900" w:type="dxa"/>
            <w:vAlign w:val="center"/>
            <w:hideMark/>
          </w:tcPr>
          <w:p w14:paraId="1A156968"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F2</w:t>
            </w:r>
          </w:p>
        </w:tc>
        <w:tc>
          <w:tcPr>
            <w:tcW w:w="1260" w:type="dxa"/>
            <w:vAlign w:val="center"/>
          </w:tcPr>
          <w:p w14:paraId="4279803D"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0.32</w:t>
            </w:r>
          </w:p>
        </w:tc>
        <w:tc>
          <w:tcPr>
            <w:tcW w:w="900" w:type="dxa"/>
            <w:vAlign w:val="center"/>
            <w:hideMark/>
          </w:tcPr>
          <w:p w14:paraId="4A398C9C"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0.86</w:t>
            </w:r>
          </w:p>
        </w:tc>
        <w:tc>
          <w:tcPr>
            <w:tcW w:w="810" w:type="dxa"/>
            <w:vAlign w:val="center"/>
            <w:hideMark/>
          </w:tcPr>
          <w:p w14:paraId="1CD41E75"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0.67</w:t>
            </w:r>
          </w:p>
        </w:tc>
        <w:tc>
          <w:tcPr>
            <w:tcW w:w="900" w:type="dxa"/>
            <w:vAlign w:val="center"/>
            <w:hideMark/>
          </w:tcPr>
          <w:p w14:paraId="10A1238E"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0.76</w:t>
            </w:r>
          </w:p>
        </w:tc>
        <w:tc>
          <w:tcPr>
            <w:tcW w:w="810" w:type="dxa"/>
            <w:vAlign w:val="center"/>
            <w:hideMark/>
          </w:tcPr>
          <w:p w14:paraId="10DDC925"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0.80</w:t>
            </w:r>
          </w:p>
        </w:tc>
        <w:tc>
          <w:tcPr>
            <w:tcW w:w="845" w:type="dxa"/>
            <w:vMerge w:val="restart"/>
            <w:vAlign w:val="center"/>
            <w:hideMark/>
          </w:tcPr>
          <w:p w14:paraId="277A39A7"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hAnsiTheme="majorBidi" w:cstheme="majorBidi"/>
                <w:b/>
                <w:bCs/>
                <w:sz w:val="18"/>
                <w:szCs w:val="18"/>
              </w:rPr>
              <w:t>211</w:t>
            </w:r>
          </w:p>
        </w:tc>
        <w:tc>
          <w:tcPr>
            <w:tcW w:w="810" w:type="dxa"/>
            <w:vMerge w:val="restart"/>
            <w:vAlign w:val="center"/>
            <w:hideMark/>
          </w:tcPr>
          <w:p w14:paraId="170291C3"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0.81</w:t>
            </w:r>
          </w:p>
        </w:tc>
        <w:tc>
          <w:tcPr>
            <w:tcW w:w="900" w:type="dxa"/>
            <w:vMerge w:val="restart"/>
            <w:vAlign w:val="center"/>
            <w:hideMark/>
          </w:tcPr>
          <w:p w14:paraId="589EB45D"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41</w:t>
            </w:r>
          </w:p>
        </w:tc>
        <w:tc>
          <w:tcPr>
            <w:tcW w:w="1155" w:type="dxa"/>
            <w:vMerge w:val="restart"/>
            <w:vAlign w:val="center"/>
          </w:tcPr>
          <w:p w14:paraId="5B7A3B69"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8035A5">
              <w:rPr>
                <w:rFonts w:asciiTheme="majorBidi" w:hAnsiTheme="majorBidi" w:cstheme="majorBidi"/>
                <w:b/>
                <w:bCs/>
                <w:sz w:val="18"/>
                <w:szCs w:val="18"/>
              </w:rPr>
              <w:t>METAVIR</w:t>
            </w:r>
          </w:p>
        </w:tc>
        <w:tc>
          <w:tcPr>
            <w:tcW w:w="1545" w:type="dxa"/>
            <w:vMerge w:val="restart"/>
            <w:vAlign w:val="center"/>
          </w:tcPr>
          <w:p w14:paraId="7B460CFF"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8035A5">
              <w:rPr>
                <w:rFonts w:asciiTheme="majorBidi" w:eastAsiaTheme="minorHAnsi" w:hAnsiTheme="majorBidi" w:cstheme="majorBidi"/>
                <w:b/>
                <w:bCs/>
                <w:sz w:val="18"/>
                <w:szCs w:val="18"/>
                <w:lang w:eastAsia="en-US"/>
              </w:rPr>
              <w:t>HBV/HCV/Autoimmune/Drug induced/NAFLD</w:t>
            </w:r>
          </w:p>
        </w:tc>
      </w:tr>
      <w:tr w:rsidR="002C7FFA" w:rsidRPr="008035A5" w14:paraId="75224D77" w14:textId="77777777" w:rsidTr="004F52BC">
        <w:trPr>
          <w:cnfStyle w:val="000000100000" w:firstRow="0" w:lastRow="0" w:firstColumn="0" w:lastColumn="0" w:oddVBand="0" w:evenVBand="0" w:oddHBand="1"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0CEEC51D"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3F0C9A17"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hideMark/>
          </w:tcPr>
          <w:p w14:paraId="618032CE"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0E29E97F"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78EF6CBF"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F3</w:t>
            </w:r>
          </w:p>
        </w:tc>
        <w:tc>
          <w:tcPr>
            <w:tcW w:w="1260" w:type="dxa"/>
            <w:vAlign w:val="center"/>
          </w:tcPr>
          <w:p w14:paraId="142BE3C2"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0.32</w:t>
            </w:r>
          </w:p>
        </w:tc>
        <w:tc>
          <w:tcPr>
            <w:tcW w:w="900" w:type="dxa"/>
            <w:vAlign w:val="center"/>
            <w:hideMark/>
          </w:tcPr>
          <w:p w14:paraId="72CD536E"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0.91</w:t>
            </w:r>
          </w:p>
        </w:tc>
        <w:tc>
          <w:tcPr>
            <w:tcW w:w="810" w:type="dxa"/>
            <w:vAlign w:val="center"/>
            <w:hideMark/>
          </w:tcPr>
          <w:p w14:paraId="4A068784"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0.57</w:t>
            </w:r>
          </w:p>
        </w:tc>
        <w:tc>
          <w:tcPr>
            <w:tcW w:w="900" w:type="dxa"/>
            <w:vAlign w:val="center"/>
            <w:hideMark/>
          </w:tcPr>
          <w:p w14:paraId="7789A3CC"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0.56</w:t>
            </w:r>
          </w:p>
        </w:tc>
        <w:tc>
          <w:tcPr>
            <w:tcW w:w="810" w:type="dxa"/>
            <w:vAlign w:val="center"/>
            <w:hideMark/>
          </w:tcPr>
          <w:p w14:paraId="765DC8EF"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0.91</w:t>
            </w:r>
          </w:p>
        </w:tc>
        <w:tc>
          <w:tcPr>
            <w:tcW w:w="845" w:type="dxa"/>
            <w:vMerge/>
            <w:vAlign w:val="center"/>
            <w:hideMark/>
          </w:tcPr>
          <w:p w14:paraId="06F27489"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810" w:type="dxa"/>
            <w:vMerge/>
            <w:vAlign w:val="center"/>
            <w:hideMark/>
          </w:tcPr>
          <w:p w14:paraId="1E6D5B0D"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644ACCCD"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155" w:type="dxa"/>
            <w:vMerge/>
            <w:vAlign w:val="center"/>
          </w:tcPr>
          <w:p w14:paraId="249FAE77"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c>
          <w:tcPr>
            <w:tcW w:w="1545" w:type="dxa"/>
            <w:vMerge/>
            <w:vAlign w:val="center"/>
          </w:tcPr>
          <w:p w14:paraId="1CF4C47A"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r>
      <w:tr w:rsidR="002C7FFA" w:rsidRPr="008035A5" w14:paraId="0C756A53" w14:textId="77777777" w:rsidTr="004F52BC">
        <w:trPr>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4002C392"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45157CE6"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hideMark/>
          </w:tcPr>
          <w:p w14:paraId="64655A9F"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1F526227"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368C2439"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F4</w:t>
            </w:r>
          </w:p>
        </w:tc>
        <w:tc>
          <w:tcPr>
            <w:tcW w:w="1260" w:type="dxa"/>
            <w:vAlign w:val="center"/>
          </w:tcPr>
          <w:p w14:paraId="39565F12"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0.56</w:t>
            </w:r>
          </w:p>
        </w:tc>
        <w:tc>
          <w:tcPr>
            <w:tcW w:w="900" w:type="dxa"/>
            <w:vAlign w:val="center"/>
            <w:hideMark/>
          </w:tcPr>
          <w:p w14:paraId="418A1081"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0.75</w:t>
            </w:r>
          </w:p>
        </w:tc>
        <w:tc>
          <w:tcPr>
            <w:tcW w:w="810" w:type="dxa"/>
            <w:vAlign w:val="center"/>
            <w:hideMark/>
          </w:tcPr>
          <w:p w14:paraId="68A7EBF8"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0.62</w:t>
            </w:r>
          </w:p>
        </w:tc>
        <w:tc>
          <w:tcPr>
            <w:tcW w:w="900" w:type="dxa"/>
            <w:vAlign w:val="center"/>
            <w:hideMark/>
          </w:tcPr>
          <w:p w14:paraId="0D147166"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0.21</w:t>
            </w:r>
          </w:p>
        </w:tc>
        <w:tc>
          <w:tcPr>
            <w:tcW w:w="810" w:type="dxa"/>
            <w:vAlign w:val="center"/>
            <w:hideMark/>
          </w:tcPr>
          <w:p w14:paraId="644F0389"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0.95</w:t>
            </w:r>
          </w:p>
        </w:tc>
        <w:tc>
          <w:tcPr>
            <w:tcW w:w="845" w:type="dxa"/>
            <w:vMerge/>
            <w:vAlign w:val="center"/>
            <w:hideMark/>
          </w:tcPr>
          <w:p w14:paraId="4647826D"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810" w:type="dxa"/>
            <w:vMerge/>
            <w:vAlign w:val="center"/>
            <w:hideMark/>
          </w:tcPr>
          <w:p w14:paraId="40635967"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3E699B09"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155" w:type="dxa"/>
            <w:vMerge/>
            <w:vAlign w:val="center"/>
          </w:tcPr>
          <w:p w14:paraId="746D8135"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c>
          <w:tcPr>
            <w:tcW w:w="1545" w:type="dxa"/>
            <w:vMerge/>
            <w:vAlign w:val="center"/>
          </w:tcPr>
          <w:p w14:paraId="2802BF66"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r>
      <w:tr w:rsidR="002C7FFA" w:rsidRPr="008035A5" w14:paraId="7899B3A9" w14:textId="77777777" w:rsidTr="004F52BC">
        <w:trPr>
          <w:cnfStyle w:val="000000100000" w:firstRow="0" w:lastRow="0" w:firstColumn="0" w:lastColumn="0" w:oddVBand="0" w:evenVBand="0" w:oddHBand="1"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restart"/>
            <w:vAlign w:val="center"/>
          </w:tcPr>
          <w:p w14:paraId="0F7CA375" w14:textId="77777777" w:rsidR="002C7FFA" w:rsidRPr="008035A5" w:rsidRDefault="002C7FFA">
            <w:pPr>
              <w:pStyle w:val="Paragraph"/>
              <w:spacing w:before="0" w:line="240" w:lineRule="auto"/>
              <w:jc w:val="center"/>
              <w:rPr>
                <w:rFonts w:asciiTheme="majorBidi" w:hAnsiTheme="majorBidi" w:cstheme="majorBidi"/>
                <w:b w:val="0"/>
                <w:bCs w:val="0"/>
                <w:i/>
                <w:iCs/>
                <w:sz w:val="18"/>
                <w:szCs w:val="18"/>
              </w:rPr>
            </w:pPr>
            <w:r>
              <w:rPr>
                <w:rFonts w:asciiTheme="majorBidi" w:hAnsiTheme="majorBidi" w:cstheme="majorBidi"/>
                <w:noProof/>
                <w:sz w:val="18"/>
                <w:szCs w:val="18"/>
                <w:vertAlign w:val="superscript"/>
              </w:rPr>
              <w:fldChar w:fldCharType="begin" w:fldLock="1"/>
            </w:r>
            <w:r>
              <w:rPr>
                <w:rFonts w:asciiTheme="majorBidi" w:hAnsiTheme="majorBidi" w:cstheme="majorBidi"/>
                <w:noProof/>
                <w:sz w:val="18"/>
                <w:szCs w:val="18"/>
                <w:vertAlign w:val="superscript"/>
              </w:rPr>
              <w:instrText>ADDIN CSL_CITATION {"citationItems":[{"id":"ITEM-1","itemData":{"DOI":"10.1007/s10620-021-07049-4","ISSN":"1573-2568 (Electronic)","PMID":"34059990","abstract":"BACKGROUND: Liver biopsy is the gold standard for staging liver fibrosis, but it  has numerous drawbacks, mainly associated with bleeding and bile fistula risks. A number of non-invasive techniques have been investigated, but they all have their own disadvantages. To avoid the risks mentioned above and to improve the diagnostic value, we still need to search for a more accurate non-invasive method to evaluate the degree of liver fibrosis. AIM: This study aimed to evaluate the diagnostic performance of FibroTouch versus other non-invasive fibrosis indexes in hepatic fibrosis of different aetiologies. METHODS: This study retrospectively enrolled 227 patients with chronic hepatic liver disease admitted to the first hospital of Lanzhou University from 2017 to 2020. Liver biopsy was performed in all of the patients, and their biochemical indicators were all tested. Non-invasive indexes including the fibrosis index based on four factors (FIB-4), the aminotransferase-to-platelet ratio index (APRI), and the gamma-glutamyl transpeptidase-to-platelet ratio index (GPRI) were all calculated. Transient elastography was performed using FibroTouch. RESULTS: The correlation between FibroTouch and the pathology of liver fibrosis was significantly higher than that between the non-invasive fibrosis indexes and the biopsy results (r = 0.771, p &lt; 0.05). The area under the receiver operating curve (AUC) of FibroTouch was significantly higher than that of FIB-4, APRI, and GPRI for the diagnosis of significant fibrosis (≥ S2 fibrosis stage), advanced fibrosis (≥ S3 fibrosis stage), and cirrhosis (= S4 fibrosis stage) (p &lt; 0.05). The patients were grouped according to different aetiologies. The diagnostic value of FibroTouch had much higher credibility in different fibrosis stages for different causes compared with other non-invasive indexes. The AUC of FibroTouch showed both higher specificity and higher sensitivity than FIB-4, APRI, and GPRI for different liver fibrosis stages with different aetiologies. CONCLUSIONS: FibroTouch demonstrates the highest diagnostic value for liver fibrosis and cirrhosis among non-invasive methods, showing better results than FIB-4, APRI, and GPRI, and surpassed only by liver biopsy. FibroTouch is reliable in assessing liver fibrosis with different aetiologies.","author":[{"dropping-particle":"","family":"Peng","given":"Xuebin","non-dropping-particle":"","parse-names":false,"suffix":""},{"dropping-particle":"","family":"Tian","given":"Aiping","non-dropping-particle":"","parse-names":false,"suffix":""},{"dropping-particle":"","family":"Li","given":"Junfeng","non-dropping-particle":"","parse-names":false,"suffix":""},{"dropping-particle":"","family":"Mao","given":"Yongwu","non-dropping-particle":"","parse-names":false,"suffix":""},{"dropping-particle":"","family":"Jiang","given":"Ni","non-dropping-particle":"","parse-names":false,"suffix":""},{"dropping-particle":"","family":"Li","given":"Ting","non-dropping-particle":"","parse-names":false,"suffix":""},{"dropping-particle":"","family":"Mao","given":"Xiaorong","non-dropping-particle":"","parse-names":false,"suffix":""}],"container-title":"Digestive diseases and sciences","id":"ITEM-1","issue":"6","issued":{"date-parts":[["2022","6"]]},"language":"eng","page":"2627-2636","publisher-place":"United States","title":"Diagnostic Value of FibroTouch and Non-invasive Fibrosis Indexes in Hepatic  Fibrosis with Different Aetiologies.","type":"article-journal","volume":"67"},"uris":["http://www.mendeley.com/documents/?uuid=93bf525e-1c00-47fe-817a-e43fa0d20953"]}],"mendeley":{"formattedCitation":"[8]","plainTextFormattedCitation":"[8]","previouslyFormattedCitation":"[8]"},"properties":{"noteIndex":0},"schema":"https://github.com/citation-style-language/schema/raw/master/csl-citation.json"}</w:instrText>
            </w:r>
            <w:r>
              <w:rPr>
                <w:rFonts w:asciiTheme="majorBidi" w:hAnsiTheme="majorBidi" w:cstheme="majorBidi"/>
                <w:noProof/>
                <w:sz w:val="18"/>
                <w:szCs w:val="18"/>
                <w:vertAlign w:val="superscript"/>
              </w:rPr>
              <w:fldChar w:fldCharType="separate"/>
            </w:r>
            <w:r w:rsidRPr="005B400C">
              <w:rPr>
                <w:rFonts w:asciiTheme="majorBidi" w:hAnsiTheme="majorBidi" w:cstheme="majorBidi"/>
                <w:b w:val="0"/>
                <w:noProof/>
                <w:sz w:val="18"/>
                <w:szCs w:val="18"/>
              </w:rPr>
              <w:t>[8]</w:t>
            </w:r>
            <w:r>
              <w:rPr>
                <w:rFonts w:asciiTheme="majorBidi" w:hAnsiTheme="majorBidi" w:cstheme="majorBidi"/>
                <w:noProof/>
                <w:sz w:val="18"/>
                <w:szCs w:val="18"/>
                <w:vertAlign w:val="superscript"/>
              </w:rPr>
              <w:fldChar w:fldCharType="end"/>
            </w:r>
          </w:p>
        </w:tc>
        <w:tc>
          <w:tcPr>
            <w:tcW w:w="1960" w:type="dxa"/>
            <w:vMerge w:val="restart"/>
            <w:vAlign w:val="center"/>
            <w:hideMark/>
          </w:tcPr>
          <w:p w14:paraId="3B9786E9"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Peng, X. et al</w:t>
            </w:r>
          </w:p>
        </w:tc>
        <w:tc>
          <w:tcPr>
            <w:tcW w:w="630" w:type="dxa"/>
            <w:vMerge w:val="restart"/>
            <w:vAlign w:val="center"/>
            <w:hideMark/>
          </w:tcPr>
          <w:p w14:paraId="3F1F7675"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2022</w:t>
            </w:r>
          </w:p>
        </w:tc>
        <w:tc>
          <w:tcPr>
            <w:tcW w:w="900" w:type="dxa"/>
            <w:vMerge w:val="restart"/>
            <w:vAlign w:val="center"/>
            <w:hideMark/>
          </w:tcPr>
          <w:p w14:paraId="351029DE"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China</w:t>
            </w:r>
          </w:p>
        </w:tc>
        <w:tc>
          <w:tcPr>
            <w:tcW w:w="900" w:type="dxa"/>
            <w:vAlign w:val="center"/>
            <w:hideMark/>
          </w:tcPr>
          <w:p w14:paraId="4822E870"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F2</w:t>
            </w:r>
          </w:p>
        </w:tc>
        <w:tc>
          <w:tcPr>
            <w:tcW w:w="1260" w:type="dxa"/>
            <w:vAlign w:val="center"/>
          </w:tcPr>
          <w:p w14:paraId="7E3BF2C4"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0.23</w:t>
            </w:r>
          </w:p>
        </w:tc>
        <w:tc>
          <w:tcPr>
            <w:tcW w:w="900" w:type="dxa"/>
            <w:vAlign w:val="center"/>
            <w:hideMark/>
          </w:tcPr>
          <w:p w14:paraId="5CDD407D"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0.28</w:t>
            </w:r>
          </w:p>
        </w:tc>
        <w:tc>
          <w:tcPr>
            <w:tcW w:w="810" w:type="dxa"/>
            <w:vAlign w:val="center"/>
            <w:hideMark/>
          </w:tcPr>
          <w:p w14:paraId="2EFFDBD8"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0.85</w:t>
            </w:r>
          </w:p>
        </w:tc>
        <w:tc>
          <w:tcPr>
            <w:tcW w:w="900" w:type="dxa"/>
            <w:vAlign w:val="center"/>
            <w:hideMark/>
          </w:tcPr>
          <w:p w14:paraId="28A1BE8B"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0.64</w:t>
            </w:r>
          </w:p>
        </w:tc>
        <w:tc>
          <w:tcPr>
            <w:tcW w:w="810" w:type="dxa"/>
            <w:vAlign w:val="center"/>
            <w:hideMark/>
          </w:tcPr>
          <w:p w14:paraId="6017A280"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0.54</w:t>
            </w:r>
          </w:p>
        </w:tc>
        <w:tc>
          <w:tcPr>
            <w:tcW w:w="845" w:type="dxa"/>
            <w:vMerge w:val="restart"/>
            <w:vAlign w:val="center"/>
            <w:hideMark/>
          </w:tcPr>
          <w:p w14:paraId="05C1F7B3"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hAnsiTheme="majorBidi" w:cstheme="majorBidi"/>
                <w:b/>
                <w:bCs/>
                <w:sz w:val="18"/>
                <w:szCs w:val="18"/>
              </w:rPr>
              <w:t>227</w:t>
            </w:r>
          </w:p>
        </w:tc>
        <w:tc>
          <w:tcPr>
            <w:tcW w:w="810" w:type="dxa"/>
            <w:vMerge w:val="restart"/>
            <w:vAlign w:val="center"/>
            <w:hideMark/>
          </w:tcPr>
          <w:p w14:paraId="7D48306B"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0.42</w:t>
            </w:r>
          </w:p>
        </w:tc>
        <w:tc>
          <w:tcPr>
            <w:tcW w:w="900" w:type="dxa"/>
            <w:vMerge w:val="restart"/>
            <w:vAlign w:val="center"/>
            <w:hideMark/>
          </w:tcPr>
          <w:p w14:paraId="55766105"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41</w:t>
            </w:r>
          </w:p>
        </w:tc>
        <w:tc>
          <w:tcPr>
            <w:tcW w:w="1155" w:type="dxa"/>
            <w:vMerge w:val="restart"/>
            <w:vAlign w:val="center"/>
          </w:tcPr>
          <w:p w14:paraId="3974E93D"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8035A5">
              <w:rPr>
                <w:rFonts w:asciiTheme="majorBidi" w:hAnsiTheme="majorBidi" w:cstheme="majorBidi"/>
                <w:b/>
                <w:bCs/>
                <w:sz w:val="18"/>
                <w:szCs w:val="18"/>
              </w:rPr>
              <w:t>METAVIR</w:t>
            </w:r>
          </w:p>
        </w:tc>
        <w:tc>
          <w:tcPr>
            <w:tcW w:w="1545" w:type="dxa"/>
            <w:vMerge w:val="restart"/>
            <w:vAlign w:val="center"/>
          </w:tcPr>
          <w:p w14:paraId="55249CA1"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8035A5">
              <w:rPr>
                <w:rFonts w:asciiTheme="majorBidi" w:eastAsiaTheme="minorHAnsi" w:hAnsiTheme="majorBidi" w:cstheme="majorBidi"/>
                <w:b/>
                <w:bCs/>
                <w:sz w:val="18"/>
                <w:szCs w:val="18"/>
                <w:lang w:eastAsia="en-US"/>
              </w:rPr>
              <w:t>HBV</w:t>
            </w:r>
          </w:p>
        </w:tc>
      </w:tr>
      <w:tr w:rsidR="002C7FFA" w:rsidRPr="008035A5" w14:paraId="150401E4" w14:textId="77777777" w:rsidTr="004F52BC">
        <w:trPr>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3B8E5F2B"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5FE5C95D"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hideMark/>
          </w:tcPr>
          <w:p w14:paraId="0D6ADF56"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5806A4F5"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11F3261F"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F3</w:t>
            </w:r>
          </w:p>
        </w:tc>
        <w:tc>
          <w:tcPr>
            <w:tcW w:w="1260" w:type="dxa"/>
            <w:vAlign w:val="center"/>
          </w:tcPr>
          <w:p w14:paraId="380A21F1"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0.53</w:t>
            </w:r>
          </w:p>
        </w:tc>
        <w:tc>
          <w:tcPr>
            <w:tcW w:w="900" w:type="dxa"/>
            <w:vAlign w:val="center"/>
            <w:hideMark/>
          </w:tcPr>
          <w:p w14:paraId="77C4FA9B"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0.91</w:t>
            </w:r>
          </w:p>
        </w:tc>
        <w:tc>
          <w:tcPr>
            <w:tcW w:w="810" w:type="dxa"/>
            <w:vAlign w:val="center"/>
            <w:hideMark/>
          </w:tcPr>
          <w:p w14:paraId="5ACF0744"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0.65</w:t>
            </w:r>
          </w:p>
        </w:tc>
        <w:tc>
          <w:tcPr>
            <w:tcW w:w="900" w:type="dxa"/>
            <w:vAlign w:val="center"/>
            <w:hideMark/>
          </w:tcPr>
          <w:p w14:paraId="53569863"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0.60</w:t>
            </w:r>
          </w:p>
        </w:tc>
        <w:tc>
          <w:tcPr>
            <w:tcW w:w="810" w:type="dxa"/>
            <w:vAlign w:val="center"/>
            <w:hideMark/>
          </w:tcPr>
          <w:p w14:paraId="3C210241"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0.93</w:t>
            </w:r>
          </w:p>
        </w:tc>
        <w:tc>
          <w:tcPr>
            <w:tcW w:w="845" w:type="dxa"/>
            <w:vMerge/>
            <w:vAlign w:val="center"/>
          </w:tcPr>
          <w:p w14:paraId="59604DDB"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810" w:type="dxa"/>
            <w:vMerge/>
            <w:vAlign w:val="center"/>
            <w:hideMark/>
          </w:tcPr>
          <w:p w14:paraId="5E97A705"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7AEF4A32"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155" w:type="dxa"/>
            <w:vMerge/>
            <w:vAlign w:val="center"/>
          </w:tcPr>
          <w:p w14:paraId="48FE6922"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c>
          <w:tcPr>
            <w:tcW w:w="1545" w:type="dxa"/>
            <w:vMerge/>
            <w:vAlign w:val="center"/>
          </w:tcPr>
          <w:p w14:paraId="631418B0"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r>
      <w:tr w:rsidR="002C7FFA" w:rsidRPr="008035A5" w14:paraId="57821234" w14:textId="77777777" w:rsidTr="004F52BC">
        <w:trPr>
          <w:cnfStyle w:val="000000100000" w:firstRow="0" w:lastRow="0" w:firstColumn="0" w:lastColumn="0" w:oddVBand="0" w:evenVBand="0" w:oddHBand="1"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55C93529"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23093B9D"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hideMark/>
          </w:tcPr>
          <w:p w14:paraId="3440C815"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3448A37F"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61B51F1E"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F4</w:t>
            </w:r>
          </w:p>
        </w:tc>
        <w:tc>
          <w:tcPr>
            <w:tcW w:w="1260" w:type="dxa"/>
            <w:vAlign w:val="center"/>
          </w:tcPr>
          <w:p w14:paraId="7C77B5E2"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1.92</w:t>
            </w:r>
          </w:p>
        </w:tc>
        <w:tc>
          <w:tcPr>
            <w:tcW w:w="900" w:type="dxa"/>
            <w:vAlign w:val="center"/>
            <w:hideMark/>
          </w:tcPr>
          <w:p w14:paraId="1789A633"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0.43</w:t>
            </w:r>
          </w:p>
        </w:tc>
        <w:tc>
          <w:tcPr>
            <w:tcW w:w="810" w:type="dxa"/>
            <w:vAlign w:val="center"/>
            <w:hideMark/>
          </w:tcPr>
          <w:p w14:paraId="16B9B930"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0.82</w:t>
            </w:r>
          </w:p>
        </w:tc>
        <w:tc>
          <w:tcPr>
            <w:tcW w:w="900" w:type="dxa"/>
            <w:vAlign w:val="center"/>
            <w:hideMark/>
          </w:tcPr>
          <w:p w14:paraId="6E0224ED"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0.72</w:t>
            </w:r>
          </w:p>
        </w:tc>
        <w:tc>
          <w:tcPr>
            <w:tcW w:w="810" w:type="dxa"/>
            <w:vAlign w:val="center"/>
            <w:hideMark/>
          </w:tcPr>
          <w:p w14:paraId="634F84AB"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0.56</w:t>
            </w:r>
          </w:p>
        </w:tc>
        <w:tc>
          <w:tcPr>
            <w:tcW w:w="845" w:type="dxa"/>
            <w:vMerge/>
            <w:vAlign w:val="center"/>
          </w:tcPr>
          <w:p w14:paraId="7CA17599"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810" w:type="dxa"/>
            <w:vMerge/>
            <w:vAlign w:val="center"/>
            <w:hideMark/>
          </w:tcPr>
          <w:p w14:paraId="59297AD9"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275AB1DF"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155" w:type="dxa"/>
            <w:vMerge/>
            <w:vAlign w:val="center"/>
          </w:tcPr>
          <w:p w14:paraId="5D668616"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c>
          <w:tcPr>
            <w:tcW w:w="1545" w:type="dxa"/>
            <w:vMerge/>
            <w:vAlign w:val="center"/>
          </w:tcPr>
          <w:p w14:paraId="4132DE2C"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r>
      <w:tr w:rsidR="002C7FFA" w:rsidRPr="008035A5" w14:paraId="75F74CD7" w14:textId="77777777" w:rsidTr="004F52BC">
        <w:trPr>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restart"/>
            <w:vAlign w:val="center"/>
          </w:tcPr>
          <w:p w14:paraId="34013506" w14:textId="77777777" w:rsidR="002C7FFA" w:rsidRPr="008035A5" w:rsidRDefault="002C7FFA">
            <w:pPr>
              <w:pStyle w:val="Paragraph"/>
              <w:spacing w:before="0" w:line="240" w:lineRule="auto"/>
              <w:jc w:val="center"/>
              <w:rPr>
                <w:rFonts w:asciiTheme="majorBidi" w:hAnsiTheme="majorBidi" w:cstheme="majorBidi"/>
                <w:b w:val="0"/>
                <w:bCs w:val="0"/>
                <w:i/>
                <w:iCs/>
                <w:sz w:val="18"/>
                <w:szCs w:val="18"/>
              </w:rPr>
            </w:pPr>
            <w:r>
              <w:rPr>
                <w:rFonts w:asciiTheme="majorBidi" w:hAnsiTheme="majorBidi" w:cstheme="majorBidi"/>
                <w:noProof/>
                <w:sz w:val="18"/>
                <w:szCs w:val="18"/>
                <w:vertAlign w:val="superscript"/>
              </w:rPr>
              <w:fldChar w:fldCharType="begin" w:fldLock="1"/>
            </w:r>
            <w:r>
              <w:rPr>
                <w:rFonts w:asciiTheme="majorBidi" w:hAnsiTheme="majorBidi" w:cstheme="majorBidi"/>
                <w:noProof/>
                <w:sz w:val="18"/>
                <w:szCs w:val="18"/>
                <w:vertAlign w:val="superscript"/>
              </w:rPr>
              <w:instrText>ADDIN CSL_CITATION {"citationItems":[{"id":"ITEM-1","itemData":{"DOI":"10.51821/85.1.9156","ISSN":"1784-3227 (Print)","PMID":"35304995","abstract":"BACKGROUND AND STUDY AIMS: In this study, we investigated the efficacy of nine  non-invasive fibrosis markers in the assessment of the degree of fibrosis in patients with chronic Hepatitis B (CHB) in comparison with liver biopsy. PATIENTS AND METHODS: A total of 1454 untreated CHB patients from two different centers who underwent liver biopsy were included in the study. Laboratory results of patients were reviewed retrospectively and the pathology slides were re-evaluated in accordance with the Ishak score. Degree of fibrosis ≥ 3 was accepted as \"significant fibrosis\", ≥ 4 as \"advanced fibrosis\", and ≥ 5 as cirrhosis. The diagnostic performance of the markers Aspartate aminotransferase to Platelet Ratio Index (APRI), Fibrosis-4 score (FIB-4), Aspartate aminotransferase to Alanine aminotransferase Ratio (AAR), AAR to Platelet Ratio Index (AAPRI), Gamma-glutamyl transpeptidase to Platelet Ratio (GPR), King's Score, Fibro quotient (Fibro-Q), S Index and Platelet to Lymphocyte Ratio (PLR) were evaluated with ROC analysis. RESULTS: In detecting significant fibrosis, APRI, GPR, King's Score and S Index had AUROC values over 0.70. For advanced fibrosis, all of the models except AAPRI; and for cirrhosis, all of the models had AUROC values over 0.70. In accordance with the chosen staging system, GPR, King's Score and S Index had high diagnostic efficacy whereas APRI, FIB-4, FibroQ and PLR had moderate diagnostic efficacy, AAR and AAPRI had low diagnostic efficacy. CONCLUSIONS: GPR, King's Score and S Index had moderate diagnostic performance in detecting significant fibrosis and advanced fibrosis, and high diagnostic performance in detecting cirrhosis.","author":[{"dropping-particle":"","family":"Ekin","given":"N","non-dropping-particle":"","parse-names":false,"suffix":""},{"dropping-particle":"","family":"Ucmak","given":"F","non-dropping-particle":"","parse-names":false,"suffix":""},{"dropping-particle":"","family":"Ebik","given":"B","non-dropping-particle":"","parse-names":false,"suffix":""},{"dropping-particle":"","family":"Tugba Tuncel","given":"E","non-dropping-particle":"","parse-names":false,"suffix":""},{"dropping-particle":"","family":"Kacmaz","given":"H","non-dropping-particle":"","parse-names":false,"suffix":""},{"dropping-particle":"","family":"Arpa","given":"M","non-dropping-particle":"","parse-names":false,"suffix":""},{"dropping-particle":"","family":"Engin Atay","given":"A","non-dropping-particle":"","parse-names":false,"suffix":""}],"container-title":"Acta gastro-enterologica Belgica","id":"ITEM-1","issue":"1","issued":{"date-parts":[["2022"]]},"language":"eng","page":"62-68","publisher-place":"Belgium","title":"GPR, King's Score and S-Index are superior to other non-invasive fibrosis markers  in predicting the liver fibrosis in chronic Hepatitis B patients.","type":"article-journal","volume":"85"},"uris":["http://www.mendeley.com/documents/?uuid=92259e64-377f-4f76-8f6b-afcf48d4e1f8"]}],"mendeley":{"formattedCitation":"[9]","plainTextFormattedCitation":"[9]","previouslyFormattedCitation":"[9]"},"properties":{"noteIndex":0},"schema":"https://github.com/citation-style-language/schema/raw/master/csl-citation.json"}</w:instrText>
            </w:r>
            <w:r>
              <w:rPr>
                <w:rFonts w:asciiTheme="majorBidi" w:hAnsiTheme="majorBidi" w:cstheme="majorBidi"/>
                <w:noProof/>
                <w:sz w:val="18"/>
                <w:szCs w:val="18"/>
                <w:vertAlign w:val="superscript"/>
              </w:rPr>
              <w:fldChar w:fldCharType="separate"/>
            </w:r>
            <w:r w:rsidRPr="005B400C">
              <w:rPr>
                <w:rFonts w:asciiTheme="majorBidi" w:hAnsiTheme="majorBidi" w:cstheme="majorBidi"/>
                <w:b w:val="0"/>
                <w:noProof/>
                <w:sz w:val="18"/>
                <w:szCs w:val="18"/>
              </w:rPr>
              <w:t>[9]</w:t>
            </w:r>
            <w:r>
              <w:rPr>
                <w:rFonts w:asciiTheme="majorBidi" w:hAnsiTheme="majorBidi" w:cstheme="majorBidi"/>
                <w:noProof/>
                <w:sz w:val="18"/>
                <w:szCs w:val="18"/>
                <w:vertAlign w:val="superscript"/>
              </w:rPr>
              <w:fldChar w:fldCharType="end"/>
            </w:r>
          </w:p>
        </w:tc>
        <w:tc>
          <w:tcPr>
            <w:tcW w:w="1960" w:type="dxa"/>
            <w:vMerge w:val="restart"/>
            <w:vAlign w:val="center"/>
            <w:hideMark/>
          </w:tcPr>
          <w:p w14:paraId="2D5C02BE"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Ekin N. et al</w:t>
            </w:r>
          </w:p>
        </w:tc>
        <w:tc>
          <w:tcPr>
            <w:tcW w:w="630" w:type="dxa"/>
            <w:vMerge w:val="restart"/>
            <w:vAlign w:val="center"/>
            <w:hideMark/>
          </w:tcPr>
          <w:p w14:paraId="3DE20B84"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2022</w:t>
            </w:r>
          </w:p>
        </w:tc>
        <w:tc>
          <w:tcPr>
            <w:tcW w:w="900" w:type="dxa"/>
            <w:vMerge w:val="restart"/>
            <w:vAlign w:val="center"/>
            <w:hideMark/>
          </w:tcPr>
          <w:p w14:paraId="23E08E49"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Turkey</w:t>
            </w:r>
          </w:p>
        </w:tc>
        <w:tc>
          <w:tcPr>
            <w:tcW w:w="900" w:type="dxa"/>
            <w:vAlign w:val="center"/>
            <w:hideMark/>
          </w:tcPr>
          <w:p w14:paraId="78BF5D5C"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F2</w:t>
            </w:r>
          </w:p>
        </w:tc>
        <w:tc>
          <w:tcPr>
            <w:tcW w:w="1260" w:type="dxa"/>
            <w:vAlign w:val="center"/>
          </w:tcPr>
          <w:p w14:paraId="606D8044"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0.24</w:t>
            </w:r>
          </w:p>
        </w:tc>
        <w:tc>
          <w:tcPr>
            <w:tcW w:w="900" w:type="dxa"/>
            <w:vAlign w:val="center"/>
            <w:hideMark/>
          </w:tcPr>
          <w:p w14:paraId="63DE95A1"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0.52</w:t>
            </w:r>
          </w:p>
        </w:tc>
        <w:tc>
          <w:tcPr>
            <w:tcW w:w="810" w:type="dxa"/>
            <w:vAlign w:val="center"/>
            <w:hideMark/>
          </w:tcPr>
          <w:p w14:paraId="6D1F3506"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0.86</w:t>
            </w:r>
          </w:p>
        </w:tc>
        <w:tc>
          <w:tcPr>
            <w:tcW w:w="900" w:type="dxa"/>
            <w:vAlign w:val="center"/>
            <w:hideMark/>
          </w:tcPr>
          <w:p w14:paraId="61422AD4"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0.40</w:t>
            </w:r>
          </w:p>
        </w:tc>
        <w:tc>
          <w:tcPr>
            <w:tcW w:w="810" w:type="dxa"/>
            <w:vAlign w:val="center"/>
            <w:hideMark/>
          </w:tcPr>
          <w:p w14:paraId="4271E666"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0.91</w:t>
            </w:r>
          </w:p>
        </w:tc>
        <w:tc>
          <w:tcPr>
            <w:tcW w:w="845" w:type="dxa"/>
            <w:vMerge w:val="restart"/>
            <w:vAlign w:val="center"/>
            <w:hideMark/>
          </w:tcPr>
          <w:p w14:paraId="26A0B9AA"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hAnsiTheme="majorBidi" w:cstheme="majorBidi"/>
                <w:b/>
                <w:bCs/>
                <w:sz w:val="18"/>
                <w:szCs w:val="18"/>
              </w:rPr>
              <w:t>1,454</w:t>
            </w:r>
          </w:p>
        </w:tc>
        <w:tc>
          <w:tcPr>
            <w:tcW w:w="810" w:type="dxa"/>
            <w:vMerge w:val="restart"/>
            <w:vAlign w:val="center"/>
            <w:hideMark/>
          </w:tcPr>
          <w:p w14:paraId="7EFF63BB"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0.66</w:t>
            </w:r>
          </w:p>
        </w:tc>
        <w:tc>
          <w:tcPr>
            <w:tcW w:w="900" w:type="dxa"/>
            <w:vMerge w:val="restart"/>
            <w:vAlign w:val="center"/>
            <w:hideMark/>
          </w:tcPr>
          <w:p w14:paraId="26A1E6E2"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33</w:t>
            </w:r>
          </w:p>
        </w:tc>
        <w:tc>
          <w:tcPr>
            <w:tcW w:w="1155" w:type="dxa"/>
            <w:vMerge w:val="restart"/>
            <w:vAlign w:val="center"/>
          </w:tcPr>
          <w:p w14:paraId="2C233FF3"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8035A5">
              <w:rPr>
                <w:rFonts w:asciiTheme="majorBidi" w:hAnsiTheme="majorBidi" w:cstheme="majorBidi"/>
                <w:b/>
                <w:bCs/>
                <w:sz w:val="18"/>
                <w:szCs w:val="18"/>
              </w:rPr>
              <w:t>ISHAK</w:t>
            </w:r>
          </w:p>
        </w:tc>
        <w:tc>
          <w:tcPr>
            <w:tcW w:w="1545" w:type="dxa"/>
            <w:vMerge w:val="restart"/>
            <w:vAlign w:val="center"/>
          </w:tcPr>
          <w:p w14:paraId="5F590A91"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8035A5">
              <w:rPr>
                <w:rFonts w:asciiTheme="majorBidi" w:eastAsiaTheme="minorHAnsi" w:hAnsiTheme="majorBidi" w:cstheme="majorBidi"/>
                <w:b/>
                <w:bCs/>
                <w:sz w:val="18"/>
                <w:szCs w:val="18"/>
                <w:lang w:eastAsia="en-US"/>
              </w:rPr>
              <w:t>HBV</w:t>
            </w:r>
          </w:p>
        </w:tc>
      </w:tr>
      <w:tr w:rsidR="002C7FFA" w:rsidRPr="008035A5" w14:paraId="085A306C" w14:textId="77777777" w:rsidTr="004F52BC">
        <w:trPr>
          <w:cnfStyle w:val="000000100000" w:firstRow="0" w:lastRow="0" w:firstColumn="0" w:lastColumn="0" w:oddVBand="0" w:evenVBand="0" w:oddHBand="1"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2B4BD116"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16A111EF"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hideMark/>
          </w:tcPr>
          <w:p w14:paraId="3C39C89A"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0FD1A06D"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78043F53"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F3</w:t>
            </w:r>
          </w:p>
        </w:tc>
        <w:tc>
          <w:tcPr>
            <w:tcW w:w="1260" w:type="dxa"/>
            <w:vAlign w:val="center"/>
          </w:tcPr>
          <w:p w14:paraId="55FE492A"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0.23</w:t>
            </w:r>
          </w:p>
        </w:tc>
        <w:tc>
          <w:tcPr>
            <w:tcW w:w="900" w:type="dxa"/>
            <w:vAlign w:val="center"/>
            <w:hideMark/>
          </w:tcPr>
          <w:p w14:paraId="1749AD66"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0.67</w:t>
            </w:r>
          </w:p>
        </w:tc>
        <w:tc>
          <w:tcPr>
            <w:tcW w:w="810" w:type="dxa"/>
            <w:vAlign w:val="center"/>
            <w:hideMark/>
          </w:tcPr>
          <w:p w14:paraId="008DCD11"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0.83</w:t>
            </w:r>
          </w:p>
        </w:tc>
        <w:tc>
          <w:tcPr>
            <w:tcW w:w="900" w:type="dxa"/>
            <w:vAlign w:val="center"/>
            <w:hideMark/>
          </w:tcPr>
          <w:p w14:paraId="5B00C2B1"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0.18</w:t>
            </w:r>
          </w:p>
        </w:tc>
        <w:tc>
          <w:tcPr>
            <w:tcW w:w="810" w:type="dxa"/>
            <w:vAlign w:val="center"/>
            <w:hideMark/>
          </w:tcPr>
          <w:p w14:paraId="4739DF03"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0.98</w:t>
            </w:r>
          </w:p>
        </w:tc>
        <w:tc>
          <w:tcPr>
            <w:tcW w:w="845" w:type="dxa"/>
            <w:vMerge/>
            <w:vAlign w:val="center"/>
          </w:tcPr>
          <w:p w14:paraId="122D4BD0"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810" w:type="dxa"/>
            <w:vMerge/>
            <w:vAlign w:val="center"/>
            <w:hideMark/>
          </w:tcPr>
          <w:p w14:paraId="6EC2163E"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26DC44C2"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155" w:type="dxa"/>
            <w:vMerge/>
            <w:vAlign w:val="center"/>
          </w:tcPr>
          <w:p w14:paraId="6B46803E"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c>
          <w:tcPr>
            <w:tcW w:w="1545" w:type="dxa"/>
            <w:vMerge/>
            <w:vAlign w:val="center"/>
          </w:tcPr>
          <w:p w14:paraId="0AB2CC74"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r>
      <w:tr w:rsidR="002C7FFA" w:rsidRPr="008035A5" w14:paraId="7F8117E6" w14:textId="77777777" w:rsidTr="004F52BC">
        <w:trPr>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07004E25"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31C289AE"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hideMark/>
          </w:tcPr>
          <w:p w14:paraId="0F28A072"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249FECCA"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264BBDC7"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F4</w:t>
            </w:r>
          </w:p>
        </w:tc>
        <w:tc>
          <w:tcPr>
            <w:tcW w:w="1260" w:type="dxa"/>
            <w:vAlign w:val="center"/>
          </w:tcPr>
          <w:p w14:paraId="42BC3E34"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0.28</w:t>
            </w:r>
          </w:p>
        </w:tc>
        <w:tc>
          <w:tcPr>
            <w:tcW w:w="900" w:type="dxa"/>
            <w:vAlign w:val="center"/>
            <w:hideMark/>
          </w:tcPr>
          <w:p w14:paraId="4AAB3299"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0.75</w:t>
            </w:r>
          </w:p>
        </w:tc>
        <w:tc>
          <w:tcPr>
            <w:tcW w:w="810" w:type="dxa"/>
            <w:vAlign w:val="center"/>
            <w:hideMark/>
          </w:tcPr>
          <w:p w14:paraId="24C0EC07"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0.89</w:t>
            </w:r>
          </w:p>
        </w:tc>
        <w:tc>
          <w:tcPr>
            <w:tcW w:w="900" w:type="dxa"/>
            <w:vAlign w:val="center"/>
            <w:hideMark/>
          </w:tcPr>
          <w:p w14:paraId="182B9738"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0.16</w:t>
            </w:r>
          </w:p>
        </w:tc>
        <w:tc>
          <w:tcPr>
            <w:tcW w:w="810" w:type="dxa"/>
            <w:vAlign w:val="center"/>
            <w:hideMark/>
          </w:tcPr>
          <w:p w14:paraId="5B550E8B"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0.99</w:t>
            </w:r>
          </w:p>
        </w:tc>
        <w:tc>
          <w:tcPr>
            <w:tcW w:w="845" w:type="dxa"/>
            <w:vMerge/>
            <w:vAlign w:val="center"/>
          </w:tcPr>
          <w:p w14:paraId="691BC41C"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810" w:type="dxa"/>
            <w:vMerge/>
            <w:vAlign w:val="center"/>
            <w:hideMark/>
          </w:tcPr>
          <w:p w14:paraId="693F494D"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3BEBF4BA"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155" w:type="dxa"/>
            <w:vMerge/>
            <w:vAlign w:val="center"/>
          </w:tcPr>
          <w:p w14:paraId="661850AB"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c>
          <w:tcPr>
            <w:tcW w:w="1545" w:type="dxa"/>
            <w:vMerge/>
            <w:vAlign w:val="center"/>
          </w:tcPr>
          <w:p w14:paraId="4DDBACCD"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r>
      <w:tr w:rsidR="002C7FFA" w:rsidRPr="008035A5" w14:paraId="252360DB" w14:textId="77777777" w:rsidTr="004F52BC">
        <w:trPr>
          <w:cnfStyle w:val="000000100000" w:firstRow="0" w:lastRow="0" w:firstColumn="0" w:lastColumn="0" w:oddVBand="0" w:evenVBand="0" w:oddHBand="1"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restart"/>
            <w:vAlign w:val="center"/>
          </w:tcPr>
          <w:p w14:paraId="167ED42F" w14:textId="77777777" w:rsidR="002C7FFA" w:rsidRPr="008035A5" w:rsidRDefault="002C7FFA">
            <w:pPr>
              <w:pStyle w:val="Paragraph"/>
              <w:spacing w:before="0" w:line="240" w:lineRule="auto"/>
              <w:jc w:val="center"/>
              <w:rPr>
                <w:rFonts w:asciiTheme="majorBidi" w:hAnsiTheme="majorBidi" w:cstheme="majorBidi"/>
                <w:b w:val="0"/>
                <w:bCs w:val="0"/>
                <w:i/>
                <w:iCs/>
                <w:sz w:val="18"/>
                <w:szCs w:val="18"/>
              </w:rPr>
            </w:pPr>
            <w:r>
              <w:rPr>
                <w:rFonts w:asciiTheme="majorBidi" w:hAnsiTheme="majorBidi" w:cstheme="majorBidi"/>
                <w:noProof/>
                <w:sz w:val="18"/>
                <w:szCs w:val="18"/>
                <w:vertAlign w:val="superscript"/>
              </w:rPr>
              <w:fldChar w:fldCharType="begin" w:fldLock="1"/>
            </w:r>
            <w:r>
              <w:rPr>
                <w:rFonts w:asciiTheme="majorBidi" w:hAnsiTheme="majorBidi" w:cstheme="majorBidi"/>
                <w:noProof/>
                <w:sz w:val="18"/>
                <w:szCs w:val="18"/>
                <w:vertAlign w:val="superscript"/>
              </w:rPr>
              <w:instrText>ADDIN CSL_CITATION {"citationItems":[{"id":"ITEM-1","itemData":{"DOI":"10.1002/hep4.1938","ISSN":"2471-254X (Electronic)","PMID":"35312182","abstract":"Accurate prediction of the extent of fibrosis is of great clinical importance in  patients infected with chronic hepatitis B (CHB). This study aimed to compare the performance of gamma-glutamyl transpeptidase-to-platelet ratio (GPR), aspartate aminotransferase-to-platelet ratio index (APRI), and fibrosis-4 (FIB-4) in evaluating liver fibrosis stages and to identify optimized cutoffs to exclude cirrhosis. Consecutive patients with CHB with liver biopsies were enrolled and randomly divided into derivation and validation cohorts. Areas under the receiver operating characteristic curve were used to evaluate the diagnostic performance of APRI, FIB-4, and GPR to distinguish fibrosis stages. New cutoffs with a sensitivity of at least 90% and a negative predictive value (NPV) of more than 95% were identified. A total of 880 individuals were enrolled in this study. The derivation data set consisted of 617 patients, with 82 patients with cirrhosis. In the validation cohort (n = 263), 29 patients had cirrhosis. APRI, FIB-4, and GPR had comparable diagnostic performance for diagnosing significant fibrosis. GPR outperformed APRI (p &lt; 0.05) in the prediction of cirrhosis. A newly identified GPR score of 0.35 had a sensitivity and NPV of 93.9% and 98.0%, respectively, and misclassified 5 of 82 (6.1%) patients with cirrhosis in the derivation group. All new cutoffs identified in this study also reached our goal in the validation cohort. The new GPR score could rule out a larger proportion of individuals without cirrhosis, and the subgroup analysis showed more stable performance. However, the lower cutoff dose increases the need for further testing compared to the conventional cutoff. Conclusion: A newly identified cutoff for GPR (&lt;0.35) could rule out more patients without cirrhosis compared to APRI and FIB-4 and have low misclassification rates.","author":[{"dropping-particle":"","family":"Liu","given":"Xiaoqing","non-dropping-particle":"","parse-names":false,"suffix":""},{"dropping-particle":"","family":"Li","given":"Hu","non-dropping-particle":"","parse-names":false,"suffix":""},{"dropping-particle":"","family":"Wei","given":"Li","non-dropping-particle":"","parse-names":false,"suffix":""},{"dropping-particle":"","family":"Tang","given":"Qiao","non-dropping-particle":"","parse-names":false,"suffix":""},{"dropping-particle":"","family":"Hu","given":"Peng","non-dropping-particle":"","parse-names":false,"suffix":""}],"container-title":"Hepatology communications","id":"ITEM-1","issue":"7","issued":{"date-parts":[["2022","7"]]},"language":"eng","page":"1664-1672","publisher-place":"United States","title":"Optimized cutoffs of gamma-glutamyl transpeptidase-to-platelet ratio, aspartate  aminotransferase-to-platelet ratio index, and fibrosis-4 scoring systems for exclusion of cirrhosis in patients with chronic hepatitis B.","type":"article-journal","volume":"6"},"uris":["http://www.mendeley.com/documents/?uuid=b20c25b1-5465-469e-8d25-2ef657e98199"]}],"mendeley":{"formattedCitation":"[10]","plainTextFormattedCitation":"[10]","previouslyFormattedCitation":"[10]"},"properties":{"noteIndex":0},"schema":"https://github.com/citation-style-language/schema/raw/master/csl-citation.json"}</w:instrText>
            </w:r>
            <w:r>
              <w:rPr>
                <w:rFonts w:asciiTheme="majorBidi" w:hAnsiTheme="majorBidi" w:cstheme="majorBidi"/>
                <w:noProof/>
                <w:sz w:val="18"/>
                <w:szCs w:val="18"/>
                <w:vertAlign w:val="superscript"/>
              </w:rPr>
              <w:fldChar w:fldCharType="separate"/>
            </w:r>
            <w:r w:rsidRPr="005B400C">
              <w:rPr>
                <w:rFonts w:asciiTheme="majorBidi" w:hAnsiTheme="majorBidi" w:cstheme="majorBidi"/>
                <w:b w:val="0"/>
                <w:noProof/>
                <w:sz w:val="18"/>
                <w:szCs w:val="18"/>
              </w:rPr>
              <w:t>[10]</w:t>
            </w:r>
            <w:r>
              <w:rPr>
                <w:rFonts w:asciiTheme="majorBidi" w:hAnsiTheme="majorBidi" w:cstheme="majorBidi"/>
                <w:noProof/>
                <w:sz w:val="18"/>
                <w:szCs w:val="18"/>
                <w:vertAlign w:val="superscript"/>
              </w:rPr>
              <w:fldChar w:fldCharType="end"/>
            </w:r>
          </w:p>
        </w:tc>
        <w:tc>
          <w:tcPr>
            <w:tcW w:w="1960" w:type="dxa"/>
            <w:vMerge w:val="restart"/>
            <w:vAlign w:val="center"/>
            <w:hideMark/>
          </w:tcPr>
          <w:p w14:paraId="1A9ECBD8"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Xiaoqing L. et al</w:t>
            </w:r>
          </w:p>
        </w:tc>
        <w:tc>
          <w:tcPr>
            <w:tcW w:w="630" w:type="dxa"/>
            <w:vMerge w:val="restart"/>
            <w:vAlign w:val="center"/>
            <w:hideMark/>
          </w:tcPr>
          <w:p w14:paraId="58FEDCDB"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2022</w:t>
            </w:r>
          </w:p>
        </w:tc>
        <w:tc>
          <w:tcPr>
            <w:tcW w:w="900" w:type="dxa"/>
            <w:vMerge w:val="restart"/>
            <w:vAlign w:val="center"/>
            <w:hideMark/>
          </w:tcPr>
          <w:p w14:paraId="446BB106"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China</w:t>
            </w:r>
          </w:p>
        </w:tc>
        <w:tc>
          <w:tcPr>
            <w:tcW w:w="900" w:type="dxa"/>
            <w:vAlign w:val="center"/>
            <w:hideMark/>
          </w:tcPr>
          <w:p w14:paraId="7273097F"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F2</w:t>
            </w:r>
          </w:p>
        </w:tc>
        <w:tc>
          <w:tcPr>
            <w:tcW w:w="1260" w:type="dxa"/>
            <w:vAlign w:val="center"/>
          </w:tcPr>
          <w:p w14:paraId="42403091"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0.32</w:t>
            </w:r>
          </w:p>
        </w:tc>
        <w:tc>
          <w:tcPr>
            <w:tcW w:w="900" w:type="dxa"/>
            <w:vAlign w:val="center"/>
            <w:hideMark/>
          </w:tcPr>
          <w:p w14:paraId="33940604"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0.71</w:t>
            </w:r>
          </w:p>
        </w:tc>
        <w:tc>
          <w:tcPr>
            <w:tcW w:w="810" w:type="dxa"/>
            <w:vAlign w:val="center"/>
            <w:hideMark/>
          </w:tcPr>
          <w:p w14:paraId="50B78B0A"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0.57</w:t>
            </w:r>
          </w:p>
        </w:tc>
        <w:tc>
          <w:tcPr>
            <w:tcW w:w="900" w:type="dxa"/>
            <w:vAlign w:val="center"/>
            <w:hideMark/>
          </w:tcPr>
          <w:p w14:paraId="2C5DD254"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0.77</w:t>
            </w:r>
          </w:p>
        </w:tc>
        <w:tc>
          <w:tcPr>
            <w:tcW w:w="810" w:type="dxa"/>
            <w:vAlign w:val="center"/>
            <w:hideMark/>
          </w:tcPr>
          <w:p w14:paraId="265AB63C"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0.49</w:t>
            </w:r>
          </w:p>
        </w:tc>
        <w:tc>
          <w:tcPr>
            <w:tcW w:w="845" w:type="dxa"/>
            <w:vMerge w:val="restart"/>
            <w:vAlign w:val="center"/>
            <w:hideMark/>
          </w:tcPr>
          <w:p w14:paraId="010DEDD9"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hAnsiTheme="majorBidi" w:cstheme="majorBidi"/>
                <w:b/>
                <w:bCs/>
                <w:sz w:val="18"/>
                <w:szCs w:val="18"/>
              </w:rPr>
              <w:t>617</w:t>
            </w:r>
          </w:p>
        </w:tc>
        <w:tc>
          <w:tcPr>
            <w:tcW w:w="810" w:type="dxa"/>
            <w:vMerge w:val="restart"/>
            <w:vAlign w:val="center"/>
            <w:hideMark/>
          </w:tcPr>
          <w:p w14:paraId="0E6A4D57"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0.77</w:t>
            </w:r>
          </w:p>
        </w:tc>
        <w:tc>
          <w:tcPr>
            <w:tcW w:w="900" w:type="dxa"/>
            <w:vMerge w:val="restart"/>
            <w:vAlign w:val="center"/>
            <w:hideMark/>
          </w:tcPr>
          <w:p w14:paraId="1F25BC3B"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37</w:t>
            </w:r>
          </w:p>
        </w:tc>
        <w:tc>
          <w:tcPr>
            <w:tcW w:w="1155" w:type="dxa"/>
            <w:vMerge w:val="restart"/>
            <w:vAlign w:val="center"/>
          </w:tcPr>
          <w:p w14:paraId="05B2D634"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roofErr w:type="spellStart"/>
            <w:r w:rsidRPr="008035A5">
              <w:rPr>
                <w:rFonts w:asciiTheme="majorBidi" w:hAnsiTheme="majorBidi" w:cstheme="majorBidi"/>
                <w:b/>
                <w:bCs/>
                <w:sz w:val="18"/>
                <w:szCs w:val="18"/>
              </w:rPr>
              <w:t>Sheuer</w:t>
            </w:r>
            <w:proofErr w:type="spellEnd"/>
          </w:p>
        </w:tc>
        <w:tc>
          <w:tcPr>
            <w:tcW w:w="1545" w:type="dxa"/>
            <w:vMerge w:val="restart"/>
            <w:vAlign w:val="center"/>
          </w:tcPr>
          <w:p w14:paraId="38D02B8C"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8035A5">
              <w:rPr>
                <w:rFonts w:asciiTheme="majorBidi" w:eastAsiaTheme="minorHAnsi" w:hAnsiTheme="majorBidi" w:cstheme="majorBidi"/>
                <w:b/>
                <w:bCs/>
                <w:sz w:val="18"/>
                <w:szCs w:val="18"/>
                <w:lang w:eastAsia="en-US"/>
              </w:rPr>
              <w:t>HBV</w:t>
            </w:r>
          </w:p>
        </w:tc>
      </w:tr>
      <w:tr w:rsidR="002C7FFA" w:rsidRPr="008035A5" w14:paraId="46C923C2" w14:textId="77777777" w:rsidTr="004F52BC">
        <w:trPr>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59477C30"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267413FB"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hideMark/>
          </w:tcPr>
          <w:p w14:paraId="4E2F5628"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09090B6F"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3B085F11"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F2</w:t>
            </w:r>
          </w:p>
        </w:tc>
        <w:tc>
          <w:tcPr>
            <w:tcW w:w="1260" w:type="dxa"/>
            <w:vAlign w:val="center"/>
          </w:tcPr>
          <w:p w14:paraId="4B33DC6D"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0.43</w:t>
            </w:r>
          </w:p>
        </w:tc>
        <w:tc>
          <w:tcPr>
            <w:tcW w:w="900" w:type="dxa"/>
            <w:vAlign w:val="center"/>
            <w:hideMark/>
          </w:tcPr>
          <w:p w14:paraId="1F9C25DB"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0.64</w:t>
            </w:r>
          </w:p>
        </w:tc>
        <w:tc>
          <w:tcPr>
            <w:tcW w:w="810" w:type="dxa"/>
            <w:vAlign w:val="center"/>
            <w:hideMark/>
          </w:tcPr>
          <w:p w14:paraId="4464F762"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0.71</w:t>
            </w:r>
          </w:p>
        </w:tc>
        <w:tc>
          <w:tcPr>
            <w:tcW w:w="900" w:type="dxa"/>
            <w:vAlign w:val="center"/>
            <w:hideMark/>
          </w:tcPr>
          <w:p w14:paraId="7073469C"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0.82</w:t>
            </w:r>
          </w:p>
        </w:tc>
        <w:tc>
          <w:tcPr>
            <w:tcW w:w="810" w:type="dxa"/>
            <w:vAlign w:val="center"/>
            <w:hideMark/>
          </w:tcPr>
          <w:p w14:paraId="1168D0FA"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0.49</w:t>
            </w:r>
          </w:p>
        </w:tc>
        <w:tc>
          <w:tcPr>
            <w:tcW w:w="845" w:type="dxa"/>
            <w:vMerge/>
            <w:vAlign w:val="center"/>
          </w:tcPr>
          <w:p w14:paraId="7D25B57F"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810" w:type="dxa"/>
            <w:vMerge/>
            <w:vAlign w:val="center"/>
            <w:hideMark/>
          </w:tcPr>
          <w:p w14:paraId="2AB0CF8F"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5C1775B1"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155" w:type="dxa"/>
            <w:vMerge/>
            <w:vAlign w:val="center"/>
          </w:tcPr>
          <w:p w14:paraId="0B0AF1DA"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c>
          <w:tcPr>
            <w:tcW w:w="1545" w:type="dxa"/>
            <w:vMerge/>
            <w:vAlign w:val="center"/>
          </w:tcPr>
          <w:p w14:paraId="3DECF6E9"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r>
      <w:tr w:rsidR="002C7FFA" w:rsidRPr="008035A5" w14:paraId="2AD733F8" w14:textId="77777777" w:rsidTr="004F52BC">
        <w:trPr>
          <w:cnfStyle w:val="000000100000" w:firstRow="0" w:lastRow="0" w:firstColumn="0" w:lastColumn="0" w:oddVBand="0" w:evenVBand="0" w:oddHBand="1"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2D6D9E86"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6167345F"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hideMark/>
          </w:tcPr>
          <w:p w14:paraId="4F511B78"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7597A734"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55F66336"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F4</w:t>
            </w:r>
          </w:p>
        </w:tc>
        <w:tc>
          <w:tcPr>
            <w:tcW w:w="1260" w:type="dxa"/>
            <w:vAlign w:val="center"/>
          </w:tcPr>
          <w:p w14:paraId="6848E90E"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0.56</w:t>
            </w:r>
          </w:p>
        </w:tc>
        <w:tc>
          <w:tcPr>
            <w:tcW w:w="900" w:type="dxa"/>
            <w:vAlign w:val="center"/>
            <w:hideMark/>
          </w:tcPr>
          <w:p w14:paraId="5021A124"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0.78</w:t>
            </w:r>
          </w:p>
        </w:tc>
        <w:tc>
          <w:tcPr>
            <w:tcW w:w="810" w:type="dxa"/>
            <w:vAlign w:val="center"/>
            <w:hideMark/>
          </w:tcPr>
          <w:p w14:paraId="352FC0DD"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0.61</w:t>
            </w:r>
          </w:p>
        </w:tc>
        <w:tc>
          <w:tcPr>
            <w:tcW w:w="900" w:type="dxa"/>
            <w:vAlign w:val="center"/>
            <w:hideMark/>
          </w:tcPr>
          <w:p w14:paraId="0406AF83"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0.23</w:t>
            </w:r>
          </w:p>
        </w:tc>
        <w:tc>
          <w:tcPr>
            <w:tcW w:w="810" w:type="dxa"/>
            <w:vAlign w:val="center"/>
            <w:hideMark/>
          </w:tcPr>
          <w:p w14:paraId="0F87E42C"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0.95</w:t>
            </w:r>
          </w:p>
        </w:tc>
        <w:tc>
          <w:tcPr>
            <w:tcW w:w="845" w:type="dxa"/>
            <w:vMerge/>
            <w:vAlign w:val="center"/>
          </w:tcPr>
          <w:p w14:paraId="6B492C92"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810" w:type="dxa"/>
            <w:vMerge/>
            <w:vAlign w:val="center"/>
            <w:hideMark/>
          </w:tcPr>
          <w:p w14:paraId="713FCCE8"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37A4C177"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155" w:type="dxa"/>
            <w:vMerge/>
            <w:vAlign w:val="center"/>
          </w:tcPr>
          <w:p w14:paraId="469EBC56"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c>
          <w:tcPr>
            <w:tcW w:w="1545" w:type="dxa"/>
            <w:vMerge/>
            <w:vAlign w:val="center"/>
          </w:tcPr>
          <w:p w14:paraId="52ABFB5E"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r>
      <w:tr w:rsidR="002C7FFA" w:rsidRPr="008035A5" w14:paraId="7D172AA8" w14:textId="77777777" w:rsidTr="004F52BC">
        <w:trPr>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1CF17D60"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77637BE7"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hideMark/>
          </w:tcPr>
          <w:p w14:paraId="3E953751"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7D77F590"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7E149F07"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F4</w:t>
            </w:r>
          </w:p>
        </w:tc>
        <w:tc>
          <w:tcPr>
            <w:tcW w:w="1260" w:type="dxa"/>
            <w:vAlign w:val="center"/>
          </w:tcPr>
          <w:p w14:paraId="7825CA59"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0.44</w:t>
            </w:r>
          </w:p>
        </w:tc>
        <w:tc>
          <w:tcPr>
            <w:tcW w:w="900" w:type="dxa"/>
            <w:vAlign w:val="center"/>
            <w:hideMark/>
          </w:tcPr>
          <w:p w14:paraId="5CD0AD72"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0.89</w:t>
            </w:r>
          </w:p>
        </w:tc>
        <w:tc>
          <w:tcPr>
            <w:tcW w:w="810" w:type="dxa"/>
            <w:vAlign w:val="center"/>
            <w:hideMark/>
          </w:tcPr>
          <w:p w14:paraId="4C9AC4A8"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0.54</w:t>
            </w:r>
          </w:p>
        </w:tc>
        <w:tc>
          <w:tcPr>
            <w:tcW w:w="900" w:type="dxa"/>
            <w:vAlign w:val="center"/>
            <w:hideMark/>
          </w:tcPr>
          <w:p w14:paraId="68773D7E"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0.23</w:t>
            </w:r>
          </w:p>
        </w:tc>
        <w:tc>
          <w:tcPr>
            <w:tcW w:w="810" w:type="dxa"/>
            <w:vAlign w:val="center"/>
            <w:hideMark/>
          </w:tcPr>
          <w:p w14:paraId="417EEA28"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0.97</w:t>
            </w:r>
          </w:p>
        </w:tc>
        <w:tc>
          <w:tcPr>
            <w:tcW w:w="845" w:type="dxa"/>
            <w:vMerge/>
            <w:vAlign w:val="center"/>
          </w:tcPr>
          <w:p w14:paraId="3CE9E323"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810" w:type="dxa"/>
            <w:vMerge/>
            <w:vAlign w:val="center"/>
            <w:hideMark/>
          </w:tcPr>
          <w:p w14:paraId="73BB910D"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7DB889AB"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155" w:type="dxa"/>
            <w:vMerge/>
            <w:vAlign w:val="center"/>
          </w:tcPr>
          <w:p w14:paraId="2B865F55"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c>
          <w:tcPr>
            <w:tcW w:w="1545" w:type="dxa"/>
            <w:vMerge/>
            <w:vAlign w:val="center"/>
          </w:tcPr>
          <w:p w14:paraId="5D03FD3E"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r>
      <w:tr w:rsidR="002C7FFA" w:rsidRPr="008035A5" w14:paraId="0014A459" w14:textId="77777777" w:rsidTr="004F52BC">
        <w:trPr>
          <w:cnfStyle w:val="000000100000" w:firstRow="0" w:lastRow="0" w:firstColumn="0" w:lastColumn="0" w:oddVBand="0" w:evenVBand="0" w:oddHBand="1"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645" w:type="dxa"/>
            <w:vAlign w:val="center"/>
          </w:tcPr>
          <w:p w14:paraId="7CCC67E3" w14:textId="77777777" w:rsidR="002C7FFA" w:rsidRPr="008035A5" w:rsidRDefault="002C7FFA">
            <w:pPr>
              <w:pStyle w:val="Paragraph"/>
              <w:spacing w:before="0" w:line="240" w:lineRule="auto"/>
              <w:jc w:val="center"/>
              <w:rPr>
                <w:rFonts w:asciiTheme="majorBidi" w:hAnsiTheme="majorBidi" w:cstheme="majorBidi"/>
                <w:b w:val="0"/>
                <w:bCs w:val="0"/>
                <w:i/>
                <w:iCs/>
                <w:sz w:val="18"/>
                <w:szCs w:val="18"/>
              </w:rPr>
            </w:pPr>
            <w:r>
              <w:rPr>
                <w:rFonts w:asciiTheme="majorBidi" w:hAnsiTheme="majorBidi" w:cstheme="majorBidi"/>
                <w:noProof/>
                <w:sz w:val="18"/>
                <w:szCs w:val="18"/>
                <w:vertAlign w:val="superscript"/>
              </w:rPr>
              <w:fldChar w:fldCharType="begin" w:fldLock="1"/>
            </w:r>
            <w:r>
              <w:rPr>
                <w:rFonts w:asciiTheme="majorBidi" w:hAnsiTheme="majorBidi" w:cstheme="majorBidi"/>
                <w:noProof/>
                <w:sz w:val="18"/>
                <w:szCs w:val="18"/>
                <w:vertAlign w:val="superscript"/>
              </w:rPr>
              <w:instrText>ADDIN CSL_CITATION {"citationItems":[{"id":"ITEM-1","itemData":{"DOI":"10.7150/ijms.62386","ISSN":"1449-1907 (Electronic)","PMID":"34522187","abstract":"Objective: The easy liver fibrosis test (eLIFT) is a novel predictor of liver  fibrosis in chronic liver disease (CLD). This study aimed to evaluate the predictive value of the eLIFT for liver inflammation and fibrosis in CLD patients. Methods: We enrolled 1125 patients with CLD who underwent liver biopsy. The predictive accuracy for liver inflammation and fibrosis of the eLIFT was assessed and compared to that of the aspartate aminotransferase-to-platelet ratio index (APRI), fibrosis-4 score (FIB-4), and gamma-glutamyl transpeptidase-to-platelet ratio (GPR) by ROC (Receiver Operating Characteristic) analysis and decision curve analysis (DCA). Results: The areas under the ROC curves (AUROCs) of the eLIFT for assessing liver inflammation G ≥ 2 and G ≥ 3 were 0.77 (0.75-0.80) and 0.81 (0.79-0.84), with cut-offs of 8.0 and 11.0, respectively. The AUROCs of the eLIFT for predicting fibrosis stages S ≥ 2 and S4 were 0.72 (0.70-0.76) and 0.76 (0.72-0.80), with cut-offs of 9.0 and 10.0, respectively. In discriminating G≥2 inflammation, the AUROC of the eLIFT was better than that of the FIB-4, with no difference compared with the GPR, but lower than that of the APRI. When discriminating G≥3 inflammation, the AUROC of the eLIFT was comparable to that of the APRI and GPR but superior to that of the FIB-4. There were no significant differences between the four indexes for predicting S≥2 and S4. Conclusion: The eLIFT is a potentially useful noninvasive predictor of liver inflammation and fibrosis in patients with CLD.","author":[{"dropping-particle":"","family":"Yang","given":"Zongguo","non-dropping-particle":"","parse-names":false,"suffix":""},{"dropping-particle":"","family":"Ma","given":"Xin","non-dropping-particle":"","parse-names":false,"suffix":""},{"dropping-particle":"","family":"Zhou","given":"Xinlan","non-dropping-particle":"","parse-names":false,"suffix":""},{"dropping-particle":"","family":"Huang","given":"Dan","non-dropping-particle":"","parse-names":false,"suffix":""},{"dropping-particle":"","family":"Wang","given":"Yanbing","non-dropping-particle":"","parse-names":false,"suffix":""},{"dropping-particle":"","family":"Li","given":"Xiufen","non-dropping-particle":"","parse-names":false,"suffix":""},{"dropping-particle":"","family":"Lu","given":"Wei","non-dropping-particle":"","parse-names":false,"suffix":""},{"dropping-particle":"","family":"Zhang","given":"Zhanqing","non-dropping-particle":"","parse-names":false,"suffix":""},{"dropping-particle":"","family":"Ding","given":"Rongrong","non-dropping-particle":"","parse-names":false,"suffix":""}],"container-title":"International journal of medical sciences","id":"ITEM-1","issue":"15","issued":{"date-parts":[["2021"]]},"language":"eng","page":"3599-3608","publisher-place":"Australia","title":"Predictive performance of eLIFT for liver inflammation and fibrosis in chronic  liver diseases.","type":"article-journal","volume":"18"},"uris":["http://www.mendeley.com/documents/?uuid=48217052-16ef-41ef-b00c-de91c5da3be9"]}],"mendeley":{"formattedCitation":"[11]","plainTextFormattedCitation":"[11]","previouslyFormattedCitation":"[11]"},"properties":{"noteIndex":0},"schema":"https://github.com/citation-style-language/schema/raw/master/csl-citation.json"}</w:instrText>
            </w:r>
            <w:r>
              <w:rPr>
                <w:rFonts w:asciiTheme="majorBidi" w:hAnsiTheme="majorBidi" w:cstheme="majorBidi"/>
                <w:noProof/>
                <w:sz w:val="18"/>
                <w:szCs w:val="18"/>
                <w:vertAlign w:val="superscript"/>
              </w:rPr>
              <w:fldChar w:fldCharType="separate"/>
            </w:r>
            <w:r w:rsidRPr="005B400C">
              <w:rPr>
                <w:rFonts w:asciiTheme="majorBidi" w:hAnsiTheme="majorBidi" w:cstheme="majorBidi"/>
                <w:b w:val="0"/>
                <w:noProof/>
                <w:sz w:val="18"/>
                <w:szCs w:val="18"/>
              </w:rPr>
              <w:t>[11]</w:t>
            </w:r>
            <w:r>
              <w:rPr>
                <w:rFonts w:asciiTheme="majorBidi" w:hAnsiTheme="majorBidi" w:cstheme="majorBidi"/>
                <w:noProof/>
                <w:sz w:val="18"/>
                <w:szCs w:val="18"/>
                <w:vertAlign w:val="superscript"/>
              </w:rPr>
              <w:fldChar w:fldCharType="end"/>
            </w:r>
          </w:p>
        </w:tc>
        <w:tc>
          <w:tcPr>
            <w:tcW w:w="1960" w:type="dxa"/>
            <w:vAlign w:val="center"/>
            <w:hideMark/>
          </w:tcPr>
          <w:p w14:paraId="48BA6F38"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roofErr w:type="spellStart"/>
            <w:r w:rsidRPr="008035A5">
              <w:rPr>
                <w:rFonts w:asciiTheme="majorBidi" w:eastAsiaTheme="minorHAnsi" w:hAnsiTheme="majorBidi" w:cstheme="majorBidi"/>
                <w:b/>
                <w:bCs/>
                <w:sz w:val="18"/>
                <w:szCs w:val="18"/>
                <w:lang w:eastAsia="en-US"/>
              </w:rPr>
              <w:t>Zongguo</w:t>
            </w:r>
            <w:proofErr w:type="spellEnd"/>
            <w:r w:rsidRPr="008035A5">
              <w:rPr>
                <w:rFonts w:asciiTheme="majorBidi" w:eastAsiaTheme="minorHAnsi" w:hAnsiTheme="majorBidi" w:cstheme="majorBidi"/>
                <w:b/>
                <w:bCs/>
                <w:sz w:val="18"/>
                <w:szCs w:val="18"/>
                <w:lang w:eastAsia="en-US"/>
              </w:rPr>
              <w:t xml:space="preserve"> Y. et al</w:t>
            </w:r>
          </w:p>
        </w:tc>
        <w:tc>
          <w:tcPr>
            <w:tcW w:w="630" w:type="dxa"/>
            <w:vAlign w:val="center"/>
            <w:hideMark/>
          </w:tcPr>
          <w:p w14:paraId="334985A5"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2021</w:t>
            </w:r>
          </w:p>
        </w:tc>
        <w:tc>
          <w:tcPr>
            <w:tcW w:w="900" w:type="dxa"/>
            <w:vAlign w:val="center"/>
            <w:hideMark/>
          </w:tcPr>
          <w:p w14:paraId="2698DDAA"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China</w:t>
            </w:r>
          </w:p>
        </w:tc>
        <w:tc>
          <w:tcPr>
            <w:tcW w:w="900" w:type="dxa"/>
            <w:vAlign w:val="center"/>
            <w:hideMark/>
          </w:tcPr>
          <w:p w14:paraId="517C8A9D"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F2</w:t>
            </w:r>
          </w:p>
        </w:tc>
        <w:tc>
          <w:tcPr>
            <w:tcW w:w="1260" w:type="dxa"/>
            <w:vAlign w:val="center"/>
          </w:tcPr>
          <w:p w14:paraId="31DE8A4B"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0.55</w:t>
            </w:r>
          </w:p>
        </w:tc>
        <w:tc>
          <w:tcPr>
            <w:tcW w:w="900" w:type="dxa"/>
            <w:vAlign w:val="center"/>
            <w:hideMark/>
          </w:tcPr>
          <w:p w14:paraId="416C303E"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0.72</w:t>
            </w:r>
          </w:p>
        </w:tc>
        <w:tc>
          <w:tcPr>
            <w:tcW w:w="810" w:type="dxa"/>
            <w:vAlign w:val="center"/>
            <w:hideMark/>
          </w:tcPr>
          <w:p w14:paraId="6E83A1EC"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0.73</w:t>
            </w:r>
          </w:p>
        </w:tc>
        <w:tc>
          <w:tcPr>
            <w:tcW w:w="900" w:type="dxa"/>
            <w:vAlign w:val="center"/>
            <w:hideMark/>
          </w:tcPr>
          <w:p w14:paraId="4AE7CE0C"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0.72</w:t>
            </w:r>
          </w:p>
        </w:tc>
        <w:tc>
          <w:tcPr>
            <w:tcW w:w="810" w:type="dxa"/>
            <w:vAlign w:val="center"/>
            <w:hideMark/>
          </w:tcPr>
          <w:p w14:paraId="39D8912E"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0.73</w:t>
            </w:r>
          </w:p>
        </w:tc>
        <w:tc>
          <w:tcPr>
            <w:tcW w:w="845" w:type="dxa"/>
            <w:vAlign w:val="center"/>
            <w:hideMark/>
          </w:tcPr>
          <w:p w14:paraId="44465DFD"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hAnsiTheme="majorBidi" w:cstheme="majorBidi"/>
                <w:b/>
                <w:bCs/>
                <w:sz w:val="18"/>
                <w:szCs w:val="18"/>
              </w:rPr>
              <w:t>1,125</w:t>
            </w:r>
          </w:p>
        </w:tc>
        <w:tc>
          <w:tcPr>
            <w:tcW w:w="810" w:type="dxa"/>
            <w:vAlign w:val="center"/>
            <w:hideMark/>
          </w:tcPr>
          <w:p w14:paraId="5A90894D"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0.65</w:t>
            </w:r>
          </w:p>
        </w:tc>
        <w:tc>
          <w:tcPr>
            <w:tcW w:w="900" w:type="dxa"/>
            <w:vAlign w:val="center"/>
            <w:hideMark/>
          </w:tcPr>
          <w:p w14:paraId="75F0395E"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37</w:t>
            </w:r>
          </w:p>
        </w:tc>
        <w:tc>
          <w:tcPr>
            <w:tcW w:w="1155" w:type="dxa"/>
            <w:vAlign w:val="center"/>
          </w:tcPr>
          <w:p w14:paraId="1BD5C8A8"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8035A5">
              <w:rPr>
                <w:rFonts w:asciiTheme="majorBidi" w:hAnsiTheme="majorBidi" w:cstheme="majorBidi"/>
                <w:b/>
                <w:bCs/>
                <w:sz w:val="18"/>
                <w:szCs w:val="18"/>
              </w:rPr>
              <w:t>Scheuer</w:t>
            </w:r>
          </w:p>
        </w:tc>
        <w:tc>
          <w:tcPr>
            <w:tcW w:w="1545" w:type="dxa"/>
            <w:vAlign w:val="center"/>
          </w:tcPr>
          <w:p w14:paraId="737F9218"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8035A5">
              <w:rPr>
                <w:rFonts w:asciiTheme="majorBidi" w:eastAsiaTheme="minorHAnsi" w:hAnsiTheme="majorBidi" w:cstheme="majorBidi"/>
                <w:b/>
                <w:bCs/>
                <w:sz w:val="18"/>
                <w:szCs w:val="18"/>
                <w:lang w:eastAsia="en-US"/>
              </w:rPr>
              <w:t>HBV, HCV, ALD, NAFLD, AID</w:t>
            </w:r>
          </w:p>
        </w:tc>
      </w:tr>
      <w:tr w:rsidR="002C7FFA" w:rsidRPr="008035A5" w14:paraId="764892DC" w14:textId="77777777" w:rsidTr="004F52BC">
        <w:trPr>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restart"/>
            <w:vAlign w:val="center"/>
          </w:tcPr>
          <w:p w14:paraId="32F1A71A" w14:textId="77777777" w:rsidR="002C7FFA" w:rsidRPr="008035A5" w:rsidRDefault="002C7FFA">
            <w:pPr>
              <w:pStyle w:val="Paragraph"/>
              <w:spacing w:before="0" w:line="240" w:lineRule="auto"/>
              <w:jc w:val="center"/>
              <w:rPr>
                <w:rFonts w:asciiTheme="majorBidi" w:hAnsiTheme="majorBidi" w:cstheme="majorBidi"/>
                <w:b w:val="0"/>
                <w:bCs w:val="0"/>
                <w:i/>
                <w:iCs/>
                <w:sz w:val="18"/>
                <w:szCs w:val="18"/>
                <w:lang w:val="en-US"/>
              </w:rPr>
            </w:pPr>
            <w:r>
              <w:rPr>
                <w:rFonts w:asciiTheme="majorBidi" w:hAnsiTheme="majorBidi" w:cstheme="majorBidi"/>
                <w:noProof/>
                <w:sz w:val="18"/>
                <w:szCs w:val="18"/>
                <w:vertAlign w:val="superscript"/>
                <w:lang w:val="en-US"/>
              </w:rPr>
              <w:fldChar w:fldCharType="begin" w:fldLock="1"/>
            </w:r>
            <w:r>
              <w:rPr>
                <w:rFonts w:asciiTheme="majorBidi" w:hAnsiTheme="majorBidi" w:cstheme="majorBidi"/>
                <w:noProof/>
                <w:sz w:val="18"/>
                <w:szCs w:val="18"/>
                <w:vertAlign w:val="superscript"/>
                <w:lang w:val="en-US"/>
              </w:rPr>
              <w:instrText>ADDIN CSL_CITATION {"citationItems":[{"id":"ITEM-1","itemData":{"DOI":"10.1111/jvh.13293","ISSN":"1365-2893 (Electronic)","PMID":"32187804","abstract":"The performances of routine tests such as FIB-4 and APRI in detecting cirrhosis  and significant fibrosis in chronic hepatitis B (CHB) have been shown to be discrepant between studies. Novel tests such as red cell distribution width-platelet ratio (RPR), γ-glutamyl transpeptidase to platelet ratio (GPR) and easy liver fibrosis test (eLIFT) are introduced recently. To evaluate the aminotransferase influence on the performance of these routine tests, a total of 1005 CHB patients who underwent liver biopsies and routine tests were retrospectively analysed. The diagnostic cut-offs referring to likelihood ratio were determined for excluding or including cirrhosis diagnosis and also for ruling in significant fibrosis diagnosis. The performances of RPR, FIB-4, eLIFT and APRI in detecting cirrhosis seemed improved at higher ALT levels, while GPR was conversely impaired. The likelihood ratio was </w:instrText>
            </w:r>
            <w:r>
              <w:rPr>
                <w:rFonts w:ascii="Cambria Math" w:hAnsi="Cambria Math" w:cs="Cambria Math"/>
                <w:noProof/>
                <w:sz w:val="18"/>
                <w:szCs w:val="18"/>
                <w:vertAlign w:val="superscript"/>
                <w:lang w:val="en-US"/>
              </w:rPr>
              <w:instrText>∝</w:instrText>
            </w:r>
            <w:r>
              <w:rPr>
                <w:noProof/>
                <w:sz w:val="18"/>
                <w:szCs w:val="18"/>
                <w:vertAlign w:val="superscript"/>
                <w:lang w:val="en-US"/>
              </w:rPr>
              <w:instrText> </w:instrText>
            </w:r>
            <w:r>
              <w:rPr>
                <w:rFonts w:asciiTheme="majorBidi" w:hAnsiTheme="majorBidi" w:cstheme="majorBidi"/>
                <w:noProof/>
                <w:sz w:val="18"/>
                <w:szCs w:val="18"/>
                <w:vertAlign w:val="superscript"/>
                <w:lang w:val="en-US"/>
              </w:rPr>
              <w:instrText>for APRI cut-off 2 diagnosing cirrhosis in ALT</w:instrText>
            </w:r>
            <w:r>
              <w:rPr>
                <w:noProof/>
                <w:sz w:val="18"/>
                <w:szCs w:val="18"/>
                <w:vertAlign w:val="superscript"/>
                <w:lang w:val="en-US"/>
              </w:rPr>
              <w:instrText> </w:instrText>
            </w:r>
            <w:r>
              <w:rPr>
                <w:rFonts w:asciiTheme="majorBidi" w:hAnsiTheme="majorBidi" w:cstheme="majorBidi"/>
                <w:noProof/>
                <w:sz w:val="18"/>
                <w:szCs w:val="18"/>
                <w:vertAlign w:val="superscript"/>
                <w:lang w:val="en-US"/>
              </w:rPr>
              <w:instrText>&lt;</w:instrText>
            </w:r>
            <w:r>
              <w:rPr>
                <w:noProof/>
                <w:sz w:val="18"/>
                <w:szCs w:val="18"/>
                <w:vertAlign w:val="superscript"/>
                <w:lang w:val="en-US"/>
              </w:rPr>
              <w:instrText> </w:instrText>
            </w:r>
            <w:r>
              <w:rPr>
                <w:rFonts w:asciiTheme="majorBidi" w:hAnsiTheme="majorBidi" w:cstheme="majorBidi"/>
                <w:noProof/>
                <w:sz w:val="18"/>
                <w:szCs w:val="18"/>
                <w:vertAlign w:val="superscript"/>
                <w:lang w:val="en-US"/>
              </w:rPr>
              <w:instrText>2 upper limit of normal (ULN), 14.6 for APRI cut-off 1.5 determining significant fibrosis in ALT</w:instrText>
            </w:r>
            <w:r>
              <w:rPr>
                <w:noProof/>
                <w:sz w:val="18"/>
                <w:szCs w:val="18"/>
                <w:vertAlign w:val="superscript"/>
                <w:lang w:val="en-US"/>
              </w:rPr>
              <w:instrText> ≤ </w:instrText>
            </w:r>
            <w:r>
              <w:rPr>
                <w:rFonts w:asciiTheme="majorBidi" w:hAnsiTheme="majorBidi" w:cstheme="majorBidi"/>
                <w:noProof/>
                <w:sz w:val="18"/>
                <w:szCs w:val="18"/>
                <w:vertAlign w:val="superscript"/>
                <w:lang w:val="en-US"/>
              </w:rPr>
              <w:instrText>5ULN and 20.6 for FIB-4 cut-off 3.2 diagnosing</w:instrText>
            </w:r>
            <w:r>
              <w:rPr>
                <w:noProof/>
                <w:sz w:val="18"/>
                <w:szCs w:val="18"/>
                <w:vertAlign w:val="superscript"/>
                <w:lang w:val="en-US"/>
              </w:rPr>
              <w:instrText> ≥ </w:instrText>
            </w:r>
            <w:r>
              <w:rPr>
                <w:rFonts w:asciiTheme="majorBidi" w:hAnsiTheme="majorBidi" w:cstheme="majorBidi"/>
                <w:noProof/>
                <w:sz w:val="18"/>
                <w:szCs w:val="18"/>
                <w:vertAlign w:val="superscript"/>
                <w:lang w:val="en-US"/>
              </w:rPr>
              <w:instrText>F3 in the total cohort, respectively. The optimal cut-offs for cirrhosis diagnosis were increased with higher ALTs by tests which included aminotransferase, but not for RPR. The proportions of patients classified as having cirrhosis or no cirrhosis stratified by ALT level cut-offs were superior. Stepwise applying RPR, GPR and eLIFT would determine 60% of patients as having cirrhosis or no cirrhosis with an accuracy of 93.0%. In conclusion, the performance of aminotransferase comprising tests in detecting cirrhosis in CHB were influenced by ALT levels. Thus, ALT stratified cut-offs may be a preferred alternative. In resource-limited settings, stepwise applying routine tests could be recommended as a preferred measurement for cirrhosis detection.","author":[{"dropping-particle":"","family":"Chen","given":"Yong-Peng","non-dropping-particle":"","parse-names":false,"suffix":""},{"dropping-particle":"","family":"Huang","given":"Li-Wen","non-dropping-particle":"","parse-names":false,"suffix":""},{"dropping-particle":"","family":"Lin","given":"Xiao-Yu","non-dropping-particle":"","parse-names":false,"suffix":""},{"dropping-particle":"","family":"Hu","given":"Xiao-Min","non-dropping-particle":"","parse-names":false,"suffix":""},{"dropping-particle":"","family":"Liang","given":"Xie-Er","non-dropping-particle":"","parse-names":false,"suffix":""},{"dropping-particle":"","family":"Jiang","given":"Rong-Long","non-dropping-particle":"","parse-names":false,"suffix":""}],"container-title":"Journal of viral hepatitis","id":"ITEM-1","issue":"8","issued":{"date-parts":[["2020","8"]]},"language":"eng","page":"826-836","publisher-place":"England","title":"Alanine aminotransferase influencing performances of routine available tests  detecting hepatitis B-related cirrhosis.","type":"article-journal","volume":"27"},"uris":["http://www.mendeley.com/documents/?uuid=ba392a4f-9c39-42ce-bec9-5667ffb3ee89"]}],"mendeley":{"formattedCitation":"[12]","plainTextFormattedCitation":"[12]","previouslyFormattedCitation":"[12]"},"properties":{"noteIndex":0},"schema":"https://github.com/citation-style-language/schema/raw/master/csl-citation.json"}</w:instrText>
            </w:r>
            <w:r>
              <w:rPr>
                <w:rFonts w:asciiTheme="majorBidi" w:hAnsiTheme="majorBidi" w:cstheme="majorBidi"/>
                <w:noProof/>
                <w:sz w:val="18"/>
                <w:szCs w:val="18"/>
                <w:vertAlign w:val="superscript"/>
                <w:lang w:val="en-US"/>
              </w:rPr>
              <w:fldChar w:fldCharType="separate"/>
            </w:r>
            <w:r w:rsidRPr="005B400C">
              <w:rPr>
                <w:rFonts w:asciiTheme="majorBidi" w:hAnsiTheme="majorBidi" w:cstheme="majorBidi"/>
                <w:b w:val="0"/>
                <w:noProof/>
                <w:sz w:val="18"/>
                <w:szCs w:val="18"/>
                <w:lang w:val="en-US"/>
              </w:rPr>
              <w:t>[12]</w:t>
            </w:r>
            <w:r>
              <w:rPr>
                <w:rFonts w:asciiTheme="majorBidi" w:hAnsiTheme="majorBidi" w:cstheme="majorBidi"/>
                <w:noProof/>
                <w:sz w:val="18"/>
                <w:szCs w:val="18"/>
                <w:vertAlign w:val="superscript"/>
                <w:lang w:val="en-US"/>
              </w:rPr>
              <w:fldChar w:fldCharType="end"/>
            </w:r>
          </w:p>
        </w:tc>
        <w:tc>
          <w:tcPr>
            <w:tcW w:w="1960" w:type="dxa"/>
            <w:vMerge w:val="restart"/>
            <w:vAlign w:val="center"/>
            <w:hideMark/>
          </w:tcPr>
          <w:p w14:paraId="7BA44FD5"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Chen Y. et al</w:t>
            </w:r>
          </w:p>
        </w:tc>
        <w:tc>
          <w:tcPr>
            <w:tcW w:w="630" w:type="dxa"/>
            <w:vMerge w:val="restart"/>
            <w:vAlign w:val="center"/>
            <w:hideMark/>
          </w:tcPr>
          <w:p w14:paraId="69979F7A"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2020</w:t>
            </w:r>
          </w:p>
        </w:tc>
        <w:tc>
          <w:tcPr>
            <w:tcW w:w="900" w:type="dxa"/>
            <w:vMerge w:val="restart"/>
            <w:vAlign w:val="center"/>
            <w:hideMark/>
          </w:tcPr>
          <w:p w14:paraId="78CE0A52"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China</w:t>
            </w:r>
          </w:p>
        </w:tc>
        <w:tc>
          <w:tcPr>
            <w:tcW w:w="900" w:type="dxa"/>
            <w:vAlign w:val="center"/>
            <w:hideMark/>
          </w:tcPr>
          <w:p w14:paraId="136EE76C"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F2</w:t>
            </w:r>
          </w:p>
        </w:tc>
        <w:tc>
          <w:tcPr>
            <w:tcW w:w="1260" w:type="dxa"/>
            <w:vAlign w:val="center"/>
          </w:tcPr>
          <w:p w14:paraId="20B0E8FC"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0.32</w:t>
            </w:r>
          </w:p>
        </w:tc>
        <w:tc>
          <w:tcPr>
            <w:tcW w:w="900" w:type="dxa"/>
            <w:vAlign w:val="center"/>
            <w:hideMark/>
          </w:tcPr>
          <w:p w14:paraId="3DE6E1B7"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0.72</w:t>
            </w:r>
          </w:p>
        </w:tc>
        <w:tc>
          <w:tcPr>
            <w:tcW w:w="810" w:type="dxa"/>
            <w:vAlign w:val="center"/>
            <w:hideMark/>
          </w:tcPr>
          <w:p w14:paraId="5D6DFEF9"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0.65</w:t>
            </w:r>
          </w:p>
        </w:tc>
        <w:tc>
          <w:tcPr>
            <w:tcW w:w="900" w:type="dxa"/>
            <w:vAlign w:val="center"/>
            <w:hideMark/>
          </w:tcPr>
          <w:p w14:paraId="5FDB79F6"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0.83</w:t>
            </w:r>
          </w:p>
        </w:tc>
        <w:tc>
          <w:tcPr>
            <w:tcW w:w="810" w:type="dxa"/>
            <w:vAlign w:val="center"/>
            <w:hideMark/>
          </w:tcPr>
          <w:p w14:paraId="01E2B49A"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0.50</w:t>
            </w:r>
          </w:p>
        </w:tc>
        <w:tc>
          <w:tcPr>
            <w:tcW w:w="845" w:type="dxa"/>
            <w:vMerge w:val="restart"/>
            <w:vAlign w:val="center"/>
            <w:hideMark/>
          </w:tcPr>
          <w:p w14:paraId="71373070"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hAnsiTheme="majorBidi" w:cstheme="majorBidi"/>
                <w:b/>
                <w:bCs/>
                <w:sz w:val="18"/>
                <w:szCs w:val="18"/>
              </w:rPr>
              <w:t>1,005</w:t>
            </w:r>
          </w:p>
        </w:tc>
        <w:tc>
          <w:tcPr>
            <w:tcW w:w="810" w:type="dxa"/>
            <w:vMerge w:val="restart"/>
            <w:vAlign w:val="center"/>
            <w:hideMark/>
          </w:tcPr>
          <w:p w14:paraId="6D4A373E"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0.82</w:t>
            </w:r>
          </w:p>
        </w:tc>
        <w:tc>
          <w:tcPr>
            <w:tcW w:w="900" w:type="dxa"/>
            <w:vMerge w:val="restart"/>
            <w:vAlign w:val="center"/>
            <w:hideMark/>
          </w:tcPr>
          <w:p w14:paraId="53362E59"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30</w:t>
            </w:r>
          </w:p>
        </w:tc>
        <w:tc>
          <w:tcPr>
            <w:tcW w:w="1155" w:type="dxa"/>
            <w:vMerge w:val="restart"/>
            <w:vAlign w:val="center"/>
          </w:tcPr>
          <w:p w14:paraId="609CEAAA"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8035A5">
              <w:rPr>
                <w:rFonts w:asciiTheme="majorBidi" w:hAnsiTheme="majorBidi" w:cstheme="majorBidi"/>
                <w:b/>
                <w:bCs/>
                <w:sz w:val="18"/>
                <w:szCs w:val="18"/>
              </w:rPr>
              <w:t>METAVIR</w:t>
            </w:r>
          </w:p>
        </w:tc>
        <w:tc>
          <w:tcPr>
            <w:tcW w:w="1545" w:type="dxa"/>
            <w:vMerge w:val="restart"/>
            <w:vAlign w:val="center"/>
          </w:tcPr>
          <w:p w14:paraId="7EE36FE5"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8035A5">
              <w:rPr>
                <w:rFonts w:asciiTheme="majorBidi" w:eastAsiaTheme="minorHAnsi" w:hAnsiTheme="majorBidi" w:cstheme="majorBidi"/>
                <w:b/>
                <w:bCs/>
                <w:sz w:val="18"/>
                <w:szCs w:val="18"/>
                <w:lang w:eastAsia="en-US"/>
              </w:rPr>
              <w:t>HBV</w:t>
            </w:r>
          </w:p>
        </w:tc>
      </w:tr>
      <w:tr w:rsidR="002C7FFA" w:rsidRPr="008035A5" w14:paraId="1C4CA90B" w14:textId="77777777" w:rsidTr="004F52BC">
        <w:trPr>
          <w:cnfStyle w:val="000000100000" w:firstRow="0" w:lastRow="0" w:firstColumn="0" w:lastColumn="0" w:oddVBand="0" w:evenVBand="0" w:oddHBand="1"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5936E6B3"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2A3D46B5"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hideMark/>
          </w:tcPr>
          <w:p w14:paraId="0BCE53E4"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057505E8"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757051F8"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F3</w:t>
            </w:r>
          </w:p>
        </w:tc>
        <w:tc>
          <w:tcPr>
            <w:tcW w:w="1260" w:type="dxa"/>
            <w:vAlign w:val="center"/>
          </w:tcPr>
          <w:p w14:paraId="71059C3D"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0.32</w:t>
            </w:r>
          </w:p>
        </w:tc>
        <w:tc>
          <w:tcPr>
            <w:tcW w:w="900" w:type="dxa"/>
            <w:vAlign w:val="center"/>
            <w:hideMark/>
          </w:tcPr>
          <w:p w14:paraId="7F47C7D1"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0.87</w:t>
            </w:r>
          </w:p>
        </w:tc>
        <w:tc>
          <w:tcPr>
            <w:tcW w:w="810" w:type="dxa"/>
            <w:vAlign w:val="center"/>
            <w:hideMark/>
          </w:tcPr>
          <w:p w14:paraId="7FC9A046"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0.54</w:t>
            </w:r>
          </w:p>
        </w:tc>
        <w:tc>
          <w:tcPr>
            <w:tcW w:w="900" w:type="dxa"/>
            <w:vAlign w:val="center"/>
            <w:hideMark/>
          </w:tcPr>
          <w:p w14:paraId="7516874D"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0.51</w:t>
            </w:r>
          </w:p>
        </w:tc>
        <w:tc>
          <w:tcPr>
            <w:tcW w:w="810" w:type="dxa"/>
            <w:vAlign w:val="center"/>
            <w:hideMark/>
          </w:tcPr>
          <w:p w14:paraId="7C518822"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0.88</w:t>
            </w:r>
          </w:p>
        </w:tc>
        <w:tc>
          <w:tcPr>
            <w:tcW w:w="845" w:type="dxa"/>
            <w:vMerge/>
            <w:vAlign w:val="center"/>
          </w:tcPr>
          <w:p w14:paraId="5EE08798"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810" w:type="dxa"/>
            <w:vMerge/>
            <w:vAlign w:val="center"/>
            <w:hideMark/>
          </w:tcPr>
          <w:p w14:paraId="66BECD2D"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40D213F6"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155" w:type="dxa"/>
            <w:vMerge/>
            <w:vAlign w:val="center"/>
          </w:tcPr>
          <w:p w14:paraId="56548B53"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c>
          <w:tcPr>
            <w:tcW w:w="1545" w:type="dxa"/>
            <w:vMerge/>
            <w:vAlign w:val="center"/>
          </w:tcPr>
          <w:p w14:paraId="0471C985"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r>
      <w:tr w:rsidR="002C7FFA" w:rsidRPr="008035A5" w14:paraId="7F62F29C" w14:textId="77777777" w:rsidTr="004F52BC">
        <w:trPr>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43FDC78A"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79DCC9FA"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hideMark/>
          </w:tcPr>
          <w:p w14:paraId="263D7BA6"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1FBD64A6"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3FCB09E0"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F4</w:t>
            </w:r>
          </w:p>
        </w:tc>
        <w:tc>
          <w:tcPr>
            <w:tcW w:w="1260" w:type="dxa"/>
            <w:vAlign w:val="center"/>
          </w:tcPr>
          <w:p w14:paraId="6B469A7C"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0.56</w:t>
            </w:r>
          </w:p>
        </w:tc>
        <w:tc>
          <w:tcPr>
            <w:tcW w:w="900" w:type="dxa"/>
            <w:vAlign w:val="center"/>
            <w:hideMark/>
          </w:tcPr>
          <w:p w14:paraId="0EA16529"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0.33</w:t>
            </w:r>
          </w:p>
        </w:tc>
        <w:tc>
          <w:tcPr>
            <w:tcW w:w="810" w:type="dxa"/>
            <w:vAlign w:val="center"/>
            <w:hideMark/>
          </w:tcPr>
          <w:p w14:paraId="60B28EC3"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0.65</w:t>
            </w:r>
          </w:p>
        </w:tc>
        <w:tc>
          <w:tcPr>
            <w:tcW w:w="900" w:type="dxa"/>
            <w:vAlign w:val="center"/>
            <w:hideMark/>
          </w:tcPr>
          <w:p w14:paraId="3D1BC9DF"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0.15</w:t>
            </w:r>
          </w:p>
        </w:tc>
        <w:tc>
          <w:tcPr>
            <w:tcW w:w="810" w:type="dxa"/>
            <w:vAlign w:val="center"/>
            <w:hideMark/>
          </w:tcPr>
          <w:p w14:paraId="6E1C5397"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0.84</w:t>
            </w:r>
          </w:p>
        </w:tc>
        <w:tc>
          <w:tcPr>
            <w:tcW w:w="845" w:type="dxa"/>
            <w:vMerge/>
            <w:vAlign w:val="center"/>
          </w:tcPr>
          <w:p w14:paraId="4FBFB10E"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810" w:type="dxa"/>
            <w:vMerge/>
            <w:vAlign w:val="center"/>
            <w:hideMark/>
          </w:tcPr>
          <w:p w14:paraId="07F840D4"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59DBB737"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155" w:type="dxa"/>
            <w:vMerge/>
            <w:vAlign w:val="center"/>
          </w:tcPr>
          <w:p w14:paraId="5D10ADA4"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c>
          <w:tcPr>
            <w:tcW w:w="1545" w:type="dxa"/>
            <w:vMerge/>
            <w:vAlign w:val="center"/>
          </w:tcPr>
          <w:p w14:paraId="63E265A9"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r>
      <w:tr w:rsidR="002C7FFA" w:rsidRPr="008035A5" w14:paraId="00229422" w14:textId="77777777" w:rsidTr="004F52BC">
        <w:trPr>
          <w:cnfStyle w:val="000000100000" w:firstRow="0" w:lastRow="0" w:firstColumn="0" w:lastColumn="0" w:oddVBand="0" w:evenVBand="0" w:oddHBand="1"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645" w:type="dxa"/>
            <w:vAlign w:val="center"/>
          </w:tcPr>
          <w:p w14:paraId="1202524C" w14:textId="77777777" w:rsidR="002C7FFA" w:rsidRPr="008035A5" w:rsidRDefault="002C7FFA">
            <w:pPr>
              <w:pStyle w:val="Paragraph"/>
              <w:spacing w:before="0" w:line="240" w:lineRule="auto"/>
              <w:jc w:val="center"/>
              <w:rPr>
                <w:rFonts w:asciiTheme="majorBidi" w:hAnsiTheme="majorBidi" w:cstheme="majorBidi"/>
                <w:b w:val="0"/>
                <w:bCs w:val="0"/>
                <w:i/>
                <w:iCs/>
                <w:sz w:val="18"/>
                <w:szCs w:val="18"/>
              </w:rPr>
            </w:pPr>
            <w:r>
              <w:rPr>
                <w:rFonts w:asciiTheme="majorBidi" w:hAnsiTheme="majorBidi" w:cstheme="majorBidi"/>
                <w:noProof/>
                <w:sz w:val="18"/>
                <w:szCs w:val="18"/>
                <w:vertAlign w:val="superscript"/>
              </w:rPr>
              <w:lastRenderedPageBreak/>
              <w:fldChar w:fldCharType="begin" w:fldLock="1"/>
            </w:r>
            <w:r>
              <w:rPr>
                <w:rFonts w:asciiTheme="majorBidi" w:hAnsiTheme="majorBidi" w:cstheme="majorBidi"/>
                <w:noProof/>
                <w:sz w:val="18"/>
                <w:szCs w:val="18"/>
                <w:vertAlign w:val="superscript"/>
              </w:rPr>
              <w:instrText>ADDIN CSL_CITATION {"citationItems":[{"id":"ITEM-1","itemData":{"DOI":"10.1097/MD.0000000000020548","ISSN":"1536-5964 (Electronic)","PMID":"32502018","abstract":"Few studies have paid attention to the performances of non-invasive models in  diagnosing stages of liver fibrosis and inflammation, which are critical for early and accurate assessment of prognostication and decisions on antiviral treatment in chronic hepatitis B infection patients with high hepatitis B virus DNA and normal or mildly elevated alanine transaminase levels (≤2 times upper limit of normal (ULN)). This study aimed to investigate the value of routine serum markers in evaluation of liver inflammation and fibrosis in these patients.A total of 370 consecutive chronic hepatitis B virus-infected patients who underwent liver biopsy were retrospectively analyzed. The Scheuer scoring system was adopted as the pathological standard for diagnosing liver inflammation and fibrosis. The receiver-operating characteristic curves (ROC) and the area under the ROC curves (AUROCs) were used to analyze the performances of the models, including aspartate transaminase to platelet ratio index (APRI), fibrosis index based on the 4 factors (FIB-4), red cell volume distribution width-to-platelet ratio (RPR), globulin-platelet model (GP), and gamma-glutamyl transpeptidase to platelet ratio index (GPR).To predict significant inflammation (G ≥2), the AUROC of APRI was higher than that of FIB-4 (0.705 vs 0.629, P = .001), RPR (0.705 vs 0.593, P &lt; .001) and GP (0.705 vs 0.620, P = .002), equivalent to that of GPR (0.705 vs 0.690, P = .606). As for severe inflammation (≥G3) and significant fibrosis (≥S2), there was no statistic difference among them. To predict severe fibrosis (≥ S3), the AUROC of FIB-4 was higher than that of RPR (0.805 vs 0.750, P = .006) and GP (0.805 vs 0.755, P = .046), comparable to that of APRI (0.805 vs 0.785, P = .550) and GPR (0.805 vs 0.818, P = .694). As for significant liver histological changes (G ≥ 2 or/and S ≥ 2), the performance of APRI was higher than that of RPR (0.717 vs 0.652, P = .006), GP (0.717 vs 0.659, p = .011), equivalent to that of FIB-4 (0.717 vs 0.692, P = .254) and GPR (0.717 vs 0.680, P = .166).We found that APRI, GPR, and FIB-4 were more effective than RPR and GP for diagnosing liver inflammation and fibrosis.","author":[{"dropping-particle":"","family":"Wang","given":"Lingmei","non-dropping-particle":"","parse-names":false,"suffix":""},{"dropping-particle":"","family":"Li","given":"Jiao","non-dropping-particle":"","parse-names":false,"suffix":""},{"dropping-particle":"","family":"Yang","given":"Kai","non-dropping-particle":"","parse-names":false,"suffix":""},{"dropping-particle":"","family":"Zhang","given":"Hao","non-dropping-particle":"","parse-names":false,"suffix":""},{"dropping-particle":"","family":"Wang","given":"Qin","non-dropping-particle":"","parse-names":false,"suffix":""},{"dropping-particle":"","family":"Lv","given":"Xiongwen","non-dropping-particle":"","parse-names":false,"suffix":""},{"dropping-particle":"","family":"Guan","given":"Shihe","non-dropping-particle":"","parse-names":false,"suffix":""}],"container-title":"Medicine","id":"ITEM-1","issue":"23","issued":{"date-parts":[["2020","6"]]},"language":"eng","page":"e20548","publisher-place":"United States","title":"Comparison and evaluation of non-invasive models in predicting liver inflammation  and fibrosis of chronic hepatitis B virus-infected patients with high hepatitis B virus DNA and normal or mildly elevated alanine transaminase levels.","type":"article-journal","volume":"99"},"uris":["http://www.mendeley.com/documents/?uuid=651778c0-d425-4cae-945a-9201a12b6276"]}],"mendeley":{"formattedCitation":"[13]","plainTextFormattedCitation":"[13]","previouslyFormattedCitation":"[13]"},"properties":{"noteIndex":0},"schema":"https://github.com/citation-style-language/schema/raw/master/csl-citation.json"}</w:instrText>
            </w:r>
            <w:r>
              <w:rPr>
                <w:rFonts w:asciiTheme="majorBidi" w:hAnsiTheme="majorBidi" w:cstheme="majorBidi"/>
                <w:noProof/>
                <w:sz w:val="18"/>
                <w:szCs w:val="18"/>
                <w:vertAlign w:val="superscript"/>
              </w:rPr>
              <w:fldChar w:fldCharType="separate"/>
            </w:r>
            <w:r w:rsidRPr="005B400C">
              <w:rPr>
                <w:rFonts w:asciiTheme="majorBidi" w:hAnsiTheme="majorBidi" w:cstheme="majorBidi"/>
                <w:b w:val="0"/>
                <w:noProof/>
                <w:sz w:val="18"/>
                <w:szCs w:val="18"/>
              </w:rPr>
              <w:t>[13]</w:t>
            </w:r>
            <w:r>
              <w:rPr>
                <w:rFonts w:asciiTheme="majorBidi" w:hAnsiTheme="majorBidi" w:cstheme="majorBidi"/>
                <w:noProof/>
                <w:sz w:val="18"/>
                <w:szCs w:val="18"/>
                <w:vertAlign w:val="superscript"/>
              </w:rPr>
              <w:fldChar w:fldCharType="end"/>
            </w:r>
          </w:p>
        </w:tc>
        <w:tc>
          <w:tcPr>
            <w:tcW w:w="1960" w:type="dxa"/>
            <w:vAlign w:val="center"/>
            <w:hideMark/>
          </w:tcPr>
          <w:p w14:paraId="7E1BD864"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Wang L. et al</w:t>
            </w:r>
          </w:p>
        </w:tc>
        <w:tc>
          <w:tcPr>
            <w:tcW w:w="630" w:type="dxa"/>
            <w:vAlign w:val="center"/>
            <w:hideMark/>
          </w:tcPr>
          <w:p w14:paraId="0D4969AB"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2020</w:t>
            </w:r>
          </w:p>
        </w:tc>
        <w:tc>
          <w:tcPr>
            <w:tcW w:w="900" w:type="dxa"/>
            <w:vAlign w:val="center"/>
            <w:hideMark/>
          </w:tcPr>
          <w:p w14:paraId="546789FB"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China</w:t>
            </w:r>
          </w:p>
        </w:tc>
        <w:tc>
          <w:tcPr>
            <w:tcW w:w="900" w:type="dxa"/>
            <w:vAlign w:val="center"/>
            <w:hideMark/>
          </w:tcPr>
          <w:p w14:paraId="23253941"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F2</w:t>
            </w:r>
          </w:p>
        </w:tc>
        <w:tc>
          <w:tcPr>
            <w:tcW w:w="1260" w:type="dxa"/>
            <w:vAlign w:val="center"/>
          </w:tcPr>
          <w:p w14:paraId="661228A2"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0.42</w:t>
            </w:r>
          </w:p>
        </w:tc>
        <w:tc>
          <w:tcPr>
            <w:tcW w:w="900" w:type="dxa"/>
            <w:vAlign w:val="center"/>
            <w:hideMark/>
          </w:tcPr>
          <w:p w14:paraId="61ADCDA1"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0.38</w:t>
            </w:r>
          </w:p>
        </w:tc>
        <w:tc>
          <w:tcPr>
            <w:tcW w:w="810" w:type="dxa"/>
            <w:vAlign w:val="center"/>
            <w:hideMark/>
          </w:tcPr>
          <w:p w14:paraId="63B68037"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0.91</w:t>
            </w:r>
          </w:p>
        </w:tc>
        <w:tc>
          <w:tcPr>
            <w:tcW w:w="900" w:type="dxa"/>
            <w:vAlign w:val="center"/>
            <w:hideMark/>
          </w:tcPr>
          <w:p w14:paraId="6B6198F1"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0.68</w:t>
            </w:r>
          </w:p>
        </w:tc>
        <w:tc>
          <w:tcPr>
            <w:tcW w:w="810" w:type="dxa"/>
            <w:vAlign w:val="center"/>
            <w:hideMark/>
          </w:tcPr>
          <w:p w14:paraId="1A354306"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0.75</w:t>
            </w:r>
          </w:p>
        </w:tc>
        <w:tc>
          <w:tcPr>
            <w:tcW w:w="845" w:type="dxa"/>
            <w:vAlign w:val="center"/>
            <w:hideMark/>
          </w:tcPr>
          <w:p w14:paraId="0858FF32"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hAnsiTheme="majorBidi" w:cstheme="majorBidi"/>
                <w:b/>
                <w:bCs/>
                <w:sz w:val="18"/>
                <w:szCs w:val="18"/>
              </w:rPr>
              <w:t>370</w:t>
            </w:r>
          </w:p>
        </w:tc>
        <w:tc>
          <w:tcPr>
            <w:tcW w:w="810" w:type="dxa"/>
            <w:vAlign w:val="center"/>
            <w:hideMark/>
          </w:tcPr>
          <w:p w14:paraId="5942D59D"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0.67</w:t>
            </w:r>
          </w:p>
        </w:tc>
        <w:tc>
          <w:tcPr>
            <w:tcW w:w="900" w:type="dxa"/>
            <w:vAlign w:val="center"/>
            <w:hideMark/>
          </w:tcPr>
          <w:p w14:paraId="7409C791"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35</w:t>
            </w:r>
          </w:p>
        </w:tc>
        <w:tc>
          <w:tcPr>
            <w:tcW w:w="1155" w:type="dxa"/>
            <w:vAlign w:val="center"/>
          </w:tcPr>
          <w:p w14:paraId="3639F638"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8035A5">
              <w:rPr>
                <w:rFonts w:asciiTheme="majorBidi" w:hAnsiTheme="majorBidi" w:cstheme="majorBidi"/>
                <w:b/>
                <w:bCs/>
                <w:sz w:val="18"/>
                <w:szCs w:val="18"/>
              </w:rPr>
              <w:t>Scheuer</w:t>
            </w:r>
          </w:p>
        </w:tc>
        <w:tc>
          <w:tcPr>
            <w:tcW w:w="1545" w:type="dxa"/>
            <w:vAlign w:val="center"/>
          </w:tcPr>
          <w:p w14:paraId="68A79596"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8035A5">
              <w:rPr>
                <w:rFonts w:asciiTheme="majorBidi" w:eastAsiaTheme="minorHAnsi" w:hAnsiTheme="majorBidi" w:cstheme="majorBidi"/>
                <w:b/>
                <w:bCs/>
                <w:sz w:val="18"/>
                <w:szCs w:val="18"/>
                <w:lang w:eastAsia="en-US"/>
              </w:rPr>
              <w:t>HBV</w:t>
            </w:r>
          </w:p>
        </w:tc>
      </w:tr>
      <w:tr w:rsidR="002C7FFA" w:rsidRPr="008035A5" w14:paraId="40AAEF78" w14:textId="77777777" w:rsidTr="004F52BC">
        <w:trPr>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restart"/>
            <w:vAlign w:val="center"/>
          </w:tcPr>
          <w:p w14:paraId="49997A66" w14:textId="77777777" w:rsidR="002C7FFA" w:rsidRPr="008035A5" w:rsidRDefault="002C7FFA">
            <w:pPr>
              <w:pStyle w:val="Paragraph"/>
              <w:spacing w:before="0" w:line="240" w:lineRule="auto"/>
              <w:jc w:val="center"/>
              <w:rPr>
                <w:rFonts w:asciiTheme="majorBidi" w:hAnsiTheme="majorBidi" w:cstheme="majorBidi"/>
                <w:b w:val="0"/>
                <w:bCs w:val="0"/>
                <w:i/>
                <w:iCs/>
                <w:sz w:val="18"/>
                <w:szCs w:val="18"/>
              </w:rPr>
            </w:pPr>
            <w:r>
              <w:rPr>
                <w:rFonts w:asciiTheme="majorBidi" w:hAnsiTheme="majorBidi" w:cstheme="majorBidi"/>
                <w:noProof/>
                <w:sz w:val="18"/>
                <w:szCs w:val="18"/>
                <w:vertAlign w:val="superscript"/>
              </w:rPr>
              <w:fldChar w:fldCharType="begin" w:fldLock="1"/>
            </w:r>
            <w:r>
              <w:rPr>
                <w:rFonts w:asciiTheme="majorBidi" w:hAnsiTheme="majorBidi" w:cstheme="majorBidi"/>
                <w:noProof/>
                <w:sz w:val="18"/>
                <w:szCs w:val="18"/>
                <w:vertAlign w:val="superscript"/>
              </w:rPr>
              <w:instrText>ADDIN CSL_CITATION {"citationItems":[{"id":"ITEM-1","itemData":{"DOI":"10.1097/MD.0000000000020616","ISSN":"1536-5964 (Electronic)","PMID":"32502037","abstract":"Liver steatosis could affect the accuracy of FibroScan in patients with chronic  hepatitis B (CHB) and nonalcoholic fatty liver disease (NAFLD). This study aimed to assess the accuracy and cut-off values of FibroScan for diagnosing liver fibrosis and cirrhosis in patients with concomitant CHB and NAFLD.A total of 116 patients with concomitant CHB and NAFLD who underwent FibroScan test and liver biopsy were retrospectively enrolled. Liver fibrosis was staged according to the METAVIR scoring system. Calculations of the areas under receiver-operating characteristic curves (AUROC) were performed and compared for the staging of liver fibrosis.The AUROCs for FibroScan, gamma-glutamyl transpeptidase to platelet ratio (GPR), aspartate aminotransferase to platelet ratio index (APRI), fibrosis index based on 4 factors (FIB-4), and NAFLD Fibrosis Score (NFS) were 0.87, 0.73, 0.69, 0.57, and 0.57 for the diagnosis of significant liver fibrosis (METAVIR ≥ F2); 0.89, 0.77, 0.75, 0.68, and 0.60 for severe liver fibrosis (METAVIR ≥ F3); and 0.94, 0.86, 0.80, 0.74, and 0.63 for cirrhosis (F4), respectively. The cutoff values of FibroScan for staging liver fibrosis with sensitivity at least 90% were: 8.0 kPa for significant liver fibrosis, and 10.5 kPa for cirrhosis. The cutoff values of FibroScan for staging liver fibrosis with specificity at least 90% were: 10.8 kPa for significant liver fibrosis, and 17.8 kPa for cirrhosis.FibroScan provides high value for the diagnosis of liver fibrosis and cirrhosis in patients with concomitant CHB and NAFLD.","author":[{"dropping-particle":"","family":"Li","given":"Qiang","non-dropping-particle":"","parse-names":false,"suffix":""},{"dropping-particle":"","family":"Huang","given":"Chenlu","non-dropping-particle":"","parse-names":false,"suffix":""},{"dropping-particle":"","family":"Xu","given":"Wei","non-dropping-particle":"","parse-names":false,"suffix":""},{"dropping-particle":"","family":"Hu","given":"Qiankun","non-dropping-particle":"","parse-names":false,"suffix":""},{"dropping-particle":"","family":"Chen","given":"Liang","non-dropping-particle":"","parse-names":false,"suffix":""}],"container-title":"Medicine","id":"ITEM-1","issue":"23","issued":{"date-parts":[["2020","6"]]},"language":"eng","page":"e20616","publisher-place":"United States","title":"Accuracy of FibroScan in analysis of liver fibrosis in patients with concomitant  chronic Hepatitis B and nonalcoholic fatty liver disease.","type":"article-journal","volume":"99"},"uris":["http://www.mendeley.com/documents/?uuid=ce26f82d-f02c-4c31-b728-7ee5f59921c7"]}],"mendeley":{"formattedCitation":"[14]","plainTextFormattedCitation":"[14]","previouslyFormattedCitation":"[14]"},"properties":{"noteIndex":0},"schema":"https://github.com/citation-style-language/schema/raw/master/csl-citation.json"}</w:instrText>
            </w:r>
            <w:r>
              <w:rPr>
                <w:rFonts w:asciiTheme="majorBidi" w:hAnsiTheme="majorBidi" w:cstheme="majorBidi"/>
                <w:noProof/>
                <w:sz w:val="18"/>
                <w:szCs w:val="18"/>
                <w:vertAlign w:val="superscript"/>
              </w:rPr>
              <w:fldChar w:fldCharType="separate"/>
            </w:r>
            <w:r w:rsidRPr="00FE246B">
              <w:rPr>
                <w:rFonts w:asciiTheme="majorBidi" w:hAnsiTheme="majorBidi" w:cstheme="majorBidi"/>
                <w:b w:val="0"/>
                <w:noProof/>
                <w:sz w:val="18"/>
                <w:szCs w:val="18"/>
              </w:rPr>
              <w:t>[14]</w:t>
            </w:r>
            <w:r>
              <w:rPr>
                <w:rFonts w:asciiTheme="majorBidi" w:hAnsiTheme="majorBidi" w:cstheme="majorBidi"/>
                <w:noProof/>
                <w:sz w:val="18"/>
                <w:szCs w:val="18"/>
                <w:vertAlign w:val="superscript"/>
              </w:rPr>
              <w:fldChar w:fldCharType="end"/>
            </w:r>
          </w:p>
        </w:tc>
        <w:tc>
          <w:tcPr>
            <w:tcW w:w="1960" w:type="dxa"/>
            <w:vMerge w:val="restart"/>
            <w:vAlign w:val="center"/>
            <w:hideMark/>
          </w:tcPr>
          <w:p w14:paraId="1FF96EAE"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Qiang Li. et al</w:t>
            </w:r>
          </w:p>
        </w:tc>
        <w:tc>
          <w:tcPr>
            <w:tcW w:w="630" w:type="dxa"/>
            <w:vMerge w:val="restart"/>
            <w:vAlign w:val="center"/>
            <w:hideMark/>
          </w:tcPr>
          <w:p w14:paraId="3F17BFFC"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2020</w:t>
            </w:r>
          </w:p>
        </w:tc>
        <w:tc>
          <w:tcPr>
            <w:tcW w:w="900" w:type="dxa"/>
            <w:vMerge w:val="restart"/>
            <w:vAlign w:val="center"/>
            <w:hideMark/>
          </w:tcPr>
          <w:p w14:paraId="0D2CF7EC"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China</w:t>
            </w:r>
          </w:p>
        </w:tc>
        <w:tc>
          <w:tcPr>
            <w:tcW w:w="900" w:type="dxa"/>
            <w:vAlign w:val="center"/>
            <w:hideMark/>
          </w:tcPr>
          <w:p w14:paraId="112FD641"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F2</w:t>
            </w:r>
          </w:p>
        </w:tc>
        <w:tc>
          <w:tcPr>
            <w:tcW w:w="1260" w:type="dxa"/>
            <w:vAlign w:val="center"/>
          </w:tcPr>
          <w:p w14:paraId="733B33F5"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0.32</w:t>
            </w:r>
          </w:p>
        </w:tc>
        <w:tc>
          <w:tcPr>
            <w:tcW w:w="900" w:type="dxa"/>
            <w:vAlign w:val="center"/>
            <w:hideMark/>
          </w:tcPr>
          <w:p w14:paraId="41452E9F"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0.36</w:t>
            </w:r>
          </w:p>
        </w:tc>
        <w:tc>
          <w:tcPr>
            <w:tcW w:w="810" w:type="dxa"/>
            <w:vAlign w:val="center"/>
            <w:hideMark/>
          </w:tcPr>
          <w:p w14:paraId="161A63E7"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0.97</w:t>
            </w:r>
          </w:p>
        </w:tc>
        <w:tc>
          <w:tcPr>
            <w:tcW w:w="900" w:type="dxa"/>
            <w:vAlign w:val="center"/>
            <w:hideMark/>
          </w:tcPr>
          <w:p w14:paraId="0D775C1A"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0.89</w:t>
            </w:r>
          </w:p>
        </w:tc>
        <w:tc>
          <w:tcPr>
            <w:tcW w:w="810" w:type="dxa"/>
            <w:vAlign w:val="center"/>
            <w:hideMark/>
          </w:tcPr>
          <w:p w14:paraId="37151A5A"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0.69</w:t>
            </w:r>
          </w:p>
        </w:tc>
        <w:tc>
          <w:tcPr>
            <w:tcW w:w="845" w:type="dxa"/>
            <w:vMerge w:val="restart"/>
            <w:vAlign w:val="center"/>
            <w:hideMark/>
          </w:tcPr>
          <w:p w14:paraId="3FA0BE6B"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hAnsiTheme="majorBidi" w:cstheme="majorBidi"/>
                <w:b/>
                <w:bCs/>
                <w:sz w:val="18"/>
                <w:szCs w:val="18"/>
              </w:rPr>
              <w:t>116</w:t>
            </w:r>
          </w:p>
        </w:tc>
        <w:tc>
          <w:tcPr>
            <w:tcW w:w="810" w:type="dxa"/>
            <w:vMerge w:val="restart"/>
            <w:vAlign w:val="center"/>
            <w:hideMark/>
          </w:tcPr>
          <w:p w14:paraId="14B5F2E7"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0.66</w:t>
            </w:r>
          </w:p>
        </w:tc>
        <w:tc>
          <w:tcPr>
            <w:tcW w:w="900" w:type="dxa"/>
            <w:vMerge w:val="restart"/>
            <w:vAlign w:val="center"/>
            <w:hideMark/>
          </w:tcPr>
          <w:p w14:paraId="23344E34"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36</w:t>
            </w:r>
          </w:p>
        </w:tc>
        <w:tc>
          <w:tcPr>
            <w:tcW w:w="1155" w:type="dxa"/>
            <w:vMerge w:val="restart"/>
            <w:vAlign w:val="center"/>
          </w:tcPr>
          <w:p w14:paraId="28A8E2E7"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8035A5">
              <w:rPr>
                <w:rFonts w:asciiTheme="majorBidi" w:hAnsiTheme="majorBidi" w:cstheme="majorBidi"/>
                <w:b/>
                <w:bCs/>
                <w:sz w:val="18"/>
                <w:szCs w:val="18"/>
              </w:rPr>
              <w:t>METAVIR</w:t>
            </w:r>
          </w:p>
        </w:tc>
        <w:tc>
          <w:tcPr>
            <w:tcW w:w="1545" w:type="dxa"/>
            <w:vMerge w:val="restart"/>
            <w:vAlign w:val="center"/>
          </w:tcPr>
          <w:p w14:paraId="721592BA"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8035A5">
              <w:rPr>
                <w:rFonts w:asciiTheme="majorBidi" w:eastAsiaTheme="minorHAnsi" w:hAnsiTheme="majorBidi" w:cstheme="majorBidi"/>
                <w:b/>
                <w:bCs/>
                <w:sz w:val="18"/>
                <w:szCs w:val="18"/>
                <w:lang w:eastAsia="en-US"/>
              </w:rPr>
              <w:t>HBV and NAFLD</w:t>
            </w:r>
          </w:p>
        </w:tc>
      </w:tr>
      <w:tr w:rsidR="002C7FFA" w:rsidRPr="008035A5" w14:paraId="6772EB68" w14:textId="77777777" w:rsidTr="004F52BC">
        <w:trPr>
          <w:cnfStyle w:val="000000100000" w:firstRow="0" w:lastRow="0" w:firstColumn="0" w:lastColumn="0" w:oddVBand="0" w:evenVBand="0" w:oddHBand="1"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78B198D8"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504196E5"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hideMark/>
          </w:tcPr>
          <w:p w14:paraId="7F46B5EA"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56BDD355"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4B615180"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F3</w:t>
            </w:r>
          </w:p>
        </w:tc>
        <w:tc>
          <w:tcPr>
            <w:tcW w:w="1260" w:type="dxa"/>
            <w:vAlign w:val="center"/>
          </w:tcPr>
          <w:p w14:paraId="6F806B5F"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0.32</w:t>
            </w:r>
          </w:p>
        </w:tc>
        <w:tc>
          <w:tcPr>
            <w:tcW w:w="900" w:type="dxa"/>
            <w:vAlign w:val="center"/>
            <w:hideMark/>
          </w:tcPr>
          <w:p w14:paraId="2CA40D7B"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0.56</w:t>
            </w:r>
          </w:p>
        </w:tc>
        <w:tc>
          <w:tcPr>
            <w:tcW w:w="810" w:type="dxa"/>
            <w:vAlign w:val="center"/>
            <w:hideMark/>
          </w:tcPr>
          <w:p w14:paraId="2CA5E5CD"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0.96</w:t>
            </w:r>
          </w:p>
        </w:tc>
        <w:tc>
          <w:tcPr>
            <w:tcW w:w="900" w:type="dxa"/>
            <w:vAlign w:val="center"/>
            <w:hideMark/>
          </w:tcPr>
          <w:p w14:paraId="736DB333"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0.80</w:t>
            </w:r>
          </w:p>
        </w:tc>
        <w:tc>
          <w:tcPr>
            <w:tcW w:w="810" w:type="dxa"/>
            <w:vAlign w:val="center"/>
            <w:hideMark/>
          </w:tcPr>
          <w:p w14:paraId="5280A18A"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0.89</w:t>
            </w:r>
          </w:p>
        </w:tc>
        <w:tc>
          <w:tcPr>
            <w:tcW w:w="845" w:type="dxa"/>
            <w:vMerge/>
            <w:vAlign w:val="center"/>
          </w:tcPr>
          <w:p w14:paraId="2BC20845"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810" w:type="dxa"/>
            <w:vMerge/>
            <w:vAlign w:val="center"/>
            <w:hideMark/>
          </w:tcPr>
          <w:p w14:paraId="4DC41070"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75B77C90"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155" w:type="dxa"/>
            <w:vMerge/>
            <w:vAlign w:val="center"/>
          </w:tcPr>
          <w:p w14:paraId="1B32A563"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c>
          <w:tcPr>
            <w:tcW w:w="1545" w:type="dxa"/>
            <w:vMerge/>
            <w:vAlign w:val="center"/>
          </w:tcPr>
          <w:p w14:paraId="00FF9139"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r>
      <w:tr w:rsidR="002C7FFA" w:rsidRPr="008035A5" w14:paraId="02364276" w14:textId="77777777" w:rsidTr="004F52BC">
        <w:trPr>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3EBDDB5C"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149530EA"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hideMark/>
          </w:tcPr>
          <w:p w14:paraId="3A824857"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331E0873"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2236EB43"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F4</w:t>
            </w:r>
          </w:p>
        </w:tc>
        <w:tc>
          <w:tcPr>
            <w:tcW w:w="1260" w:type="dxa"/>
            <w:vAlign w:val="center"/>
          </w:tcPr>
          <w:p w14:paraId="2FEC27C2"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0.56</w:t>
            </w:r>
          </w:p>
        </w:tc>
        <w:tc>
          <w:tcPr>
            <w:tcW w:w="900" w:type="dxa"/>
            <w:vAlign w:val="center"/>
            <w:hideMark/>
          </w:tcPr>
          <w:p w14:paraId="11BDFCB8"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0.75</w:t>
            </w:r>
          </w:p>
        </w:tc>
        <w:tc>
          <w:tcPr>
            <w:tcW w:w="810" w:type="dxa"/>
            <w:vAlign w:val="center"/>
            <w:hideMark/>
          </w:tcPr>
          <w:p w14:paraId="4094DE02"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0.93</w:t>
            </w:r>
          </w:p>
        </w:tc>
        <w:tc>
          <w:tcPr>
            <w:tcW w:w="900" w:type="dxa"/>
            <w:vAlign w:val="center"/>
            <w:hideMark/>
          </w:tcPr>
          <w:p w14:paraId="2A15D14A"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0.54</w:t>
            </w:r>
          </w:p>
        </w:tc>
        <w:tc>
          <w:tcPr>
            <w:tcW w:w="810" w:type="dxa"/>
            <w:vAlign w:val="center"/>
            <w:hideMark/>
          </w:tcPr>
          <w:p w14:paraId="220AC034"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0.97</w:t>
            </w:r>
          </w:p>
        </w:tc>
        <w:tc>
          <w:tcPr>
            <w:tcW w:w="845" w:type="dxa"/>
            <w:vMerge/>
            <w:vAlign w:val="center"/>
          </w:tcPr>
          <w:p w14:paraId="117C46D6"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810" w:type="dxa"/>
            <w:vMerge/>
            <w:vAlign w:val="center"/>
            <w:hideMark/>
          </w:tcPr>
          <w:p w14:paraId="67B63F34"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55A3A853"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155" w:type="dxa"/>
            <w:vMerge/>
            <w:vAlign w:val="center"/>
          </w:tcPr>
          <w:p w14:paraId="027D4A5A"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c>
          <w:tcPr>
            <w:tcW w:w="1545" w:type="dxa"/>
            <w:vMerge/>
            <w:vAlign w:val="center"/>
          </w:tcPr>
          <w:p w14:paraId="1B9A1C24"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r>
      <w:tr w:rsidR="002C7FFA" w:rsidRPr="008035A5" w14:paraId="3AF779FE" w14:textId="77777777" w:rsidTr="004F52BC">
        <w:trPr>
          <w:cnfStyle w:val="000000100000" w:firstRow="0" w:lastRow="0" w:firstColumn="0" w:lastColumn="0" w:oddVBand="0" w:evenVBand="0" w:oddHBand="1"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restart"/>
            <w:vAlign w:val="center"/>
          </w:tcPr>
          <w:p w14:paraId="76A067E1" w14:textId="77777777" w:rsidR="002C7FFA" w:rsidRPr="008035A5" w:rsidRDefault="002C7FFA">
            <w:pPr>
              <w:pStyle w:val="Paragraph"/>
              <w:spacing w:before="0" w:line="240" w:lineRule="auto"/>
              <w:jc w:val="center"/>
              <w:rPr>
                <w:rFonts w:asciiTheme="majorBidi" w:hAnsiTheme="majorBidi" w:cstheme="majorBidi"/>
                <w:b w:val="0"/>
                <w:bCs w:val="0"/>
                <w:i/>
                <w:iCs/>
                <w:sz w:val="18"/>
                <w:szCs w:val="18"/>
              </w:rPr>
            </w:pPr>
            <w:r>
              <w:rPr>
                <w:rFonts w:asciiTheme="majorBidi" w:hAnsiTheme="majorBidi" w:cstheme="majorBidi"/>
                <w:noProof/>
                <w:sz w:val="18"/>
                <w:szCs w:val="18"/>
                <w:vertAlign w:val="superscript"/>
              </w:rPr>
              <w:fldChar w:fldCharType="begin" w:fldLock="1"/>
            </w:r>
            <w:r>
              <w:rPr>
                <w:rFonts w:asciiTheme="majorBidi" w:hAnsiTheme="majorBidi" w:cstheme="majorBidi"/>
                <w:noProof/>
                <w:sz w:val="18"/>
                <w:szCs w:val="18"/>
                <w:vertAlign w:val="superscript"/>
              </w:rPr>
              <w:instrText>ADDIN CSL_CITATION {"citationItems":[{"id":"ITEM-1","itemData":{"DOI":"10.1080/17434440.2020.1798226","ISSN":"1743-4440","author":[{"dropping-particle":"","family":"Yang","given":"Lulu","non-dropping-particle":"","parse-names":false,"suffix":""},{"dropping-particle":"","family":"Li","given":"Jiawu","non-dropping-particle":"","parse-names":false,"suffix":""},{"dropping-particle":"","family":"Ma","given":"Lin","non-dropping-particle":"","parse-names":false,"suffix":""},{"dropping-particle":"","family":"Xiang","given":"Hongjin","non-dropping-particle":"","parse-names":false,"suffix":""},{"dropping-particle":"","family":"He","given":"Du","non-dropping-particle":"","parse-names":false,"suffix":""},{"dropping-particle":"","family":"Lu","given":"Changli","non-dropping-particle":"","parse-names":false,"suffix":""},{"dropping-particle":"","family":"Tang","given":"Lin","non-dropping-particle":"","parse-names":false,"suffix":""},{"dropping-particle":"","family":"Luo","given":"Yan","non-dropping-particle":"","parse-names":false,"suffix":""},{"dropping-particle":"","family":"Chen","given":"Shigao","non-dropping-particle":"","parse-names":false,"suffix":""}],"container-title":"EXPERT REVIEW OF MEDICAL DEVICES","id":"ITEM-1","issue":"8","issued":{"date-parts":[["2020","8"]]},"page":"845-853","title":"Noninvasive assessment of liver fibrosis in chronic hepatitis B carriers with sound touch elastography: study of surgical pathology specimens","type":"article-journal","volume":"17"},"uris":["http://www.mendeley.com/documents/?uuid=7d4b816b-aebb-43d5-878e-98f50aae9617"]}],"mendeley":{"formattedCitation":"[15]","plainTextFormattedCitation":"[15]","previouslyFormattedCitation":"[15]"},"properties":{"noteIndex":0},"schema":"https://github.com/citation-style-language/schema/raw/master/csl-citation.json"}</w:instrText>
            </w:r>
            <w:r>
              <w:rPr>
                <w:rFonts w:asciiTheme="majorBidi" w:hAnsiTheme="majorBidi" w:cstheme="majorBidi"/>
                <w:noProof/>
                <w:sz w:val="18"/>
                <w:szCs w:val="18"/>
                <w:vertAlign w:val="superscript"/>
              </w:rPr>
              <w:fldChar w:fldCharType="separate"/>
            </w:r>
            <w:r w:rsidRPr="005B400C">
              <w:rPr>
                <w:rFonts w:asciiTheme="majorBidi" w:hAnsiTheme="majorBidi" w:cstheme="majorBidi"/>
                <w:b w:val="0"/>
                <w:noProof/>
                <w:sz w:val="18"/>
                <w:szCs w:val="18"/>
              </w:rPr>
              <w:t>[15]</w:t>
            </w:r>
            <w:r>
              <w:rPr>
                <w:rFonts w:asciiTheme="majorBidi" w:hAnsiTheme="majorBidi" w:cstheme="majorBidi"/>
                <w:noProof/>
                <w:sz w:val="18"/>
                <w:szCs w:val="18"/>
                <w:vertAlign w:val="superscript"/>
              </w:rPr>
              <w:fldChar w:fldCharType="end"/>
            </w:r>
          </w:p>
        </w:tc>
        <w:tc>
          <w:tcPr>
            <w:tcW w:w="1960" w:type="dxa"/>
            <w:vMerge w:val="restart"/>
            <w:vAlign w:val="center"/>
            <w:hideMark/>
          </w:tcPr>
          <w:p w14:paraId="02BE19BB"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Lulu Y. et al</w:t>
            </w:r>
          </w:p>
        </w:tc>
        <w:tc>
          <w:tcPr>
            <w:tcW w:w="630" w:type="dxa"/>
            <w:vMerge w:val="restart"/>
            <w:vAlign w:val="center"/>
            <w:hideMark/>
          </w:tcPr>
          <w:p w14:paraId="51EDD035"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2020</w:t>
            </w:r>
          </w:p>
        </w:tc>
        <w:tc>
          <w:tcPr>
            <w:tcW w:w="900" w:type="dxa"/>
            <w:vMerge w:val="restart"/>
            <w:vAlign w:val="center"/>
            <w:hideMark/>
          </w:tcPr>
          <w:p w14:paraId="2B5960B7"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China</w:t>
            </w:r>
          </w:p>
        </w:tc>
        <w:tc>
          <w:tcPr>
            <w:tcW w:w="900" w:type="dxa"/>
            <w:vAlign w:val="center"/>
            <w:hideMark/>
          </w:tcPr>
          <w:p w14:paraId="1EE026B2"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F1</w:t>
            </w:r>
          </w:p>
        </w:tc>
        <w:tc>
          <w:tcPr>
            <w:tcW w:w="1260" w:type="dxa"/>
            <w:vAlign w:val="center"/>
          </w:tcPr>
          <w:p w14:paraId="183948D1"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0.32</w:t>
            </w:r>
          </w:p>
        </w:tc>
        <w:tc>
          <w:tcPr>
            <w:tcW w:w="900" w:type="dxa"/>
            <w:vAlign w:val="center"/>
            <w:hideMark/>
          </w:tcPr>
          <w:p w14:paraId="68AB3EB5"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0.46</w:t>
            </w:r>
          </w:p>
        </w:tc>
        <w:tc>
          <w:tcPr>
            <w:tcW w:w="810" w:type="dxa"/>
            <w:vAlign w:val="center"/>
            <w:hideMark/>
          </w:tcPr>
          <w:p w14:paraId="0C919C38"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0.96</w:t>
            </w:r>
          </w:p>
        </w:tc>
        <w:tc>
          <w:tcPr>
            <w:tcW w:w="900" w:type="dxa"/>
            <w:vAlign w:val="center"/>
            <w:hideMark/>
          </w:tcPr>
          <w:p w14:paraId="4922CA7D"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1.00</w:t>
            </w:r>
          </w:p>
        </w:tc>
        <w:tc>
          <w:tcPr>
            <w:tcW w:w="810" w:type="dxa"/>
            <w:vAlign w:val="center"/>
            <w:hideMark/>
          </w:tcPr>
          <w:p w14:paraId="56BEF573"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0.06</w:t>
            </w:r>
          </w:p>
        </w:tc>
        <w:tc>
          <w:tcPr>
            <w:tcW w:w="845" w:type="dxa"/>
            <w:vMerge w:val="restart"/>
            <w:vAlign w:val="center"/>
            <w:hideMark/>
          </w:tcPr>
          <w:p w14:paraId="76DB2706"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hAnsiTheme="majorBidi" w:cstheme="majorBidi"/>
                <w:b/>
                <w:bCs/>
                <w:sz w:val="18"/>
                <w:szCs w:val="18"/>
              </w:rPr>
              <w:t>239</w:t>
            </w:r>
          </w:p>
        </w:tc>
        <w:tc>
          <w:tcPr>
            <w:tcW w:w="810" w:type="dxa"/>
            <w:vMerge w:val="restart"/>
            <w:vAlign w:val="center"/>
            <w:hideMark/>
          </w:tcPr>
          <w:p w14:paraId="507500BF"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0.79</w:t>
            </w:r>
          </w:p>
        </w:tc>
        <w:tc>
          <w:tcPr>
            <w:tcW w:w="900" w:type="dxa"/>
            <w:vMerge w:val="restart"/>
            <w:vAlign w:val="center"/>
            <w:hideMark/>
          </w:tcPr>
          <w:p w14:paraId="33AA8B0F"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52</w:t>
            </w:r>
          </w:p>
        </w:tc>
        <w:tc>
          <w:tcPr>
            <w:tcW w:w="1155" w:type="dxa"/>
            <w:vMerge w:val="restart"/>
            <w:vAlign w:val="center"/>
          </w:tcPr>
          <w:p w14:paraId="30A598F7"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8035A5">
              <w:rPr>
                <w:rFonts w:asciiTheme="majorBidi" w:hAnsiTheme="majorBidi" w:cstheme="majorBidi"/>
                <w:b/>
                <w:bCs/>
                <w:sz w:val="18"/>
                <w:szCs w:val="18"/>
              </w:rPr>
              <w:t>Scheuer</w:t>
            </w:r>
          </w:p>
        </w:tc>
        <w:tc>
          <w:tcPr>
            <w:tcW w:w="1545" w:type="dxa"/>
            <w:vMerge w:val="restart"/>
            <w:vAlign w:val="center"/>
          </w:tcPr>
          <w:p w14:paraId="5BE9FF64"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8035A5">
              <w:rPr>
                <w:rFonts w:asciiTheme="majorBidi" w:eastAsiaTheme="minorHAnsi" w:hAnsiTheme="majorBidi" w:cstheme="majorBidi"/>
                <w:b/>
                <w:bCs/>
                <w:sz w:val="18"/>
                <w:szCs w:val="18"/>
                <w:lang w:eastAsia="en-US"/>
              </w:rPr>
              <w:t>HBV</w:t>
            </w:r>
          </w:p>
        </w:tc>
      </w:tr>
      <w:tr w:rsidR="002C7FFA" w:rsidRPr="008035A5" w14:paraId="25836196" w14:textId="77777777" w:rsidTr="004F52BC">
        <w:trPr>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430FD6DF"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51B2FB6F"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hideMark/>
          </w:tcPr>
          <w:p w14:paraId="5A64A3AB"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61E7C8DC"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141195C9"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F2</w:t>
            </w:r>
          </w:p>
        </w:tc>
        <w:tc>
          <w:tcPr>
            <w:tcW w:w="1260" w:type="dxa"/>
            <w:vAlign w:val="center"/>
          </w:tcPr>
          <w:p w14:paraId="01AC0F26"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0.32</w:t>
            </w:r>
          </w:p>
        </w:tc>
        <w:tc>
          <w:tcPr>
            <w:tcW w:w="900" w:type="dxa"/>
            <w:vAlign w:val="center"/>
            <w:hideMark/>
          </w:tcPr>
          <w:p w14:paraId="40CDD116"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0.71</w:t>
            </w:r>
          </w:p>
        </w:tc>
        <w:tc>
          <w:tcPr>
            <w:tcW w:w="810" w:type="dxa"/>
            <w:vAlign w:val="center"/>
            <w:hideMark/>
          </w:tcPr>
          <w:p w14:paraId="32DB203F"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0.75</w:t>
            </w:r>
          </w:p>
        </w:tc>
        <w:tc>
          <w:tcPr>
            <w:tcW w:w="900" w:type="dxa"/>
            <w:vAlign w:val="center"/>
            <w:hideMark/>
          </w:tcPr>
          <w:p w14:paraId="1B70E6E8"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0.95</w:t>
            </w:r>
          </w:p>
        </w:tc>
        <w:tc>
          <w:tcPr>
            <w:tcW w:w="810" w:type="dxa"/>
            <w:vAlign w:val="center"/>
            <w:hideMark/>
          </w:tcPr>
          <w:p w14:paraId="555719D6"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0.29</w:t>
            </w:r>
          </w:p>
        </w:tc>
        <w:tc>
          <w:tcPr>
            <w:tcW w:w="845" w:type="dxa"/>
            <w:vMerge/>
            <w:vAlign w:val="center"/>
          </w:tcPr>
          <w:p w14:paraId="0987127E"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810" w:type="dxa"/>
            <w:vMerge/>
            <w:vAlign w:val="center"/>
            <w:hideMark/>
          </w:tcPr>
          <w:p w14:paraId="1DDD26E5"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4829DEBB"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155" w:type="dxa"/>
            <w:vMerge/>
            <w:vAlign w:val="center"/>
          </w:tcPr>
          <w:p w14:paraId="095286FA"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c>
          <w:tcPr>
            <w:tcW w:w="1545" w:type="dxa"/>
            <w:vMerge/>
            <w:vAlign w:val="center"/>
          </w:tcPr>
          <w:p w14:paraId="3E10CC88"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r>
      <w:tr w:rsidR="002C7FFA" w:rsidRPr="008035A5" w14:paraId="33A3984B" w14:textId="77777777" w:rsidTr="004F52BC">
        <w:trPr>
          <w:cnfStyle w:val="000000100000" w:firstRow="0" w:lastRow="0" w:firstColumn="0" w:lastColumn="0" w:oddVBand="0" w:evenVBand="0" w:oddHBand="1"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3C438BB6"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0653A541"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hideMark/>
          </w:tcPr>
          <w:p w14:paraId="51F763D0"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1ABCFB0E"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5EF80F6B"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F3</w:t>
            </w:r>
          </w:p>
        </w:tc>
        <w:tc>
          <w:tcPr>
            <w:tcW w:w="1260" w:type="dxa"/>
            <w:vAlign w:val="center"/>
          </w:tcPr>
          <w:p w14:paraId="6D7452B6"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0.32</w:t>
            </w:r>
          </w:p>
        </w:tc>
        <w:tc>
          <w:tcPr>
            <w:tcW w:w="900" w:type="dxa"/>
            <w:vAlign w:val="center"/>
            <w:hideMark/>
          </w:tcPr>
          <w:p w14:paraId="2295FDF7"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0.79</w:t>
            </w:r>
          </w:p>
        </w:tc>
        <w:tc>
          <w:tcPr>
            <w:tcW w:w="810" w:type="dxa"/>
            <w:vAlign w:val="center"/>
            <w:hideMark/>
          </w:tcPr>
          <w:p w14:paraId="6F3CAB4B"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0.64</w:t>
            </w:r>
          </w:p>
        </w:tc>
        <w:tc>
          <w:tcPr>
            <w:tcW w:w="900" w:type="dxa"/>
            <w:vAlign w:val="center"/>
            <w:hideMark/>
          </w:tcPr>
          <w:p w14:paraId="05844FCA"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0.84</w:t>
            </w:r>
          </w:p>
        </w:tc>
        <w:tc>
          <w:tcPr>
            <w:tcW w:w="810" w:type="dxa"/>
            <w:vAlign w:val="center"/>
            <w:hideMark/>
          </w:tcPr>
          <w:p w14:paraId="3FF5AF75"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0.56</w:t>
            </w:r>
          </w:p>
        </w:tc>
        <w:tc>
          <w:tcPr>
            <w:tcW w:w="845" w:type="dxa"/>
            <w:vMerge/>
            <w:vAlign w:val="center"/>
          </w:tcPr>
          <w:p w14:paraId="4F58E263"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810" w:type="dxa"/>
            <w:vMerge/>
            <w:vAlign w:val="center"/>
            <w:hideMark/>
          </w:tcPr>
          <w:p w14:paraId="1FF1C35D"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18E080A2"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155" w:type="dxa"/>
            <w:vMerge/>
            <w:vAlign w:val="center"/>
          </w:tcPr>
          <w:p w14:paraId="77B38304"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c>
          <w:tcPr>
            <w:tcW w:w="1545" w:type="dxa"/>
            <w:vMerge/>
            <w:vAlign w:val="center"/>
          </w:tcPr>
          <w:p w14:paraId="3CB62B30"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r>
      <w:tr w:rsidR="002C7FFA" w:rsidRPr="008035A5" w14:paraId="3351DCF2" w14:textId="77777777" w:rsidTr="004F52BC">
        <w:trPr>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26165681"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420163DC"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hideMark/>
          </w:tcPr>
          <w:p w14:paraId="4A60D653"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000AFB1C"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40500331"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F4</w:t>
            </w:r>
          </w:p>
        </w:tc>
        <w:tc>
          <w:tcPr>
            <w:tcW w:w="1260" w:type="dxa"/>
            <w:vAlign w:val="center"/>
          </w:tcPr>
          <w:p w14:paraId="5897341C"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0.56</w:t>
            </w:r>
          </w:p>
        </w:tc>
        <w:tc>
          <w:tcPr>
            <w:tcW w:w="900" w:type="dxa"/>
            <w:vAlign w:val="center"/>
            <w:hideMark/>
          </w:tcPr>
          <w:p w14:paraId="3BB6FE53"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0.78</w:t>
            </w:r>
          </w:p>
        </w:tc>
        <w:tc>
          <w:tcPr>
            <w:tcW w:w="810" w:type="dxa"/>
            <w:vAlign w:val="center"/>
            <w:hideMark/>
          </w:tcPr>
          <w:p w14:paraId="76477C0F"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0.69</w:t>
            </w:r>
          </w:p>
        </w:tc>
        <w:tc>
          <w:tcPr>
            <w:tcW w:w="900" w:type="dxa"/>
            <w:vAlign w:val="center"/>
            <w:hideMark/>
          </w:tcPr>
          <w:p w14:paraId="2F6F3759"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0.73</w:t>
            </w:r>
          </w:p>
        </w:tc>
        <w:tc>
          <w:tcPr>
            <w:tcW w:w="810" w:type="dxa"/>
            <w:vAlign w:val="center"/>
            <w:hideMark/>
          </w:tcPr>
          <w:p w14:paraId="58AB1A63"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0.75</w:t>
            </w:r>
          </w:p>
        </w:tc>
        <w:tc>
          <w:tcPr>
            <w:tcW w:w="845" w:type="dxa"/>
            <w:vMerge/>
            <w:vAlign w:val="center"/>
          </w:tcPr>
          <w:p w14:paraId="372025A0"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810" w:type="dxa"/>
            <w:vMerge/>
            <w:vAlign w:val="center"/>
            <w:hideMark/>
          </w:tcPr>
          <w:p w14:paraId="675046E9"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0DBD460B"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155" w:type="dxa"/>
            <w:vMerge/>
            <w:vAlign w:val="center"/>
          </w:tcPr>
          <w:p w14:paraId="3134CEF7"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c>
          <w:tcPr>
            <w:tcW w:w="1545" w:type="dxa"/>
            <w:vMerge/>
            <w:vAlign w:val="center"/>
          </w:tcPr>
          <w:p w14:paraId="51F4B1B2"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r>
      <w:tr w:rsidR="002C7FFA" w:rsidRPr="008035A5" w14:paraId="3F6C1660" w14:textId="77777777" w:rsidTr="004F52BC">
        <w:trPr>
          <w:cnfStyle w:val="000000100000" w:firstRow="0" w:lastRow="0" w:firstColumn="0" w:lastColumn="0" w:oddVBand="0" w:evenVBand="0" w:oddHBand="1"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645" w:type="dxa"/>
            <w:vAlign w:val="center"/>
          </w:tcPr>
          <w:p w14:paraId="6695FD3D" w14:textId="77777777" w:rsidR="002C7FFA" w:rsidRPr="008035A5" w:rsidRDefault="002C7FFA">
            <w:pPr>
              <w:pStyle w:val="Paragraph"/>
              <w:spacing w:before="0" w:line="240" w:lineRule="auto"/>
              <w:jc w:val="center"/>
              <w:rPr>
                <w:rFonts w:asciiTheme="majorBidi" w:hAnsiTheme="majorBidi" w:cstheme="majorBidi"/>
                <w:b w:val="0"/>
                <w:bCs w:val="0"/>
                <w:i/>
                <w:iCs/>
                <w:sz w:val="18"/>
                <w:szCs w:val="18"/>
              </w:rPr>
            </w:pPr>
            <w:r>
              <w:rPr>
                <w:rFonts w:asciiTheme="majorBidi" w:hAnsiTheme="majorBidi" w:cstheme="majorBidi"/>
                <w:noProof/>
                <w:sz w:val="18"/>
                <w:szCs w:val="18"/>
                <w:vertAlign w:val="superscript"/>
              </w:rPr>
              <w:fldChar w:fldCharType="begin" w:fldLock="1"/>
            </w:r>
            <w:r>
              <w:rPr>
                <w:rFonts w:asciiTheme="majorBidi" w:hAnsiTheme="majorBidi" w:cstheme="majorBidi"/>
                <w:noProof/>
                <w:sz w:val="18"/>
                <w:szCs w:val="18"/>
                <w:vertAlign w:val="superscript"/>
              </w:rPr>
              <w:instrText>ADDIN CSL_CITATION {"citationItems":[{"id":"ITEM-1","itemData":{"DOI":"10.1016/j.cca.2018.07.030","ISSN":"0009-8981","author":[{"dropping-particle":"","family":"Zeng","given":"Tingting","non-dropping-particle":"","parse-names":false,"suffix":""},{"dropping-particle":"","family":"Yu","given":"Jianlin","non-dropping-particle":"","parse-names":false,"suffix":""},{"dropping-particle":"","family":"Tan","given":"Liming","non-dropping-particle":"","parse-names":false,"suffix":""},{"dropping-particle":"","family":"Wu","given":"Yang","non-dropping-particle":"","parse-names":false,"suffix":""},{"dropping-particle":"","family":"Tian","given":"Yongjian","non-dropping-particle":"","parse-names":false,"suffix":""},{"dropping-particle":"","family":"Wu","given":"Qiong","non-dropping-particle":"","parse-names":false,"suffix":""},{"dropping-particle":"","family":"Duan","given":"Xingwang","non-dropping-particle":"","parse-names":false,"suffix":""},{"dropping-particle":"","family":"Yu","given":"Le","non-dropping-particle":"","parse-names":false,"suffix":""}],"container-title":"CLINICA CHIMICA ACTA","id":"ITEM-1","issued":{"date-parts":[["2018","11"]]},"page":"135-141","title":"Noninvasive indices for monitoring disease course in Chinese patients with autoimmune hepatitis","type":"article-journal","volume":"486"},"uris":["http://www.mendeley.com/documents/?uuid=9d6f9f48-38aa-4b6c-aba6-a57b6273f02a"]}],"mendeley":{"formattedCitation":"[16]","plainTextFormattedCitation":"[16]","previouslyFormattedCitation":"[16]"},"properties":{"noteIndex":0},"schema":"https://github.com/citation-style-language/schema/raw/master/csl-citation.json"}</w:instrText>
            </w:r>
            <w:r>
              <w:rPr>
                <w:rFonts w:asciiTheme="majorBidi" w:hAnsiTheme="majorBidi" w:cstheme="majorBidi"/>
                <w:noProof/>
                <w:sz w:val="18"/>
                <w:szCs w:val="18"/>
                <w:vertAlign w:val="superscript"/>
              </w:rPr>
              <w:fldChar w:fldCharType="separate"/>
            </w:r>
            <w:r w:rsidRPr="005B400C">
              <w:rPr>
                <w:rFonts w:asciiTheme="majorBidi" w:hAnsiTheme="majorBidi" w:cstheme="majorBidi"/>
                <w:b w:val="0"/>
                <w:noProof/>
                <w:sz w:val="18"/>
                <w:szCs w:val="18"/>
              </w:rPr>
              <w:t>[16]</w:t>
            </w:r>
            <w:r>
              <w:rPr>
                <w:rFonts w:asciiTheme="majorBidi" w:hAnsiTheme="majorBidi" w:cstheme="majorBidi"/>
                <w:noProof/>
                <w:sz w:val="18"/>
                <w:szCs w:val="18"/>
                <w:vertAlign w:val="superscript"/>
              </w:rPr>
              <w:fldChar w:fldCharType="end"/>
            </w:r>
          </w:p>
        </w:tc>
        <w:tc>
          <w:tcPr>
            <w:tcW w:w="1960" w:type="dxa"/>
            <w:vAlign w:val="center"/>
            <w:hideMark/>
          </w:tcPr>
          <w:p w14:paraId="2320F862"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Zeng T. et al</w:t>
            </w:r>
          </w:p>
        </w:tc>
        <w:tc>
          <w:tcPr>
            <w:tcW w:w="630" w:type="dxa"/>
            <w:vAlign w:val="center"/>
            <w:hideMark/>
          </w:tcPr>
          <w:p w14:paraId="42E59EAB"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2018</w:t>
            </w:r>
          </w:p>
        </w:tc>
        <w:tc>
          <w:tcPr>
            <w:tcW w:w="900" w:type="dxa"/>
            <w:vAlign w:val="center"/>
            <w:hideMark/>
          </w:tcPr>
          <w:p w14:paraId="7E04E281"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China</w:t>
            </w:r>
          </w:p>
        </w:tc>
        <w:tc>
          <w:tcPr>
            <w:tcW w:w="900" w:type="dxa"/>
            <w:vAlign w:val="center"/>
            <w:hideMark/>
          </w:tcPr>
          <w:p w14:paraId="1C726DA5"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F4</w:t>
            </w:r>
          </w:p>
        </w:tc>
        <w:tc>
          <w:tcPr>
            <w:tcW w:w="1260" w:type="dxa"/>
            <w:vAlign w:val="center"/>
          </w:tcPr>
          <w:p w14:paraId="6CE5134D"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8035A5">
              <w:rPr>
                <w:rFonts w:asciiTheme="majorBidi" w:hAnsiTheme="majorBidi" w:cstheme="majorBidi"/>
                <w:b/>
                <w:bCs/>
                <w:sz w:val="18"/>
                <w:szCs w:val="18"/>
              </w:rPr>
              <w:t>0.56</w:t>
            </w:r>
          </w:p>
        </w:tc>
        <w:tc>
          <w:tcPr>
            <w:tcW w:w="900" w:type="dxa"/>
            <w:vAlign w:val="center"/>
            <w:hideMark/>
          </w:tcPr>
          <w:p w14:paraId="2B22724D"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0.90</w:t>
            </w:r>
          </w:p>
        </w:tc>
        <w:tc>
          <w:tcPr>
            <w:tcW w:w="810" w:type="dxa"/>
            <w:vAlign w:val="center"/>
            <w:hideMark/>
          </w:tcPr>
          <w:p w14:paraId="6387BB3A"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0.39</w:t>
            </w:r>
          </w:p>
        </w:tc>
        <w:tc>
          <w:tcPr>
            <w:tcW w:w="900" w:type="dxa"/>
            <w:vAlign w:val="center"/>
            <w:hideMark/>
          </w:tcPr>
          <w:p w14:paraId="6926964E"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0.59</w:t>
            </w:r>
          </w:p>
        </w:tc>
        <w:tc>
          <w:tcPr>
            <w:tcW w:w="810" w:type="dxa"/>
            <w:vAlign w:val="center"/>
            <w:hideMark/>
          </w:tcPr>
          <w:p w14:paraId="0861204E"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0.79</w:t>
            </w:r>
          </w:p>
        </w:tc>
        <w:tc>
          <w:tcPr>
            <w:tcW w:w="845" w:type="dxa"/>
            <w:vAlign w:val="center"/>
            <w:hideMark/>
          </w:tcPr>
          <w:p w14:paraId="11210E61"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hAnsiTheme="majorBidi" w:cstheme="majorBidi"/>
                <w:b/>
                <w:bCs/>
                <w:sz w:val="18"/>
                <w:szCs w:val="18"/>
              </w:rPr>
              <w:t>76</w:t>
            </w:r>
          </w:p>
        </w:tc>
        <w:tc>
          <w:tcPr>
            <w:tcW w:w="810" w:type="dxa"/>
            <w:vAlign w:val="center"/>
            <w:hideMark/>
          </w:tcPr>
          <w:p w14:paraId="3C316200"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0.22</w:t>
            </w:r>
          </w:p>
        </w:tc>
        <w:tc>
          <w:tcPr>
            <w:tcW w:w="900" w:type="dxa"/>
            <w:vAlign w:val="center"/>
            <w:hideMark/>
          </w:tcPr>
          <w:p w14:paraId="4D896DC5"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57</w:t>
            </w:r>
          </w:p>
        </w:tc>
        <w:tc>
          <w:tcPr>
            <w:tcW w:w="1155" w:type="dxa"/>
            <w:vAlign w:val="center"/>
          </w:tcPr>
          <w:p w14:paraId="2C44FB41"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8035A5">
              <w:rPr>
                <w:rFonts w:asciiTheme="majorBidi" w:hAnsiTheme="majorBidi" w:cstheme="majorBidi"/>
                <w:b/>
                <w:bCs/>
                <w:sz w:val="18"/>
                <w:szCs w:val="18"/>
              </w:rPr>
              <w:t>METAVIR</w:t>
            </w:r>
          </w:p>
        </w:tc>
        <w:tc>
          <w:tcPr>
            <w:tcW w:w="1545" w:type="dxa"/>
            <w:vAlign w:val="center"/>
          </w:tcPr>
          <w:p w14:paraId="6D67BA89"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8035A5">
              <w:rPr>
                <w:rFonts w:asciiTheme="majorBidi" w:eastAsiaTheme="minorHAnsi" w:hAnsiTheme="majorBidi" w:cstheme="majorBidi"/>
                <w:b/>
                <w:bCs/>
                <w:sz w:val="18"/>
                <w:szCs w:val="18"/>
                <w:lang w:eastAsia="en-US"/>
              </w:rPr>
              <w:t>AIH</w:t>
            </w:r>
          </w:p>
        </w:tc>
      </w:tr>
      <w:tr w:rsidR="002C7FFA" w:rsidRPr="008035A5" w14:paraId="6665145A" w14:textId="77777777" w:rsidTr="004F52BC">
        <w:trPr>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restart"/>
            <w:vAlign w:val="center"/>
          </w:tcPr>
          <w:p w14:paraId="30A33D6A" w14:textId="77777777" w:rsidR="002C7FFA" w:rsidRPr="008035A5" w:rsidRDefault="002C7FFA">
            <w:pPr>
              <w:pStyle w:val="Paragraph"/>
              <w:spacing w:before="0" w:line="240" w:lineRule="auto"/>
              <w:jc w:val="center"/>
              <w:rPr>
                <w:rFonts w:asciiTheme="majorBidi" w:hAnsiTheme="majorBidi" w:cstheme="majorBidi"/>
                <w:b w:val="0"/>
                <w:bCs w:val="0"/>
                <w:i/>
                <w:iCs/>
                <w:sz w:val="18"/>
                <w:szCs w:val="18"/>
              </w:rPr>
            </w:pPr>
            <w:r>
              <w:rPr>
                <w:rFonts w:asciiTheme="majorBidi" w:hAnsiTheme="majorBidi" w:cstheme="majorBidi"/>
                <w:noProof/>
                <w:sz w:val="18"/>
                <w:szCs w:val="18"/>
                <w:vertAlign w:val="superscript"/>
              </w:rPr>
              <w:fldChar w:fldCharType="begin" w:fldLock="1"/>
            </w:r>
            <w:r>
              <w:rPr>
                <w:rFonts w:asciiTheme="majorBidi" w:hAnsiTheme="majorBidi" w:cstheme="majorBidi"/>
                <w:noProof/>
                <w:sz w:val="18"/>
                <w:szCs w:val="18"/>
                <w:vertAlign w:val="superscript"/>
              </w:rPr>
              <w:instrText>ADDIN CSL_CITATION {"citationItems":[{"id":"ITEM-1","itemData":{"DOI":"10.1002/jmv.25435","ISSN":"1096-9071 (Electronic)","PMID":"30788841","abstract":"AIM: We aimed at investigating the effects of age on the predictive performances  of noninvasive fibrosis scores for significant fibrosis in patients with chronic hepatitis B (CHB). METHODS: A total of 496 CHB patients who underwent liver biopsy were stratified into four age groups: ≤30, 31 to 40, 41 to 50, and ≥51 years. Receiver operating characteristic curves were used to evaluate the diagnostic performance of aspartate aminotransferase to platelet ratio index (APRI), fibrosis score-4 (Fib-4) and γ-glutamyl transpeptidase to platelet ratio (GPR) in different age groups. RESULTS: The extent of fibrosis significantly increased with age, and the percentage of significant fibrosis (≥F2) was 21.3%, 29.0%, 38.5%, and 46.1%, respectively. All three scores displayed a moderate accuracy to diagnose significant fibrosis in overall patients. However, for patients with age ≤30 years, APRI, Fib-4, and GPR performed poorly with the AUROC of 0.567, 0.627 and 0.596, respectively. Furthermore, using the established cut-off values-1.45 for Fib-4, the sensitivity for significant fibrosis increased with age, from 14.8%, 38.1%, 74.5% to 97.87% in above age groups, respectively. To improve the diagnostic accuracy for significant fibrosis, the proposed low and high cut-off points for Fib-4 were 0.41 and 1.15 in ≤30 years, 0.8 and 1.59 in 31 to 40 years, 1.17 and 1.94 in 41 to 50 years, 1.76 and 3.10 in ≥ 51 years, respectively. CONCLUSIONS: Age may influence the diagnostic thresholds and performance of APRI, Fib-4, and GPR for significant fibrosis in patients with CHB. In particular, these scores performed poorly for identifying significant fibrosis in younger patients (≤30 years).","author":[{"dropping-particle":"","family":"Wang","given":"Wentao","non-dropping-particle":"","parse-names":false,"suffix":""},{"dropping-particle":"","family":"Zhao","given":"Xueqi","non-dropping-particle":"","parse-names":false,"suffix":""},{"dropping-particle":"","family":"Li","given":"Guiping","non-dropping-particle":"","parse-names":false,"suffix":""},{"dropping-particle":"","family":"Wang","given":"Lin","non-dropping-particle":"","parse-names":false,"suffix":""},{"dropping-particle":"","family":"Chen","given":"Yizhi","non-dropping-particle":"","parse-names":false,"suffix":""},{"dropping-particle":"","family":"Ma","given":"Ke","non-dropping-particle":"","parse-names":false,"suffix":""},{"dropping-particle":"","family":"Chen","given":"Guang","non-dropping-particle":"","parse-names":false,"suffix":""},{"dropping-particle":"","family":"Chen","given":"Tao","non-dropping-particle":"","parse-names":false,"suffix":""},{"dropping-particle":"","family":"Han","given":"Meifang","non-dropping-particle":"","parse-names":false,"suffix":""},{"dropping-particle":"","family":"Ning","given":"Qin","non-dropping-particle":"","parse-names":false,"suffix":""},{"dropping-particle":"","family":"Zhao","given":"Xiping","non-dropping-particle":"","parse-names":false,"suffix":""}],"container-title":"Journal of medical virology","id":"ITEM-1","issue":"7","issued":{"date-parts":[["2019","7"]]},"language":"eng","page":"1279-1287","publisher-place":"United States","title":"Diagnostic thresholds and performance of noninvasive fibrosis scores are limited  by age in patients with chronic hepatitis B.","type":"article-journal","volume":"91"},"uris":["http://www.mendeley.com/documents/?uuid=f1856ced-a489-480d-b753-68101ab3c5ea"]}],"mendeley":{"formattedCitation":"[17]","plainTextFormattedCitation":"[17]","previouslyFormattedCitation":"[17]"},"properties":{"noteIndex":0},"schema":"https://github.com/citation-style-language/schema/raw/master/csl-citation.json"}</w:instrText>
            </w:r>
            <w:r>
              <w:rPr>
                <w:rFonts w:asciiTheme="majorBidi" w:hAnsiTheme="majorBidi" w:cstheme="majorBidi"/>
                <w:noProof/>
                <w:sz w:val="18"/>
                <w:szCs w:val="18"/>
                <w:vertAlign w:val="superscript"/>
              </w:rPr>
              <w:fldChar w:fldCharType="separate"/>
            </w:r>
            <w:r w:rsidRPr="00FE246B">
              <w:rPr>
                <w:rFonts w:asciiTheme="majorBidi" w:hAnsiTheme="majorBidi" w:cstheme="majorBidi"/>
                <w:b w:val="0"/>
                <w:noProof/>
                <w:sz w:val="18"/>
                <w:szCs w:val="18"/>
              </w:rPr>
              <w:t>[17]</w:t>
            </w:r>
            <w:r>
              <w:rPr>
                <w:rFonts w:asciiTheme="majorBidi" w:hAnsiTheme="majorBidi" w:cstheme="majorBidi"/>
                <w:noProof/>
                <w:sz w:val="18"/>
                <w:szCs w:val="18"/>
                <w:vertAlign w:val="superscript"/>
              </w:rPr>
              <w:fldChar w:fldCharType="end"/>
            </w:r>
          </w:p>
        </w:tc>
        <w:tc>
          <w:tcPr>
            <w:tcW w:w="1960" w:type="dxa"/>
            <w:vMerge w:val="restart"/>
            <w:vAlign w:val="center"/>
            <w:hideMark/>
          </w:tcPr>
          <w:p w14:paraId="0177CB80"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Wang W. et al</w:t>
            </w:r>
          </w:p>
        </w:tc>
        <w:tc>
          <w:tcPr>
            <w:tcW w:w="630" w:type="dxa"/>
            <w:vMerge w:val="restart"/>
            <w:vAlign w:val="center"/>
            <w:hideMark/>
          </w:tcPr>
          <w:p w14:paraId="6BC6A59E"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2019</w:t>
            </w:r>
          </w:p>
        </w:tc>
        <w:tc>
          <w:tcPr>
            <w:tcW w:w="900" w:type="dxa"/>
            <w:vMerge w:val="restart"/>
            <w:vAlign w:val="center"/>
            <w:hideMark/>
          </w:tcPr>
          <w:p w14:paraId="3ECCA07A"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China</w:t>
            </w:r>
          </w:p>
        </w:tc>
        <w:tc>
          <w:tcPr>
            <w:tcW w:w="900" w:type="dxa"/>
            <w:vAlign w:val="center"/>
            <w:hideMark/>
          </w:tcPr>
          <w:p w14:paraId="4B3533EC"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F2</w:t>
            </w:r>
          </w:p>
        </w:tc>
        <w:tc>
          <w:tcPr>
            <w:tcW w:w="1260" w:type="dxa"/>
            <w:vAlign w:val="center"/>
          </w:tcPr>
          <w:p w14:paraId="5315C923"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8035A5">
              <w:rPr>
                <w:rFonts w:asciiTheme="majorBidi" w:hAnsiTheme="majorBidi" w:cstheme="majorBidi"/>
                <w:b/>
                <w:bCs/>
                <w:sz w:val="18"/>
                <w:szCs w:val="18"/>
              </w:rPr>
              <w:t>0.23-0.71</w:t>
            </w:r>
          </w:p>
        </w:tc>
        <w:tc>
          <w:tcPr>
            <w:tcW w:w="900" w:type="dxa"/>
            <w:vAlign w:val="center"/>
            <w:hideMark/>
          </w:tcPr>
          <w:p w14:paraId="05D22CD8"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0.22</w:t>
            </w:r>
          </w:p>
        </w:tc>
        <w:tc>
          <w:tcPr>
            <w:tcW w:w="810" w:type="dxa"/>
            <w:vAlign w:val="center"/>
            <w:hideMark/>
          </w:tcPr>
          <w:p w14:paraId="6B0F07DF"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0.76</w:t>
            </w:r>
          </w:p>
        </w:tc>
        <w:tc>
          <w:tcPr>
            <w:tcW w:w="900" w:type="dxa"/>
            <w:vAlign w:val="center"/>
            <w:hideMark/>
          </w:tcPr>
          <w:p w14:paraId="3AADF910"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0.20</w:t>
            </w:r>
          </w:p>
        </w:tc>
        <w:tc>
          <w:tcPr>
            <w:tcW w:w="810" w:type="dxa"/>
            <w:vAlign w:val="center"/>
            <w:hideMark/>
          </w:tcPr>
          <w:p w14:paraId="3F38A8D0"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0.78</w:t>
            </w:r>
          </w:p>
        </w:tc>
        <w:tc>
          <w:tcPr>
            <w:tcW w:w="845" w:type="dxa"/>
            <w:vAlign w:val="center"/>
            <w:hideMark/>
          </w:tcPr>
          <w:p w14:paraId="7BB110C5"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hAnsiTheme="majorBidi" w:cstheme="majorBidi"/>
                <w:b/>
                <w:bCs/>
                <w:sz w:val="18"/>
                <w:szCs w:val="18"/>
              </w:rPr>
              <w:t>127</w:t>
            </w:r>
          </w:p>
        </w:tc>
        <w:tc>
          <w:tcPr>
            <w:tcW w:w="810" w:type="dxa"/>
            <w:vAlign w:val="center"/>
            <w:hideMark/>
          </w:tcPr>
          <w:p w14:paraId="52DD5445"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0.73</w:t>
            </w:r>
          </w:p>
        </w:tc>
        <w:tc>
          <w:tcPr>
            <w:tcW w:w="900" w:type="dxa"/>
            <w:vAlign w:val="center"/>
            <w:hideMark/>
          </w:tcPr>
          <w:p w14:paraId="0FF6BAE7"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25</w:t>
            </w:r>
          </w:p>
        </w:tc>
        <w:tc>
          <w:tcPr>
            <w:tcW w:w="1155" w:type="dxa"/>
            <w:vMerge w:val="restart"/>
            <w:vAlign w:val="center"/>
          </w:tcPr>
          <w:p w14:paraId="076CEF9C"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8035A5">
              <w:rPr>
                <w:rFonts w:asciiTheme="majorBidi" w:hAnsiTheme="majorBidi" w:cstheme="majorBidi"/>
                <w:b/>
                <w:bCs/>
                <w:sz w:val="18"/>
                <w:szCs w:val="18"/>
              </w:rPr>
              <w:t>METAVIR</w:t>
            </w:r>
          </w:p>
        </w:tc>
        <w:tc>
          <w:tcPr>
            <w:tcW w:w="1545" w:type="dxa"/>
            <w:vMerge w:val="restart"/>
            <w:vAlign w:val="center"/>
          </w:tcPr>
          <w:p w14:paraId="7930F648"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8035A5">
              <w:rPr>
                <w:rFonts w:asciiTheme="majorBidi" w:eastAsiaTheme="minorHAnsi" w:hAnsiTheme="majorBidi" w:cstheme="majorBidi"/>
                <w:b/>
                <w:bCs/>
                <w:sz w:val="18"/>
                <w:szCs w:val="18"/>
                <w:lang w:eastAsia="en-US"/>
              </w:rPr>
              <w:t>HBV</w:t>
            </w:r>
          </w:p>
        </w:tc>
      </w:tr>
      <w:tr w:rsidR="002C7FFA" w:rsidRPr="008035A5" w14:paraId="41933E34" w14:textId="77777777" w:rsidTr="004F52BC">
        <w:trPr>
          <w:cnfStyle w:val="000000100000" w:firstRow="0" w:lastRow="0" w:firstColumn="0" w:lastColumn="0" w:oddVBand="0" w:evenVBand="0" w:oddHBand="1"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4ECAA5A0"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4F40B84D"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hideMark/>
          </w:tcPr>
          <w:p w14:paraId="00EB3F43"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5BE6A649"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3A861A29"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F2</w:t>
            </w:r>
          </w:p>
        </w:tc>
        <w:tc>
          <w:tcPr>
            <w:tcW w:w="1260" w:type="dxa"/>
            <w:vAlign w:val="center"/>
          </w:tcPr>
          <w:p w14:paraId="45A65B74"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8035A5">
              <w:rPr>
                <w:rFonts w:asciiTheme="majorBidi" w:hAnsiTheme="majorBidi" w:cstheme="majorBidi"/>
                <w:b/>
                <w:bCs/>
                <w:sz w:val="18"/>
                <w:szCs w:val="18"/>
              </w:rPr>
              <w:t>0.26-0.56</w:t>
            </w:r>
          </w:p>
        </w:tc>
        <w:tc>
          <w:tcPr>
            <w:tcW w:w="900" w:type="dxa"/>
            <w:vAlign w:val="center"/>
            <w:hideMark/>
          </w:tcPr>
          <w:p w14:paraId="1A0F52B3"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0.50</w:t>
            </w:r>
          </w:p>
        </w:tc>
        <w:tc>
          <w:tcPr>
            <w:tcW w:w="810" w:type="dxa"/>
            <w:vAlign w:val="center"/>
            <w:hideMark/>
          </w:tcPr>
          <w:p w14:paraId="58E46389"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0.82</w:t>
            </w:r>
          </w:p>
        </w:tc>
        <w:tc>
          <w:tcPr>
            <w:tcW w:w="900" w:type="dxa"/>
            <w:vAlign w:val="center"/>
            <w:hideMark/>
          </w:tcPr>
          <w:p w14:paraId="4CCB55B0"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0.53</w:t>
            </w:r>
          </w:p>
        </w:tc>
        <w:tc>
          <w:tcPr>
            <w:tcW w:w="810" w:type="dxa"/>
            <w:vAlign w:val="center"/>
            <w:hideMark/>
          </w:tcPr>
          <w:p w14:paraId="2FA30F64"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0.80</w:t>
            </w:r>
          </w:p>
        </w:tc>
        <w:tc>
          <w:tcPr>
            <w:tcW w:w="845" w:type="dxa"/>
            <w:vAlign w:val="center"/>
            <w:hideMark/>
          </w:tcPr>
          <w:p w14:paraId="1D9229A0"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hAnsiTheme="majorBidi" w:cstheme="majorBidi"/>
                <w:b/>
                <w:bCs/>
                <w:sz w:val="18"/>
                <w:szCs w:val="18"/>
              </w:rPr>
              <w:t>154</w:t>
            </w:r>
          </w:p>
        </w:tc>
        <w:tc>
          <w:tcPr>
            <w:tcW w:w="810" w:type="dxa"/>
            <w:vAlign w:val="center"/>
            <w:hideMark/>
          </w:tcPr>
          <w:p w14:paraId="0B539EBE"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0.72</w:t>
            </w:r>
          </w:p>
        </w:tc>
        <w:tc>
          <w:tcPr>
            <w:tcW w:w="900" w:type="dxa"/>
            <w:vAlign w:val="center"/>
            <w:hideMark/>
          </w:tcPr>
          <w:p w14:paraId="21FD9AAB"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36</w:t>
            </w:r>
          </w:p>
        </w:tc>
        <w:tc>
          <w:tcPr>
            <w:tcW w:w="1155" w:type="dxa"/>
            <w:vMerge/>
            <w:vAlign w:val="center"/>
          </w:tcPr>
          <w:p w14:paraId="19235C14"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c>
          <w:tcPr>
            <w:tcW w:w="1545" w:type="dxa"/>
            <w:vMerge/>
            <w:vAlign w:val="center"/>
          </w:tcPr>
          <w:p w14:paraId="7C902974"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r>
      <w:tr w:rsidR="002C7FFA" w:rsidRPr="008035A5" w14:paraId="7781ED53" w14:textId="77777777" w:rsidTr="004F52BC">
        <w:trPr>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48C61C7E"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733FF22D"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hideMark/>
          </w:tcPr>
          <w:p w14:paraId="773A9178"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1CEBA2CE"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16D17634"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F2</w:t>
            </w:r>
          </w:p>
        </w:tc>
        <w:tc>
          <w:tcPr>
            <w:tcW w:w="1260" w:type="dxa"/>
            <w:vAlign w:val="center"/>
          </w:tcPr>
          <w:p w14:paraId="7CB079A9"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8035A5">
              <w:rPr>
                <w:rFonts w:asciiTheme="majorBidi" w:hAnsiTheme="majorBidi" w:cstheme="majorBidi"/>
                <w:b/>
                <w:bCs/>
                <w:sz w:val="18"/>
                <w:szCs w:val="18"/>
              </w:rPr>
              <w:t>0.27-0.57</w:t>
            </w:r>
          </w:p>
        </w:tc>
        <w:tc>
          <w:tcPr>
            <w:tcW w:w="900" w:type="dxa"/>
            <w:vAlign w:val="center"/>
            <w:hideMark/>
          </w:tcPr>
          <w:p w14:paraId="19384142"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0.64</w:t>
            </w:r>
          </w:p>
        </w:tc>
        <w:tc>
          <w:tcPr>
            <w:tcW w:w="810" w:type="dxa"/>
            <w:vAlign w:val="center"/>
            <w:hideMark/>
          </w:tcPr>
          <w:p w14:paraId="1E2C3401"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0.80</w:t>
            </w:r>
          </w:p>
        </w:tc>
        <w:tc>
          <w:tcPr>
            <w:tcW w:w="900" w:type="dxa"/>
            <w:vAlign w:val="center"/>
            <w:hideMark/>
          </w:tcPr>
          <w:p w14:paraId="20D3D897"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0.67</w:t>
            </w:r>
          </w:p>
        </w:tc>
        <w:tc>
          <w:tcPr>
            <w:tcW w:w="810" w:type="dxa"/>
            <w:vAlign w:val="center"/>
            <w:hideMark/>
          </w:tcPr>
          <w:p w14:paraId="7A28E49B"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0.78</w:t>
            </w:r>
          </w:p>
        </w:tc>
        <w:tc>
          <w:tcPr>
            <w:tcW w:w="845" w:type="dxa"/>
            <w:vAlign w:val="center"/>
            <w:hideMark/>
          </w:tcPr>
          <w:p w14:paraId="0DD700A7"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hAnsiTheme="majorBidi" w:cstheme="majorBidi"/>
                <w:b/>
                <w:bCs/>
                <w:sz w:val="18"/>
                <w:szCs w:val="18"/>
              </w:rPr>
              <w:t>122</w:t>
            </w:r>
          </w:p>
        </w:tc>
        <w:tc>
          <w:tcPr>
            <w:tcW w:w="810" w:type="dxa"/>
            <w:vAlign w:val="center"/>
            <w:hideMark/>
          </w:tcPr>
          <w:p w14:paraId="0C40C157"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0.75</w:t>
            </w:r>
          </w:p>
        </w:tc>
        <w:tc>
          <w:tcPr>
            <w:tcW w:w="900" w:type="dxa"/>
            <w:vAlign w:val="center"/>
            <w:hideMark/>
          </w:tcPr>
          <w:p w14:paraId="2B45E2B3"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45</w:t>
            </w:r>
          </w:p>
        </w:tc>
        <w:tc>
          <w:tcPr>
            <w:tcW w:w="1155" w:type="dxa"/>
            <w:vMerge/>
            <w:vAlign w:val="center"/>
          </w:tcPr>
          <w:p w14:paraId="3316BA6E"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545" w:type="dxa"/>
            <w:vMerge/>
            <w:vAlign w:val="center"/>
          </w:tcPr>
          <w:p w14:paraId="09FAD9CB"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r>
      <w:tr w:rsidR="002C7FFA" w:rsidRPr="008035A5" w14:paraId="5B930731" w14:textId="77777777" w:rsidTr="004F52BC">
        <w:trPr>
          <w:cnfStyle w:val="000000100000" w:firstRow="0" w:lastRow="0" w:firstColumn="0" w:lastColumn="0" w:oddVBand="0" w:evenVBand="0" w:oddHBand="1"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4E7A8C47"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4E6454D6"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hideMark/>
          </w:tcPr>
          <w:p w14:paraId="7A1775CC"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710F0E10"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699B7EDC"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F2</w:t>
            </w:r>
          </w:p>
        </w:tc>
        <w:tc>
          <w:tcPr>
            <w:tcW w:w="1260" w:type="dxa"/>
            <w:vAlign w:val="center"/>
          </w:tcPr>
          <w:p w14:paraId="0D5EB24A"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8035A5">
              <w:rPr>
                <w:rFonts w:asciiTheme="majorBidi" w:hAnsiTheme="majorBidi" w:cstheme="majorBidi"/>
                <w:b/>
                <w:bCs/>
                <w:sz w:val="18"/>
                <w:szCs w:val="18"/>
              </w:rPr>
              <w:t>0.39-0.87</w:t>
            </w:r>
          </w:p>
        </w:tc>
        <w:tc>
          <w:tcPr>
            <w:tcW w:w="900" w:type="dxa"/>
            <w:vAlign w:val="center"/>
            <w:hideMark/>
          </w:tcPr>
          <w:p w14:paraId="04EA77BC"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0.68</w:t>
            </w:r>
          </w:p>
        </w:tc>
        <w:tc>
          <w:tcPr>
            <w:tcW w:w="810" w:type="dxa"/>
            <w:vAlign w:val="center"/>
            <w:hideMark/>
          </w:tcPr>
          <w:p w14:paraId="32001946"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0.75</w:t>
            </w:r>
          </w:p>
        </w:tc>
        <w:tc>
          <w:tcPr>
            <w:tcW w:w="900" w:type="dxa"/>
            <w:vAlign w:val="center"/>
            <w:hideMark/>
          </w:tcPr>
          <w:p w14:paraId="48D67230"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0.70</w:t>
            </w:r>
          </w:p>
        </w:tc>
        <w:tc>
          <w:tcPr>
            <w:tcW w:w="810" w:type="dxa"/>
            <w:vAlign w:val="center"/>
            <w:hideMark/>
          </w:tcPr>
          <w:p w14:paraId="65E77A85"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0.73</w:t>
            </w:r>
          </w:p>
        </w:tc>
        <w:tc>
          <w:tcPr>
            <w:tcW w:w="845" w:type="dxa"/>
            <w:vAlign w:val="center"/>
            <w:hideMark/>
          </w:tcPr>
          <w:p w14:paraId="7C542D69"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hAnsiTheme="majorBidi" w:cstheme="majorBidi"/>
                <w:b/>
                <w:bCs/>
                <w:sz w:val="18"/>
                <w:szCs w:val="18"/>
              </w:rPr>
              <w:t>102</w:t>
            </w:r>
          </w:p>
        </w:tc>
        <w:tc>
          <w:tcPr>
            <w:tcW w:w="810" w:type="dxa"/>
            <w:vAlign w:val="center"/>
            <w:hideMark/>
          </w:tcPr>
          <w:p w14:paraId="445F00F7"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0.71</w:t>
            </w:r>
          </w:p>
        </w:tc>
        <w:tc>
          <w:tcPr>
            <w:tcW w:w="900" w:type="dxa"/>
            <w:vAlign w:val="center"/>
            <w:hideMark/>
          </w:tcPr>
          <w:p w14:paraId="0BB4EC42"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57</w:t>
            </w:r>
          </w:p>
        </w:tc>
        <w:tc>
          <w:tcPr>
            <w:tcW w:w="1155" w:type="dxa"/>
            <w:vMerge/>
            <w:vAlign w:val="center"/>
          </w:tcPr>
          <w:p w14:paraId="36D8625D"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545" w:type="dxa"/>
            <w:vMerge/>
            <w:vAlign w:val="center"/>
          </w:tcPr>
          <w:p w14:paraId="26426114"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r>
      <w:tr w:rsidR="002C7FFA" w:rsidRPr="008035A5" w14:paraId="397F27DC" w14:textId="77777777" w:rsidTr="004F52BC">
        <w:trPr>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restart"/>
            <w:vAlign w:val="center"/>
          </w:tcPr>
          <w:p w14:paraId="3287D538" w14:textId="77777777" w:rsidR="002C7FFA" w:rsidRPr="008035A5" w:rsidRDefault="002C7FFA">
            <w:pPr>
              <w:pStyle w:val="Paragraph"/>
              <w:spacing w:before="0" w:line="240" w:lineRule="auto"/>
              <w:jc w:val="center"/>
              <w:rPr>
                <w:rFonts w:asciiTheme="majorBidi" w:hAnsiTheme="majorBidi" w:cstheme="majorBidi"/>
                <w:b w:val="0"/>
                <w:bCs w:val="0"/>
                <w:i/>
                <w:iCs/>
                <w:sz w:val="18"/>
                <w:szCs w:val="18"/>
              </w:rPr>
            </w:pPr>
            <w:r>
              <w:rPr>
                <w:rFonts w:asciiTheme="majorBidi" w:hAnsiTheme="majorBidi" w:cstheme="majorBidi"/>
                <w:noProof/>
                <w:sz w:val="18"/>
                <w:szCs w:val="18"/>
                <w:vertAlign w:val="superscript"/>
              </w:rPr>
              <w:fldChar w:fldCharType="begin" w:fldLock="1"/>
            </w:r>
            <w:r>
              <w:rPr>
                <w:rFonts w:asciiTheme="majorBidi" w:hAnsiTheme="majorBidi" w:cstheme="majorBidi"/>
                <w:noProof/>
                <w:sz w:val="18"/>
                <w:szCs w:val="18"/>
                <w:vertAlign w:val="superscript"/>
              </w:rPr>
              <w:instrText>ADDIN CSL_CITATION {"citationItems":[{"id":"ITEM-1","itemData":{"DOI":"10.1016/j.cmi.2018.06.002","ISSN":"1469-0691 (Electronic)","PMID":"29906588","abstract":"OBJECTIVES: To evaluate the performance of a new mathematical model γ-glutamyl  transpeptidase to cholinesterase and platelet ratio (GCPR) versus γ-glutamyl transpeptidase to platelet ratio (GPR) in predicting significant fibrosis and cirrhosis of chronic hepatitis B. METHODS: A complete cohort of 2343 patients was divided into early and late cohort depending on the time of liver biopsy. With reference to the Scheuer standard, liver pathologic stage 2 or higher and stage 4 or higher were defined as significant fibrosis and cirrhosis, respectively. Receiver operating characteristic (ROC) curve was used to evaluate the performance of investigated models. RESULTS: In the early cohort, the areas under ROC curves (AUROCs) of GCPR in predicting significant fibrosis of hepatitis B e antigen (HBeAg)-positive and HBeAg-negative patients (0.782 and 0.775) were both significantly greater than those of GPR (0.748 and 0.747) (Z = 8.198 and Z = 6.023, both p &lt;0.0001); the AUROCs of GCPR in predicting cirrhosis of HBeAg-positive and HBeAg-negative patients (0.842 and 0.861) were both significantly greater than those of GPR (0.802 and 0.823) (Z = 6.686 and Z = 6.116, both p &lt;0.0001). In early, late and complete cohorts, using a single cutoff of GCPR &gt; 0.080, the specificities of GCPR in predicting significant fibrosis of HBeAg-positive patients were 83.3%, 88.2% and 85.0% and of HBeAg-negative patients were 87.6%, 87.4% and 87.6%, respectively; and the sensitivities of GCPR in predicting cirrhosis of HBeAg-positive patients were 81.9%, 88.7% and 84.2% and of HBeAg-negative patients were 83.1%, 82.1% and 82.7%, respectively. CONCLUSIONS: GCPR has higher performance than GPR in predicting significant fibrosis and cirrhosis of chronic hepatitis B.","author":[{"dropping-particle":"","family":"Liu","given":"D","non-dropping-particle":"","parse-names":false,"suffix":""},{"dropping-particle":"","family":"Li","given":"J","non-dropping-particle":"","parse-names":false,"suffix":""},{"dropping-particle":"","family":"Lu","given":"W","non-dropping-particle":"","parse-names":false,"suffix":""},{"dropping-particle":"","family":"Wang","given":"Y","non-dropping-particle":"","parse-names":false,"suffix":""},{"dropping-particle":"","family":"Zhou","given":"X","non-dropping-particle":"","parse-names":false,"suffix":""},{"dropping-particle":"","family":"Huang","given":"D","non-dropping-particle":"","parse-names":false,"suffix":""},{"dropping-particle":"","family":"Li","given":"X","non-dropping-particle":"","parse-names":false,"suffix":""},{"dropping-particle":"","family":"Ding","given":"R","non-dropping-particle":"","parse-names":false,"suffix":""},{"dropping-particle":"","family":"Zhang","given":"Z","non-dropping-particle":"","parse-names":false,"suffix":""}],"container-title":"Clinical microbiology and infection : the official publication of the European  Society of Clinical Microbiology and Infectious Diseases","id":"ITEM-1","issue":"4","issued":{"date-parts":[["2019","4"]]},"language":"eng","page":"514.e1-514.e8","publisher-place":"England","title":"Gamma-glutamyl transpeptidase to cholinesterase and platelet ratio in predicting  significant liver fibrosis and cirrhosis of chronic hepatitis B.","type":"article-journal","volume":"25"},"uris":["http://www.mendeley.com/documents/?uuid=c7180f23-2f05-4271-9f03-537c98cab3bf"]}],"mendeley":{"formattedCitation":"[18]","plainTextFormattedCitation":"[18]","previouslyFormattedCitation":"[18]"},"properties":{"noteIndex":0},"schema":"https://github.com/citation-style-language/schema/raw/master/csl-citation.json"}</w:instrText>
            </w:r>
            <w:r>
              <w:rPr>
                <w:rFonts w:asciiTheme="majorBidi" w:hAnsiTheme="majorBidi" w:cstheme="majorBidi"/>
                <w:noProof/>
                <w:sz w:val="18"/>
                <w:szCs w:val="18"/>
                <w:vertAlign w:val="superscript"/>
              </w:rPr>
              <w:fldChar w:fldCharType="separate"/>
            </w:r>
            <w:r w:rsidRPr="00FE246B">
              <w:rPr>
                <w:rFonts w:asciiTheme="majorBidi" w:hAnsiTheme="majorBidi" w:cstheme="majorBidi"/>
                <w:b w:val="0"/>
                <w:noProof/>
                <w:sz w:val="18"/>
                <w:szCs w:val="18"/>
              </w:rPr>
              <w:t>[18]</w:t>
            </w:r>
            <w:r>
              <w:rPr>
                <w:rFonts w:asciiTheme="majorBidi" w:hAnsiTheme="majorBidi" w:cstheme="majorBidi"/>
                <w:noProof/>
                <w:sz w:val="18"/>
                <w:szCs w:val="18"/>
                <w:vertAlign w:val="superscript"/>
              </w:rPr>
              <w:fldChar w:fldCharType="end"/>
            </w:r>
          </w:p>
        </w:tc>
        <w:tc>
          <w:tcPr>
            <w:tcW w:w="1960" w:type="dxa"/>
            <w:vMerge w:val="restart"/>
            <w:vAlign w:val="center"/>
            <w:hideMark/>
          </w:tcPr>
          <w:p w14:paraId="200B86D5"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Liu D. et al</w:t>
            </w:r>
          </w:p>
        </w:tc>
        <w:tc>
          <w:tcPr>
            <w:tcW w:w="630" w:type="dxa"/>
            <w:vMerge w:val="restart"/>
            <w:vAlign w:val="center"/>
            <w:hideMark/>
          </w:tcPr>
          <w:p w14:paraId="754069C6"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2018</w:t>
            </w:r>
          </w:p>
        </w:tc>
        <w:tc>
          <w:tcPr>
            <w:tcW w:w="900" w:type="dxa"/>
            <w:vMerge w:val="restart"/>
            <w:vAlign w:val="center"/>
            <w:hideMark/>
          </w:tcPr>
          <w:p w14:paraId="4326CD50"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China</w:t>
            </w:r>
          </w:p>
        </w:tc>
        <w:tc>
          <w:tcPr>
            <w:tcW w:w="900" w:type="dxa"/>
            <w:vAlign w:val="center"/>
            <w:hideMark/>
          </w:tcPr>
          <w:p w14:paraId="429F3D9F"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F3</w:t>
            </w:r>
          </w:p>
        </w:tc>
        <w:tc>
          <w:tcPr>
            <w:tcW w:w="1260" w:type="dxa"/>
            <w:vAlign w:val="center"/>
          </w:tcPr>
          <w:p w14:paraId="720BC225"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8035A5">
              <w:rPr>
                <w:rFonts w:asciiTheme="majorBidi" w:hAnsiTheme="majorBidi" w:cstheme="majorBidi"/>
                <w:b/>
                <w:bCs/>
                <w:sz w:val="18"/>
                <w:szCs w:val="18"/>
              </w:rPr>
              <w:t>0.352-0.428</w:t>
            </w:r>
          </w:p>
        </w:tc>
        <w:tc>
          <w:tcPr>
            <w:tcW w:w="900" w:type="dxa"/>
            <w:vAlign w:val="center"/>
            <w:hideMark/>
          </w:tcPr>
          <w:p w14:paraId="4823E6EC"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0.59</w:t>
            </w:r>
          </w:p>
        </w:tc>
        <w:tc>
          <w:tcPr>
            <w:tcW w:w="810" w:type="dxa"/>
            <w:vAlign w:val="center"/>
            <w:hideMark/>
          </w:tcPr>
          <w:p w14:paraId="245ED1B7"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0.81</w:t>
            </w:r>
          </w:p>
        </w:tc>
        <w:tc>
          <w:tcPr>
            <w:tcW w:w="900" w:type="dxa"/>
            <w:vAlign w:val="center"/>
            <w:hideMark/>
          </w:tcPr>
          <w:p w14:paraId="64A0151F"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0.86</w:t>
            </w:r>
          </w:p>
        </w:tc>
        <w:tc>
          <w:tcPr>
            <w:tcW w:w="810" w:type="dxa"/>
            <w:vAlign w:val="center"/>
            <w:hideMark/>
          </w:tcPr>
          <w:p w14:paraId="6C573694"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0.50</w:t>
            </w:r>
          </w:p>
        </w:tc>
        <w:tc>
          <w:tcPr>
            <w:tcW w:w="845" w:type="dxa"/>
            <w:vMerge w:val="restart"/>
            <w:vAlign w:val="center"/>
            <w:hideMark/>
          </w:tcPr>
          <w:p w14:paraId="68D5B051"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hAnsiTheme="majorBidi" w:cstheme="majorBidi"/>
                <w:b/>
                <w:bCs/>
                <w:sz w:val="18"/>
                <w:szCs w:val="18"/>
              </w:rPr>
              <w:t>1,326</w:t>
            </w:r>
          </w:p>
        </w:tc>
        <w:tc>
          <w:tcPr>
            <w:tcW w:w="810" w:type="dxa"/>
            <w:vMerge w:val="restart"/>
            <w:vAlign w:val="center"/>
            <w:hideMark/>
          </w:tcPr>
          <w:p w14:paraId="68DA0AA2"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0.69</w:t>
            </w:r>
          </w:p>
        </w:tc>
        <w:tc>
          <w:tcPr>
            <w:tcW w:w="900" w:type="dxa"/>
            <w:vMerge w:val="restart"/>
            <w:vAlign w:val="center"/>
            <w:hideMark/>
          </w:tcPr>
          <w:p w14:paraId="0FD6E8AF"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36</w:t>
            </w:r>
          </w:p>
        </w:tc>
        <w:tc>
          <w:tcPr>
            <w:tcW w:w="1155" w:type="dxa"/>
            <w:vMerge w:val="restart"/>
            <w:vAlign w:val="center"/>
          </w:tcPr>
          <w:p w14:paraId="42A93068"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8035A5">
              <w:rPr>
                <w:rFonts w:asciiTheme="majorBidi" w:hAnsiTheme="majorBidi" w:cstheme="majorBidi"/>
                <w:b/>
                <w:bCs/>
                <w:sz w:val="18"/>
                <w:szCs w:val="18"/>
              </w:rPr>
              <w:t>Scheuer</w:t>
            </w:r>
          </w:p>
        </w:tc>
        <w:tc>
          <w:tcPr>
            <w:tcW w:w="1545" w:type="dxa"/>
            <w:vMerge w:val="restart"/>
            <w:vAlign w:val="center"/>
          </w:tcPr>
          <w:p w14:paraId="6FB2CD69"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roofErr w:type="spellStart"/>
            <w:r w:rsidRPr="008035A5">
              <w:rPr>
                <w:rFonts w:asciiTheme="majorBidi" w:eastAsiaTheme="minorHAnsi" w:hAnsiTheme="majorBidi" w:cstheme="majorBidi"/>
                <w:b/>
                <w:bCs/>
                <w:sz w:val="18"/>
                <w:szCs w:val="18"/>
                <w:lang w:eastAsia="en-US"/>
              </w:rPr>
              <w:t>HBeAg</w:t>
            </w:r>
            <w:proofErr w:type="spellEnd"/>
            <w:r w:rsidRPr="008035A5">
              <w:rPr>
                <w:rFonts w:asciiTheme="majorBidi" w:eastAsiaTheme="minorHAnsi" w:hAnsiTheme="majorBidi" w:cstheme="majorBidi"/>
                <w:b/>
                <w:bCs/>
                <w:sz w:val="18"/>
                <w:szCs w:val="18"/>
                <w:lang w:eastAsia="en-US"/>
              </w:rPr>
              <w:t xml:space="preserve"> +</w:t>
            </w:r>
          </w:p>
        </w:tc>
      </w:tr>
      <w:tr w:rsidR="002C7FFA" w:rsidRPr="008035A5" w14:paraId="29CFB4EB" w14:textId="77777777" w:rsidTr="004F52BC">
        <w:trPr>
          <w:cnfStyle w:val="000000100000" w:firstRow="0" w:lastRow="0" w:firstColumn="0" w:lastColumn="0" w:oddVBand="0" w:evenVBand="0" w:oddHBand="1"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5E29005B"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65FF904D"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hideMark/>
          </w:tcPr>
          <w:p w14:paraId="184FD3BC"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497A8D24"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7D85809B"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F4</w:t>
            </w:r>
          </w:p>
        </w:tc>
        <w:tc>
          <w:tcPr>
            <w:tcW w:w="1260" w:type="dxa"/>
            <w:vAlign w:val="center"/>
          </w:tcPr>
          <w:p w14:paraId="05A3B50C"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8035A5">
              <w:rPr>
                <w:rFonts w:asciiTheme="majorBidi" w:hAnsiTheme="majorBidi" w:cstheme="majorBidi"/>
                <w:b/>
                <w:bCs/>
                <w:sz w:val="18"/>
                <w:szCs w:val="18"/>
              </w:rPr>
              <w:t>0.632-0.711</w:t>
            </w:r>
          </w:p>
        </w:tc>
        <w:tc>
          <w:tcPr>
            <w:tcW w:w="900" w:type="dxa"/>
            <w:vAlign w:val="center"/>
            <w:hideMark/>
          </w:tcPr>
          <w:p w14:paraId="74652ED9"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0.81</w:t>
            </w:r>
          </w:p>
        </w:tc>
        <w:tc>
          <w:tcPr>
            <w:tcW w:w="810" w:type="dxa"/>
            <w:vAlign w:val="center"/>
            <w:hideMark/>
          </w:tcPr>
          <w:p w14:paraId="68C34273"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0.64</w:t>
            </w:r>
          </w:p>
        </w:tc>
        <w:tc>
          <w:tcPr>
            <w:tcW w:w="900" w:type="dxa"/>
            <w:vAlign w:val="center"/>
            <w:hideMark/>
          </w:tcPr>
          <w:p w14:paraId="25D92D4A"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0.39</w:t>
            </w:r>
          </w:p>
        </w:tc>
        <w:tc>
          <w:tcPr>
            <w:tcW w:w="810" w:type="dxa"/>
            <w:vAlign w:val="center"/>
            <w:hideMark/>
          </w:tcPr>
          <w:p w14:paraId="17AB3EDC"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0.93</w:t>
            </w:r>
          </w:p>
        </w:tc>
        <w:tc>
          <w:tcPr>
            <w:tcW w:w="845" w:type="dxa"/>
            <w:vMerge/>
            <w:vAlign w:val="center"/>
          </w:tcPr>
          <w:p w14:paraId="1F9742A2"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810" w:type="dxa"/>
            <w:vMerge/>
            <w:vAlign w:val="center"/>
            <w:hideMark/>
          </w:tcPr>
          <w:p w14:paraId="08E409FC"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2F5FC6D0"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155" w:type="dxa"/>
            <w:vMerge/>
            <w:vAlign w:val="center"/>
          </w:tcPr>
          <w:p w14:paraId="085AF13B"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545" w:type="dxa"/>
            <w:vMerge/>
            <w:vAlign w:val="center"/>
          </w:tcPr>
          <w:p w14:paraId="23E52BD8"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r>
      <w:tr w:rsidR="002C7FFA" w:rsidRPr="008035A5" w14:paraId="69AFF694" w14:textId="77777777" w:rsidTr="004F52BC">
        <w:trPr>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205C5EBC"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12AB1117"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hideMark/>
          </w:tcPr>
          <w:p w14:paraId="47BB5B13"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79A1B8D2"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4C3C5716"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F3</w:t>
            </w:r>
          </w:p>
        </w:tc>
        <w:tc>
          <w:tcPr>
            <w:tcW w:w="1260" w:type="dxa"/>
            <w:vAlign w:val="center"/>
          </w:tcPr>
          <w:p w14:paraId="41E5B824"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8035A5">
              <w:rPr>
                <w:rFonts w:asciiTheme="majorBidi" w:hAnsiTheme="majorBidi" w:cstheme="majorBidi"/>
                <w:b/>
                <w:bCs/>
                <w:sz w:val="18"/>
                <w:szCs w:val="18"/>
              </w:rPr>
              <w:t>0.365-0.590</w:t>
            </w:r>
          </w:p>
        </w:tc>
        <w:tc>
          <w:tcPr>
            <w:tcW w:w="900" w:type="dxa"/>
            <w:vAlign w:val="center"/>
            <w:hideMark/>
          </w:tcPr>
          <w:p w14:paraId="24D60C0E"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0.60</w:t>
            </w:r>
          </w:p>
        </w:tc>
        <w:tc>
          <w:tcPr>
            <w:tcW w:w="810" w:type="dxa"/>
            <w:vAlign w:val="center"/>
            <w:hideMark/>
          </w:tcPr>
          <w:p w14:paraId="429939CC"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0.79</w:t>
            </w:r>
          </w:p>
        </w:tc>
        <w:tc>
          <w:tcPr>
            <w:tcW w:w="900" w:type="dxa"/>
            <w:vAlign w:val="center"/>
            <w:hideMark/>
          </w:tcPr>
          <w:p w14:paraId="0B4B103E"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0.78</w:t>
            </w:r>
          </w:p>
        </w:tc>
        <w:tc>
          <w:tcPr>
            <w:tcW w:w="810" w:type="dxa"/>
            <w:vAlign w:val="center"/>
            <w:hideMark/>
          </w:tcPr>
          <w:p w14:paraId="59BAD8CA"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0.62</w:t>
            </w:r>
          </w:p>
        </w:tc>
        <w:tc>
          <w:tcPr>
            <w:tcW w:w="845" w:type="dxa"/>
            <w:vMerge w:val="restart"/>
            <w:vAlign w:val="center"/>
            <w:hideMark/>
          </w:tcPr>
          <w:p w14:paraId="701B950C"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hAnsiTheme="majorBidi" w:cstheme="majorBidi"/>
                <w:b/>
                <w:bCs/>
                <w:sz w:val="18"/>
                <w:szCs w:val="18"/>
              </w:rPr>
              <w:t>1,017</w:t>
            </w:r>
          </w:p>
        </w:tc>
        <w:tc>
          <w:tcPr>
            <w:tcW w:w="810" w:type="dxa"/>
            <w:vMerge w:val="restart"/>
            <w:vAlign w:val="center"/>
            <w:hideMark/>
          </w:tcPr>
          <w:p w14:paraId="6D31DB20"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0.68</w:t>
            </w:r>
          </w:p>
        </w:tc>
        <w:tc>
          <w:tcPr>
            <w:tcW w:w="900" w:type="dxa"/>
            <w:vMerge w:val="restart"/>
            <w:vAlign w:val="center"/>
            <w:hideMark/>
          </w:tcPr>
          <w:p w14:paraId="2CB05EE0"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43</w:t>
            </w:r>
          </w:p>
        </w:tc>
        <w:tc>
          <w:tcPr>
            <w:tcW w:w="1155" w:type="dxa"/>
            <w:vMerge/>
            <w:vAlign w:val="center"/>
          </w:tcPr>
          <w:p w14:paraId="053481C8"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545" w:type="dxa"/>
            <w:vMerge w:val="restart"/>
            <w:vAlign w:val="center"/>
          </w:tcPr>
          <w:p w14:paraId="4A63974B"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roofErr w:type="spellStart"/>
            <w:r w:rsidRPr="008035A5">
              <w:rPr>
                <w:rFonts w:asciiTheme="majorBidi" w:eastAsiaTheme="minorHAnsi" w:hAnsiTheme="majorBidi" w:cstheme="majorBidi"/>
                <w:b/>
                <w:bCs/>
                <w:sz w:val="18"/>
                <w:szCs w:val="18"/>
                <w:lang w:eastAsia="en-US"/>
              </w:rPr>
              <w:t>HBeAg</w:t>
            </w:r>
            <w:proofErr w:type="spellEnd"/>
            <w:r w:rsidRPr="008035A5">
              <w:rPr>
                <w:rFonts w:asciiTheme="majorBidi" w:eastAsiaTheme="minorHAnsi" w:hAnsiTheme="majorBidi" w:cstheme="majorBidi"/>
                <w:b/>
                <w:bCs/>
                <w:sz w:val="18"/>
                <w:szCs w:val="18"/>
                <w:lang w:eastAsia="en-US"/>
              </w:rPr>
              <w:t xml:space="preserve"> -</w:t>
            </w:r>
          </w:p>
        </w:tc>
      </w:tr>
      <w:tr w:rsidR="002C7FFA" w:rsidRPr="008035A5" w14:paraId="1CC69F57" w14:textId="77777777" w:rsidTr="004F52BC">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1E937FE8"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1B9EAF97"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hideMark/>
          </w:tcPr>
          <w:p w14:paraId="31C2F232"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1ED246CD"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03F2E9C3"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F4</w:t>
            </w:r>
          </w:p>
        </w:tc>
        <w:tc>
          <w:tcPr>
            <w:tcW w:w="1260" w:type="dxa"/>
            <w:vAlign w:val="center"/>
          </w:tcPr>
          <w:p w14:paraId="18FE95AA"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8035A5">
              <w:rPr>
                <w:rFonts w:asciiTheme="majorBidi" w:hAnsiTheme="majorBidi" w:cstheme="majorBidi"/>
                <w:b/>
                <w:bCs/>
                <w:sz w:val="18"/>
                <w:szCs w:val="18"/>
              </w:rPr>
              <w:t>0.602-0.612</w:t>
            </w:r>
          </w:p>
        </w:tc>
        <w:tc>
          <w:tcPr>
            <w:tcW w:w="900" w:type="dxa"/>
            <w:vAlign w:val="center"/>
            <w:hideMark/>
          </w:tcPr>
          <w:p w14:paraId="79C05A98"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0.83</w:t>
            </w:r>
          </w:p>
        </w:tc>
        <w:tc>
          <w:tcPr>
            <w:tcW w:w="810" w:type="dxa"/>
            <w:vAlign w:val="center"/>
            <w:hideMark/>
          </w:tcPr>
          <w:p w14:paraId="63607021"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0.68</w:t>
            </w:r>
          </w:p>
        </w:tc>
        <w:tc>
          <w:tcPr>
            <w:tcW w:w="900" w:type="dxa"/>
            <w:vAlign w:val="center"/>
            <w:hideMark/>
          </w:tcPr>
          <w:p w14:paraId="05BA8605"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0.39</w:t>
            </w:r>
          </w:p>
        </w:tc>
        <w:tc>
          <w:tcPr>
            <w:tcW w:w="810" w:type="dxa"/>
            <w:vAlign w:val="center"/>
            <w:hideMark/>
          </w:tcPr>
          <w:p w14:paraId="5FB43419"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0.94</w:t>
            </w:r>
          </w:p>
        </w:tc>
        <w:tc>
          <w:tcPr>
            <w:tcW w:w="845" w:type="dxa"/>
            <w:vMerge/>
            <w:vAlign w:val="center"/>
          </w:tcPr>
          <w:p w14:paraId="1F3F8B76"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810" w:type="dxa"/>
            <w:vMerge/>
            <w:vAlign w:val="center"/>
            <w:hideMark/>
          </w:tcPr>
          <w:p w14:paraId="63D5E251"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1F581CF6"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155" w:type="dxa"/>
            <w:vMerge/>
            <w:vAlign w:val="center"/>
          </w:tcPr>
          <w:p w14:paraId="125BD38D"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545" w:type="dxa"/>
            <w:vMerge/>
            <w:vAlign w:val="center"/>
          </w:tcPr>
          <w:p w14:paraId="67CF74F4"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r>
      <w:tr w:rsidR="002C7FFA" w:rsidRPr="008035A5" w14:paraId="5CC3601D" w14:textId="77777777" w:rsidTr="004F52BC">
        <w:trPr>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restart"/>
            <w:vAlign w:val="center"/>
          </w:tcPr>
          <w:p w14:paraId="0ADB9943" w14:textId="77777777" w:rsidR="002C7FFA" w:rsidRPr="008035A5" w:rsidRDefault="002C7FFA">
            <w:pPr>
              <w:pStyle w:val="Paragraph"/>
              <w:spacing w:before="0" w:line="240" w:lineRule="auto"/>
              <w:jc w:val="center"/>
              <w:rPr>
                <w:rFonts w:asciiTheme="majorBidi" w:hAnsiTheme="majorBidi" w:cstheme="majorBidi"/>
                <w:b w:val="0"/>
                <w:bCs w:val="0"/>
                <w:i/>
                <w:iCs/>
                <w:sz w:val="18"/>
                <w:szCs w:val="18"/>
              </w:rPr>
            </w:pPr>
            <w:r>
              <w:rPr>
                <w:rFonts w:asciiTheme="majorBidi" w:hAnsiTheme="majorBidi" w:cstheme="majorBidi"/>
                <w:noProof/>
                <w:sz w:val="18"/>
                <w:szCs w:val="18"/>
                <w:vertAlign w:val="superscript"/>
              </w:rPr>
              <w:fldChar w:fldCharType="begin" w:fldLock="1"/>
            </w:r>
            <w:r>
              <w:rPr>
                <w:rFonts w:asciiTheme="majorBidi" w:hAnsiTheme="majorBidi" w:cstheme="majorBidi"/>
                <w:noProof/>
                <w:sz w:val="18"/>
                <w:szCs w:val="18"/>
                <w:vertAlign w:val="superscript"/>
              </w:rPr>
              <w:instrText>ADDIN CSL_CITATION {"citationItems":[{"id":"ITEM-1","itemData":{"DOI":"10.1155/2019/2585409","ISSN":"1875-8630 (Electronic)","PMID":"31885733","abstract":"BACKGROUND AND AIM: Little information is available about the assessment and  optimal use of the gamma-glutamyl transpeptidase-to-platelet ratio (GPR) and transient elastography (TE) in predicting liver cirrhosis in patients with chronic hepatitis B (CHB) and concurrent nonalcoholic fatty liver disease (NAFLD). This study is aimed at comparing their diagnostic performances and developing an optimal approach for predicting liver cirrhosis in CHB patients with NAFLD. METHODS: Consecutive CHB patients with NAFLD were enrolled. The GPR was calculated, and TE was performed using liver biopsy as a reference standard. The accuracy of predicting liver cirrhosis using GPR and TE was assessed and compared, and an optimal approach was developed. RESULTS: Both TE and GPR correlated significantly with the histological fibrosis stage. TE and GPR had excellent performance in predicting liver cirrhosis, and the comparison of areas under the receiver operating characteristic curves revealed that TE was superior to GPR (0.95 vs. 0.85, P = 0.039). Moreover, the dual cutoffs established by the likelihood ratio showed that GPR had a similar misclassification but higher indeterminate rate than TE (54.5% vs. 11.7%, P &lt; 0.001). Additionally, a 2-step approach using GPR followed by TE had comparable performance to that of both GPR and TE tests for all patients (misclassification: 8.9% vs. 8.3%, P = 0.866; indeterminate rate: 15.2% vs. 17.2%, P = 0.750) but could reduce TE scans by approximately one-third. CONCLUSIONS: Both TE and GPR show excellent performance in predicting liver cirrhosis in CHB patients with NAFLD. The 2-step approach using GPR followed by TE may be optimal for the assessment of cirrhosis in CHB patients with NAFLD.","author":[{"dropping-particle":"","family":"Zhang","given":"Geng-Lin","non-dropping-particle":"","parse-names":false,"suffix":""},{"dropping-particle":"","family":"Xu","given":"Shi-Cheng","non-dropping-particle":"","parse-names":false,"suffix":""},{"dropping-particle":"","family":"Zeng","given":"Jie","non-dropping-particle":"","parse-names":false,"suffix":""},{"dropping-particle":"","family":"Chen","given":"Zheng","non-dropping-particle":"","parse-names":false,"suffix":""},{"dropping-particle":"","family":"Li","given":"Yi-Ping","non-dropping-particle":"","parse-names":false,"suffix":""},{"dropping-particle":"","family":"Zhang","given":"Ting","non-dropping-particle":"","parse-names":false,"suffix":""},{"dropping-particle":"","family":"Gao","given":"Zhi-Liang","non-dropping-particle":"","parse-names":false,"suffix":""}],"container-title":"Disease markers","id":"ITEM-1","issued":{"date-parts":[["2019"]]},"language":"eng","page":"2585409","publisher-place":"United States","title":"Optimizing the Use of the Gamma-Glutamyl Transpeptidase-to-Platelet Ratio and  Transient Elastography to Identify Liver Cirrhosis in Patients with Chronic Hepatitis B Concurrent with Nonalcoholic Fatty Liver Disease.","type":"article-journal","volume":"2019"},"uris":["http://www.mendeley.com/documents/?uuid=8725e0a4-d516-49f8-9f5a-82236f6f79f5"]}],"mendeley":{"formattedCitation":"[19]","plainTextFormattedCitation":"[19]","previouslyFormattedCitation":"[19]"},"properties":{"noteIndex":0},"schema":"https://github.com/citation-style-language/schema/raw/master/csl-citation.json"}</w:instrText>
            </w:r>
            <w:r>
              <w:rPr>
                <w:rFonts w:asciiTheme="majorBidi" w:hAnsiTheme="majorBidi" w:cstheme="majorBidi"/>
                <w:noProof/>
                <w:sz w:val="18"/>
                <w:szCs w:val="18"/>
                <w:vertAlign w:val="superscript"/>
              </w:rPr>
              <w:fldChar w:fldCharType="separate"/>
            </w:r>
            <w:r w:rsidRPr="00FE246B">
              <w:rPr>
                <w:rFonts w:asciiTheme="majorBidi" w:hAnsiTheme="majorBidi" w:cstheme="majorBidi"/>
                <w:b w:val="0"/>
                <w:noProof/>
                <w:sz w:val="18"/>
                <w:szCs w:val="18"/>
              </w:rPr>
              <w:t>[19]</w:t>
            </w:r>
            <w:r>
              <w:rPr>
                <w:rFonts w:asciiTheme="majorBidi" w:hAnsiTheme="majorBidi" w:cstheme="majorBidi"/>
                <w:noProof/>
                <w:sz w:val="18"/>
                <w:szCs w:val="18"/>
                <w:vertAlign w:val="superscript"/>
              </w:rPr>
              <w:fldChar w:fldCharType="end"/>
            </w:r>
          </w:p>
        </w:tc>
        <w:tc>
          <w:tcPr>
            <w:tcW w:w="1960" w:type="dxa"/>
            <w:vMerge w:val="restart"/>
            <w:vAlign w:val="center"/>
            <w:hideMark/>
          </w:tcPr>
          <w:p w14:paraId="25934BD9"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Zhang G. et al</w:t>
            </w:r>
          </w:p>
        </w:tc>
        <w:tc>
          <w:tcPr>
            <w:tcW w:w="630" w:type="dxa"/>
            <w:vMerge w:val="restart"/>
            <w:vAlign w:val="center"/>
            <w:hideMark/>
          </w:tcPr>
          <w:p w14:paraId="1ED199A1"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2019</w:t>
            </w:r>
          </w:p>
        </w:tc>
        <w:tc>
          <w:tcPr>
            <w:tcW w:w="900" w:type="dxa"/>
            <w:vMerge w:val="restart"/>
            <w:vAlign w:val="center"/>
            <w:hideMark/>
          </w:tcPr>
          <w:p w14:paraId="69FF6823"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China</w:t>
            </w:r>
          </w:p>
        </w:tc>
        <w:tc>
          <w:tcPr>
            <w:tcW w:w="900" w:type="dxa"/>
            <w:vAlign w:val="center"/>
            <w:hideMark/>
          </w:tcPr>
          <w:p w14:paraId="064AFED4"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F2</w:t>
            </w:r>
          </w:p>
        </w:tc>
        <w:tc>
          <w:tcPr>
            <w:tcW w:w="1260" w:type="dxa"/>
            <w:vAlign w:val="center"/>
          </w:tcPr>
          <w:p w14:paraId="061EC504"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8035A5">
              <w:rPr>
                <w:rFonts w:asciiTheme="majorBidi" w:hAnsiTheme="majorBidi" w:cstheme="majorBidi"/>
                <w:b/>
                <w:bCs/>
                <w:sz w:val="18"/>
                <w:szCs w:val="18"/>
              </w:rPr>
              <w:t>0.15</w:t>
            </w:r>
          </w:p>
        </w:tc>
        <w:tc>
          <w:tcPr>
            <w:tcW w:w="900" w:type="dxa"/>
            <w:vAlign w:val="center"/>
            <w:hideMark/>
          </w:tcPr>
          <w:p w14:paraId="6578CE31"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0.90</w:t>
            </w:r>
          </w:p>
        </w:tc>
        <w:tc>
          <w:tcPr>
            <w:tcW w:w="810" w:type="dxa"/>
            <w:vAlign w:val="center"/>
            <w:hideMark/>
          </w:tcPr>
          <w:p w14:paraId="668B204A"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0.27</w:t>
            </w:r>
          </w:p>
        </w:tc>
        <w:tc>
          <w:tcPr>
            <w:tcW w:w="900" w:type="dxa"/>
            <w:vAlign w:val="center"/>
            <w:hideMark/>
          </w:tcPr>
          <w:p w14:paraId="0262A5B5"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0.55</w:t>
            </w:r>
          </w:p>
        </w:tc>
        <w:tc>
          <w:tcPr>
            <w:tcW w:w="810" w:type="dxa"/>
            <w:vAlign w:val="center"/>
            <w:hideMark/>
          </w:tcPr>
          <w:p w14:paraId="1D7BB6AC"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0.74</w:t>
            </w:r>
          </w:p>
        </w:tc>
        <w:tc>
          <w:tcPr>
            <w:tcW w:w="845" w:type="dxa"/>
            <w:vMerge w:val="restart"/>
            <w:vAlign w:val="center"/>
            <w:hideMark/>
          </w:tcPr>
          <w:p w14:paraId="2E1B9484"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hAnsiTheme="majorBidi" w:cstheme="majorBidi"/>
                <w:b/>
                <w:bCs/>
                <w:sz w:val="18"/>
                <w:szCs w:val="18"/>
              </w:rPr>
              <w:t>145</w:t>
            </w:r>
          </w:p>
        </w:tc>
        <w:tc>
          <w:tcPr>
            <w:tcW w:w="810" w:type="dxa"/>
            <w:vMerge w:val="restart"/>
            <w:vAlign w:val="center"/>
            <w:hideMark/>
          </w:tcPr>
          <w:p w14:paraId="731D66FD"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0.85</w:t>
            </w:r>
          </w:p>
        </w:tc>
        <w:tc>
          <w:tcPr>
            <w:tcW w:w="900" w:type="dxa"/>
            <w:vMerge w:val="restart"/>
            <w:vAlign w:val="center"/>
            <w:hideMark/>
          </w:tcPr>
          <w:p w14:paraId="4A04EC59"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38</w:t>
            </w:r>
          </w:p>
        </w:tc>
        <w:tc>
          <w:tcPr>
            <w:tcW w:w="1155" w:type="dxa"/>
            <w:vMerge w:val="restart"/>
            <w:vAlign w:val="center"/>
          </w:tcPr>
          <w:p w14:paraId="39EBF6A9"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8035A5">
              <w:rPr>
                <w:rFonts w:asciiTheme="majorBidi" w:hAnsiTheme="majorBidi" w:cstheme="majorBidi"/>
                <w:b/>
                <w:bCs/>
                <w:sz w:val="18"/>
                <w:szCs w:val="18"/>
              </w:rPr>
              <w:t>METAVIR</w:t>
            </w:r>
          </w:p>
        </w:tc>
        <w:tc>
          <w:tcPr>
            <w:tcW w:w="1545" w:type="dxa"/>
            <w:vMerge w:val="restart"/>
            <w:vAlign w:val="center"/>
          </w:tcPr>
          <w:p w14:paraId="2C62938D"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8035A5">
              <w:rPr>
                <w:rFonts w:asciiTheme="majorBidi" w:eastAsiaTheme="minorHAnsi" w:hAnsiTheme="majorBidi" w:cstheme="majorBidi"/>
                <w:b/>
                <w:bCs/>
                <w:sz w:val="18"/>
                <w:szCs w:val="18"/>
                <w:lang w:eastAsia="en-US"/>
              </w:rPr>
              <w:t>HBV and NAFLD</w:t>
            </w:r>
          </w:p>
        </w:tc>
      </w:tr>
      <w:tr w:rsidR="002C7FFA" w:rsidRPr="008035A5" w14:paraId="69AAEFFF" w14:textId="77777777" w:rsidTr="004F52BC">
        <w:trPr>
          <w:cnfStyle w:val="000000100000" w:firstRow="0" w:lastRow="0" w:firstColumn="0" w:lastColumn="0" w:oddVBand="0" w:evenVBand="0" w:oddHBand="1"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4E4B14D9"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316B9A48"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hideMark/>
          </w:tcPr>
          <w:p w14:paraId="080A80A5"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15F5EE2B"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16BEB241"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F4</w:t>
            </w:r>
          </w:p>
        </w:tc>
        <w:tc>
          <w:tcPr>
            <w:tcW w:w="1260" w:type="dxa"/>
            <w:vAlign w:val="center"/>
          </w:tcPr>
          <w:p w14:paraId="2CC917CB"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8035A5">
              <w:rPr>
                <w:rFonts w:asciiTheme="majorBidi" w:hAnsiTheme="majorBidi" w:cstheme="majorBidi"/>
                <w:b/>
                <w:bCs/>
                <w:sz w:val="18"/>
                <w:szCs w:val="18"/>
              </w:rPr>
              <w:t>0.56</w:t>
            </w:r>
          </w:p>
        </w:tc>
        <w:tc>
          <w:tcPr>
            <w:tcW w:w="900" w:type="dxa"/>
            <w:vAlign w:val="center"/>
            <w:hideMark/>
          </w:tcPr>
          <w:p w14:paraId="39A298B8"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0.65</w:t>
            </w:r>
          </w:p>
        </w:tc>
        <w:tc>
          <w:tcPr>
            <w:tcW w:w="810" w:type="dxa"/>
            <w:vAlign w:val="center"/>
            <w:hideMark/>
          </w:tcPr>
          <w:p w14:paraId="2DC999BF"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0.90</w:t>
            </w:r>
          </w:p>
        </w:tc>
        <w:tc>
          <w:tcPr>
            <w:tcW w:w="900" w:type="dxa"/>
            <w:vAlign w:val="center"/>
            <w:hideMark/>
          </w:tcPr>
          <w:p w14:paraId="2A1BF221"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0.52</w:t>
            </w:r>
          </w:p>
        </w:tc>
        <w:tc>
          <w:tcPr>
            <w:tcW w:w="810" w:type="dxa"/>
            <w:vAlign w:val="center"/>
            <w:hideMark/>
          </w:tcPr>
          <w:p w14:paraId="0D24A93E"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0.94</w:t>
            </w:r>
          </w:p>
        </w:tc>
        <w:tc>
          <w:tcPr>
            <w:tcW w:w="845" w:type="dxa"/>
            <w:vMerge/>
            <w:vAlign w:val="center"/>
            <w:hideMark/>
          </w:tcPr>
          <w:p w14:paraId="527D6D6A"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810" w:type="dxa"/>
            <w:vMerge/>
            <w:vAlign w:val="center"/>
            <w:hideMark/>
          </w:tcPr>
          <w:p w14:paraId="30DB56B2"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6999C6AC"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155" w:type="dxa"/>
            <w:vMerge/>
            <w:vAlign w:val="center"/>
          </w:tcPr>
          <w:p w14:paraId="4B67B6C9"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c>
          <w:tcPr>
            <w:tcW w:w="1545" w:type="dxa"/>
            <w:vMerge/>
            <w:vAlign w:val="center"/>
          </w:tcPr>
          <w:p w14:paraId="64DC11FC"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r>
      <w:tr w:rsidR="002C7FFA" w:rsidRPr="008035A5" w14:paraId="56BA9D03" w14:textId="77777777" w:rsidTr="004F52BC">
        <w:trPr>
          <w:trHeight w:val="72"/>
          <w:jc w:val="center"/>
        </w:trPr>
        <w:tc>
          <w:tcPr>
            <w:cnfStyle w:val="001000000000" w:firstRow="0" w:lastRow="0" w:firstColumn="1" w:lastColumn="0" w:oddVBand="0" w:evenVBand="0" w:oddHBand="0" w:evenHBand="0" w:firstRowFirstColumn="0" w:firstRowLastColumn="0" w:lastRowFirstColumn="0" w:lastRowLastColumn="0"/>
            <w:tcW w:w="645" w:type="dxa"/>
            <w:vAlign w:val="center"/>
          </w:tcPr>
          <w:p w14:paraId="5DC608B7" w14:textId="77777777" w:rsidR="002C7FFA" w:rsidRPr="008035A5" w:rsidRDefault="002C7FFA">
            <w:pPr>
              <w:pStyle w:val="Paragraph"/>
              <w:spacing w:before="0" w:line="240" w:lineRule="auto"/>
              <w:jc w:val="center"/>
              <w:rPr>
                <w:rFonts w:asciiTheme="majorBidi" w:hAnsiTheme="majorBidi" w:cstheme="majorBidi"/>
                <w:b w:val="0"/>
                <w:bCs w:val="0"/>
                <w:i/>
                <w:iCs/>
                <w:sz w:val="18"/>
                <w:szCs w:val="18"/>
              </w:rPr>
            </w:pPr>
            <w:r>
              <w:rPr>
                <w:rFonts w:asciiTheme="majorBidi" w:hAnsiTheme="majorBidi" w:cstheme="majorBidi"/>
                <w:noProof/>
                <w:sz w:val="18"/>
                <w:szCs w:val="18"/>
                <w:vertAlign w:val="superscript"/>
              </w:rPr>
              <w:fldChar w:fldCharType="begin" w:fldLock="1"/>
            </w:r>
            <w:r>
              <w:rPr>
                <w:rFonts w:asciiTheme="majorBidi" w:hAnsiTheme="majorBidi" w:cstheme="majorBidi"/>
                <w:noProof/>
                <w:sz w:val="18"/>
                <w:szCs w:val="18"/>
                <w:vertAlign w:val="superscript"/>
              </w:rPr>
              <w:instrText>ADDIN CSL_CITATION {"citationItems":[{"id":"ITEM-1","itemData":{"DOI":"10.12659/MSM.918784","ISSN":"1643-3750 (Electronic)","PMID":"31558693","abstract":"BACKGROUND Although both hepatic fibrosis progression and hepatitis C virus (HCV)  contribute to hepatocellular carcinoma (HCC) development, early detection of HCC remains challenging. Therefore, we evaluated clinical markers of fibrosis in HCV patients to improve early HCC diagnosis. MATERIAL AND METHODS Our retrospective study included 711 chronic HCV patients: 249 HCC patients and 462 non-HCC patients. To investigate the predictive ability of non-invasive scores for diagnosing HCC development, we compared 4 blood indices: fibrosis index based on 4 factors (FIB-4), aspartate aminotransferase-to-platelet count ratio index (APRI), aspartate aminotransferase-to-alanine aminotransferase ratio (AAR), and gamma-glutamyl transpeptidase-to-platelet count ratio (GPR). RESULTS HCC patients had significantly higher scores for all fibrosis indices compared to chronic HCV patients without HCC. Moreover, the diagnostic performance of FIB-4 (area under curve, AUC: 0.961) was superior to that of APRI, AAR, and GPR (AUC: 0.636, 0.746, and 0.661, respectively) for prediction of HCC. FIB-4 also out-performed other indices in the prediction of cirrhotic cases, with an AUC of 0.775 compared to other scores, which ranged from an AUC of 0.597 to 0.671. CONCLUSIONS Together, these results suggest that FIB-4 is an appropriate diagnostic indicator of liver cirrhosis and HCC in chronic HCV patients in China.","author":[{"dropping-particle":"","family":"Li","given":"Xu","non-dropping-particle":"","parse-names":false,"suffix":""},{"dropping-particle":"","family":"Xu","given":"Hongqin","non-dropping-particle":"","parse-names":false,"suffix":""},{"dropping-particle":"","family":"Gao","given":"Pujun","non-dropping-particle":"","parse-names":false,"suffix":""}],"container-title":"Medical science monitor : international medical journal of experimental and  clinical research","id":"ITEM-1","issued":{"date-parts":[["2019","9"]]},"language":"eng","page":"7243-7250","publisher-place":"United States","title":"Fibrosis Index Based on 4 Factors (FIB-4) Predicts Liver Cirrhosis and  Hepatocellular Carcinoma in Chronic Hepatitis C Virus (HCV) Patients.","type":"article-journal","volume":"25"},"uris":["http://www.mendeley.com/documents/?uuid=0fb26f06-a2b6-4743-9b0a-956410767f85"]}],"mendeley":{"formattedCitation":"[20]","plainTextFormattedCitation":"[20]","previouslyFormattedCitation":"[20]"},"properties":{"noteIndex":0},"schema":"https://github.com/citation-style-language/schema/raw/master/csl-citation.json"}</w:instrText>
            </w:r>
            <w:r>
              <w:rPr>
                <w:rFonts w:asciiTheme="majorBidi" w:hAnsiTheme="majorBidi" w:cstheme="majorBidi"/>
                <w:noProof/>
                <w:sz w:val="18"/>
                <w:szCs w:val="18"/>
                <w:vertAlign w:val="superscript"/>
              </w:rPr>
              <w:fldChar w:fldCharType="separate"/>
            </w:r>
            <w:r w:rsidRPr="00FE246B">
              <w:rPr>
                <w:rFonts w:asciiTheme="majorBidi" w:hAnsiTheme="majorBidi" w:cstheme="majorBidi"/>
                <w:b w:val="0"/>
                <w:noProof/>
                <w:sz w:val="18"/>
                <w:szCs w:val="18"/>
              </w:rPr>
              <w:t>[20]</w:t>
            </w:r>
            <w:r>
              <w:rPr>
                <w:rFonts w:asciiTheme="majorBidi" w:hAnsiTheme="majorBidi" w:cstheme="majorBidi"/>
                <w:noProof/>
                <w:sz w:val="18"/>
                <w:szCs w:val="18"/>
                <w:vertAlign w:val="superscript"/>
              </w:rPr>
              <w:fldChar w:fldCharType="end"/>
            </w:r>
          </w:p>
        </w:tc>
        <w:tc>
          <w:tcPr>
            <w:tcW w:w="1960" w:type="dxa"/>
            <w:vAlign w:val="center"/>
            <w:hideMark/>
          </w:tcPr>
          <w:p w14:paraId="114930B8"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Xu L. et al</w:t>
            </w:r>
          </w:p>
        </w:tc>
        <w:tc>
          <w:tcPr>
            <w:tcW w:w="630" w:type="dxa"/>
            <w:vAlign w:val="center"/>
            <w:hideMark/>
          </w:tcPr>
          <w:p w14:paraId="3FDECD53"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2019</w:t>
            </w:r>
          </w:p>
        </w:tc>
        <w:tc>
          <w:tcPr>
            <w:tcW w:w="900" w:type="dxa"/>
            <w:vAlign w:val="center"/>
            <w:hideMark/>
          </w:tcPr>
          <w:p w14:paraId="6177B1C2"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China</w:t>
            </w:r>
          </w:p>
        </w:tc>
        <w:tc>
          <w:tcPr>
            <w:tcW w:w="900" w:type="dxa"/>
            <w:vAlign w:val="center"/>
            <w:hideMark/>
          </w:tcPr>
          <w:p w14:paraId="47EB39B1"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F3</w:t>
            </w:r>
          </w:p>
        </w:tc>
        <w:tc>
          <w:tcPr>
            <w:tcW w:w="1260" w:type="dxa"/>
            <w:vAlign w:val="center"/>
          </w:tcPr>
          <w:p w14:paraId="26110974"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0.17</w:t>
            </w:r>
          </w:p>
        </w:tc>
        <w:tc>
          <w:tcPr>
            <w:tcW w:w="900" w:type="dxa"/>
            <w:vAlign w:val="center"/>
            <w:hideMark/>
          </w:tcPr>
          <w:p w14:paraId="76A46BEC"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0.97</w:t>
            </w:r>
          </w:p>
        </w:tc>
        <w:tc>
          <w:tcPr>
            <w:tcW w:w="810" w:type="dxa"/>
            <w:vAlign w:val="center"/>
            <w:hideMark/>
          </w:tcPr>
          <w:p w14:paraId="1CCD3333"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0.26</w:t>
            </w:r>
          </w:p>
        </w:tc>
        <w:tc>
          <w:tcPr>
            <w:tcW w:w="900" w:type="dxa"/>
            <w:vAlign w:val="center"/>
            <w:hideMark/>
          </w:tcPr>
          <w:p w14:paraId="0731E5C0"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0.22</w:t>
            </w:r>
          </w:p>
        </w:tc>
        <w:tc>
          <w:tcPr>
            <w:tcW w:w="810" w:type="dxa"/>
            <w:vAlign w:val="center"/>
            <w:hideMark/>
          </w:tcPr>
          <w:p w14:paraId="2047AF66"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0.98</w:t>
            </w:r>
          </w:p>
        </w:tc>
        <w:tc>
          <w:tcPr>
            <w:tcW w:w="845" w:type="dxa"/>
            <w:vAlign w:val="center"/>
            <w:hideMark/>
          </w:tcPr>
          <w:p w14:paraId="79209BD1"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hAnsiTheme="majorBidi" w:cstheme="majorBidi"/>
                <w:b/>
                <w:bCs/>
                <w:sz w:val="18"/>
                <w:szCs w:val="18"/>
              </w:rPr>
              <w:t>711</w:t>
            </w:r>
          </w:p>
        </w:tc>
        <w:tc>
          <w:tcPr>
            <w:tcW w:w="810" w:type="dxa"/>
            <w:vAlign w:val="center"/>
            <w:hideMark/>
          </w:tcPr>
          <w:p w14:paraId="730690DE"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0.47</w:t>
            </w:r>
          </w:p>
        </w:tc>
        <w:tc>
          <w:tcPr>
            <w:tcW w:w="900" w:type="dxa"/>
            <w:vAlign w:val="center"/>
            <w:hideMark/>
          </w:tcPr>
          <w:p w14:paraId="5DF07CDF"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61</w:t>
            </w:r>
          </w:p>
        </w:tc>
        <w:tc>
          <w:tcPr>
            <w:tcW w:w="1155" w:type="dxa"/>
            <w:vAlign w:val="center"/>
          </w:tcPr>
          <w:p w14:paraId="6DF36A53"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8035A5">
              <w:rPr>
                <w:rFonts w:asciiTheme="majorBidi" w:hAnsiTheme="majorBidi" w:cstheme="majorBidi"/>
                <w:b/>
                <w:bCs/>
                <w:sz w:val="18"/>
                <w:szCs w:val="18"/>
              </w:rPr>
              <w:t>METAVIR</w:t>
            </w:r>
          </w:p>
        </w:tc>
        <w:tc>
          <w:tcPr>
            <w:tcW w:w="1545" w:type="dxa"/>
            <w:vAlign w:val="center"/>
          </w:tcPr>
          <w:p w14:paraId="2E42E0E6"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8035A5">
              <w:rPr>
                <w:rFonts w:asciiTheme="majorBidi" w:eastAsiaTheme="minorHAnsi" w:hAnsiTheme="majorBidi" w:cstheme="majorBidi"/>
                <w:b/>
                <w:bCs/>
                <w:sz w:val="18"/>
                <w:szCs w:val="18"/>
                <w:lang w:eastAsia="en-US"/>
              </w:rPr>
              <w:t>HCV ± HCC</w:t>
            </w:r>
          </w:p>
        </w:tc>
      </w:tr>
      <w:tr w:rsidR="002C7FFA" w:rsidRPr="008035A5" w14:paraId="391C701B" w14:textId="77777777" w:rsidTr="004F52BC">
        <w:trPr>
          <w:cnfStyle w:val="000000100000" w:firstRow="0" w:lastRow="0" w:firstColumn="0" w:lastColumn="0" w:oddVBand="0" w:evenVBand="0" w:oddHBand="1"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645" w:type="dxa"/>
            <w:vAlign w:val="center"/>
          </w:tcPr>
          <w:p w14:paraId="5026648A" w14:textId="77777777" w:rsidR="002C7FFA" w:rsidRPr="008035A5" w:rsidRDefault="002C7FFA">
            <w:pPr>
              <w:pStyle w:val="Paragraph"/>
              <w:spacing w:before="0" w:line="240" w:lineRule="auto"/>
              <w:jc w:val="center"/>
              <w:rPr>
                <w:rFonts w:asciiTheme="majorBidi" w:hAnsiTheme="majorBidi" w:cstheme="majorBidi"/>
                <w:b w:val="0"/>
                <w:bCs w:val="0"/>
                <w:i/>
                <w:iCs/>
                <w:sz w:val="18"/>
                <w:szCs w:val="18"/>
              </w:rPr>
            </w:pPr>
            <w:r>
              <w:rPr>
                <w:rFonts w:asciiTheme="majorBidi" w:hAnsiTheme="majorBidi" w:cstheme="majorBidi"/>
                <w:noProof/>
                <w:sz w:val="18"/>
                <w:szCs w:val="18"/>
                <w:vertAlign w:val="superscript"/>
              </w:rPr>
              <w:fldChar w:fldCharType="begin" w:fldLock="1"/>
            </w:r>
            <w:r>
              <w:rPr>
                <w:rFonts w:asciiTheme="majorBidi" w:hAnsiTheme="majorBidi" w:cstheme="majorBidi"/>
                <w:noProof/>
                <w:sz w:val="18"/>
                <w:szCs w:val="18"/>
                <w:vertAlign w:val="superscript"/>
              </w:rPr>
              <w:instrText>ADDIN CSL_CITATION {"citationItems":[{"id":"ITEM-1","itemData":{"ISSN":"1944-7930 (Electronic)","PMID":"31926586","abstract":"OBJECTIVE: The easy liver fibrosis test (eLIFT) is a novel index to assess  advanced liver fibrosis in chronic liver diseases. We aimed to investigate the diagnostic accuracy of eLIFT for advanced liver fibrosis in patients with chronic hepatitis B (CHB). METHODS: A total of 294 CHB patients with liver biopsy were enrolled. The diagnostic accuracy of eLIFT for advanced liver fibrosis was evaluated and compared to aspartate aminotransferase-to-platelet ratio index (APRI), fibrosis-4 score (FIB-4), gamma-glutamyl transpeptidase-to-platelet ratio (GPR), and red cell distribution width-to-platelet ratio (RPR) by ROC curves. RESULTS: The area under ROC curves (AUROCs) of eLIFT in predicting advanced fibrosis were 0.687 (95%CI 0.621 to 0.753), 0.714 (95%CI 0.631 to 0.798), and 0.633 (95%CI 0.522 to 0.744) in the entire cohort of CHB patients, HBeAg positive CHB patients, and HBeAg negative CHB patients, respectively. The optimal cut-off values of eLIFT for predicting advanced fibrosis in these three groups were 9.5. The eLIFT, as an easy-to-use scoring system, was comparable with APRI, FIB-4, GPR, and RPR in identifying advanced fibrosis in both HBeAg positive CHB and HBeAg negative CHB patients. CONCLUSIONS: eLIFT as a novel index can predict advanced liver fibrosis with a moderate sensitivity and accuracy in CHB patients. eLIFT, though having similar diagnostic values of advanced liver fibrosis compared to more complex existing tools such as APRI, FIB-4, GPR, and RPR in CHB patients, has the advantage of clarity of generation and ease of application and has the potential of being widely used by hepatologists.","author":[{"dropping-particle":"","family":"Wang","given":"Jian","non-dropping-particle":"","parse-names":false,"suffix":""},{"dropping-particle":"","family":"Chen","given":"Zhong","non-dropping-particle":"","parse-names":false,"suffix":""},{"dropping-particle":"","family":"Yan","given":"Xiaomin","non-dropping-particle":"","parse-names":false,"suffix":""},{"dropping-particle":"","family":"Yang","given":"Yue","non-dropping-particle":"","parse-names":false,"suffix":""},{"dropping-particle":"","family":"Liu","given":"Yong","non-dropping-particle":"","parse-names":false,"suffix":""},{"dropping-particle":"","family":"Chen","given":"Yuxin","non-dropping-particle":"","parse-names":false,"suffix":""},{"dropping-particle":"","family":"Jia","given":"Bei","non-dropping-particle":"","parse-names":false,"suffix":""},{"dropping-particle":"","family":"Xia","given":"Juan","non-dropping-particle":"","parse-names":false,"suffix":""},{"dropping-particle":"","family":"Xiong","given":"Yali","non-dropping-particle":"","parse-names":false,"suffix":""},{"dropping-particle":"","family":"Zhang","given":"Zhaoping","non-dropping-particle":"","parse-names":false,"suffix":""},{"dropping-particle":"","family":"Ding","given":"Weimao","non-dropping-particle":"","parse-names":false,"suffix":""},{"dropping-particle":"","family":"Huang","given":"Rui","non-dropping-particle":"","parse-names":false,"suffix":""},{"dropping-particle":"","family":"Wu","given":"Chao","non-dropping-particle":"","parse-names":false,"suffix":""}],"container-title":"Discovery medicine","id":"ITEM-1","issue":"153","issued":{"date-parts":[["2019","9"]]},"language":"eng","page":"149-158","publisher-place":"United States","title":"The Easy Liver Fibrosis Test (eLIFT) for predicting advanced liver fibrosis in  patients with chronic hepatitis B.","type":"article-journal","volume":"28"},"uris":["http://www.mendeley.com/documents/?uuid=ef927f35-7e99-4312-ac9b-caee845849e5"]}],"mendeley":{"formattedCitation":"[21]","plainTextFormattedCitation":"[21]","previouslyFormattedCitation":"[21]"},"properties":{"noteIndex":0},"schema":"https://github.com/citation-style-language/schema/raw/master/csl-citation.json"}</w:instrText>
            </w:r>
            <w:r>
              <w:rPr>
                <w:rFonts w:asciiTheme="majorBidi" w:hAnsiTheme="majorBidi" w:cstheme="majorBidi"/>
                <w:noProof/>
                <w:sz w:val="18"/>
                <w:szCs w:val="18"/>
                <w:vertAlign w:val="superscript"/>
              </w:rPr>
              <w:fldChar w:fldCharType="separate"/>
            </w:r>
            <w:r w:rsidRPr="00FE246B">
              <w:rPr>
                <w:rFonts w:asciiTheme="majorBidi" w:hAnsiTheme="majorBidi" w:cstheme="majorBidi"/>
                <w:b w:val="0"/>
                <w:noProof/>
                <w:sz w:val="18"/>
                <w:szCs w:val="18"/>
              </w:rPr>
              <w:t>[21]</w:t>
            </w:r>
            <w:r>
              <w:rPr>
                <w:rFonts w:asciiTheme="majorBidi" w:hAnsiTheme="majorBidi" w:cstheme="majorBidi"/>
                <w:noProof/>
                <w:sz w:val="18"/>
                <w:szCs w:val="18"/>
                <w:vertAlign w:val="superscript"/>
              </w:rPr>
              <w:fldChar w:fldCharType="end"/>
            </w:r>
          </w:p>
        </w:tc>
        <w:tc>
          <w:tcPr>
            <w:tcW w:w="1960" w:type="dxa"/>
            <w:vAlign w:val="center"/>
            <w:hideMark/>
          </w:tcPr>
          <w:p w14:paraId="6BEBE3E9"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Wang J. et al</w:t>
            </w:r>
          </w:p>
        </w:tc>
        <w:tc>
          <w:tcPr>
            <w:tcW w:w="630" w:type="dxa"/>
            <w:vAlign w:val="center"/>
            <w:hideMark/>
          </w:tcPr>
          <w:p w14:paraId="5393636B"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2019</w:t>
            </w:r>
          </w:p>
        </w:tc>
        <w:tc>
          <w:tcPr>
            <w:tcW w:w="900" w:type="dxa"/>
            <w:vAlign w:val="center"/>
            <w:hideMark/>
          </w:tcPr>
          <w:p w14:paraId="5859F0C9"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China</w:t>
            </w:r>
          </w:p>
        </w:tc>
        <w:tc>
          <w:tcPr>
            <w:tcW w:w="900" w:type="dxa"/>
            <w:vAlign w:val="center"/>
            <w:hideMark/>
          </w:tcPr>
          <w:p w14:paraId="0D7744F6"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F2</w:t>
            </w:r>
          </w:p>
        </w:tc>
        <w:tc>
          <w:tcPr>
            <w:tcW w:w="1260" w:type="dxa"/>
            <w:vAlign w:val="center"/>
          </w:tcPr>
          <w:p w14:paraId="339D4119"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0.43</w:t>
            </w:r>
          </w:p>
        </w:tc>
        <w:tc>
          <w:tcPr>
            <w:tcW w:w="900" w:type="dxa"/>
            <w:vAlign w:val="center"/>
            <w:hideMark/>
          </w:tcPr>
          <w:p w14:paraId="32D72A9C"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0.59</w:t>
            </w:r>
          </w:p>
        </w:tc>
        <w:tc>
          <w:tcPr>
            <w:tcW w:w="810" w:type="dxa"/>
            <w:vAlign w:val="center"/>
            <w:hideMark/>
          </w:tcPr>
          <w:p w14:paraId="038A63F0"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0.72</w:t>
            </w:r>
          </w:p>
        </w:tc>
        <w:tc>
          <w:tcPr>
            <w:tcW w:w="900" w:type="dxa"/>
            <w:vAlign w:val="center"/>
            <w:hideMark/>
          </w:tcPr>
          <w:p w14:paraId="6F28A9AE"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0.84</w:t>
            </w:r>
          </w:p>
        </w:tc>
        <w:tc>
          <w:tcPr>
            <w:tcW w:w="810" w:type="dxa"/>
            <w:vAlign w:val="center"/>
            <w:hideMark/>
          </w:tcPr>
          <w:p w14:paraId="06025A98"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0.40</w:t>
            </w:r>
          </w:p>
        </w:tc>
        <w:tc>
          <w:tcPr>
            <w:tcW w:w="845" w:type="dxa"/>
            <w:vAlign w:val="center"/>
            <w:hideMark/>
          </w:tcPr>
          <w:p w14:paraId="235A3FBA"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hAnsiTheme="majorBidi" w:cstheme="majorBidi"/>
                <w:b/>
                <w:bCs/>
                <w:sz w:val="18"/>
                <w:szCs w:val="18"/>
              </w:rPr>
              <w:t>294</w:t>
            </w:r>
          </w:p>
        </w:tc>
        <w:tc>
          <w:tcPr>
            <w:tcW w:w="810" w:type="dxa"/>
            <w:vAlign w:val="center"/>
            <w:hideMark/>
          </w:tcPr>
          <w:p w14:paraId="584B997C"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0.75</w:t>
            </w:r>
          </w:p>
        </w:tc>
        <w:tc>
          <w:tcPr>
            <w:tcW w:w="900" w:type="dxa"/>
            <w:vAlign w:val="center"/>
            <w:hideMark/>
          </w:tcPr>
          <w:p w14:paraId="674C1EDC"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37</w:t>
            </w:r>
          </w:p>
        </w:tc>
        <w:tc>
          <w:tcPr>
            <w:tcW w:w="1155" w:type="dxa"/>
            <w:vAlign w:val="center"/>
          </w:tcPr>
          <w:p w14:paraId="6E48BE94"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8035A5">
              <w:rPr>
                <w:rFonts w:asciiTheme="majorBidi" w:hAnsiTheme="majorBidi" w:cstheme="majorBidi"/>
                <w:b/>
                <w:bCs/>
                <w:sz w:val="18"/>
                <w:szCs w:val="18"/>
              </w:rPr>
              <w:t>METAVIR</w:t>
            </w:r>
          </w:p>
        </w:tc>
        <w:tc>
          <w:tcPr>
            <w:tcW w:w="1545" w:type="dxa"/>
            <w:vAlign w:val="center"/>
          </w:tcPr>
          <w:p w14:paraId="77C419BD"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8035A5">
              <w:rPr>
                <w:rFonts w:asciiTheme="majorBidi" w:eastAsiaTheme="minorHAnsi" w:hAnsiTheme="majorBidi" w:cstheme="majorBidi"/>
                <w:b/>
                <w:bCs/>
                <w:sz w:val="18"/>
                <w:szCs w:val="18"/>
                <w:lang w:eastAsia="en-US"/>
              </w:rPr>
              <w:t>HBV</w:t>
            </w:r>
          </w:p>
        </w:tc>
      </w:tr>
      <w:tr w:rsidR="002C7FFA" w:rsidRPr="008035A5" w14:paraId="1842A42B" w14:textId="77777777" w:rsidTr="004F52BC">
        <w:trPr>
          <w:trHeight w:val="72"/>
          <w:jc w:val="center"/>
        </w:trPr>
        <w:tc>
          <w:tcPr>
            <w:cnfStyle w:val="001000000000" w:firstRow="0" w:lastRow="0" w:firstColumn="1" w:lastColumn="0" w:oddVBand="0" w:evenVBand="0" w:oddHBand="0" w:evenHBand="0" w:firstRowFirstColumn="0" w:firstRowLastColumn="0" w:lastRowFirstColumn="0" w:lastRowLastColumn="0"/>
            <w:tcW w:w="645" w:type="dxa"/>
            <w:vAlign w:val="center"/>
          </w:tcPr>
          <w:p w14:paraId="13058CCF" w14:textId="77777777" w:rsidR="002C7FFA" w:rsidRPr="008035A5" w:rsidRDefault="002C7FFA">
            <w:pPr>
              <w:pStyle w:val="Paragraph"/>
              <w:spacing w:before="0" w:line="240" w:lineRule="auto"/>
              <w:jc w:val="center"/>
              <w:rPr>
                <w:rFonts w:asciiTheme="majorBidi" w:hAnsiTheme="majorBidi" w:cstheme="majorBidi"/>
                <w:b w:val="0"/>
                <w:bCs w:val="0"/>
                <w:i/>
                <w:iCs/>
                <w:sz w:val="18"/>
                <w:szCs w:val="18"/>
              </w:rPr>
            </w:pPr>
            <w:r>
              <w:rPr>
                <w:rFonts w:asciiTheme="majorBidi" w:hAnsiTheme="majorBidi" w:cstheme="majorBidi"/>
                <w:noProof/>
                <w:sz w:val="18"/>
                <w:szCs w:val="18"/>
                <w:vertAlign w:val="superscript"/>
              </w:rPr>
              <w:fldChar w:fldCharType="begin" w:fldLock="1"/>
            </w:r>
            <w:r>
              <w:rPr>
                <w:rFonts w:asciiTheme="majorBidi" w:hAnsiTheme="majorBidi" w:cstheme="majorBidi"/>
                <w:noProof/>
                <w:sz w:val="18"/>
                <w:szCs w:val="18"/>
                <w:vertAlign w:val="superscript"/>
              </w:rPr>
              <w:instrText>ADDIN CSL_CITATION {"citationItems":[{"id":"ITEM-1","itemData":{"DOI":"10.1016/j.gastrohep.2018.12.004","ISSN":"0210-5705 (Print)","PMID":"30772087","abstract":"INTRODUCTION: Inexpensive blood tests have been well established as alternatives  to liver biopsies to evaluate liver fibrosis in CHB patients. Here, we aim to compare their diagnostic accuracy in assessing liver fibrosis and necroinflammation. PATIENTS AND METHODS: A retrospective study was performed to evaluate the predictive value of non-invasive models in chronic hepatitis B patients with liver fibrosis by the area under receiver operating characteristic curve (AUROC). The clinical data of 160 patients were collected from medical records. RESULTS: Of the 160 consecutive treatment-naïve CHB patients, 29 (16%) had significant fibrosis and 34 (21%) had severe necroinflammation. The AUROC of the gamma-glutamyl transpeptidase to platelet ratio (GPR) (0.761, 95% CI 0.671-0.850) for predicting significant fibrosis was significantly higher than that of the aspartate transaminase-to-platelet ratio index (APRI) (0.680, 95% CI 0.585-0.774, p=0.034), but comparable with the fibrosis index based on four factors (Fib-4) (0.746, 95% CI 0.656-0.836, p=0.703), while for predicting severe necroinflammation, the performance of the GPR (AUROC=0.869, 95% CI 0.800-0.937) was better than the APRI (AUROC=0.816, 95% CI 0.740-0.892, p=0.085) and Fib-4 (0.792, 95% CI 0.711-0.873, p=0.023). DISCUSSION: GPR is a satisfactory model to stage liver fibrosis and to grade necroinflammation activity, representing a convenient non-invasive alternative to liver biopsy in China.","author":[{"dropping-particle":"","family":"Yu","given":"Kangkang","non-dropping-particle":"","parse-names":false,"suffix":""},{"dropping-particle":"","family":"Du","given":"Zunguo","non-dropping-particle":"","parse-names":false,"suffix":""},{"dropping-particle":"","family":"Li","given":"Qian","non-dropping-particle":"","parse-names":false,"suffix":""},{"dropping-particle":"","family":"Cheng","given":"Qi","non-dropping-particle":"","parse-names":false,"suffix":""},{"dropping-particle":"","family":"Huang","given":"Chong","non-dropping-particle":"","parse-names":false,"suffix":""},{"dropping-particle":"","family":"Shi","given":"Guangfeng","non-dropping-particle":"","parse-names":false,"suffix":""},{"dropping-particle":"","family":"Li","given":"Ning","non-dropping-particle":"","parse-names":false,"suffix":""}],"container-title":"Gastroenterologia y hepatologia","id":"ITEM-1","issue":"5","issued":{"date-parts":[["2019","5"]]},"language":"eng","page":"281-288","publisher-place":"Spain","title":"Comparison of non-invasive models for predicting liver damage in chronic  hepatitis B patients.","type":"article-journal","volume":"42"},"uris":["http://www.mendeley.com/documents/?uuid=6776f549-83e4-4a94-bf61-08fc8b593588"]}],"mendeley":{"formattedCitation":"[22]","plainTextFormattedCitation":"[22]","previouslyFormattedCitation":"[22]"},"properties":{"noteIndex":0},"schema":"https://github.com/citation-style-language/schema/raw/master/csl-citation.json"}</w:instrText>
            </w:r>
            <w:r>
              <w:rPr>
                <w:rFonts w:asciiTheme="majorBidi" w:hAnsiTheme="majorBidi" w:cstheme="majorBidi"/>
                <w:noProof/>
                <w:sz w:val="18"/>
                <w:szCs w:val="18"/>
                <w:vertAlign w:val="superscript"/>
              </w:rPr>
              <w:fldChar w:fldCharType="separate"/>
            </w:r>
            <w:r w:rsidRPr="00FE246B">
              <w:rPr>
                <w:rFonts w:asciiTheme="majorBidi" w:hAnsiTheme="majorBidi" w:cstheme="majorBidi"/>
                <w:b w:val="0"/>
                <w:noProof/>
                <w:sz w:val="18"/>
                <w:szCs w:val="18"/>
              </w:rPr>
              <w:t>[22]</w:t>
            </w:r>
            <w:r>
              <w:rPr>
                <w:rFonts w:asciiTheme="majorBidi" w:hAnsiTheme="majorBidi" w:cstheme="majorBidi"/>
                <w:noProof/>
                <w:sz w:val="18"/>
                <w:szCs w:val="18"/>
                <w:vertAlign w:val="superscript"/>
              </w:rPr>
              <w:fldChar w:fldCharType="end"/>
            </w:r>
          </w:p>
        </w:tc>
        <w:tc>
          <w:tcPr>
            <w:tcW w:w="1960" w:type="dxa"/>
            <w:vAlign w:val="center"/>
            <w:hideMark/>
          </w:tcPr>
          <w:p w14:paraId="56F7A23C"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Yu K. et al</w:t>
            </w:r>
          </w:p>
        </w:tc>
        <w:tc>
          <w:tcPr>
            <w:tcW w:w="630" w:type="dxa"/>
            <w:vAlign w:val="center"/>
            <w:hideMark/>
          </w:tcPr>
          <w:p w14:paraId="7517CB1C"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2019</w:t>
            </w:r>
          </w:p>
        </w:tc>
        <w:tc>
          <w:tcPr>
            <w:tcW w:w="900" w:type="dxa"/>
            <w:vAlign w:val="center"/>
            <w:hideMark/>
          </w:tcPr>
          <w:p w14:paraId="2CD7DFEB"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China</w:t>
            </w:r>
          </w:p>
        </w:tc>
        <w:tc>
          <w:tcPr>
            <w:tcW w:w="900" w:type="dxa"/>
            <w:vAlign w:val="center"/>
            <w:hideMark/>
          </w:tcPr>
          <w:p w14:paraId="70B5FFD4"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F3</w:t>
            </w:r>
          </w:p>
        </w:tc>
        <w:tc>
          <w:tcPr>
            <w:tcW w:w="1260" w:type="dxa"/>
            <w:vAlign w:val="center"/>
          </w:tcPr>
          <w:p w14:paraId="11245078"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0.27</w:t>
            </w:r>
          </w:p>
        </w:tc>
        <w:tc>
          <w:tcPr>
            <w:tcW w:w="900" w:type="dxa"/>
            <w:vAlign w:val="center"/>
            <w:hideMark/>
          </w:tcPr>
          <w:p w14:paraId="392FC72A"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0.79</w:t>
            </w:r>
          </w:p>
        </w:tc>
        <w:tc>
          <w:tcPr>
            <w:tcW w:w="810" w:type="dxa"/>
            <w:vAlign w:val="center"/>
            <w:hideMark/>
          </w:tcPr>
          <w:p w14:paraId="78F8593E"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0.65</w:t>
            </w:r>
          </w:p>
        </w:tc>
        <w:tc>
          <w:tcPr>
            <w:tcW w:w="900" w:type="dxa"/>
            <w:vAlign w:val="center"/>
            <w:hideMark/>
          </w:tcPr>
          <w:p w14:paraId="6A848832"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0.33</w:t>
            </w:r>
          </w:p>
        </w:tc>
        <w:tc>
          <w:tcPr>
            <w:tcW w:w="810" w:type="dxa"/>
            <w:vAlign w:val="center"/>
            <w:hideMark/>
          </w:tcPr>
          <w:p w14:paraId="7969DCEC"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0.93</w:t>
            </w:r>
          </w:p>
        </w:tc>
        <w:tc>
          <w:tcPr>
            <w:tcW w:w="845" w:type="dxa"/>
            <w:vAlign w:val="center"/>
            <w:hideMark/>
          </w:tcPr>
          <w:p w14:paraId="6D4D461D"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hAnsiTheme="majorBidi" w:cstheme="majorBidi"/>
                <w:b/>
                <w:bCs/>
                <w:sz w:val="18"/>
                <w:szCs w:val="18"/>
              </w:rPr>
              <w:t>160</w:t>
            </w:r>
          </w:p>
        </w:tc>
        <w:tc>
          <w:tcPr>
            <w:tcW w:w="810" w:type="dxa"/>
            <w:vAlign w:val="center"/>
            <w:hideMark/>
          </w:tcPr>
          <w:p w14:paraId="4887B474"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0.74</w:t>
            </w:r>
          </w:p>
        </w:tc>
        <w:tc>
          <w:tcPr>
            <w:tcW w:w="900" w:type="dxa"/>
            <w:vAlign w:val="center"/>
            <w:hideMark/>
          </w:tcPr>
          <w:p w14:paraId="1922B1F7"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35</w:t>
            </w:r>
          </w:p>
        </w:tc>
        <w:tc>
          <w:tcPr>
            <w:tcW w:w="1155" w:type="dxa"/>
            <w:vAlign w:val="center"/>
          </w:tcPr>
          <w:p w14:paraId="631212D1"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8035A5">
              <w:rPr>
                <w:rFonts w:asciiTheme="majorBidi" w:hAnsiTheme="majorBidi" w:cstheme="majorBidi"/>
                <w:b/>
                <w:bCs/>
                <w:sz w:val="18"/>
                <w:szCs w:val="18"/>
              </w:rPr>
              <w:t>METAVIR</w:t>
            </w:r>
          </w:p>
        </w:tc>
        <w:tc>
          <w:tcPr>
            <w:tcW w:w="1545" w:type="dxa"/>
            <w:vAlign w:val="center"/>
          </w:tcPr>
          <w:p w14:paraId="4768BDB5"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8035A5">
              <w:rPr>
                <w:rFonts w:asciiTheme="majorBidi" w:eastAsiaTheme="minorHAnsi" w:hAnsiTheme="majorBidi" w:cstheme="majorBidi"/>
                <w:b/>
                <w:bCs/>
                <w:sz w:val="18"/>
                <w:szCs w:val="18"/>
                <w:lang w:eastAsia="en-US"/>
              </w:rPr>
              <w:t>HBV</w:t>
            </w:r>
          </w:p>
        </w:tc>
      </w:tr>
      <w:tr w:rsidR="002C7FFA" w:rsidRPr="008035A5" w14:paraId="5ED8FDF4" w14:textId="77777777" w:rsidTr="004F52BC">
        <w:trPr>
          <w:cnfStyle w:val="000000100000" w:firstRow="0" w:lastRow="0" w:firstColumn="0" w:lastColumn="0" w:oddVBand="0" w:evenVBand="0" w:oddHBand="1"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restart"/>
            <w:vAlign w:val="center"/>
          </w:tcPr>
          <w:p w14:paraId="4FA0D02D" w14:textId="77777777" w:rsidR="002C7FFA" w:rsidRPr="008035A5" w:rsidRDefault="002C7FFA">
            <w:pPr>
              <w:pStyle w:val="Paragraph"/>
              <w:spacing w:before="0" w:line="240" w:lineRule="auto"/>
              <w:jc w:val="center"/>
              <w:rPr>
                <w:rFonts w:asciiTheme="majorBidi" w:hAnsiTheme="majorBidi" w:cstheme="majorBidi"/>
                <w:b w:val="0"/>
                <w:bCs w:val="0"/>
                <w:i/>
                <w:iCs/>
                <w:sz w:val="18"/>
                <w:szCs w:val="18"/>
              </w:rPr>
            </w:pPr>
            <w:r>
              <w:rPr>
                <w:rFonts w:asciiTheme="majorBidi" w:hAnsiTheme="majorBidi" w:cstheme="majorBidi"/>
                <w:noProof/>
                <w:sz w:val="18"/>
                <w:szCs w:val="18"/>
                <w:vertAlign w:val="superscript"/>
              </w:rPr>
              <w:fldChar w:fldCharType="begin" w:fldLock="1"/>
            </w:r>
            <w:r>
              <w:rPr>
                <w:rFonts w:asciiTheme="majorBidi" w:hAnsiTheme="majorBidi" w:cstheme="majorBidi"/>
                <w:noProof/>
                <w:sz w:val="18"/>
                <w:szCs w:val="18"/>
                <w:vertAlign w:val="superscript"/>
              </w:rPr>
              <w:instrText>ADDIN CSL_CITATION {"citationItems":[{"id":"ITEM-1","itemData":{"DOI":"10.1136/gutjnl-2017-313896","ISSN":"1468-3288 (Electronic)","PMID":"28814484","author":[{"dropping-particle":"","family":"Zhang","given":"Wei","non-dropping-particle":"","parse-names":false,"suffix":""},{"dropping-particle":"","family":"Sun","given":"MiMi","non-dropping-particle":"","parse-names":false,"suffix":""},{"dropping-particle":"","family":"Chen","given":"Gang","non-dropping-particle":"","parse-names":false,"suffix":""},{"dropping-particle":"","family":"An","given":"Yong","non-dropping-particle":"","parse-names":false,"suffix":""},{"dropping-particle":"","family":"Lv","given":"ChunLei","non-dropping-particle":"","parse-names":false,"suffix":""},{"dropping-particle":"","family":"Wang","given":"YongQing","non-dropping-particle":"","parse-names":false,"suffix":""},{"dropping-particle":"","family":"Shang","given":"QingHua","non-dropping-particle":"","parse-names":false,"suffix":""}],"container-title":"Gut","id":"ITEM-1","issue":"5","issued":{"date-parts":[["2018","5"]]},"language":"eng","page":"989-991","publisher-place":"England","title":"Reassessment of gamma-glutamyl transpeptidase to platelet ratio (GPR): a  large-sample, dynamic study based on liver biopsy in a Chinese population with chronic hepatitis B virus (HBV) infection.","type":"article-journal","volume":"67"},"uris":["http://www.mendeley.com/documents/?uuid=6adfe351-4adb-42b1-a6bf-a0af376d2005"]}],"mendeley":{"formattedCitation":"[23]","plainTextFormattedCitation":"[23]","previouslyFormattedCitation":"[23]"},"properties":{"noteIndex":0},"schema":"https://github.com/citation-style-language/schema/raw/master/csl-citation.json"}</w:instrText>
            </w:r>
            <w:r>
              <w:rPr>
                <w:rFonts w:asciiTheme="majorBidi" w:hAnsiTheme="majorBidi" w:cstheme="majorBidi"/>
                <w:noProof/>
                <w:sz w:val="18"/>
                <w:szCs w:val="18"/>
                <w:vertAlign w:val="superscript"/>
              </w:rPr>
              <w:fldChar w:fldCharType="separate"/>
            </w:r>
            <w:r w:rsidRPr="00FE246B">
              <w:rPr>
                <w:rFonts w:asciiTheme="majorBidi" w:hAnsiTheme="majorBidi" w:cstheme="majorBidi"/>
                <w:b w:val="0"/>
                <w:noProof/>
                <w:sz w:val="18"/>
                <w:szCs w:val="18"/>
              </w:rPr>
              <w:t>[23]</w:t>
            </w:r>
            <w:r>
              <w:rPr>
                <w:rFonts w:asciiTheme="majorBidi" w:hAnsiTheme="majorBidi" w:cstheme="majorBidi"/>
                <w:noProof/>
                <w:sz w:val="18"/>
                <w:szCs w:val="18"/>
                <w:vertAlign w:val="superscript"/>
              </w:rPr>
              <w:fldChar w:fldCharType="end"/>
            </w:r>
          </w:p>
        </w:tc>
        <w:tc>
          <w:tcPr>
            <w:tcW w:w="1960" w:type="dxa"/>
            <w:vMerge w:val="restart"/>
            <w:vAlign w:val="center"/>
            <w:hideMark/>
          </w:tcPr>
          <w:p w14:paraId="675F1DEB"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Zhang W. et al</w:t>
            </w:r>
          </w:p>
        </w:tc>
        <w:tc>
          <w:tcPr>
            <w:tcW w:w="630" w:type="dxa"/>
            <w:vMerge w:val="restart"/>
            <w:vAlign w:val="center"/>
            <w:hideMark/>
          </w:tcPr>
          <w:p w14:paraId="470BBCD4"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2017</w:t>
            </w:r>
          </w:p>
        </w:tc>
        <w:tc>
          <w:tcPr>
            <w:tcW w:w="900" w:type="dxa"/>
            <w:vMerge w:val="restart"/>
            <w:vAlign w:val="center"/>
            <w:hideMark/>
          </w:tcPr>
          <w:p w14:paraId="2857DF8B"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China</w:t>
            </w:r>
          </w:p>
        </w:tc>
        <w:tc>
          <w:tcPr>
            <w:tcW w:w="900" w:type="dxa"/>
            <w:vAlign w:val="center"/>
            <w:hideMark/>
          </w:tcPr>
          <w:p w14:paraId="4E2798C2"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F2</w:t>
            </w:r>
          </w:p>
        </w:tc>
        <w:tc>
          <w:tcPr>
            <w:tcW w:w="1260" w:type="dxa"/>
            <w:vAlign w:val="center"/>
          </w:tcPr>
          <w:p w14:paraId="601C2C55"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0.32</w:t>
            </w:r>
          </w:p>
        </w:tc>
        <w:tc>
          <w:tcPr>
            <w:tcW w:w="900" w:type="dxa"/>
            <w:vAlign w:val="center"/>
            <w:hideMark/>
          </w:tcPr>
          <w:p w14:paraId="33DD9B43"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0.40</w:t>
            </w:r>
          </w:p>
        </w:tc>
        <w:tc>
          <w:tcPr>
            <w:tcW w:w="810" w:type="dxa"/>
            <w:vAlign w:val="center"/>
            <w:hideMark/>
          </w:tcPr>
          <w:p w14:paraId="579A1FC5"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0.78</w:t>
            </w:r>
          </w:p>
        </w:tc>
        <w:tc>
          <w:tcPr>
            <w:tcW w:w="900" w:type="dxa"/>
            <w:vAlign w:val="center"/>
            <w:hideMark/>
          </w:tcPr>
          <w:p w14:paraId="4EC1BEE1"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0.85</w:t>
            </w:r>
          </w:p>
        </w:tc>
        <w:tc>
          <w:tcPr>
            <w:tcW w:w="810" w:type="dxa"/>
            <w:vAlign w:val="center"/>
            <w:hideMark/>
          </w:tcPr>
          <w:p w14:paraId="79C4904E"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0.30</w:t>
            </w:r>
          </w:p>
        </w:tc>
        <w:tc>
          <w:tcPr>
            <w:tcW w:w="845" w:type="dxa"/>
            <w:vMerge w:val="restart"/>
            <w:vAlign w:val="center"/>
            <w:hideMark/>
          </w:tcPr>
          <w:p w14:paraId="04E106FC"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hAnsiTheme="majorBidi" w:cstheme="majorBidi"/>
                <w:b/>
                <w:bCs/>
                <w:sz w:val="18"/>
                <w:szCs w:val="18"/>
              </w:rPr>
              <w:t>1,168</w:t>
            </w:r>
          </w:p>
        </w:tc>
        <w:tc>
          <w:tcPr>
            <w:tcW w:w="810" w:type="dxa"/>
            <w:vMerge w:val="restart"/>
            <w:vAlign w:val="center"/>
            <w:hideMark/>
          </w:tcPr>
          <w:p w14:paraId="47D5B4C2"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0.75</w:t>
            </w:r>
          </w:p>
        </w:tc>
        <w:tc>
          <w:tcPr>
            <w:tcW w:w="900" w:type="dxa"/>
            <w:vMerge w:val="restart"/>
            <w:vAlign w:val="center"/>
            <w:hideMark/>
          </w:tcPr>
          <w:p w14:paraId="6C844DB1"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36</w:t>
            </w:r>
          </w:p>
        </w:tc>
        <w:tc>
          <w:tcPr>
            <w:tcW w:w="1155" w:type="dxa"/>
            <w:vMerge w:val="restart"/>
            <w:vAlign w:val="center"/>
          </w:tcPr>
          <w:p w14:paraId="2AA569A0"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8035A5">
              <w:rPr>
                <w:rFonts w:asciiTheme="majorBidi" w:hAnsiTheme="majorBidi" w:cstheme="majorBidi"/>
                <w:b/>
                <w:bCs/>
                <w:sz w:val="18"/>
                <w:szCs w:val="18"/>
              </w:rPr>
              <w:t>METAVIR</w:t>
            </w:r>
          </w:p>
        </w:tc>
        <w:tc>
          <w:tcPr>
            <w:tcW w:w="1545" w:type="dxa"/>
            <w:vMerge w:val="restart"/>
            <w:vAlign w:val="center"/>
          </w:tcPr>
          <w:p w14:paraId="26D1EF60"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8035A5">
              <w:rPr>
                <w:rFonts w:asciiTheme="majorBidi" w:eastAsiaTheme="minorHAnsi" w:hAnsiTheme="majorBidi" w:cstheme="majorBidi"/>
                <w:b/>
                <w:bCs/>
                <w:sz w:val="18"/>
                <w:szCs w:val="18"/>
                <w:lang w:eastAsia="en-US"/>
              </w:rPr>
              <w:t>HBV</w:t>
            </w:r>
          </w:p>
        </w:tc>
      </w:tr>
      <w:tr w:rsidR="002C7FFA" w:rsidRPr="008035A5" w14:paraId="2CC217CE" w14:textId="77777777" w:rsidTr="004F52BC">
        <w:trPr>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45936FCD"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4434F678"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hideMark/>
          </w:tcPr>
          <w:p w14:paraId="3EE0421E"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3C5561A6"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328FF499"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F3</w:t>
            </w:r>
          </w:p>
        </w:tc>
        <w:tc>
          <w:tcPr>
            <w:tcW w:w="1260" w:type="dxa"/>
            <w:vAlign w:val="center"/>
          </w:tcPr>
          <w:p w14:paraId="57A75C82"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0.32</w:t>
            </w:r>
          </w:p>
        </w:tc>
        <w:tc>
          <w:tcPr>
            <w:tcW w:w="900" w:type="dxa"/>
            <w:vAlign w:val="center"/>
            <w:hideMark/>
          </w:tcPr>
          <w:p w14:paraId="4A94D9A4"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0.47</w:t>
            </w:r>
          </w:p>
        </w:tc>
        <w:tc>
          <w:tcPr>
            <w:tcW w:w="810" w:type="dxa"/>
            <w:vAlign w:val="center"/>
            <w:hideMark/>
          </w:tcPr>
          <w:p w14:paraId="4B6E506E"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0.79</w:t>
            </w:r>
          </w:p>
        </w:tc>
        <w:tc>
          <w:tcPr>
            <w:tcW w:w="900" w:type="dxa"/>
            <w:vAlign w:val="center"/>
            <w:hideMark/>
          </w:tcPr>
          <w:p w14:paraId="62105C5B"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0.72</w:t>
            </w:r>
          </w:p>
        </w:tc>
        <w:tc>
          <w:tcPr>
            <w:tcW w:w="810" w:type="dxa"/>
            <w:vAlign w:val="center"/>
            <w:hideMark/>
          </w:tcPr>
          <w:p w14:paraId="28B40B71"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0.55</w:t>
            </w:r>
          </w:p>
        </w:tc>
        <w:tc>
          <w:tcPr>
            <w:tcW w:w="845" w:type="dxa"/>
            <w:vMerge/>
            <w:vAlign w:val="center"/>
          </w:tcPr>
          <w:p w14:paraId="1E27B59C"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810" w:type="dxa"/>
            <w:vMerge/>
            <w:vAlign w:val="center"/>
            <w:hideMark/>
          </w:tcPr>
          <w:p w14:paraId="746EE70D"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5DA2E591"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155" w:type="dxa"/>
            <w:vMerge/>
            <w:vAlign w:val="center"/>
          </w:tcPr>
          <w:p w14:paraId="4D4DD1A7"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c>
          <w:tcPr>
            <w:tcW w:w="1545" w:type="dxa"/>
            <w:vMerge/>
            <w:vAlign w:val="center"/>
          </w:tcPr>
          <w:p w14:paraId="3D70D5AD"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r>
      <w:tr w:rsidR="002C7FFA" w:rsidRPr="008035A5" w14:paraId="391A3641" w14:textId="77777777" w:rsidTr="004F52BC">
        <w:trPr>
          <w:cnfStyle w:val="000000100000" w:firstRow="0" w:lastRow="0" w:firstColumn="0" w:lastColumn="0" w:oddVBand="0" w:evenVBand="0" w:oddHBand="1"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2D17F807"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0B92F53F"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hideMark/>
          </w:tcPr>
          <w:p w14:paraId="1FD7170E"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199C2B29"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17308AC8"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F4</w:t>
            </w:r>
          </w:p>
        </w:tc>
        <w:tc>
          <w:tcPr>
            <w:tcW w:w="1260" w:type="dxa"/>
            <w:vAlign w:val="center"/>
          </w:tcPr>
          <w:p w14:paraId="3C48C7B0"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0.56</w:t>
            </w:r>
          </w:p>
        </w:tc>
        <w:tc>
          <w:tcPr>
            <w:tcW w:w="900" w:type="dxa"/>
            <w:vAlign w:val="center"/>
            <w:hideMark/>
          </w:tcPr>
          <w:p w14:paraId="4F218B25"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0.36</w:t>
            </w:r>
          </w:p>
        </w:tc>
        <w:tc>
          <w:tcPr>
            <w:tcW w:w="810" w:type="dxa"/>
            <w:vAlign w:val="center"/>
            <w:hideMark/>
          </w:tcPr>
          <w:p w14:paraId="54E3ECF9"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0.85</w:t>
            </w:r>
          </w:p>
        </w:tc>
        <w:tc>
          <w:tcPr>
            <w:tcW w:w="900" w:type="dxa"/>
            <w:vAlign w:val="center"/>
            <w:hideMark/>
          </w:tcPr>
          <w:p w14:paraId="4706E0D4"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0.46</w:t>
            </w:r>
          </w:p>
        </w:tc>
        <w:tc>
          <w:tcPr>
            <w:tcW w:w="810" w:type="dxa"/>
            <w:vAlign w:val="center"/>
            <w:hideMark/>
          </w:tcPr>
          <w:p w14:paraId="6DEBECB8"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0.78</w:t>
            </w:r>
          </w:p>
        </w:tc>
        <w:tc>
          <w:tcPr>
            <w:tcW w:w="845" w:type="dxa"/>
            <w:vMerge/>
            <w:vAlign w:val="center"/>
          </w:tcPr>
          <w:p w14:paraId="0EE54888"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810" w:type="dxa"/>
            <w:vMerge/>
            <w:vAlign w:val="center"/>
            <w:hideMark/>
          </w:tcPr>
          <w:p w14:paraId="0D1C3C49"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0F417CD0"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155" w:type="dxa"/>
            <w:vMerge/>
            <w:vAlign w:val="center"/>
          </w:tcPr>
          <w:p w14:paraId="5E5DE531"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c>
          <w:tcPr>
            <w:tcW w:w="1545" w:type="dxa"/>
            <w:vMerge/>
            <w:vAlign w:val="center"/>
          </w:tcPr>
          <w:p w14:paraId="532E7A64"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r>
      <w:tr w:rsidR="002C7FFA" w:rsidRPr="008035A5" w14:paraId="66850FDF" w14:textId="77777777" w:rsidTr="004F52BC">
        <w:trPr>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restart"/>
            <w:vAlign w:val="center"/>
          </w:tcPr>
          <w:p w14:paraId="3DA032FB" w14:textId="77777777" w:rsidR="002C7FFA" w:rsidRPr="008035A5" w:rsidRDefault="002C7FFA">
            <w:pPr>
              <w:pStyle w:val="Paragraph"/>
              <w:spacing w:before="0" w:line="240" w:lineRule="auto"/>
              <w:jc w:val="center"/>
              <w:rPr>
                <w:rFonts w:asciiTheme="majorBidi" w:hAnsiTheme="majorBidi" w:cstheme="majorBidi"/>
                <w:b w:val="0"/>
                <w:bCs w:val="0"/>
                <w:i/>
                <w:iCs/>
                <w:sz w:val="18"/>
                <w:szCs w:val="18"/>
              </w:rPr>
            </w:pPr>
            <w:r>
              <w:rPr>
                <w:rFonts w:asciiTheme="majorBidi" w:hAnsiTheme="majorBidi" w:cstheme="majorBidi"/>
                <w:noProof/>
                <w:sz w:val="18"/>
                <w:szCs w:val="18"/>
                <w:vertAlign w:val="superscript"/>
              </w:rPr>
              <w:fldChar w:fldCharType="begin" w:fldLock="1"/>
            </w:r>
            <w:r>
              <w:rPr>
                <w:rFonts w:asciiTheme="majorBidi" w:hAnsiTheme="majorBidi" w:cstheme="majorBidi"/>
                <w:noProof/>
                <w:sz w:val="18"/>
                <w:szCs w:val="18"/>
                <w:vertAlign w:val="superscript"/>
              </w:rPr>
              <w:instrText>ADDIN CSL_CITATION {"citationItems":[{"id":"ITEM-1","itemData":{"DOI":"10.1136/gutjnl-2017-315299","ISSN":"1468-3288","PMID":"29101263","author":[{"dropping-particle":"","family":"Lu","given":"Xiao-Jie","non-dropping-particle":"","parse-names":false,"suffix":""},{"dropping-particle":"","family":"Li","given":"Xiu-Hui","non-dropping-particle":"","parse-names":false,"suffix":""},{"dropping-particle":"","family":"Yuan","given":"Zhao-Xin","non-dropping-particle":"","parse-names":false,"suffix":""},{"dropping-particle":"","family":"Sun","given":"Hai-Ying","non-dropping-particle":"","parse-names":false,"suffix":""},{"dropping-particle":"","family":"Wang","given":"Xiao-Chen","non-dropping-particle":"","parse-names":false,"suffix":""},{"dropping-particle":"","family":"Qi","given":"Xiaolong","non-dropping-particle":"","parse-names":false,"suffix":""},{"dropping-particle":"","family":"Zhang","given":"Xin","non-dropping-particle":"","parse-names":false,"suffix":""},{"dropping-particle":"","family":"Sun","given":"Beicheng","non-dropping-particle":"","parse-names":false,"suffix":""}],"container-title":"Gut","id":"ITEM-1","issue":"10","issued":{"date-parts":[["2018","10"]]},"language":"eng","page":"1903-1904","publisher-place":"England","title":"Assessment of liver fibrosis with the gamma-glutamyl transpeptidase to platelet ratio: a multicentre validation in patients with HBV infection.","type":"article-journal","volume":"67"},"uris":["http://www.mendeley.com/documents/?uuid=d870644a-af9c-49bf-b44b-53d5c3b81b6c"]}],"mendeley":{"formattedCitation":"[24]","plainTextFormattedCitation":"[24]","previouslyFormattedCitation":"[24]"},"properties":{"noteIndex":0},"schema":"https://github.com/citation-style-language/schema/raw/master/csl-citation.json"}</w:instrText>
            </w:r>
            <w:r>
              <w:rPr>
                <w:rFonts w:asciiTheme="majorBidi" w:hAnsiTheme="majorBidi" w:cstheme="majorBidi"/>
                <w:noProof/>
                <w:sz w:val="18"/>
                <w:szCs w:val="18"/>
                <w:vertAlign w:val="superscript"/>
              </w:rPr>
              <w:fldChar w:fldCharType="separate"/>
            </w:r>
            <w:r w:rsidRPr="00FE246B">
              <w:rPr>
                <w:rFonts w:asciiTheme="majorBidi" w:hAnsiTheme="majorBidi" w:cstheme="majorBidi"/>
                <w:b w:val="0"/>
                <w:noProof/>
                <w:sz w:val="18"/>
                <w:szCs w:val="18"/>
              </w:rPr>
              <w:t>[24]</w:t>
            </w:r>
            <w:r>
              <w:rPr>
                <w:rFonts w:asciiTheme="majorBidi" w:hAnsiTheme="majorBidi" w:cstheme="majorBidi"/>
                <w:noProof/>
                <w:sz w:val="18"/>
                <w:szCs w:val="18"/>
                <w:vertAlign w:val="superscript"/>
              </w:rPr>
              <w:fldChar w:fldCharType="end"/>
            </w:r>
          </w:p>
        </w:tc>
        <w:tc>
          <w:tcPr>
            <w:tcW w:w="1960" w:type="dxa"/>
            <w:vMerge w:val="restart"/>
            <w:vAlign w:val="center"/>
            <w:hideMark/>
          </w:tcPr>
          <w:p w14:paraId="45D09915"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Lu X. et al</w:t>
            </w:r>
          </w:p>
        </w:tc>
        <w:tc>
          <w:tcPr>
            <w:tcW w:w="630" w:type="dxa"/>
            <w:vMerge w:val="restart"/>
            <w:vAlign w:val="center"/>
            <w:hideMark/>
          </w:tcPr>
          <w:p w14:paraId="6E8D828F"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2017</w:t>
            </w:r>
          </w:p>
        </w:tc>
        <w:tc>
          <w:tcPr>
            <w:tcW w:w="900" w:type="dxa"/>
            <w:vMerge w:val="restart"/>
            <w:vAlign w:val="center"/>
            <w:hideMark/>
          </w:tcPr>
          <w:p w14:paraId="45D6902D"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China</w:t>
            </w:r>
          </w:p>
        </w:tc>
        <w:tc>
          <w:tcPr>
            <w:tcW w:w="900" w:type="dxa"/>
            <w:vAlign w:val="center"/>
            <w:hideMark/>
          </w:tcPr>
          <w:p w14:paraId="5365DB4C"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F2</w:t>
            </w:r>
          </w:p>
        </w:tc>
        <w:tc>
          <w:tcPr>
            <w:tcW w:w="1260" w:type="dxa"/>
            <w:vAlign w:val="center"/>
          </w:tcPr>
          <w:p w14:paraId="059AE15B"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0.51</w:t>
            </w:r>
          </w:p>
        </w:tc>
        <w:tc>
          <w:tcPr>
            <w:tcW w:w="900" w:type="dxa"/>
            <w:vAlign w:val="center"/>
            <w:hideMark/>
          </w:tcPr>
          <w:p w14:paraId="21C4255F"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0.71</w:t>
            </w:r>
          </w:p>
        </w:tc>
        <w:tc>
          <w:tcPr>
            <w:tcW w:w="810" w:type="dxa"/>
            <w:vAlign w:val="center"/>
            <w:hideMark/>
          </w:tcPr>
          <w:p w14:paraId="7CDA61A9"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0.74</w:t>
            </w:r>
          </w:p>
        </w:tc>
        <w:tc>
          <w:tcPr>
            <w:tcW w:w="900" w:type="dxa"/>
            <w:vAlign w:val="center"/>
            <w:hideMark/>
          </w:tcPr>
          <w:p w14:paraId="60E17A6B"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0.91</w:t>
            </w:r>
          </w:p>
        </w:tc>
        <w:tc>
          <w:tcPr>
            <w:tcW w:w="810" w:type="dxa"/>
            <w:vAlign w:val="center"/>
            <w:hideMark/>
          </w:tcPr>
          <w:p w14:paraId="4522359C"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0.42</w:t>
            </w:r>
          </w:p>
        </w:tc>
        <w:tc>
          <w:tcPr>
            <w:tcW w:w="845" w:type="dxa"/>
            <w:vMerge w:val="restart"/>
            <w:vAlign w:val="center"/>
            <w:hideMark/>
          </w:tcPr>
          <w:p w14:paraId="4C6F7A3D"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hAnsiTheme="majorBidi" w:cstheme="majorBidi"/>
                <w:b/>
                <w:bCs/>
                <w:sz w:val="18"/>
                <w:szCs w:val="18"/>
              </w:rPr>
              <w:t>396</w:t>
            </w:r>
          </w:p>
        </w:tc>
        <w:tc>
          <w:tcPr>
            <w:tcW w:w="810" w:type="dxa"/>
            <w:vMerge w:val="restart"/>
            <w:vAlign w:val="center"/>
            <w:hideMark/>
          </w:tcPr>
          <w:p w14:paraId="6BB14475"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0.56</w:t>
            </w:r>
          </w:p>
        </w:tc>
        <w:tc>
          <w:tcPr>
            <w:tcW w:w="900" w:type="dxa"/>
            <w:vMerge w:val="restart"/>
            <w:vAlign w:val="center"/>
            <w:hideMark/>
          </w:tcPr>
          <w:p w14:paraId="0A9C3597"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40</w:t>
            </w:r>
          </w:p>
        </w:tc>
        <w:tc>
          <w:tcPr>
            <w:tcW w:w="1155" w:type="dxa"/>
            <w:vMerge w:val="restart"/>
            <w:vAlign w:val="center"/>
          </w:tcPr>
          <w:p w14:paraId="25C0A9B7"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8035A5">
              <w:rPr>
                <w:rFonts w:asciiTheme="majorBidi" w:hAnsiTheme="majorBidi" w:cstheme="majorBidi"/>
                <w:b/>
                <w:bCs/>
                <w:sz w:val="18"/>
                <w:szCs w:val="18"/>
              </w:rPr>
              <w:t>METAVIR</w:t>
            </w:r>
          </w:p>
        </w:tc>
        <w:tc>
          <w:tcPr>
            <w:tcW w:w="1545" w:type="dxa"/>
            <w:vMerge w:val="restart"/>
            <w:vAlign w:val="center"/>
          </w:tcPr>
          <w:p w14:paraId="6B3B8C5F"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8035A5">
              <w:rPr>
                <w:rFonts w:asciiTheme="majorBidi" w:eastAsiaTheme="minorHAnsi" w:hAnsiTheme="majorBidi" w:cstheme="majorBidi"/>
                <w:b/>
                <w:bCs/>
                <w:sz w:val="18"/>
                <w:szCs w:val="18"/>
                <w:lang w:eastAsia="en-US"/>
              </w:rPr>
              <w:t>HBV</w:t>
            </w:r>
          </w:p>
        </w:tc>
      </w:tr>
      <w:tr w:rsidR="002C7FFA" w:rsidRPr="008035A5" w14:paraId="23BDFB07" w14:textId="77777777" w:rsidTr="004F52BC">
        <w:trPr>
          <w:cnfStyle w:val="000000100000" w:firstRow="0" w:lastRow="0" w:firstColumn="0" w:lastColumn="0" w:oddVBand="0" w:evenVBand="0" w:oddHBand="1"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19BEC57E"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46AB2054"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hideMark/>
          </w:tcPr>
          <w:p w14:paraId="2E042124"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6F7827C2"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6F9A3AD4"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F3</w:t>
            </w:r>
          </w:p>
        </w:tc>
        <w:tc>
          <w:tcPr>
            <w:tcW w:w="1260" w:type="dxa"/>
            <w:vAlign w:val="center"/>
          </w:tcPr>
          <w:p w14:paraId="0ACFD2E0"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0.91</w:t>
            </w:r>
          </w:p>
        </w:tc>
        <w:tc>
          <w:tcPr>
            <w:tcW w:w="900" w:type="dxa"/>
            <w:vAlign w:val="center"/>
            <w:hideMark/>
          </w:tcPr>
          <w:p w14:paraId="61D99897"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0.86</w:t>
            </w:r>
          </w:p>
        </w:tc>
        <w:tc>
          <w:tcPr>
            <w:tcW w:w="810" w:type="dxa"/>
            <w:vAlign w:val="center"/>
            <w:hideMark/>
          </w:tcPr>
          <w:p w14:paraId="73BFC20D"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0.64</w:t>
            </w:r>
          </w:p>
        </w:tc>
        <w:tc>
          <w:tcPr>
            <w:tcW w:w="900" w:type="dxa"/>
            <w:vAlign w:val="center"/>
            <w:hideMark/>
          </w:tcPr>
          <w:p w14:paraId="1E846DD4"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0.72</w:t>
            </w:r>
          </w:p>
        </w:tc>
        <w:tc>
          <w:tcPr>
            <w:tcW w:w="810" w:type="dxa"/>
            <w:vAlign w:val="center"/>
            <w:hideMark/>
          </w:tcPr>
          <w:p w14:paraId="5976104B"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0.81</w:t>
            </w:r>
          </w:p>
        </w:tc>
        <w:tc>
          <w:tcPr>
            <w:tcW w:w="845" w:type="dxa"/>
            <w:vMerge/>
            <w:vAlign w:val="center"/>
          </w:tcPr>
          <w:p w14:paraId="215BE284"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810" w:type="dxa"/>
            <w:vMerge/>
            <w:vAlign w:val="center"/>
            <w:hideMark/>
          </w:tcPr>
          <w:p w14:paraId="5D0DB08D"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713AFFD0"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155" w:type="dxa"/>
            <w:vMerge/>
            <w:vAlign w:val="center"/>
          </w:tcPr>
          <w:p w14:paraId="7F74D2A8"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c>
          <w:tcPr>
            <w:tcW w:w="1545" w:type="dxa"/>
            <w:vMerge/>
            <w:vAlign w:val="center"/>
          </w:tcPr>
          <w:p w14:paraId="3FC2803A"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r>
      <w:tr w:rsidR="002C7FFA" w:rsidRPr="008035A5" w14:paraId="096DE383" w14:textId="77777777" w:rsidTr="004F52BC">
        <w:trPr>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4A53F9BC"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12A071FF"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hideMark/>
          </w:tcPr>
          <w:p w14:paraId="30420F2A"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714C9BB1"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22FDC28C"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F4</w:t>
            </w:r>
          </w:p>
        </w:tc>
        <w:tc>
          <w:tcPr>
            <w:tcW w:w="1260" w:type="dxa"/>
            <w:vAlign w:val="center"/>
          </w:tcPr>
          <w:p w14:paraId="7C1D4867"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1.15</w:t>
            </w:r>
          </w:p>
        </w:tc>
        <w:tc>
          <w:tcPr>
            <w:tcW w:w="900" w:type="dxa"/>
            <w:vAlign w:val="center"/>
            <w:hideMark/>
          </w:tcPr>
          <w:p w14:paraId="0A6F8591"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0.79</w:t>
            </w:r>
          </w:p>
        </w:tc>
        <w:tc>
          <w:tcPr>
            <w:tcW w:w="810" w:type="dxa"/>
            <w:vAlign w:val="center"/>
            <w:hideMark/>
          </w:tcPr>
          <w:p w14:paraId="7363BFC0"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0.64</w:t>
            </w:r>
          </w:p>
        </w:tc>
        <w:tc>
          <w:tcPr>
            <w:tcW w:w="900" w:type="dxa"/>
            <w:vAlign w:val="center"/>
            <w:hideMark/>
          </w:tcPr>
          <w:p w14:paraId="54C00BCE"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0.50</w:t>
            </w:r>
          </w:p>
        </w:tc>
        <w:tc>
          <w:tcPr>
            <w:tcW w:w="810" w:type="dxa"/>
            <w:vAlign w:val="center"/>
            <w:hideMark/>
          </w:tcPr>
          <w:p w14:paraId="6691BCC5"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0.87</w:t>
            </w:r>
          </w:p>
        </w:tc>
        <w:tc>
          <w:tcPr>
            <w:tcW w:w="845" w:type="dxa"/>
            <w:vMerge/>
            <w:vAlign w:val="center"/>
          </w:tcPr>
          <w:p w14:paraId="0003B0BB"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810" w:type="dxa"/>
            <w:vMerge/>
            <w:vAlign w:val="center"/>
            <w:hideMark/>
          </w:tcPr>
          <w:p w14:paraId="289F9D46"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0E6147C6"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155" w:type="dxa"/>
            <w:vMerge/>
            <w:vAlign w:val="center"/>
          </w:tcPr>
          <w:p w14:paraId="450B20DA"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c>
          <w:tcPr>
            <w:tcW w:w="1545" w:type="dxa"/>
            <w:vMerge/>
            <w:vAlign w:val="center"/>
          </w:tcPr>
          <w:p w14:paraId="56F829F1"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r>
      <w:tr w:rsidR="002C7FFA" w:rsidRPr="008035A5" w14:paraId="7872AA2F" w14:textId="77777777" w:rsidTr="004F52BC">
        <w:trPr>
          <w:cnfStyle w:val="000000100000" w:firstRow="0" w:lastRow="0" w:firstColumn="0" w:lastColumn="0" w:oddVBand="0" w:evenVBand="0" w:oddHBand="1"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restart"/>
            <w:vAlign w:val="center"/>
          </w:tcPr>
          <w:p w14:paraId="57BDCDB6" w14:textId="77777777" w:rsidR="002C7FFA" w:rsidRPr="008035A5" w:rsidRDefault="002C7FFA">
            <w:pPr>
              <w:pStyle w:val="Paragraph"/>
              <w:spacing w:before="0" w:line="240" w:lineRule="auto"/>
              <w:jc w:val="center"/>
              <w:rPr>
                <w:rFonts w:asciiTheme="majorBidi" w:hAnsiTheme="majorBidi" w:cstheme="majorBidi"/>
                <w:b w:val="0"/>
                <w:bCs w:val="0"/>
                <w:i/>
                <w:iCs/>
                <w:sz w:val="18"/>
                <w:szCs w:val="18"/>
              </w:rPr>
            </w:pPr>
            <w:r>
              <w:rPr>
                <w:rFonts w:asciiTheme="majorBidi" w:hAnsiTheme="majorBidi" w:cstheme="majorBidi"/>
                <w:noProof/>
                <w:sz w:val="18"/>
                <w:szCs w:val="18"/>
                <w:vertAlign w:val="superscript"/>
              </w:rPr>
              <w:fldChar w:fldCharType="begin" w:fldLock="1"/>
            </w:r>
            <w:r>
              <w:rPr>
                <w:rFonts w:asciiTheme="majorBidi" w:hAnsiTheme="majorBidi" w:cstheme="majorBidi"/>
                <w:noProof/>
                <w:sz w:val="18"/>
                <w:szCs w:val="18"/>
                <w:vertAlign w:val="superscript"/>
              </w:rPr>
              <w:instrText>ADDIN CSL_CITATION {"citationItems":[{"id":"ITEM-1","itemData":{"DOI":"10.1111/jvh.12842","ISSN":"1365-2893 (Electronic)","PMID":"29230907","abstract":"It is of great significance to develop and evaluate noninvasive indexes  predicting the level of liver fibrosis. The aim of this study was to comparatively evaluate gamma-glutamyl transpeptidase-to-platelet ratio (GPR) versus aspartate aminotransferase-to-platelet ratio index (APRI) and fibrosis index based on 4 factors (FIB-4) in predicting different levels of liver fibrosis of chronic hepatitis B (CHB) within the framework of HBeAg-positive and HBeAg-negative patients. A total of 1157 HBeAg-positive and 859 HBeAg-negative CHB patients were enrolled, among whom the pathological stage ≥S2, ≥S3, ≥S4 were defined as significant fibrosis, extensive fibrosis and cirrhosis, respectively. Receiver operating characteristic (ROC) curves were used to evaluate the performance of GPR, APRI and FIB-4 in predicting different levels of liver fibrosis. In HBeAg-positive patients, the area under ROC curves (AUROCs) of GPR in predicting extensive fibrosis and cirrhosis were both significantly larger than those of APRI (P = .0001 and P &lt; .0001). In HBeAg-negative patients, the AUROCs of GPR in predicting significant fibrosis and cirrhosis were significantly larger than those of FIB-4 (P = .0006 and P = .0041). The AUROC of GPR in predicting extensive fibrosis was significantly larger than that of APRI and FIB-4 (P = .0320 and P = .0018). Using a cut-off of GPR &gt; 0.500 as standard, the sensitivities and specificities of GPR in predicting significant fibrosis in HBeAg-positive patients were 59.6% and 81.2%, and for cirrhosis 80.9% and 63.8%, respectively; and those of HBeAg-negative patients were 60.3% and 78.3%, 84.5% and 66.1%, respectively. Regardless of HBeAg-positive or HBeAg-negative status, GPR had the best performance in predicting different levels of liver fibrosis.","author":[{"dropping-particle":"","family":"Liu","given":"D-P","non-dropping-particle":"","parse-names":false,"suffix":""},{"dropping-particle":"","family":"Lu","given":"W","non-dropping-particle":"","parse-names":false,"suffix":""},{"dropping-particle":"","family":"Zhang","given":"Z-Q","non-dropping-particle":"","parse-names":false,"suffix":""},{"dropping-particle":"","family":"Wang","given":"Y-B","non-dropping-particle":"","parse-names":false,"suffix":""},{"dropping-particle":"","family":"Ding","given":"R-R","non-dropping-particle":"","parse-names":false,"suffix":""},{"dropping-particle":"","family":"Zhou","given":"X-L","non-dropping-particle":"","parse-names":false,"suffix":""},{"dropping-particle":"","family":"Huang","given":"D","non-dropping-particle":"","parse-names":false,"suffix":""},{"dropping-particle":"","family":"Li","given":"X-F","non-dropping-particle":"","parse-names":false,"suffix":""}],"container-title":"Journal of viral hepatitis","id":"ITEM-1","issue":"5","issued":{"date-parts":[["2018","5"]]},"language":"eng","page":"581-589","publisher-place":"England","title":"Comparative evaluation of GPR versus APRI and FIB-4 in predicting different  levels of liver fibrosis of chronic hepatitis B.","type":"article-journal","volume":"25"},"uris":["http://www.mendeley.com/documents/?uuid=b74a9053-387a-44d8-b12f-a348990b5d3e"]}],"mendeley":{"formattedCitation":"[25]","plainTextFormattedCitation":"[25]","previouslyFormattedCitation":"[25]"},"properties":{"noteIndex":0},"schema":"https://github.com/citation-style-language/schema/raw/master/csl-citation.json"}</w:instrText>
            </w:r>
            <w:r>
              <w:rPr>
                <w:rFonts w:asciiTheme="majorBidi" w:hAnsiTheme="majorBidi" w:cstheme="majorBidi"/>
                <w:noProof/>
                <w:sz w:val="18"/>
                <w:szCs w:val="18"/>
                <w:vertAlign w:val="superscript"/>
              </w:rPr>
              <w:fldChar w:fldCharType="separate"/>
            </w:r>
            <w:r w:rsidRPr="00FE246B">
              <w:rPr>
                <w:rFonts w:asciiTheme="majorBidi" w:hAnsiTheme="majorBidi" w:cstheme="majorBidi"/>
                <w:b w:val="0"/>
                <w:noProof/>
                <w:sz w:val="18"/>
                <w:szCs w:val="18"/>
              </w:rPr>
              <w:t>[25]</w:t>
            </w:r>
            <w:r>
              <w:rPr>
                <w:rFonts w:asciiTheme="majorBidi" w:hAnsiTheme="majorBidi" w:cstheme="majorBidi"/>
                <w:noProof/>
                <w:sz w:val="18"/>
                <w:szCs w:val="18"/>
                <w:vertAlign w:val="superscript"/>
              </w:rPr>
              <w:fldChar w:fldCharType="end"/>
            </w:r>
          </w:p>
        </w:tc>
        <w:tc>
          <w:tcPr>
            <w:tcW w:w="1960" w:type="dxa"/>
            <w:vMerge w:val="restart"/>
            <w:vAlign w:val="center"/>
            <w:hideMark/>
          </w:tcPr>
          <w:p w14:paraId="2789B701"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Liu D. et al</w:t>
            </w:r>
          </w:p>
        </w:tc>
        <w:tc>
          <w:tcPr>
            <w:tcW w:w="630" w:type="dxa"/>
            <w:vMerge w:val="restart"/>
            <w:vAlign w:val="center"/>
            <w:hideMark/>
          </w:tcPr>
          <w:p w14:paraId="693E6CD0"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2017</w:t>
            </w:r>
          </w:p>
        </w:tc>
        <w:tc>
          <w:tcPr>
            <w:tcW w:w="900" w:type="dxa"/>
            <w:vMerge w:val="restart"/>
            <w:vAlign w:val="center"/>
            <w:hideMark/>
          </w:tcPr>
          <w:p w14:paraId="1AE16465"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China</w:t>
            </w:r>
          </w:p>
        </w:tc>
        <w:tc>
          <w:tcPr>
            <w:tcW w:w="900" w:type="dxa"/>
            <w:vAlign w:val="center"/>
            <w:hideMark/>
          </w:tcPr>
          <w:p w14:paraId="53D541B2"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F2</w:t>
            </w:r>
          </w:p>
        </w:tc>
        <w:tc>
          <w:tcPr>
            <w:tcW w:w="1260" w:type="dxa"/>
            <w:vAlign w:val="center"/>
          </w:tcPr>
          <w:p w14:paraId="37461CAF"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0.43</w:t>
            </w:r>
          </w:p>
        </w:tc>
        <w:tc>
          <w:tcPr>
            <w:tcW w:w="900" w:type="dxa"/>
            <w:vAlign w:val="center"/>
            <w:hideMark/>
          </w:tcPr>
          <w:p w14:paraId="17C7494E"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0.67</w:t>
            </w:r>
          </w:p>
        </w:tc>
        <w:tc>
          <w:tcPr>
            <w:tcW w:w="810" w:type="dxa"/>
            <w:vAlign w:val="center"/>
            <w:hideMark/>
          </w:tcPr>
          <w:p w14:paraId="5354061C"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0.77</w:t>
            </w:r>
          </w:p>
        </w:tc>
        <w:tc>
          <w:tcPr>
            <w:tcW w:w="900" w:type="dxa"/>
            <w:vAlign w:val="center"/>
            <w:hideMark/>
          </w:tcPr>
          <w:p w14:paraId="597B32AB"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0.85</w:t>
            </w:r>
          </w:p>
        </w:tc>
        <w:tc>
          <w:tcPr>
            <w:tcW w:w="810" w:type="dxa"/>
            <w:vAlign w:val="center"/>
            <w:hideMark/>
          </w:tcPr>
          <w:p w14:paraId="6653A36F"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0.54</w:t>
            </w:r>
          </w:p>
        </w:tc>
        <w:tc>
          <w:tcPr>
            <w:tcW w:w="845" w:type="dxa"/>
            <w:vMerge w:val="restart"/>
            <w:vAlign w:val="center"/>
            <w:hideMark/>
          </w:tcPr>
          <w:p w14:paraId="31B1C6F2"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hAnsiTheme="majorBidi" w:cstheme="majorBidi"/>
                <w:b/>
                <w:bCs/>
                <w:sz w:val="18"/>
                <w:szCs w:val="18"/>
              </w:rPr>
              <w:t>1,157</w:t>
            </w:r>
          </w:p>
        </w:tc>
        <w:tc>
          <w:tcPr>
            <w:tcW w:w="810" w:type="dxa"/>
            <w:vMerge w:val="restart"/>
            <w:vAlign w:val="center"/>
            <w:hideMark/>
          </w:tcPr>
          <w:p w14:paraId="0C2A01CB"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0.71</w:t>
            </w:r>
          </w:p>
        </w:tc>
        <w:tc>
          <w:tcPr>
            <w:tcW w:w="900" w:type="dxa"/>
            <w:vMerge w:val="restart"/>
            <w:vAlign w:val="center"/>
            <w:hideMark/>
          </w:tcPr>
          <w:p w14:paraId="42936DFC"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33</w:t>
            </w:r>
          </w:p>
        </w:tc>
        <w:tc>
          <w:tcPr>
            <w:tcW w:w="1155" w:type="dxa"/>
            <w:vMerge w:val="restart"/>
            <w:vAlign w:val="center"/>
          </w:tcPr>
          <w:p w14:paraId="2CEF40F4"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8035A5">
              <w:rPr>
                <w:rFonts w:asciiTheme="majorBidi" w:hAnsiTheme="majorBidi" w:cstheme="majorBidi"/>
                <w:b/>
                <w:bCs/>
                <w:sz w:val="18"/>
                <w:szCs w:val="18"/>
              </w:rPr>
              <w:t>METAVIR</w:t>
            </w:r>
          </w:p>
        </w:tc>
        <w:tc>
          <w:tcPr>
            <w:tcW w:w="1545" w:type="dxa"/>
            <w:vMerge w:val="restart"/>
            <w:vAlign w:val="center"/>
          </w:tcPr>
          <w:p w14:paraId="719B9366"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roofErr w:type="spellStart"/>
            <w:r w:rsidRPr="008035A5">
              <w:rPr>
                <w:rFonts w:asciiTheme="majorBidi" w:eastAsiaTheme="minorHAnsi" w:hAnsiTheme="majorBidi" w:cstheme="majorBidi"/>
                <w:b/>
                <w:bCs/>
                <w:sz w:val="18"/>
                <w:szCs w:val="18"/>
                <w:lang w:eastAsia="en-US"/>
              </w:rPr>
              <w:t>HBeAg</w:t>
            </w:r>
            <w:proofErr w:type="spellEnd"/>
            <w:r w:rsidRPr="008035A5">
              <w:rPr>
                <w:rFonts w:asciiTheme="majorBidi" w:eastAsiaTheme="minorHAnsi" w:hAnsiTheme="majorBidi" w:cstheme="majorBidi"/>
                <w:b/>
                <w:bCs/>
                <w:sz w:val="18"/>
                <w:szCs w:val="18"/>
                <w:lang w:eastAsia="en-US"/>
              </w:rPr>
              <w:t xml:space="preserve"> +</w:t>
            </w:r>
          </w:p>
        </w:tc>
      </w:tr>
      <w:tr w:rsidR="002C7FFA" w:rsidRPr="008035A5" w14:paraId="5780D471" w14:textId="77777777" w:rsidTr="004F52BC">
        <w:trPr>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61F7D046"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7AFDE95D"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hideMark/>
          </w:tcPr>
          <w:p w14:paraId="79EE901D"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501BA823"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500E2D71"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F2</w:t>
            </w:r>
          </w:p>
        </w:tc>
        <w:tc>
          <w:tcPr>
            <w:tcW w:w="1260" w:type="dxa"/>
            <w:vAlign w:val="center"/>
          </w:tcPr>
          <w:p w14:paraId="4AF22303"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0.32</w:t>
            </w:r>
          </w:p>
        </w:tc>
        <w:tc>
          <w:tcPr>
            <w:tcW w:w="900" w:type="dxa"/>
            <w:vAlign w:val="center"/>
            <w:hideMark/>
          </w:tcPr>
          <w:p w14:paraId="4636178F"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0.74</w:t>
            </w:r>
          </w:p>
        </w:tc>
        <w:tc>
          <w:tcPr>
            <w:tcW w:w="810" w:type="dxa"/>
            <w:vAlign w:val="center"/>
            <w:hideMark/>
          </w:tcPr>
          <w:p w14:paraId="2432B140"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0.67</w:t>
            </w:r>
          </w:p>
        </w:tc>
        <w:tc>
          <w:tcPr>
            <w:tcW w:w="900" w:type="dxa"/>
            <w:vAlign w:val="center"/>
            <w:hideMark/>
          </w:tcPr>
          <w:p w14:paraId="47C6B818"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0.82</w:t>
            </w:r>
          </w:p>
        </w:tc>
        <w:tc>
          <w:tcPr>
            <w:tcW w:w="810" w:type="dxa"/>
            <w:vAlign w:val="center"/>
            <w:hideMark/>
          </w:tcPr>
          <w:p w14:paraId="2D915460"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0.57</w:t>
            </w:r>
          </w:p>
        </w:tc>
        <w:tc>
          <w:tcPr>
            <w:tcW w:w="845" w:type="dxa"/>
            <w:vMerge/>
            <w:vAlign w:val="center"/>
          </w:tcPr>
          <w:p w14:paraId="3B5EB0AE"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810" w:type="dxa"/>
            <w:vMerge/>
            <w:vAlign w:val="center"/>
            <w:hideMark/>
          </w:tcPr>
          <w:p w14:paraId="3AACD9D4"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142D72F5"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155" w:type="dxa"/>
            <w:vMerge/>
            <w:vAlign w:val="center"/>
          </w:tcPr>
          <w:p w14:paraId="2E9FEBC9"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c>
          <w:tcPr>
            <w:tcW w:w="1545" w:type="dxa"/>
            <w:vMerge/>
            <w:vAlign w:val="center"/>
          </w:tcPr>
          <w:p w14:paraId="48253C23"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r>
      <w:tr w:rsidR="002C7FFA" w:rsidRPr="008035A5" w14:paraId="2FDD00AD" w14:textId="77777777" w:rsidTr="004F52BC">
        <w:trPr>
          <w:cnfStyle w:val="000000100000" w:firstRow="0" w:lastRow="0" w:firstColumn="0" w:lastColumn="0" w:oddVBand="0" w:evenVBand="0" w:oddHBand="1"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0462E911"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6193E7DF"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hideMark/>
          </w:tcPr>
          <w:p w14:paraId="023346C8"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042F284C"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2029A396"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F2</w:t>
            </w:r>
          </w:p>
        </w:tc>
        <w:tc>
          <w:tcPr>
            <w:tcW w:w="1260" w:type="dxa"/>
            <w:vAlign w:val="center"/>
          </w:tcPr>
          <w:p w14:paraId="78756FE5"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0.50</w:t>
            </w:r>
          </w:p>
        </w:tc>
        <w:tc>
          <w:tcPr>
            <w:tcW w:w="900" w:type="dxa"/>
            <w:vAlign w:val="center"/>
            <w:hideMark/>
          </w:tcPr>
          <w:p w14:paraId="4C52A0E9"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0.60</w:t>
            </w:r>
          </w:p>
        </w:tc>
        <w:tc>
          <w:tcPr>
            <w:tcW w:w="810" w:type="dxa"/>
            <w:vAlign w:val="center"/>
            <w:hideMark/>
          </w:tcPr>
          <w:p w14:paraId="18F3DE7E"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0.81</w:t>
            </w:r>
          </w:p>
        </w:tc>
        <w:tc>
          <w:tcPr>
            <w:tcW w:w="900" w:type="dxa"/>
            <w:vAlign w:val="center"/>
            <w:hideMark/>
          </w:tcPr>
          <w:p w14:paraId="5EAB4510"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0.86</w:t>
            </w:r>
          </w:p>
        </w:tc>
        <w:tc>
          <w:tcPr>
            <w:tcW w:w="810" w:type="dxa"/>
            <w:vAlign w:val="center"/>
            <w:hideMark/>
          </w:tcPr>
          <w:p w14:paraId="6B8566FA"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0.51</w:t>
            </w:r>
          </w:p>
        </w:tc>
        <w:tc>
          <w:tcPr>
            <w:tcW w:w="845" w:type="dxa"/>
            <w:vMerge/>
            <w:vAlign w:val="center"/>
          </w:tcPr>
          <w:p w14:paraId="77CC81CC"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810" w:type="dxa"/>
            <w:vMerge/>
            <w:vAlign w:val="center"/>
            <w:hideMark/>
          </w:tcPr>
          <w:p w14:paraId="7B9C6E69"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3B44A35D"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155" w:type="dxa"/>
            <w:vMerge/>
            <w:vAlign w:val="center"/>
          </w:tcPr>
          <w:p w14:paraId="533BEBF1"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c>
          <w:tcPr>
            <w:tcW w:w="1545" w:type="dxa"/>
            <w:vMerge/>
            <w:vAlign w:val="center"/>
          </w:tcPr>
          <w:p w14:paraId="3CD76F7E"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r>
      <w:tr w:rsidR="002C7FFA" w:rsidRPr="008035A5" w14:paraId="69110569" w14:textId="77777777" w:rsidTr="004F52BC">
        <w:trPr>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4C6FC6C3"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7728FF7A"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hideMark/>
          </w:tcPr>
          <w:p w14:paraId="7ADDE6F3"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2DF1ED64"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352CEB92"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F3</w:t>
            </w:r>
          </w:p>
        </w:tc>
        <w:tc>
          <w:tcPr>
            <w:tcW w:w="1260" w:type="dxa"/>
            <w:vAlign w:val="center"/>
          </w:tcPr>
          <w:p w14:paraId="17561C81"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0.55</w:t>
            </w:r>
          </w:p>
        </w:tc>
        <w:tc>
          <w:tcPr>
            <w:tcW w:w="900" w:type="dxa"/>
            <w:vAlign w:val="center"/>
            <w:hideMark/>
          </w:tcPr>
          <w:p w14:paraId="5D9039E2"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0.73</w:t>
            </w:r>
          </w:p>
        </w:tc>
        <w:tc>
          <w:tcPr>
            <w:tcW w:w="810" w:type="dxa"/>
            <w:vAlign w:val="center"/>
            <w:hideMark/>
          </w:tcPr>
          <w:p w14:paraId="010975B6"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0.74</w:t>
            </w:r>
          </w:p>
        </w:tc>
        <w:tc>
          <w:tcPr>
            <w:tcW w:w="900" w:type="dxa"/>
            <w:vAlign w:val="center"/>
            <w:hideMark/>
          </w:tcPr>
          <w:p w14:paraId="62F57C17"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0.63</w:t>
            </w:r>
          </w:p>
        </w:tc>
        <w:tc>
          <w:tcPr>
            <w:tcW w:w="810" w:type="dxa"/>
            <w:vAlign w:val="center"/>
            <w:hideMark/>
          </w:tcPr>
          <w:p w14:paraId="7EA6684D"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0.82</w:t>
            </w:r>
          </w:p>
        </w:tc>
        <w:tc>
          <w:tcPr>
            <w:tcW w:w="845" w:type="dxa"/>
            <w:vMerge/>
            <w:vAlign w:val="center"/>
          </w:tcPr>
          <w:p w14:paraId="50FC577F"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810" w:type="dxa"/>
            <w:vMerge/>
            <w:vAlign w:val="center"/>
            <w:hideMark/>
          </w:tcPr>
          <w:p w14:paraId="7BB570FC"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7ABC692E"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155" w:type="dxa"/>
            <w:vMerge/>
            <w:vAlign w:val="center"/>
          </w:tcPr>
          <w:p w14:paraId="291C10CF"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c>
          <w:tcPr>
            <w:tcW w:w="1545" w:type="dxa"/>
            <w:vMerge/>
            <w:vAlign w:val="center"/>
          </w:tcPr>
          <w:p w14:paraId="34BD9BDC"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r>
      <w:tr w:rsidR="002C7FFA" w:rsidRPr="008035A5" w14:paraId="7F3B7F32" w14:textId="77777777" w:rsidTr="004F52BC">
        <w:trPr>
          <w:cnfStyle w:val="000000100000" w:firstRow="0" w:lastRow="0" w:firstColumn="0" w:lastColumn="0" w:oddVBand="0" w:evenVBand="0" w:oddHBand="1"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4D0979B7"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7F8F42E2"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hideMark/>
          </w:tcPr>
          <w:p w14:paraId="3605DD66"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1A0B714B"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4405F88D"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F3</w:t>
            </w:r>
          </w:p>
        </w:tc>
        <w:tc>
          <w:tcPr>
            <w:tcW w:w="1260" w:type="dxa"/>
            <w:vAlign w:val="center"/>
          </w:tcPr>
          <w:p w14:paraId="341D1CCE"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0.32</w:t>
            </w:r>
          </w:p>
        </w:tc>
        <w:tc>
          <w:tcPr>
            <w:tcW w:w="900" w:type="dxa"/>
            <w:vAlign w:val="center"/>
            <w:hideMark/>
          </w:tcPr>
          <w:p w14:paraId="5BE6CDAC"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0.88</w:t>
            </w:r>
          </w:p>
        </w:tc>
        <w:tc>
          <w:tcPr>
            <w:tcW w:w="810" w:type="dxa"/>
            <w:vAlign w:val="center"/>
            <w:hideMark/>
          </w:tcPr>
          <w:p w14:paraId="406D1A39"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0.56</w:t>
            </w:r>
          </w:p>
        </w:tc>
        <w:tc>
          <w:tcPr>
            <w:tcW w:w="900" w:type="dxa"/>
            <w:vAlign w:val="center"/>
            <w:hideMark/>
          </w:tcPr>
          <w:p w14:paraId="3493D546"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0.55</w:t>
            </w:r>
          </w:p>
        </w:tc>
        <w:tc>
          <w:tcPr>
            <w:tcW w:w="810" w:type="dxa"/>
            <w:vAlign w:val="center"/>
            <w:hideMark/>
          </w:tcPr>
          <w:p w14:paraId="2669ACBB"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0.89</w:t>
            </w:r>
          </w:p>
        </w:tc>
        <w:tc>
          <w:tcPr>
            <w:tcW w:w="845" w:type="dxa"/>
            <w:vMerge/>
            <w:vAlign w:val="center"/>
          </w:tcPr>
          <w:p w14:paraId="3F1454A8"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810" w:type="dxa"/>
            <w:vMerge/>
            <w:vAlign w:val="center"/>
            <w:hideMark/>
          </w:tcPr>
          <w:p w14:paraId="0A0078E4"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4F2A7DB9"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155" w:type="dxa"/>
            <w:vMerge/>
            <w:vAlign w:val="center"/>
          </w:tcPr>
          <w:p w14:paraId="2C25F335"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c>
          <w:tcPr>
            <w:tcW w:w="1545" w:type="dxa"/>
            <w:vMerge/>
            <w:vAlign w:val="center"/>
          </w:tcPr>
          <w:p w14:paraId="46EFF94B"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r>
      <w:tr w:rsidR="002C7FFA" w:rsidRPr="008035A5" w14:paraId="247E0626" w14:textId="77777777" w:rsidTr="004F52BC">
        <w:trPr>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288B8FE9"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0D1CA31B"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hideMark/>
          </w:tcPr>
          <w:p w14:paraId="1EAA04E6"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7B8AA6F8"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113479DF"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F3</w:t>
            </w:r>
          </w:p>
        </w:tc>
        <w:tc>
          <w:tcPr>
            <w:tcW w:w="1260" w:type="dxa"/>
            <w:vAlign w:val="center"/>
          </w:tcPr>
          <w:p w14:paraId="25342A91"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0.50</w:t>
            </w:r>
          </w:p>
        </w:tc>
        <w:tc>
          <w:tcPr>
            <w:tcW w:w="900" w:type="dxa"/>
            <w:vAlign w:val="center"/>
            <w:hideMark/>
          </w:tcPr>
          <w:p w14:paraId="5D51CC40"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0.74</w:t>
            </w:r>
          </w:p>
        </w:tc>
        <w:tc>
          <w:tcPr>
            <w:tcW w:w="810" w:type="dxa"/>
            <w:vAlign w:val="center"/>
            <w:hideMark/>
          </w:tcPr>
          <w:p w14:paraId="26158958"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0.71</w:t>
            </w:r>
          </w:p>
        </w:tc>
        <w:tc>
          <w:tcPr>
            <w:tcW w:w="900" w:type="dxa"/>
            <w:vAlign w:val="center"/>
            <w:hideMark/>
          </w:tcPr>
          <w:p w14:paraId="2342C37F"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0.61</w:t>
            </w:r>
          </w:p>
        </w:tc>
        <w:tc>
          <w:tcPr>
            <w:tcW w:w="810" w:type="dxa"/>
            <w:vAlign w:val="center"/>
            <w:hideMark/>
          </w:tcPr>
          <w:p w14:paraId="5352A066"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0.82</w:t>
            </w:r>
          </w:p>
        </w:tc>
        <w:tc>
          <w:tcPr>
            <w:tcW w:w="845" w:type="dxa"/>
            <w:vMerge/>
            <w:vAlign w:val="center"/>
          </w:tcPr>
          <w:p w14:paraId="23E04AEA"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810" w:type="dxa"/>
            <w:vMerge/>
            <w:vAlign w:val="center"/>
            <w:hideMark/>
          </w:tcPr>
          <w:p w14:paraId="6EA6AF06"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0B9565FB"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155" w:type="dxa"/>
            <w:vMerge/>
            <w:vAlign w:val="center"/>
          </w:tcPr>
          <w:p w14:paraId="7D75F7C4"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c>
          <w:tcPr>
            <w:tcW w:w="1545" w:type="dxa"/>
            <w:vMerge/>
            <w:vAlign w:val="center"/>
          </w:tcPr>
          <w:p w14:paraId="31AF1323"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r>
      <w:tr w:rsidR="002C7FFA" w:rsidRPr="008035A5" w14:paraId="3F097C42" w14:textId="77777777" w:rsidTr="004F52BC">
        <w:trPr>
          <w:cnfStyle w:val="000000100000" w:firstRow="0" w:lastRow="0" w:firstColumn="0" w:lastColumn="0" w:oddVBand="0" w:evenVBand="0" w:oddHBand="1"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11BEB0E1"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5B946FBE"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hideMark/>
          </w:tcPr>
          <w:p w14:paraId="688FBB37"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6D0E1C19"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5158D33B"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F4</w:t>
            </w:r>
          </w:p>
        </w:tc>
        <w:tc>
          <w:tcPr>
            <w:tcW w:w="1260" w:type="dxa"/>
            <w:vAlign w:val="center"/>
          </w:tcPr>
          <w:p w14:paraId="57AC6ADB"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0.65</w:t>
            </w:r>
          </w:p>
        </w:tc>
        <w:tc>
          <w:tcPr>
            <w:tcW w:w="900" w:type="dxa"/>
            <w:vAlign w:val="center"/>
            <w:hideMark/>
          </w:tcPr>
          <w:p w14:paraId="0C8C2708"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0.77</w:t>
            </w:r>
          </w:p>
        </w:tc>
        <w:tc>
          <w:tcPr>
            <w:tcW w:w="810" w:type="dxa"/>
            <w:vAlign w:val="center"/>
            <w:hideMark/>
          </w:tcPr>
          <w:p w14:paraId="77C21EB7"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0.71</w:t>
            </w:r>
          </w:p>
        </w:tc>
        <w:tc>
          <w:tcPr>
            <w:tcW w:w="900" w:type="dxa"/>
            <w:vAlign w:val="center"/>
            <w:hideMark/>
          </w:tcPr>
          <w:p w14:paraId="6D215740"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0.43</w:t>
            </w:r>
          </w:p>
        </w:tc>
        <w:tc>
          <w:tcPr>
            <w:tcW w:w="810" w:type="dxa"/>
            <w:vAlign w:val="center"/>
            <w:hideMark/>
          </w:tcPr>
          <w:p w14:paraId="331D2D5C"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0.92</w:t>
            </w:r>
          </w:p>
        </w:tc>
        <w:tc>
          <w:tcPr>
            <w:tcW w:w="845" w:type="dxa"/>
            <w:vMerge/>
            <w:vAlign w:val="center"/>
          </w:tcPr>
          <w:p w14:paraId="0161E6B0"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810" w:type="dxa"/>
            <w:vMerge/>
            <w:vAlign w:val="center"/>
            <w:hideMark/>
          </w:tcPr>
          <w:p w14:paraId="23DB8D42"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38C6F3F8"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155" w:type="dxa"/>
            <w:vMerge/>
            <w:vAlign w:val="center"/>
          </w:tcPr>
          <w:p w14:paraId="438A5203"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c>
          <w:tcPr>
            <w:tcW w:w="1545" w:type="dxa"/>
            <w:vMerge/>
            <w:vAlign w:val="center"/>
          </w:tcPr>
          <w:p w14:paraId="2C79283D"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r>
      <w:tr w:rsidR="002C7FFA" w:rsidRPr="008035A5" w14:paraId="65A458B8" w14:textId="77777777" w:rsidTr="004F52BC">
        <w:trPr>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69F0D07B"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567AFD16"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hideMark/>
          </w:tcPr>
          <w:p w14:paraId="474C1F3E"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4E5756BA"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07A7092C"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F4</w:t>
            </w:r>
          </w:p>
        </w:tc>
        <w:tc>
          <w:tcPr>
            <w:tcW w:w="1260" w:type="dxa"/>
            <w:vAlign w:val="center"/>
          </w:tcPr>
          <w:p w14:paraId="2E178A2B"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0.56</w:t>
            </w:r>
          </w:p>
        </w:tc>
        <w:tc>
          <w:tcPr>
            <w:tcW w:w="900" w:type="dxa"/>
            <w:vAlign w:val="center"/>
            <w:hideMark/>
          </w:tcPr>
          <w:p w14:paraId="581C5B67"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0.79</w:t>
            </w:r>
          </w:p>
        </w:tc>
        <w:tc>
          <w:tcPr>
            <w:tcW w:w="810" w:type="dxa"/>
            <w:vAlign w:val="center"/>
            <w:hideMark/>
          </w:tcPr>
          <w:p w14:paraId="52EB58B5"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0.67</w:t>
            </w:r>
          </w:p>
        </w:tc>
        <w:tc>
          <w:tcPr>
            <w:tcW w:w="900" w:type="dxa"/>
            <w:vAlign w:val="center"/>
            <w:hideMark/>
          </w:tcPr>
          <w:p w14:paraId="29B6ECE0"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0.40</w:t>
            </w:r>
          </w:p>
        </w:tc>
        <w:tc>
          <w:tcPr>
            <w:tcW w:w="810" w:type="dxa"/>
            <w:vAlign w:val="center"/>
            <w:hideMark/>
          </w:tcPr>
          <w:p w14:paraId="69AA0E09"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0.92</w:t>
            </w:r>
          </w:p>
        </w:tc>
        <w:tc>
          <w:tcPr>
            <w:tcW w:w="845" w:type="dxa"/>
            <w:vMerge/>
            <w:vAlign w:val="center"/>
          </w:tcPr>
          <w:p w14:paraId="3BE9661B"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810" w:type="dxa"/>
            <w:vMerge/>
            <w:vAlign w:val="center"/>
            <w:hideMark/>
          </w:tcPr>
          <w:p w14:paraId="03FEF6CC"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674EB38B"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155" w:type="dxa"/>
            <w:vMerge/>
            <w:vAlign w:val="center"/>
          </w:tcPr>
          <w:p w14:paraId="514AC79E"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c>
          <w:tcPr>
            <w:tcW w:w="1545" w:type="dxa"/>
            <w:vMerge/>
            <w:vAlign w:val="center"/>
          </w:tcPr>
          <w:p w14:paraId="3CD8D65C"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r>
      <w:tr w:rsidR="002C7FFA" w:rsidRPr="008035A5" w14:paraId="5B6D85AC" w14:textId="77777777" w:rsidTr="004F52BC">
        <w:trPr>
          <w:cnfStyle w:val="000000100000" w:firstRow="0" w:lastRow="0" w:firstColumn="0" w:lastColumn="0" w:oddVBand="0" w:evenVBand="0" w:oddHBand="1"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6CEC67C1"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445539F2"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hideMark/>
          </w:tcPr>
          <w:p w14:paraId="149CC2DF"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5CECA333"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7D3DD296"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F4</w:t>
            </w:r>
          </w:p>
        </w:tc>
        <w:tc>
          <w:tcPr>
            <w:tcW w:w="1260" w:type="dxa"/>
            <w:vAlign w:val="center"/>
          </w:tcPr>
          <w:p w14:paraId="47C4B662"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0.50</w:t>
            </w:r>
          </w:p>
        </w:tc>
        <w:tc>
          <w:tcPr>
            <w:tcW w:w="900" w:type="dxa"/>
            <w:vAlign w:val="center"/>
            <w:hideMark/>
          </w:tcPr>
          <w:p w14:paraId="6095AB09"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0.81</w:t>
            </w:r>
          </w:p>
        </w:tc>
        <w:tc>
          <w:tcPr>
            <w:tcW w:w="810" w:type="dxa"/>
            <w:vAlign w:val="center"/>
            <w:hideMark/>
          </w:tcPr>
          <w:p w14:paraId="68CF6583"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0.64</w:t>
            </w:r>
          </w:p>
        </w:tc>
        <w:tc>
          <w:tcPr>
            <w:tcW w:w="900" w:type="dxa"/>
            <w:vAlign w:val="center"/>
            <w:hideMark/>
          </w:tcPr>
          <w:p w14:paraId="77764C58"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0.38</w:t>
            </w:r>
          </w:p>
        </w:tc>
        <w:tc>
          <w:tcPr>
            <w:tcW w:w="810" w:type="dxa"/>
            <w:vAlign w:val="center"/>
            <w:hideMark/>
          </w:tcPr>
          <w:p w14:paraId="105BD28B"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0.92</w:t>
            </w:r>
          </w:p>
        </w:tc>
        <w:tc>
          <w:tcPr>
            <w:tcW w:w="845" w:type="dxa"/>
            <w:vMerge/>
            <w:vAlign w:val="center"/>
          </w:tcPr>
          <w:p w14:paraId="2DA8DAAA"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810" w:type="dxa"/>
            <w:vMerge/>
            <w:vAlign w:val="center"/>
          </w:tcPr>
          <w:p w14:paraId="41D98021"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501539B2"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155" w:type="dxa"/>
            <w:vMerge/>
            <w:vAlign w:val="center"/>
          </w:tcPr>
          <w:p w14:paraId="595334FC"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c>
          <w:tcPr>
            <w:tcW w:w="1545" w:type="dxa"/>
            <w:vMerge/>
            <w:vAlign w:val="center"/>
          </w:tcPr>
          <w:p w14:paraId="682480C9"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r>
      <w:tr w:rsidR="002C7FFA" w:rsidRPr="008035A5" w14:paraId="299591EB" w14:textId="77777777" w:rsidTr="004F52BC">
        <w:trPr>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13ADEB7B"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122F98EA"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hideMark/>
          </w:tcPr>
          <w:p w14:paraId="470A0A92"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67445A67"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444D19AE"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F2</w:t>
            </w:r>
          </w:p>
        </w:tc>
        <w:tc>
          <w:tcPr>
            <w:tcW w:w="1260" w:type="dxa"/>
            <w:vAlign w:val="center"/>
          </w:tcPr>
          <w:p w14:paraId="5CDEF024"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0.39</w:t>
            </w:r>
          </w:p>
        </w:tc>
        <w:tc>
          <w:tcPr>
            <w:tcW w:w="900" w:type="dxa"/>
            <w:vAlign w:val="center"/>
            <w:hideMark/>
          </w:tcPr>
          <w:p w14:paraId="6FAF7D4D"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0.68</w:t>
            </w:r>
          </w:p>
        </w:tc>
        <w:tc>
          <w:tcPr>
            <w:tcW w:w="810" w:type="dxa"/>
            <w:vAlign w:val="center"/>
            <w:hideMark/>
          </w:tcPr>
          <w:p w14:paraId="3A66E637"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0.73</w:t>
            </w:r>
          </w:p>
        </w:tc>
        <w:tc>
          <w:tcPr>
            <w:tcW w:w="900" w:type="dxa"/>
            <w:vAlign w:val="center"/>
            <w:hideMark/>
          </w:tcPr>
          <w:p w14:paraId="189A8D8C"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0.78</w:t>
            </w:r>
          </w:p>
        </w:tc>
        <w:tc>
          <w:tcPr>
            <w:tcW w:w="810" w:type="dxa"/>
            <w:vAlign w:val="center"/>
            <w:hideMark/>
          </w:tcPr>
          <w:p w14:paraId="7C34E4DC"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0.62</w:t>
            </w:r>
          </w:p>
        </w:tc>
        <w:tc>
          <w:tcPr>
            <w:tcW w:w="845" w:type="dxa"/>
            <w:vMerge w:val="restart"/>
            <w:vAlign w:val="center"/>
            <w:hideMark/>
          </w:tcPr>
          <w:p w14:paraId="143CC42F"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hAnsiTheme="majorBidi" w:cstheme="majorBidi"/>
                <w:b/>
                <w:bCs/>
                <w:sz w:val="18"/>
                <w:szCs w:val="18"/>
              </w:rPr>
              <w:t>859</w:t>
            </w:r>
          </w:p>
        </w:tc>
        <w:tc>
          <w:tcPr>
            <w:tcW w:w="810" w:type="dxa"/>
            <w:vMerge w:val="restart"/>
            <w:vAlign w:val="center"/>
            <w:hideMark/>
          </w:tcPr>
          <w:p w14:paraId="7A3F0714"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0.68</w:t>
            </w:r>
          </w:p>
        </w:tc>
        <w:tc>
          <w:tcPr>
            <w:tcW w:w="900" w:type="dxa"/>
            <w:vMerge w:val="restart"/>
            <w:vAlign w:val="center"/>
            <w:hideMark/>
          </w:tcPr>
          <w:p w14:paraId="5EFF7975"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43</w:t>
            </w:r>
          </w:p>
        </w:tc>
        <w:tc>
          <w:tcPr>
            <w:tcW w:w="1155" w:type="dxa"/>
            <w:vMerge/>
            <w:vAlign w:val="center"/>
          </w:tcPr>
          <w:p w14:paraId="09E36CA0"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c>
          <w:tcPr>
            <w:tcW w:w="1545" w:type="dxa"/>
            <w:vMerge w:val="restart"/>
            <w:vAlign w:val="center"/>
          </w:tcPr>
          <w:p w14:paraId="74CAF7E9"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roofErr w:type="spellStart"/>
            <w:r w:rsidRPr="008035A5">
              <w:rPr>
                <w:rFonts w:asciiTheme="majorBidi" w:eastAsiaTheme="minorHAnsi" w:hAnsiTheme="majorBidi" w:cstheme="majorBidi"/>
                <w:b/>
                <w:bCs/>
                <w:sz w:val="18"/>
                <w:szCs w:val="18"/>
                <w:lang w:eastAsia="en-US"/>
              </w:rPr>
              <w:t>HBeAg</w:t>
            </w:r>
            <w:proofErr w:type="spellEnd"/>
            <w:r w:rsidRPr="008035A5">
              <w:rPr>
                <w:rFonts w:asciiTheme="majorBidi" w:eastAsiaTheme="minorHAnsi" w:hAnsiTheme="majorBidi" w:cstheme="majorBidi"/>
                <w:b/>
                <w:bCs/>
                <w:sz w:val="18"/>
                <w:szCs w:val="18"/>
                <w:lang w:eastAsia="en-US"/>
              </w:rPr>
              <w:t xml:space="preserve"> -</w:t>
            </w:r>
          </w:p>
        </w:tc>
      </w:tr>
      <w:tr w:rsidR="002C7FFA" w:rsidRPr="008035A5" w14:paraId="3B07C21A" w14:textId="77777777" w:rsidTr="004F52BC">
        <w:trPr>
          <w:cnfStyle w:val="000000100000" w:firstRow="0" w:lastRow="0" w:firstColumn="0" w:lastColumn="0" w:oddVBand="0" w:evenVBand="0" w:oddHBand="1"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6A0BA9FA"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5C84D235"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hideMark/>
          </w:tcPr>
          <w:p w14:paraId="6E8114CA"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69078BE8"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618F2D4E"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F2</w:t>
            </w:r>
          </w:p>
        </w:tc>
        <w:tc>
          <w:tcPr>
            <w:tcW w:w="1260" w:type="dxa"/>
            <w:vAlign w:val="center"/>
          </w:tcPr>
          <w:p w14:paraId="4CC9E400"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0.32</w:t>
            </w:r>
          </w:p>
        </w:tc>
        <w:tc>
          <w:tcPr>
            <w:tcW w:w="900" w:type="dxa"/>
            <w:vAlign w:val="center"/>
            <w:hideMark/>
          </w:tcPr>
          <w:p w14:paraId="783CA598"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0.73</w:t>
            </w:r>
          </w:p>
        </w:tc>
        <w:tc>
          <w:tcPr>
            <w:tcW w:w="810" w:type="dxa"/>
            <w:vAlign w:val="center"/>
            <w:hideMark/>
          </w:tcPr>
          <w:p w14:paraId="49A9B101"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0.65</w:t>
            </w:r>
          </w:p>
        </w:tc>
        <w:tc>
          <w:tcPr>
            <w:tcW w:w="900" w:type="dxa"/>
            <w:vAlign w:val="center"/>
            <w:hideMark/>
          </w:tcPr>
          <w:p w14:paraId="0DF845B6"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0.75</w:t>
            </w:r>
          </w:p>
        </w:tc>
        <w:tc>
          <w:tcPr>
            <w:tcW w:w="810" w:type="dxa"/>
            <w:vAlign w:val="center"/>
            <w:hideMark/>
          </w:tcPr>
          <w:p w14:paraId="08972280"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0.64</w:t>
            </w:r>
          </w:p>
        </w:tc>
        <w:tc>
          <w:tcPr>
            <w:tcW w:w="845" w:type="dxa"/>
            <w:vMerge/>
            <w:vAlign w:val="center"/>
          </w:tcPr>
          <w:p w14:paraId="291331A3"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810" w:type="dxa"/>
            <w:vMerge/>
            <w:vAlign w:val="center"/>
            <w:hideMark/>
          </w:tcPr>
          <w:p w14:paraId="60640956"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78C72140"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155" w:type="dxa"/>
            <w:vMerge/>
            <w:vAlign w:val="center"/>
          </w:tcPr>
          <w:p w14:paraId="0A537B81"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c>
          <w:tcPr>
            <w:tcW w:w="1545" w:type="dxa"/>
            <w:vMerge/>
            <w:vAlign w:val="center"/>
          </w:tcPr>
          <w:p w14:paraId="3FB5C307"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r>
      <w:tr w:rsidR="002C7FFA" w:rsidRPr="008035A5" w14:paraId="25CCFAAC" w14:textId="77777777" w:rsidTr="004F52BC">
        <w:trPr>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33AE4220"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3F2BA7EE"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hideMark/>
          </w:tcPr>
          <w:p w14:paraId="08D63B4B"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1DAD59F4"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1E60B7D7"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F2</w:t>
            </w:r>
          </w:p>
        </w:tc>
        <w:tc>
          <w:tcPr>
            <w:tcW w:w="1260" w:type="dxa"/>
            <w:vAlign w:val="center"/>
          </w:tcPr>
          <w:p w14:paraId="7F79708B"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0.50</w:t>
            </w:r>
          </w:p>
        </w:tc>
        <w:tc>
          <w:tcPr>
            <w:tcW w:w="900" w:type="dxa"/>
            <w:vAlign w:val="center"/>
            <w:hideMark/>
          </w:tcPr>
          <w:p w14:paraId="70DF8299"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0.60</w:t>
            </w:r>
          </w:p>
        </w:tc>
        <w:tc>
          <w:tcPr>
            <w:tcW w:w="810" w:type="dxa"/>
            <w:vAlign w:val="center"/>
            <w:hideMark/>
          </w:tcPr>
          <w:p w14:paraId="49A21C65"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0.78</w:t>
            </w:r>
          </w:p>
        </w:tc>
        <w:tc>
          <w:tcPr>
            <w:tcW w:w="900" w:type="dxa"/>
            <w:vAlign w:val="center"/>
            <w:hideMark/>
          </w:tcPr>
          <w:p w14:paraId="6B282F6C"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0.79</w:t>
            </w:r>
          </w:p>
        </w:tc>
        <w:tc>
          <w:tcPr>
            <w:tcW w:w="810" w:type="dxa"/>
            <w:vAlign w:val="center"/>
            <w:hideMark/>
          </w:tcPr>
          <w:p w14:paraId="7FB02F2D"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0.59</w:t>
            </w:r>
          </w:p>
        </w:tc>
        <w:tc>
          <w:tcPr>
            <w:tcW w:w="845" w:type="dxa"/>
            <w:vMerge/>
            <w:vAlign w:val="center"/>
          </w:tcPr>
          <w:p w14:paraId="250ED5BF"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810" w:type="dxa"/>
            <w:vMerge/>
            <w:vAlign w:val="center"/>
            <w:hideMark/>
          </w:tcPr>
          <w:p w14:paraId="452AD8BA"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17C93755"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155" w:type="dxa"/>
            <w:vMerge/>
            <w:vAlign w:val="center"/>
          </w:tcPr>
          <w:p w14:paraId="1D5C709A"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c>
          <w:tcPr>
            <w:tcW w:w="1545" w:type="dxa"/>
            <w:vMerge/>
            <w:vAlign w:val="center"/>
          </w:tcPr>
          <w:p w14:paraId="7E588AAD"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r>
      <w:tr w:rsidR="002C7FFA" w:rsidRPr="008035A5" w14:paraId="476A6E2E" w14:textId="77777777" w:rsidTr="004F52BC">
        <w:trPr>
          <w:cnfStyle w:val="000000100000" w:firstRow="0" w:lastRow="0" w:firstColumn="0" w:lastColumn="0" w:oddVBand="0" w:evenVBand="0" w:oddHBand="1"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43B95AA5"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38D754B1"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hideMark/>
          </w:tcPr>
          <w:p w14:paraId="37D8E198"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16534F26"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151030DC"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F3</w:t>
            </w:r>
          </w:p>
        </w:tc>
        <w:tc>
          <w:tcPr>
            <w:tcW w:w="1260" w:type="dxa"/>
            <w:vAlign w:val="center"/>
          </w:tcPr>
          <w:p w14:paraId="292F2969"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0.56</w:t>
            </w:r>
          </w:p>
        </w:tc>
        <w:tc>
          <w:tcPr>
            <w:tcW w:w="900" w:type="dxa"/>
            <w:vAlign w:val="center"/>
            <w:hideMark/>
          </w:tcPr>
          <w:p w14:paraId="1154718C"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0.74</w:t>
            </w:r>
          </w:p>
        </w:tc>
        <w:tc>
          <w:tcPr>
            <w:tcW w:w="810" w:type="dxa"/>
            <w:vAlign w:val="center"/>
            <w:hideMark/>
          </w:tcPr>
          <w:p w14:paraId="6F94B783"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0.76</w:t>
            </w:r>
          </w:p>
        </w:tc>
        <w:tc>
          <w:tcPr>
            <w:tcW w:w="900" w:type="dxa"/>
            <w:vAlign w:val="center"/>
            <w:hideMark/>
          </w:tcPr>
          <w:p w14:paraId="37510A83"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0.62</w:t>
            </w:r>
          </w:p>
        </w:tc>
        <w:tc>
          <w:tcPr>
            <w:tcW w:w="810" w:type="dxa"/>
            <w:vAlign w:val="center"/>
            <w:hideMark/>
          </w:tcPr>
          <w:p w14:paraId="3B0D090D"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0.85</w:t>
            </w:r>
          </w:p>
        </w:tc>
        <w:tc>
          <w:tcPr>
            <w:tcW w:w="845" w:type="dxa"/>
            <w:vMerge/>
            <w:vAlign w:val="center"/>
          </w:tcPr>
          <w:p w14:paraId="7E20F9CE"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810" w:type="dxa"/>
            <w:vMerge/>
            <w:vAlign w:val="center"/>
            <w:hideMark/>
          </w:tcPr>
          <w:p w14:paraId="521C5BFB"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250187AC"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155" w:type="dxa"/>
            <w:vMerge/>
            <w:vAlign w:val="center"/>
          </w:tcPr>
          <w:p w14:paraId="46BEA302"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c>
          <w:tcPr>
            <w:tcW w:w="1545" w:type="dxa"/>
            <w:vMerge/>
            <w:vAlign w:val="center"/>
          </w:tcPr>
          <w:p w14:paraId="1A804F2F"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r>
      <w:tr w:rsidR="002C7FFA" w:rsidRPr="008035A5" w14:paraId="3A7D025A" w14:textId="77777777" w:rsidTr="004F52BC">
        <w:trPr>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5911A5B7"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150F3081"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hideMark/>
          </w:tcPr>
          <w:p w14:paraId="02C4823C"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47C4E235"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6726DDC0"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F3</w:t>
            </w:r>
          </w:p>
        </w:tc>
        <w:tc>
          <w:tcPr>
            <w:tcW w:w="1260" w:type="dxa"/>
            <w:vAlign w:val="center"/>
          </w:tcPr>
          <w:p w14:paraId="5915FF11"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0.32</w:t>
            </w:r>
          </w:p>
        </w:tc>
        <w:tc>
          <w:tcPr>
            <w:tcW w:w="900" w:type="dxa"/>
            <w:vAlign w:val="center"/>
            <w:hideMark/>
          </w:tcPr>
          <w:p w14:paraId="3BE713BB"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0.87</w:t>
            </w:r>
          </w:p>
        </w:tc>
        <w:tc>
          <w:tcPr>
            <w:tcW w:w="810" w:type="dxa"/>
            <w:vAlign w:val="center"/>
            <w:hideMark/>
          </w:tcPr>
          <w:p w14:paraId="2AECBDA2"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0.59</w:t>
            </w:r>
          </w:p>
        </w:tc>
        <w:tc>
          <w:tcPr>
            <w:tcW w:w="900" w:type="dxa"/>
            <w:vAlign w:val="center"/>
            <w:hideMark/>
          </w:tcPr>
          <w:p w14:paraId="5733BB61"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0.52</w:t>
            </w:r>
          </w:p>
        </w:tc>
        <w:tc>
          <w:tcPr>
            <w:tcW w:w="810" w:type="dxa"/>
            <w:vAlign w:val="center"/>
            <w:hideMark/>
          </w:tcPr>
          <w:p w14:paraId="76A855AC"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0.90</w:t>
            </w:r>
          </w:p>
        </w:tc>
        <w:tc>
          <w:tcPr>
            <w:tcW w:w="845" w:type="dxa"/>
            <w:vMerge/>
            <w:vAlign w:val="center"/>
          </w:tcPr>
          <w:p w14:paraId="32EB94BB"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810" w:type="dxa"/>
            <w:vMerge/>
            <w:vAlign w:val="center"/>
            <w:hideMark/>
          </w:tcPr>
          <w:p w14:paraId="12B59D7B"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5C673F77"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155" w:type="dxa"/>
            <w:vMerge/>
            <w:vAlign w:val="center"/>
          </w:tcPr>
          <w:p w14:paraId="7FFA9284"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c>
          <w:tcPr>
            <w:tcW w:w="1545" w:type="dxa"/>
            <w:vMerge/>
            <w:vAlign w:val="center"/>
          </w:tcPr>
          <w:p w14:paraId="4AD3CD6F"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r>
      <w:tr w:rsidR="002C7FFA" w:rsidRPr="008035A5" w14:paraId="24BB4D5C" w14:textId="77777777" w:rsidTr="004F52BC">
        <w:trPr>
          <w:cnfStyle w:val="000000100000" w:firstRow="0" w:lastRow="0" w:firstColumn="0" w:lastColumn="0" w:oddVBand="0" w:evenVBand="0" w:oddHBand="1"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68D0072B"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0FAFD99C"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hideMark/>
          </w:tcPr>
          <w:p w14:paraId="683BF91B"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5FD06CEE"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59EFC46B"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F3</w:t>
            </w:r>
          </w:p>
        </w:tc>
        <w:tc>
          <w:tcPr>
            <w:tcW w:w="1260" w:type="dxa"/>
            <w:vAlign w:val="center"/>
          </w:tcPr>
          <w:p w14:paraId="5E4F3488"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0.50</w:t>
            </w:r>
          </w:p>
        </w:tc>
        <w:tc>
          <w:tcPr>
            <w:tcW w:w="900" w:type="dxa"/>
            <w:vAlign w:val="center"/>
            <w:hideMark/>
          </w:tcPr>
          <w:p w14:paraId="1F9F2252"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0.76</w:t>
            </w:r>
          </w:p>
        </w:tc>
        <w:tc>
          <w:tcPr>
            <w:tcW w:w="810" w:type="dxa"/>
            <w:vAlign w:val="center"/>
            <w:hideMark/>
          </w:tcPr>
          <w:p w14:paraId="36F46042"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0.72</w:t>
            </w:r>
          </w:p>
        </w:tc>
        <w:tc>
          <w:tcPr>
            <w:tcW w:w="900" w:type="dxa"/>
            <w:vAlign w:val="center"/>
            <w:hideMark/>
          </w:tcPr>
          <w:p w14:paraId="581D8DDB"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0.59</w:t>
            </w:r>
          </w:p>
        </w:tc>
        <w:tc>
          <w:tcPr>
            <w:tcW w:w="810" w:type="dxa"/>
            <w:vAlign w:val="center"/>
            <w:hideMark/>
          </w:tcPr>
          <w:p w14:paraId="00D7E826"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0.85</w:t>
            </w:r>
          </w:p>
        </w:tc>
        <w:tc>
          <w:tcPr>
            <w:tcW w:w="845" w:type="dxa"/>
            <w:vMerge/>
            <w:vAlign w:val="center"/>
          </w:tcPr>
          <w:p w14:paraId="75F1A842"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810" w:type="dxa"/>
            <w:vMerge/>
            <w:vAlign w:val="center"/>
            <w:hideMark/>
          </w:tcPr>
          <w:p w14:paraId="52D0DD7E"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31CE1759"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155" w:type="dxa"/>
            <w:vMerge/>
            <w:vAlign w:val="center"/>
          </w:tcPr>
          <w:p w14:paraId="4A626C60"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c>
          <w:tcPr>
            <w:tcW w:w="1545" w:type="dxa"/>
            <w:vMerge/>
            <w:vAlign w:val="center"/>
          </w:tcPr>
          <w:p w14:paraId="3CE47DCF"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r>
      <w:tr w:rsidR="002C7FFA" w:rsidRPr="008035A5" w14:paraId="24E629A4" w14:textId="77777777" w:rsidTr="004F52BC">
        <w:trPr>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4093901F"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780CDCF6"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hideMark/>
          </w:tcPr>
          <w:p w14:paraId="2085B232"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4411E023"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7CD06C7D"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F4</w:t>
            </w:r>
          </w:p>
        </w:tc>
        <w:tc>
          <w:tcPr>
            <w:tcW w:w="1260" w:type="dxa"/>
            <w:vAlign w:val="center"/>
          </w:tcPr>
          <w:p w14:paraId="62DEE614"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0.81</w:t>
            </w:r>
          </w:p>
        </w:tc>
        <w:tc>
          <w:tcPr>
            <w:tcW w:w="900" w:type="dxa"/>
            <w:vAlign w:val="center"/>
            <w:hideMark/>
          </w:tcPr>
          <w:p w14:paraId="1C2D720C"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0.75</w:t>
            </w:r>
          </w:p>
        </w:tc>
        <w:tc>
          <w:tcPr>
            <w:tcW w:w="810" w:type="dxa"/>
            <w:vAlign w:val="center"/>
            <w:hideMark/>
          </w:tcPr>
          <w:p w14:paraId="167CF59A"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0.79</w:t>
            </w:r>
          </w:p>
        </w:tc>
        <w:tc>
          <w:tcPr>
            <w:tcW w:w="900" w:type="dxa"/>
            <w:vAlign w:val="center"/>
            <w:hideMark/>
          </w:tcPr>
          <w:p w14:paraId="52E6D41C"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0.48</w:t>
            </w:r>
          </w:p>
        </w:tc>
        <w:tc>
          <w:tcPr>
            <w:tcW w:w="810" w:type="dxa"/>
            <w:vAlign w:val="center"/>
            <w:hideMark/>
          </w:tcPr>
          <w:p w14:paraId="7C6414BA"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0.93</w:t>
            </w:r>
          </w:p>
        </w:tc>
        <w:tc>
          <w:tcPr>
            <w:tcW w:w="845" w:type="dxa"/>
            <w:vMerge/>
            <w:vAlign w:val="center"/>
          </w:tcPr>
          <w:p w14:paraId="267C2C9E"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810" w:type="dxa"/>
            <w:vMerge/>
            <w:vAlign w:val="center"/>
            <w:hideMark/>
          </w:tcPr>
          <w:p w14:paraId="04C8656C"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16E7804E"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155" w:type="dxa"/>
            <w:vMerge/>
            <w:vAlign w:val="center"/>
          </w:tcPr>
          <w:p w14:paraId="4A320049"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c>
          <w:tcPr>
            <w:tcW w:w="1545" w:type="dxa"/>
            <w:vMerge/>
            <w:vAlign w:val="center"/>
          </w:tcPr>
          <w:p w14:paraId="7B41C316"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r>
      <w:tr w:rsidR="002C7FFA" w:rsidRPr="008035A5" w14:paraId="1ED5FC8A" w14:textId="77777777" w:rsidTr="004F52BC">
        <w:trPr>
          <w:cnfStyle w:val="000000100000" w:firstRow="0" w:lastRow="0" w:firstColumn="0" w:lastColumn="0" w:oddVBand="0" w:evenVBand="0" w:oddHBand="1"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2CD83BCA"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7E7A8B99"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hideMark/>
          </w:tcPr>
          <w:p w14:paraId="3E4A56E8"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44F4D288"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7F3D737C"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F4</w:t>
            </w:r>
          </w:p>
        </w:tc>
        <w:tc>
          <w:tcPr>
            <w:tcW w:w="1260" w:type="dxa"/>
            <w:vAlign w:val="center"/>
          </w:tcPr>
          <w:p w14:paraId="73845235"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0.56</w:t>
            </w:r>
          </w:p>
        </w:tc>
        <w:tc>
          <w:tcPr>
            <w:tcW w:w="900" w:type="dxa"/>
            <w:vAlign w:val="center"/>
            <w:hideMark/>
          </w:tcPr>
          <w:p w14:paraId="3652A654"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0.82</w:t>
            </w:r>
          </w:p>
        </w:tc>
        <w:tc>
          <w:tcPr>
            <w:tcW w:w="810" w:type="dxa"/>
            <w:vAlign w:val="center"/>
            <w:hideMark/>
          </w:tcPr>
          <w:p w14:paraId="1BC3ADB9"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0.69</w:t>
            </w:r>
          </w:p>
        </w:tc>
        <w:tc>
          <w:tcPr>
            <w:tcW w:w="900" w:type="dxa"/>
            <w:vAlign w:val="center"/>
            <w:hideMark/>
          </w:tcPr>
          <w:p w14:paraId="3CEC5771"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0.40</w:t>
            </w:r>
          </w:p>
        </w:tc>
        <w:tc>
          <w:tcPr>
            <w:tcW w:w="810" w:type="dxa"/>
            <w:vAlign w:val="center"/>
            <w:hideMark/>
          </w:tcPr>
          <w:p w14:paraId="51E35D98"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0.94</w:t>
            </w:r>
          </w:p>
        </w:tc>
        <w:tc>
          <w:tcPr>
            <w:tcW w:w="845" w:type="dxa"/>
            <w:vMerge/>
            <w:vAlign w:val="center"/>
          </w:tcPr>
          <w:p w14:paraId="1A8A7E5E"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810" w:type="dxa"/>
            <w:vMerge/>
            <w:vAlign w:val="center"/>
            <w:hideMark/>
          </w:tcPr>
          <w:p w14:paraId="4E1E9013"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0589FE06"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155" w:type="dxa"/>
            <w:vMerge/>
            <w:vAlign w:val="center"/>
          </w:tcPr>
          <w:p w14:paraId="19E2ECD8"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c>
          <w:tcPr>
            <w:tcW w:w="1545" w:type="dxa"/>
            <w:vMerge/>
            <w:vAlign w:val="center"/>
          </w:tcPr>
          <w:p w14:paraId="31A4EAF1"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r>
      <w:tr w:rsidR="002C7FFA" w:rsidRPr="008035A5" w14:paraId="25750EC9" w14:textId="77777777" w:rsidTr="004F52BC">
        <w:trPr>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1245FD92"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221D8FCD"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hideMark/>
          </w:tcPr>
          <w:p w14:paraId="63226311"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393F7AD6"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535840A7"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F4</w:t>
            </w:r>
          </w:p>
        </w:tc>
        <w:tc>
          <w:tcPr>
            <w:tcW w:w="1260" w:type="dxa"/>
            <w:vAlign w:val="center"/>
          </w:tcPr>
          <w:p w14:paraId="7BB5297F"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0.50</w:t>
            </w:r>
          </w:p>
        </w:tc>
        <w:tc>
          <w:tcPr>
            <w:tcW w:w="900" w:type="dxa"/>
            <w:vAlign w:val="center"/>
            <w:hideMark/>
          </w:tcPr>
          <w:p w14:paraId="7005DD60"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0.85</w:t>
            </w:r>
          </w:p>
        </w:tc>
        <w:tc>
          <w:tcPr>
            <w:tcW w:w="810" w:type="dxa"/>
            <w:vAlign w:val="center"/>
            <w:hideMark/>
          </w:tcPr>
          <w:p w14:paraId="2C0AAFFA"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0.66</w:t>
            </w:r>
          </w:p>
        </w:tc>
        <w:tc>
          <w:tcPr>
            <w:tcW w:w="900" w:type="dxa"/>
            <w:vAlign w:val="center"/>
            <w:hideMark/>
          </w:tcPr>
          <w:p w14:paraId="310DC64A"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0.39</w:t>
            </w:r>
          </w:p>
        </w:tc>
        <w:tc>
          <w:tcPr>
            <w:tcW w:w="810" w:type="dxa"/>
            <w:vAlign w:val="center"/>
            <w:hideMark/>
          </w:tcPr>
          <w:p w14:paraId="787CCEC2"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0.94</w:t>
            </w:r>
          </w:p>
        </w:tc>
        <w:tc>
          <w:tcPr>
            <w:tcW w:w="845" w:type="dxa"/>
            <w:vMerge/>
            <w:vAlign w:val="center"/>
          </w:tcPr>
          <w:p w14:paraId="6714EC6C"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810" w:type="dxa"/>
            <w:vMerge/>
            <w:vAlign w:val="center"/>
            <w:hideMark/>
          </w:tcPr>
          <w:p w14:paraId="28BEE67E"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3E9D41E5"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155" w:type="dxa"/>
            <w:vMerge/>
            <w:vAlign w:val="center"/>
          </w:tcPr>
          <w:p w14:paraId="31F5CB07"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c>
          <w:tcPr>
            <w:tcW w:w="1545" w:type="dxa"/>
            <w:vMerge/>
            <w:vAlign w:val="center"/>
          </w:tcPr>
          <w:p w14:paraId="3D7AA768"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r>
      <w:tr w:rsidR="002C7FFA" w:rsidRPr="008035A5" w14:paraId="4D5AB639" w14:textId="77777777" w:rsidTr="004F52BC">
        <w:trPr>
          <w:cnfStyle w:val="000000100000" w:firstRow="0" w:lastRow="0" w:firstColumn="0" w:lastColumn="0" w:oddVBand="0" w:evenVBand="0" w:oddHBand="1"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restart"/>
            <w:vAlign w:val="center"/>
          </w:tcPr>
          <w:p w14:paraId="16C4EBDF" w14:textId="77777777" w:rsidR="002C7FFA" w:rsidRPr="008035A5" w:rsidRDefault="002C7FFA">
            <w:pPr>
              <w:pStyle w:val="Paragraph"/>
              <w:spacing w:before="0" w:line="240" w:lineRule="auto"/>
              <w:jc w:val="center"/>
              <w:rPr>
                <w:rFonts w:asciiTheme="majorBidi" w:hAnsiTheme="majorBidi" w:cstheme="majorBidi"/>
                <w:b w:val="0"/>
                <w:bCs w:val="0"/>
                <w:i/>
                <w:iCs/>
                <w:sz w:val="18"/>
                <w:szCs w:val="18"/>
              </w:rPr>
            </w:pPr>
            <w:r>
              <w:rPr>
                <w:rFonts w:asciiTheme="majorBidi" w:hAnsiTheme="majorBidi" w:cstheme="majorBidi"/>
                <w:noProof/>
                <w:sz w:val="18"/>
                <w:szCs w:val="18"/>
                <w:vertAlign w:val="superscript"/>
              </w:rPr>
              <w:fldChar w:fldCharType="begin" w:fldLock="1"/>
            </w:r>
            <w:r>
              <w:rPr>
                <w:rFonts w:asciiTheme="majorBidi" w:hAnsiTheme="majorBidi" w:cstheme="majorBidi"/>
                <w:noProof/>
                <w:sz w:val="18"/>
                <w:szCs w:val="18"/>
                <w:vertAlign w:val="superscript"/>
              </w:rPr>
              <w:instrText>ADDIN CSL_CITATION {"citationItems":[{"id":"ITEM-1","itemData":{"DOI":"10.1002/jcla.22341","ISSN":"1098-2825 (Electronic)","PMID":"29251384","abstract":"BACKGROUND: The benefits of using serum markers to diagnose stages of liver  disease in chronic hepatitis B (CHB) patients are controversial. We conducted a study to compare the clinical significance of four markers in evaluating liver inflammation and fibrosis in CHB patients. METHODS: A total of 323 treatment-naive CHB patients who received a liver biopsy and routine laboratory testing were enrolled in our study. We used the Scheuer scoring system as a pathological standard for diagnosing liver inflammation and fibrosis. The diagnostic performance of the fibrosis index based on four factors (FIB-4), the aspartate transaminase to platelet ratio index (APRI), the gamma-glutamyl transpeptidase-to-platelet ratio (GPR), and the red cell distribution width-platelet ratio (RPR) were analyzed with receiver-operating characteristic curves (ROC). RESULTS: No significant differences among the four indexes for diagnosing significant fibrosis (S ≥ 2) was found, while APRI and GPR were superior to FIB-4 and RPR in diagnosing moderate (G ≥ 2), severe (G ≥ 3) inflammation, and severe fibrosis (S ≥ 3). The AUROCs for diagnosing G ≥ 2 and G ≥ 3 were 0.732 and 0.861 for APRI, 0.726 and0.883 for GPR, 0.703 and0.705 for FIB-4, and 0.660 and 0.747 for RPR, respectively. The AUROCs for diagnosing S ≥ 2 and S ≥ 3 were0.724 and 0.799 for APRI, 0.714 and0.801 for GPR, 0.683 and0.730 for FIB-4, and 0.643 and 0.705 for RPR, respectively. CONCLUSION: APRI and GPR were more effective than FIB-4 and RPR at diagnosing liver inflammation and fibrosis.","author":[{"dropping-particle":"","family":"Wu","given":"Xiaojuan","non-dropping-particle":"","parse-names":false,"suffix":""},{"dropping-particle":"","family":"Cai","given":"Bei","non-dropping-particle":"","parse-names":false,"suffix":""},{"dropping-particle":"","family":"Su","given":"Zhenzhen","non-dropping-particle":"","parse-names":false,"suffix":""},{"dropping-particle":"","family":"Li","given":"Yamei","non-dropping-particle":"","parse-names":false,"suffix":""},{"dropping-particle":"","family":"Xu","given":"Jin","non-dropping-particle":"","parse-names":false,"suffix":""},{"dropping-particle":"","family":"Deng","given":"Rong","non-dropping-particle":"","parse-names":false,"suffix":""},{"dropping-particle":"","family":"Wang","given":"Lanlan","non-dropping-particle":"","parse-names":false,"suffix":""}],"container-title":"Journal of clinical laboratory analysis","id":"ITEM-1","issue":"4","issued":{"date-parts":[["2018","5"]]},"language":"eng","page":"e22341","publisher-place":"United States","title":"Aspartate transaminase to platelet ratio index and gamma-glutamyl  transpeptidase-to-platelet ratio outweigh fibrosis index based on four factors and red cell distribution width-platelet ratio in diagnosing liver fibrosis and inflammation in chronic hepat","type":"article-journal","volume":"32"},"uris":["http://www.mendeley.com/documents/?uuid=5c82fe23-299b-4691-beb4-df211d0e305b"]}],"mendeley":{"formattedCitation":"[26]","plainTextFormattedCitation":"[26]","previouslyFormattedCitation":"[26]"},"properties":{"noteIndex":0},"schema":"https://github.com/citation-style-language/schema/raw/master/csl-citation.json"}</w:instrText>
            </w:r>
            <w:r>
              <w:rPr>
                <w:rFonts w:asciiTheme="majorBidi" w:hAnsiTheme="majorBidi" w:cstheme="majorBidi"/>
                <w:noProof/>
                <w:sz w:val="18"/>
                <w:szCs w:val="18"/>
                <w:vertAlign w:val="superscript"/>
              </w:rPr>
              <w:fldChar w:fldCharType="separate"/>
            </w:r>
            <w:r w:rsidRPr="00FE246B">
              <w:rPr>
                <w:rFonts w:asciiTheme="majorBidi" w:hAnsiTheme="majorBidi" w:cstheme="majorBidi"/>
                <w:b w:val="0"/>
                <w:noProof/>
                <w:sz w:val="18"/>
                <w:szCs w:val="18"/>
              </w:rPr>
              <w:t>[26]</w:t>
            </w:r>
            <w:r>
              <w:rPr>
                <w:rFonts w:asciiTheme="majorBidi" w:hAnsiTheme="majorBidi" w:cstheme="majorBidi"/>
                <w:noProof/>
                <w:sz w:val="18"/>
                <w:szCs w:val="18"/>
                <w:vertAlign w:val="superscript"/>
              </w:rPr>
              <w:fldChar w:fldCharType="end"/>
            </w:r>
          </w:p>
        </w:tc>
        <w:tc>
          <w:tcPr>
            <w:tcW w:w="1960" w:type="dxa"/>
            <w:vMerge w:val="restart"/>
            <w:vAlign w:val="center"/>
            <w:hideMark/>
          </w:tcPr>
          <w:p w14:paraId="1B997BFE"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Wu X. et al</w:t>
            </w:r>
          </w:p>
        </w:tc>
        <w:tc>
          <w:tcPr>
            <w:tcW w:w="630" w:type="dxa"/>
            <w:vMerge w:val="restart"/>
            <w:vAlign w:val="center"/>
            <w:hideMark/>
          </w:tcPr>
          <w:p w14:paraId="6A3678AB"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2017</w:t>
            </w:r>
          </w:p>
        </w:tc>
        <w:tc>
          <w:tcPr>
            <w:tcW w:w="900" w:type="dxa"/>
            <w:vMerge w:val="restart"/>
            <w:vAlign w:val="center"/>
            <w:hideMark/>
          </w:tcPr>
          <w:p w14:paraId="46C01734"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China</w:t>
            </w:r>
          </w:p>
        </w:tc>
        <w:tc>
          <w:tcPr>
            <w:tcW w:w="900" w:type="dxa"/>
            <w:vAlign w:val="center"/>
            <w:hideMark/>
          </w:tcPr>
          <w:p w14:paraId="524712FC"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F2</w:t>
            </w:r>
          </w:p>
        </w:tc>
        <w:tc>
          <w:tcPr>
            <w:tcW w:w="1260" w:type="dxa"/>
            <w:vAlign w:val="center"/>
          </w:tcPr>
          <w:p w14:paraId="0BB0395F"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0.22</w:t>
            </w:r>
          </w:p>
        </w:tc>
        <w:tc>
          <w:tcPr>
            <w:tcW w:w="900" w:type="dxa"/>
            <w:vAlign w:val="center"/>
            <w:hideMark/>
          </w:tcPr>
          <w:p w14:paraId="0295B39A"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0.87</w:t>
            </w:r>
          </w:p>
        </w:tc>
        <w:tc>
          <w:tcPr>
            <w:tcW w:w="810" w:type="dxa"/>
            <w:vAlign w:val="center"/>
            <w:hideMark/>
          </w:tcPr>
          <w:p w14:paraId="4417D65D"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0.45</w:t>
            </w:r>
          </w:p>
        </w:tc>
        <w:tc>
          <w:tcPr>
            <w:tcW w:w="900" w:type="dxa"/>
            <w:vAlign w:val="center"/>
            <w:hideMark/>
          </w:tcPr>
          <w:p w14:paraId="61878933"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0.27</w:t>
            </w:r>
          </w:p>
        </w:tc>
        <w:tc>
          <w:tcPr>
            <w:tcW w:w="810" w:type="dxa"/>
            <w:vAlign w:val="center"/>
            <w:hideMark/>
          </w:tcPr>
          <w:p w14:paraId="27A74B16"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0.93</w:t>
            </w:r>
          </w:p>
        </w:tc>
        <w:tc>
          <w:tcPr>
            <w:tcW w:w="845" w:type="dxa"/>
            <w:vMerge w:val="restart"/>
            <w:vAlign w:val="center"/>
            <w:hideMark/>
          </w:tcPr>
          <w:p w14:paraId="57F85180"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hAnsiTheme="majorBidi" w:cstheme="majorBidi"/>
                <w:b/>
                <w:bCs/>
                <w:sz w:val="18"/>
                <w:szCs w:val="18"/>
              </w:rPr>
              <w:t>322</w:t>
            </w:r>
          </w:p>
        </w:tc>
        <w:tc>
          <w:tcPr>
            <w:tcW w:w="810" w:type="dxa"/>
            <w:vMerge w:val="restart"/>
            <w:vAlign w:val="center"/>
            <w:hideMark/>
          </w:tcPr>
          <w:p w14:paraId="6C5B726A"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0.65</w:t>
            </w:r>
          </w:p>
        </w:tc>
        <w:tc>
          <w:tcPr>
            <w:tcW w:w="900" w:type="dxa"/>
            <w:vMerge w:val="restart"/>
            <w:vAlign w:val="center"/>
            <w:hideMark/>
          </w:tcPr>
          <w:p w14:paraId="0B414153"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39</w:t>
            </w:r>
          </w:p>
        </w:tc>
        <w:tc>
          <w:tcPr>
            <w:tcW w:w="1155" w:type="dxa"/>
            <w:vMerge w:val="restart"/>
            <w:vAlign w:val="center"/>
          </w:tcPr>
          <w:p w14:paraId="6173C785"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8035A5">
              <w:rPr>
                <w:rFonts w:asciiTheme="majorBidi" w:hAnsiTheme="majorBidi" w:cstheme="majorBidi"/>
                <w:b/>
                <w:bCs/>
                <w:sz w:val="18"/>
                <w:szCs w:val="18"/>
              </w:rPr>
              <w:t>Scheuer</w:t>
            </w:r>
          </w:p>
        </w:tc>
        <w:tc>
          <w:tcPr>
            <w:tcW w:w="1545" w:type="dxa"/>
            <w:vMerge w:val="restart"/>
            <w:vAlign w:val="center"/>
          </w:tcPr>
          <w:p w14:paraId="31BA2643"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8035A5">
              <w:rPr>
                <w:rFonts w:asciiTheme="majorBidi" w:eastAsiaTheme="minorHAnsi" w:hAnsiTheme="majorBidi" w:cstheme="majorBidi"/>
                <w:b/>
                <w:bCs/>
                <w:sz w:val="18"/>
                <w:szCs w:val="18"/>
                <w:lang w:eastAsia="en-US"/>
              </w:rPr>
              <w:t>HBV</w:t>
            </w:r>
          </w:p>
        </w:tc>
      </w:tr>
      <w:tr w:rsidR="002C7FFA" w:rsidRPr="008035A5" w14:paraId="40594178" w14:textId="77777777" w:rsidTr="004F52BC">
        <w:trPr>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2C0D9967"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20C2BF17"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hideMark/>
          </w:tcPr>
          <w:p w14:paraId="6A299172"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57BDB62D"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2402CE8A"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F3</w:t>
            </w:r>
          </w:p>
        </w:tc>
        <w:tc>
          <w:tcPr>
            <w:tcW w:w="1260" w:type="dxa"/>
            <w:vAlign w:val="center"/>
          </w:tcPr>
          <w:p w14:paraId="1ABA5715"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0.37</w:t>
            </w:r>
          </w:p>
        </w:tc>
        <w:tc>
          <w:tcPr>
            <w:tcW w:w="900" w:type="dxa"/>
            <w:vAlign w:val="center"/>
            <w:hideMark/>
          </w:tcPr>
          <w:p w14:paraId="79AB7706"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0.74</w:t>
            </w:r>
          </w:p>
        </w:tc>
        <w:tc>
          <w:tcPr>
            <w:tcW w:w="810" w:type="dxa"/>
            <w:vAlign w:val="center"/>
            <w:hideMark/>
          </w:tcPr>
          <w:p w14:paraId="42021C70"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0.73</w:t>
            </w:r>
          </w:p>
        </w:tc>
        <w:tc>
          <w:tcPr>
            <w:tcW w:w="900" w:type="dxa"/>
            <w:vAlign w:val="center"/>
            <w:hideMark/>
          </w:tcPr>
          <w:p w14:paraId="6609C6E2"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0.20</w:t>
            </w:r>
          </w:p>
        </w:tc>
        <w:tc>
          <w:tcPr>
            <w:tcW w:w="810" w:type="dxa"/>
            <w:vAlign w:val="center"/>
            <w:hideMark/>
          </w:tcPr>
          <w:p w14:paraId="201FAFE9"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0.97</w:t>
            </w:r>
          </w:p>
        </w:tc>
        <w:tc>
          <w:tcPr>
            <w:tcW w:w="845" w:type="dxa"/>
            <w:vMerge/>
            <w:vAlign w:val="center"/>
            <w:hideMark/>
          </w:tcPr>
          <w:p w14:paraId="7AAC2F05"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810" w:type="dxa"/>
            <w:vMerge/>
            <w:vAlign w:val="center"/>
            <w:hideMark/>
          </w:tcPr>
          <w:p w14:paraId="3A94C78E"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78B86C6C"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155" w:type="dxa"/>
            <w:vMerge/>
            <w:vAlign w:val="center"/>
          </w:tcPr>
          <w:p w14:paraId="56246345"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c>
          <w:tcPr>
            <w:tcW w:w="1545" w:type="dxa"/>
            <w:vMerge/>
            <w:vAlign w:val="center"/>
          </w:tcPr>
          <w:p w14:paraId="4D01279B"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r>
      <w:tr w:rsidR="002C7FFA" w:rsidRPr="008035A5" w14:paraId="4B6F016F" w14:textId="77777777" w:rsidTr="004F52BC">
        <w:trPr>
          <w:cnfStyle w:val="000000100000" w:firstRow="0" w:lastRow="0" w:firstColumn="0" w:lastColumn="0" w:oddVBand="0" w:evenVBand="0" w:oddHBand="1"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restart"/>
            <w:vAlign w:val="center"/>
          </w:tcPr>
          <w:p w14:paraId="3B318278" w14:textId="77777777" w:rsidR="002C7FFA" w:rsidRPr="008035A5" w:rsidRDefault="002C7FFA">
            <w:pPr>
              <w:pStyle w:val="Paragraph"/>
              <w:spacing w:before="0" w:line="240" w:lineRule="auto"/>
              <w:jc w:val="center"/>
              <w:rPr>
                <w:rFonts w:asciiTheme="majorBidi" w:hAnsiTheme="majorBidi" w:cstheme="majorBidi"/>
                <w:b w:val="0"/>
                <w:bCs w:val="0"/>
                <w:i/>
                <w:iCs/>
                <w:sz w:val="18"/>
                <w:szCs w:val="18"/>
              </w:rPr>
            </w:pPr>
            <w:r>
              <w:rPr>
                <w:rFonts w:asciiTheme="majorBidi" w:hAnsiTheme="majorBidi" w:cstheme="majorBidi"/>
                <w:noProof/>
                <w:sz w:val="18"/>
                <w:szCs w:val="18"/>
                <w:vertAlign w:val="superscript"/>
              </w:rPr>
              <w:fldChar w:fldCharType="begin" w:fldLock="1"/>
            </w:r>
            <w:r>
              <w:rPr>
                <w:rFonts w:asciiTheme="majorBidi" w:hAnsiTheme="majorBidi" w:cstheme="majorBidi"/>
                <w:noProof/>
                <w:sz w:val="18"/>
                <w:szCs w:val="18"/>
                <w:vertAlign w:val="superscript"/>
              </w:rPr>
              <w:instrText>ADDIN CSL_CITATION {"citationItems":[{"id":"ITEM-1","itemData":{"DOI":"10.1155/2017/7089702","author":[{"dropping-particle":"","family":"Ren","given":"Tianyi","non-dropping-particle":"","parse-names":false,"suffix":""},{"dropping-particle":"","family":"Wang","given":"Huan","non-dropping-particle":"","parse-names":false,"suffix":""},{"dropping-particle":"","family":"Wu","given":"Ruihong","non-dropping-particle":"","parse-names":false,"suffix":""},{"dropping-particle":"","family":"Niu","given":"Junqi","non-dropping-particle":"","parse-names":false,"suffix":""}],"container-title":"Gastroenterology Research and Practice","id":"ITEM-1","issued":{"date-parts":[["2017"]]},"note":"Cited by: 17; All Open Access, Gold Open Access, Green Open Access","title":"Gamma-glutamyl transpeptidase-to-platelet ratio predicts significant liver fibrosis of chronic Hepatitis B patients in China","type":"article-journal","volume":"2017"},"uris":["http://www.mendeley.com/documents/?uuid=7c661b6a-4080-468c-856c-63119c6a8e1e"]}],"mendeley":{"formattedCitation":"[27]","plainTextFormattedCitation":"[27]","previouslyFormattedCitation":"[27]"},"properties":{"noteIndex":0},"schema":"https://github.com/citation-style-language/schema/raw/master/csl-citation.json"}</w:instrText>
            </w:r>
            <w:r>
              <w:rPr>
                <w:rFonts w:asciiTheme="majorBidi" w:hAnsiTheme="majorBidi" w:cstheme="majorBidi"/>
                <w:noProof/>
                <w:sz w:val="18"/>
                <w:szCs w:val="18"/>
                <w:vertAlign w:val="superscript"/>
              </w:rPr>
              <w:fldChar w:fldCharType="separate"/>
            </w:r>
            <w:r w:rsidRPr="00FE246B">
              <w:rPr>
                <w:rFonts w:asciiTheme="majorBidi" w:hAnsiTheme="majorBidi" w:cstheme="majorBidi"/>
                <w:b w:val="0"/>
                <w:noProof/>
                <w:sz w:val="18"/>
                <w:szCs w:val="18"/>
              </w:rPr>
              <w:t>[27]</w:t>
            </w:r>
            <w:r>
              <w:rPr>
                <w:rFonts w:asciiTheme="majorBidi" w:hAnsiTheme="majorBidi" w:cstheme="majorBidi"/>
                <w:noProof/>
                <w:sz w:val="18"/>
                <w:szCs w:val="18"/>
                <w:vertAlign w:val="superscript"/>
              </w:rPr>
              <w:fldChar w:fldCharType="end"/>
            </w:r>
          </w:p>
        </w:tc>
        <w:tc>
          <w:tcPr>
            <w:tcW w:w="1960" w:type="dxa"/>
            <w:vMerge w:val="restart"/>
            <w:vAlign w:val="center"/>
            <w:hideMark/>
          </w:tcPr>
          <w:p w14:paraId="75670251"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Tianyi R. et al</w:t>
            </w:r>
          </w:p>
        </w:tc>
        <w:tc>
          <w:tcPr>
            <w:tcW w:w="630" w:type="dxa"/>
            <w:vMerge w:val="restart"/>
            <w:vAlign w:val="center"/>
            <w:hideMark/>
          </w:tcPr>
          <w:p w14:paraId="0BD0DDA2"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2017</w:t>
            </w:r>
          </w:p>
        </w:tc>
        <w:tc>
          <w:tcPr>
            <w:tcW w:w="900" w:type="dxa"/>
            <w:vMerge w:val="restart"/>
            <w:vAlign w:val="center"/>
            <w:hideMark/>
          </w:tcPr>
          <w:p w14:paraId="66D33B3C"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China</w:t>
            </w:r>
          </w:p>
        </w:tc>
        <w:tc>
          <w:tcPr>
            <w:tcW w:w="900" w:type="dxa"/>
            <w:vAlign w:val="center"/>
            <w:hideMark/>
          </w:tcPr>
          <w:p w14:paraId="50944D27"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F1</w:t>
            </w:r>
          </w:p>
        </w:tc>
        <w:tc>
          <w:tcPr>
            <w:tcW w:w="1260" w:type="dxa"/>
            <w:vAlign w:val="center"/>
          </w:tcPr>
          <w:p w14:paraId="6460C1A2"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0.26</w:t>
            </w:r>
          </w:p>
        </w:tc>
        <w:tc>
          <w:tcPr>
            <w:tcW w:w="900" w:type="dxa"/>
            <w:vAlign w:val="center"/>
            <w:hideMark/>
          </w:tcPr>
          <w:p w14:paraId="6EF15657"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0.80</w:t>
            </w:r>
          </w:p>
        </w:tc>
        <w:tc>
          <w:tcPr>
            <w:tcW w:w="810" w:type="dxa"/>
            <w:vAlign w:val="center"/>
            <w:hideMark/>
          </w:tcPr>
          <w:p w14:paraId="3B8A366D"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0.65</w:t>
            </w:r>
          </w:p>
        </w:tc>
        <w:tc>
          <w:tcPr>
            <w:tcW w:w="900" w:type="dxa"/>
            <w:vAlign w:val="center"/>
            <w:hideMark/>
          </w:tcPr>
          <w:p w14:paraId="4056BFF3"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0.88</w:t>
            </w:r>
          </w:p>
        </w:tc>
        <w:tc>
          <w:tcPr>
            <w:tcW w:w="810" w:type="dxa"/>
            <w:vAlign w:val="center"/>
            <w:hideMark/>
          </w:tcPr>
          <w:p w14:paraId="5B0EAAA3"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0.43</w:t>
            </w:r>
          </w:p>
        </w:tc>
        <w:tc>
          <w:tcPr>
            <w:tcW w:w="845" w:type="dxa"/>
            <w:vMerge w:val="restart"/>
            <w:vAlign w:val="center"/>
            <w:hideMark/>
          </w:tcPr>
          <w:p w14:paraId="5CB5157E"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hAnsiTheme="majorBidi" w:cstheme="majorBidi"/>
                <w:b/>
                <w:bCs/>
                <w:sz w:val="18"/>
                <w:szCs w:val="18"/>
              </w:rPr>
              <w:t>160</w:t>
            </w:r>
          </w:p>
        </w:tc>
        <w:tc>
          <w:tcPr>
            <w:tcW w:w="810" w:type="dxa"/>
            <w:vMerge w:val="restart"/>
            <w:vAlign w:val="center"/>
            <w:hideMark/>
          </w:tcPr>
          <w:p w14:paraId="2A065A4B"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0.63</w:t>
            </w:r>
          </w:p>
        </w:tc>
        <w:tc>
          <w:tcPr>
            <w:tcW w:w="900" w:type="dxa"/>
            <w:vMerge w:val="restart"/>
            <w:vAlign w:val="center"/>
            <w:hideMark/>
          </w:tcPr>
          <w:p w14:paraId="50C2A8B7"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39</w:t>
            </w:r>
          </w:p>
        </w:tc>
        <w:tc>
          <w:tcPr>
            <w:tcW w:w="1155" w:type="dxa"/>
            <w:vMerge w:val="restart"/>
            <w:vAlign w:val="center"/>
          </w:tcPr>
          <w:p w14:paraId="56CF5A88"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8035A5">
              <w:rPr>
                <w:rFonts w:asciiTheme="majorBidi" w:hAnsiTheme="majorBidi" w:cstheme="majorBidi"/>
                <w:b/>
                <w:bCs/>
                <w:sz w:val="18"/>
                <w:szCs w:val="18"/>
              </w:rPr>
              <w:t>METAVIR</w:t>
            </w:r>
          </w:p>
        </w:tc>
        <w:tc>
          <w:tcPr>
            <w:tcW w:w="1545" w:type="dxa"/>
            <w:vMerge w:val="restart"/>
            <w:vAlign w:val="center"/>
          </w:tcPr>
          <w:p w14:paraId="6BD0FC61"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8035A5">
              <w:rPr>
                <w:rFonts w:asciiTheme="majorBidi" w:eastAsiaTheme="minorHAnsi" w:hAnsiTheme="majorBidi" w:cstheme="majorBidi"/>
                <w:b/>
                <w:bCs/>
                <w:sz w:val="18"/>
                <w:szCs w:val="18"/>
                <w:lang w:eastAsia="en-US"/>
              </w:rPr>
              <w:t>HBV</w:t>
            </w:r>
          </w:p>
        </w:tc>
      </w:tr>
      <w:tr w:rsidR="002C7FFA" w:rsidRPr="008035A5" w14:paraId="67EC9259" w14:textId="77777777" w:rsidTr="004F52BC">
        <w:trPr>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7C96E440"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43BF5ECA"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hideMark/>
          </w:tcPr>
          <w:p w14:paraId="1FA448D2"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7C8A672B"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64A4D661"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F2</w:t>
            </w:r>
          </w:p>
        </w:tc>
        <w:tc>
          <w:tcPr>
            <w:tcW w:w="1260" w:type="dxa"/>
            <w:vAlign w:val="center"/>
          </w:tcPr>
          <w:p w14:paraId="22C12786"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0.35</w:t>
            </w:r>
          </w:p>
        </w:tc>
        <w:tc>
          <w:tcPr>
            <w:tcW w:w="900" w:type="dxa"/>
            <w:vAlign w:val="center"/>
            <w:hideMark/>
          </w:tcPr>
          <w:p w14:paraId="671602D0"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0.77</w:t>
            </w:r>
          </w:p>
        </w:tc>
        <w:tc>
          <w:tcPr>
            <w:tcW w:w="810" w:type="dxa"/>
            <w:vAlign w:val="center"/>
            <w:hideMark/>
          </w:tcPr>
          <w:p w14:paraId="5276DC2C"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0.64</w:t>
            </w:r>
          </w:p>
        </w:tc>
        <w:tc>
          <w:tcPr>
            <w:tcW w:w="900" w:type="dxa"/>
            <w:vAlign w:val="center"/>
            <w:hideMark/>
          </w:tcPr>
          <w:p w14:paraId="34E9726E"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0.59</w:t>
            </w:r>
          </w:p>
        </w:tc>
        <w:tc>
          <w:tcPr>
            <w:tcW w:w="810" w:type="dxa"/>
            <w:vAlign w:val="center"/>
            <w:hideMark/>
          </w:tcPr>
          <w:p w14:paraId="7AD7B5C2"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0.80</w:t>
            </w:r>
          </w:p>
        </w:tc>
        <w:tc>
          <w:tcPr>
            <w:tcW w:w="845" w:type="dxa"/>
            <w:vMerge/>
            <w:vAlign w:val="center"/>
          </w:tcPr>
          <w:p w14:paraId="4064BE79"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810" w:type="dxa"/>
            <w:vMerge/>
            <w:vAlign w:val="center"/>
            <w:hideMark/>
          </w:tcPr>
          <w:p w14:paraId="73EC107B"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4241276F"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155" w:type="dxa"/>
            <w:vMerge/>
            <w:vAlign w:val="center"/>
          </w:tcPr>
          <w:p w14:paraId="5892A4C4"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c>
          <w:tcPr>
            <w:tcW w:w="1545" w:type="dxa"/>
            <w:vMerge/>
            <w:vAlign w:val="center"/>
          </w:tcPr>
          <w:p w14:paraId="0CC7CC12"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r>
      <w:tr w:rsidR="002C7FFA" w:rsidRPr="008035A5" w14:paraId="7719D8DF" w14:textId="77777777" w:rsidTr="004F52BC">
        <w:trPr>
          <w:cnfStyle w:val="000000100000" w:firstRow="0" w:lastRow="0" w:firstColumn="0" w:lastColumn="0" w:oddVBand="0" w:evenVBand="0" w:oddHBand="1"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79B748EE"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0775C22F"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hideMark/>
          </w:tcPr>
          <w:p w14:paraId="4BA731F5"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68345646"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3ADEA634"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F3</w:t>
            </w:r>
          </w:p>
        </w:tc>
        <w:tc>
          <w:tcPr>
            <w:tcW w:w="1260" w:type="dxa"/>
            <w:vAlign w:val="center"/>
          </w:tcPr>
          <w:p w14:paraId="0A9AEC84"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0.38</w:t>
            </w:r>
          </w:p>
        </w:tc>
        <w:tc>
          <w:tcPr>
            <w:tcW w:w="900" w:type="dxa"/>
            <w:vAlign w:val="center"/>
            <w:hideMark/>
          </w:tcPr>
          <w:p w14:paraId="74702C56"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0.76</w:t>
            </w:r>
          </w:p>
        </w:tc>
        <w:tc>
          <w:tcPr>
            <w:tcW w:w="810" w:type="dxa"/>
            <w:vAlign w:val="center"/>
            <w:hideMark/>
          </w:tcPr>
          <w:p w14:paraId="0E61DBC7"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0.60</w:t>
            </w:r>
          </w:p>
        </w:tc>
        <w:tc>
          <w:tcPr>
            <w:tcW w:w="900" w:type="dxa"/>
            <w:vAlign w:val="center"/>
            <w:hideMark/>
          </w:tcPr>
          <w:p w14:paraId="5B391092"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0.48</w:t>
            </w:r>
          </w:p>
        </w:tc>
        <w:tc>
          <w:tcPr>
            <w:tcW w:w="810" w:type="dxa"/>
            <w:vAlign w:val="center"/>
            <w:hideMark/>
          </w:tcPr>
          <w:p w14:paraId="373DA27B"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0.86</w:t>
            </w:r>
          </w:p>
        </w:tc>
        <w:tc>
          <w:tcPr>
            <w:tcW w:w="845" w:type="dxa"/>
            <w:vMerge/>
            <w:vAlign w:val="center"/>
          </w:tcPr>
          <w:p w14:paraId="528F22AC"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810" w:type="dxa"/>
            <w:vMerge/>
            <w:vAlign w:val="center"/>
            <w:hideMark/>
          </w:tcPr>
          <w:p w14:paraId="58320017"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113A69DF"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155" w:type="dxa"/>
            <w:vMerge/>
            <w:vAlign w:val="center"/>
          </w:tcPr>
          <w:p w14:paraId="08FC38A0"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c>
          <w:tcPr>
            <w:tcW w:w="1545" w:type="dxa"/>
            <w:vMerge/>
            <w:vAlign w:val="center"/>
          </w:tcPr>
          <w:p w14:paraId="4F1516D5"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r>
      <w:tr w:rsidR="002C7FFA" w:rsidRPr="008035A5" w14:paraId="187BE1D5" w14:textId="77777777" w:rsidTr="004F52BC">
        <w:trPr>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35A1C7A4"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1A74B652"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hideMark/>
          </w:tcPr>
          <w:p w14:paraId="0A83362B"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66C1C2F2"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3260A804"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F4</w:t>
            </w:r>
          </w:p>
        </w:tc>
        <w:tc>
          <w:tcPr>
            <w:tcW w:w="1260" w:type="dxa"/>
            <w:vAlign w:val="center"/>
          </w:tcPr>
          <w:p w14:paraId="411A5CB9"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0.72</w:t>
            </w:r>
          </w:p>
        </w:tc>
        <w:tc>
          <w:tcPr>
            <w:tcW w:w="900" w:type="dxa"/>
            <w:vAlign w:val="center"/>
            <w:hideMark/>
          </w:tcPr>
          <w:p w14:paraId="2B63F2AF"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0.81</w:t>
            </w:r>
          </w:p>
        </w:tc>
        <w:tc>
          <w:tcPr>
            <w:tcW w:w="810" w:type="dxa"/>
            <w:vAlign w:val="center"/>
            <w:hideMark/>
          </w:tcPr>
          <w:p w14:paraId="3461F65F"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0.50</w:t>
            </w:r>
          </w:p>
        </w:tc>
        <w:tc>
          <w:tcPr>
            <w:tcW w:w="900" w:type="dxa"/>
            <w:vAlign w:val="center"/>
            <w:hideMark/>
          </w:tcPr>
          <w:p w14:paraId="2D356956"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0.28</w:t>
            </w:r>
          </w:p>
        </w:tc>
        <w:tc>
          <w:tcPr>
            <w:tcW w:w="810" w:type="dxa"/>
            <w:vAlign w:val="center"/>
            <w:hideMark/>
          </w:tcPr>
          <w:p w14:paraId="7516E560"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0.91</w:t>
            </w:r>
          </w:p>
        </w:tc>
        <w:tc>
          <w:tcPr>
            <w:tcW w:w="845" w:type="dxa"/>
            <w:vMerge/>
            <w:vAlign w:val="center"/>
          </w:tcPr>
          <w:p w14:paraId="0A6A8B9D"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810" w:type="dxa"/>
            <w:vMerge/>
            <w:vAlign w:val="center"/>
            <w:hideMark/>
          </w:tcPr>
          <w:p w14:paraId="347AC3B4"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64B296AC"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155" w:type="dxa"/>
            <w:vMerge/>
            <w:vAlign w:val="center"/>
          </w:tcPr>
          <w:p w14:paraId="324B2CDC"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c>
          <w:tcPr>
            <w:tcW w:w="1545" w:type="dxa"/>
            <w:vMerge/>
            <w:vAlign w:val="center"/>
          </w:tcPr>
          <w:p w14:paraId="0904CEBD"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r>
      <w:tr w:rsidR="002C7FFA" w:rsidRPr="008035A5" w14:paraId="00846DF3" w14:textId="77777777" w:rsidTr="004F52BC">
        <w:trPr>
          <w:cnfStyle w:val="000000100000" w:firstRow="0" w:lastRow="0" w:firstColumn="0" w:lastColumn="0" w:oddVBand="0" w:evenVBand="0" w:oddHBand="1"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restart"/>
            <w:vAlign w:val="center"/>
          </w:tcPr>
          <w:p w14:paraId="6393728E" w14:textId="77777777" w:rsidR="002C7FFA" w:rsidRPr="008035A5" w:rsidRDefault="002C7FFA">
            <w:pPr>
              <w:pStyle w:val="Paragraph"/>
              <w:spacing w:before="0" w:line="240" w:lineRule="auto"/>
              <w:jc w:val="center"/>
              <w:rPr>
                <w:rFonts w:asciiTheme="majorBidi" w:hAnsiTheme="majorBidi" w:cstheme="majorBidi"/>
                <w:b w:val="0"/>
                <w:bCs w:val="0"/>
                <w:i/>
                <w:iCs/>
                <w:sz w:val="18"/>
                <w:szCs w:val="18"/>
              </w:rPr>
            </w:pPr>
            <w:r>
              <w:rPr>
                <w:rFonts w:asciiTheme="majorBidi" w:hAnsiTheme="majorBidi" w:cstheme="majorBidi"/>
                <w:noProof/>
                <w:sz w:val="18"/>
                <w:szCs w:val="18"/>
                <w:vertAlign w:val="superscript"/>
              </w:rPr>
              <w:fldChar w:fldCharType="begin" w:fldLock="1"/>
            </w:r>
            <w:r>
              <w:rPr>
                <w:rFonts w:asciiTheme="majorBidi" w:hAnsiTheme="majorBidi" w:cstheme="majorBidi"/>
                <w:noProof/>
                <w:sz w:val="18"/>
                <w:szCs w:val="18"/>
                <w:vertAlign w:val="superscript"/>
              </w:rPr>
              <w:instrText>ADDIN CSL_CITATION {"citationItems":[{"id":"ITEM-1","itemData":{"DOI":"10.18632/oncotarget.16162","author":[{"dropping-particle":"","family":"Li","given":"Qiang","non-dropping-particle":"","parse-names":false,"suffix":""},{"dropping-particle":"","family":"Lu","given":"Chuan","non-dropping-particle":"","parse-names":false,"suffix":""},{"dropping-particle":"","family":"Li","given":"Weixia","non-dropping-particle":"","parse-names":false,"suffix":""},{"dropping-particle":"","family":"Huang","given":"Yuxian","non-dropping-particle":"","parse-names":false,"suffix":""},{"dropping-particle":"","family":"Chen","given":"Liang","non-dropping-particle":"","parse-names":false,"suffix":""}],"container-title":"Oncotarget","id":"ITEM-1","issue":"17","issued":{"date-parts":[["2017","4"]]},"note":"From Duplicate 1 (The gamma-glutamyl transpeptidase to platelet ratio for noninvasive assessment of liver fibrosis in patients with chronic hepatitis B and non-alcoholic fatty liver disease - Li, Qiang; Lu, Chuan; Li, Weixia; Huang, Yuxian; Chen, Liang)\n\nCited by: 23; All Open Access, Gold Open Access, Green Open Access\n\nFrom Duplicate 2 (The gamma-glutamyl transpeptidase to platelet ratio for noninvasive assessment of liver fibrosis in patients with chronic hepatitis B and non-alcoholic fatty liver disease - Li, Qiang; Lu, Chuan; Li, Weixia; Huang, Yuxian; Chen, Liang)\n\nFrom Duplicate 1 (The gamma-glutamyl transpeptidase to platelet ratio for noninvasive assessment of liver fibrosis in patients with chronic hepatitis B and non-alcoholic fatty liver disease - Li, Qiang; Lu, Chuan; Li, Weixia; Huang, Yuxian; Chen, Liang)\n\nCited by: 23; All Open Access, Gold Open Access, Green Open Access","page":"28641 – 28649","title":"The gamma-glutamyl transpeptidase to platelet ratio for noninvasive assessment of liver fibrosis in patients with chronic hepatitis B and non-alcoholic fatty liver disease","type":"article-journal","volume":"8"},"uris":["http://www.mendeley.com/documents/?uuid=1db92dc6-397c-4b2a-a9cf-5eb34745b3e6"]}],"mendeley":{"formattedCitation":"[28]","plainTextFormattedCitation":"[28]","previouslyFormattedCitation":"[28]"},"properties":{"noteIndex":0},"schema":"https://github.com/citation-style-language/schema/raw/master/csl-citation.json"}</w:instrText>
            </w:r>
            <w:r>
              <w:rPr>
                <w:rFonts w:asciiTheme="majorBidi" w:hAnsiTheme="majorBidi" w:cstheme="majorBidi"/>
                <w:noProof/>
                <w:sz w:val="18"/>
                <w:szCs w:val="18"/>
                <w:vertAlign w:val="superscript"/>
              </w:rPr>
              <w:fldChar w:fldCharType="separate"/>
            </w:r>
            <w:r w:rsidRPr="00437E75">
              <w:rPr>
                <w:rFonts w:asciiTheme="majorBidi" w:hAnsiTheme="majorBidi" w:cstheme="majorBidi"/>
                <w:b w:val="0"/>
                <w:noProof/>
                <w:sz w:val="18"/>
                <w:szCs w:val="18"/>
              </w:rPr>
              <w:t>[28]</w:t>
            </w:r>
            <w:r>
              <w:rPr>
                <w:rFonts w:asciiTheme="majorBidi" w:hAnsiTheme="majorBidi" w:cstheme="majorBidi"/>
                <w:noProof/>
                <w:sz w:val="18"/>
                <w:szCs w:val="18"/>
                <w:vertAlign w:val="superscript"/>
              </w:rPr>
              <w:fldChar w:fldCharType="end"/>
            </w:r>
          </w:p>
        </w:tc>
        <w:tc>
          <w:tcPr>
            <w:tcW w:w="1960" w:type="dxa"/>
            <w:vMerge w:val="restart"/>
            <w:vAlign w:val="center"/>
            <w:hideMark/>
          </w:tcPr>
          <w:p w14:paraId="2A9EAB0C"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Qiang L. et al</w:t>
            </w:r>
          </w:p>
        </w:tc>
        <w:tc>
          <w:tcPr>
            <w:tcW w:w="630" w:type="dxa"/>
            <w:vMerge w:val="restart"/>
            <w:vAlign w:val="center"/>
            <w:hideMark/>
          </w:tcPr>
          <w:p w14:paraId="2414AFB2"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2017</w:t>
            </w:r>
          </w:p>
        </w:tc>
        <w:tc>
          <w:tcPr>
            <w:tcW w:w="900" w:type="dxa"/>
            <w:vMerge w:val="restart"/>
            <w:vAlign w:val="center"/>
            <w:hideMark/>
          </w:tcPr>
          <w:p w14:paraId="48A50C51"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China</w:t>
            </w:r>
          </w:p>
        </w:tc>
        <w:tc>
          <w:tcPr>
            <w:tcW w:w="900" w:type="dxa"/>
            <w:vAlign w:val="center"/>
            <w:hideMark/>
          </w:tcPr>
          <w:p w14:paraId="7ED6524B"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F2</w:t>
            </w:r>
          </w:p>
        </w:tc>
        <w:tc>
          <w:tcPr>
            <w:tcW w:w="1260" w:type="dxa"/>
            <w:vAlign w:val="center"/>
          </w:tcPr>
          <w:p w14:paraId="7F200366"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0.49</w:t>
            </w:r>
          </w:p>
        </w:tc>
        <w:tc>
          <w:tcPr>
            <w:tcW w:w="900" w:type="dxa"/>
            <w:vAlign w:val="center"/>
            <w:hideMark/>
          </w:tcPr>
          <w:p w14:paraId="0A2F5F83"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0.83</w:t>
            </w:r>
          </w:p>
        </w:tc>
        <w:tc>
          <w:tcPr>
            <w:tcW w:w="810" w:type="dxa"/>
            <w:vAlign w:val="center"/>
            <w:hideMark/>
          </w:tcPr>
          <w:p w14:paraId="566FD704"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0.80</w:t>
            </w:r>
          </w:p>
        </w:tc>
        <w:tc>
          <w:tcPr>
            <w:tcW w:w="900" w:type="dxa"/>
            <w:vAlign w:val="center"/>
            <w:hideMark/>
          </w:tcPr>
          <w:p w14:paraId="1B9897A9"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0.65</w:t>
            </w:r>
          </w:p>
        </w:tc>
        <w:tc>
          <w:tcPr>
            <w:tcW w:w="810" w:type="dxa"/>
            <w:vAlign w:val="center"/>
            <w:hideMark/>
          </w:tcPr>
          <w:p w14:paraId="47FEF4C1"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0.91</w:t>
            </w:r>
          </w:p>
        </w:tc>
        <w:tc>
          <w:tcPr>
            <w:tcW w:w="845" w:type="dxa"/>
            <w:vMerge w:val="restart"/>
            <w:vAlign w:val="center"/>
            <w:hideMark/>
          </w:tcPr>
          <w:p w14:paraId="1B005919"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hAnsiTheme="majorBidi" w:cstheme="majorBidi"/>
                <w:b/>
                <w:bCs/>
                <w:sz w:val="18"/>
                <w:szCs w:val="18"/>
              </w:rPr>
              <w:t>131</w:t>
            </w:r>
          </w:p>
        </w:tc>
        <w:tc>
          <w:tcPr>
            <w:tcW w:w="810" w:type="dxa"/>
            <w:vMerge w:val="restart"/>
            <w:vAlign w:val="center"/>
            <w:hideMark/>
          </w:tcPr>
          <w:p w14:paraId="7766C468"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0.73</w:t>
            </w:r>
          </w:p>
        </w:tc>
        <w:tc>
          <w:tcPr>
            <w:tcW w:w="900" w:type="dxa"/>
            <w:vMerge w:val="restart"/>
            <w:vAlign w:val="center"/>
            <w:hideMark/>
          </w:tcPr>
          <w:p w14:paraId="3C89D00E"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39</w:t>
            </w:r>
          </w:p>
        </w:tc>
        <w:tc>
          <w:tcPr>
            <w:tcW w:w="1155" w:type="dxa"/>
            <w:vMerge w:val="restart"/>
            <w:vAlign w:val="center"/>
          </w:tcPr>
          <w:p w14:paraId="0DFF6FBF"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8035A5">
              <w:rPr>
                <w:rFonts w:asciiTheme="majorBidi" w:hAnsiTheme="majorBidi" w:cstheme="majorBidi"/>
                <w:b/>
                <w:bCs/>
                <w:sz w:val="18"/>
                <w:szCs w:val="18"/>
              </w:rPr>
              <w:t>METAVIR</w:t>
            </w:r>
          </w:p>
        </w:tc>
        <w:tc>
          <w:tcPr>
            <w:tcW w:w="1545" w:type="dxa"/>
            <w:vMerge w:val="restart"/>
            <w:vAlign w:val="center"/>
          </w:tcPr>
          <w:p w14:paraId="1B6EB0E1"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8035A5">
              <w:rPr>
                <w:rFonts w:asciiTheme="majorBidi" w:eastAsiaTheme="minorHAnsi" w:hAnsiTheme="majorBidi" w:cstheme="majorBidi"/>
                <w:b/>
                <w:bCs/>
                <w:sz w:val="18"/>
                <w:szCs w:val="18"/>
                <w:lang w:eastAsia="en-US"/>
              </w:rPr>
              <w:t>HBV</w:t>
            </w:r>
          </w:p>
        </w:tc>
      </w:tr>
      <w:tr w:rsidR="002C7FFA" w:rsidRPr="008035A5" w14:paraId="3F6DD419" w14:textId="77777777" w:rsidTr="004F52BC">
        <w:trPr>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737ABE51"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46E42EB9"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hideMark/>
          </w:tcPr>
          <w:p w14:paraId="3AE159FB"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7245C5CD"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79C23E95"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F3</w:t>
            </w:r>
          </w:p>
        </w:tc>
        <w:tc>
          <w:tcPr>
            <w:tcW w:w="1260" w:type="dxa"/>
            <w:vAlign w:val="center"/>
          </w:tcPr>
          <w:p w14:paraId="2BE7D6BC"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0.62</w:t>
            </w:r>
          </w:p>
        </w:tc>
        <w:tc>
          <w:tcPr>
            <w:tcW w:w="900" w:type="dxa"/>
            <w:vAlign w:val="center"/>
            <w:hideMark/>
          </w:tcPr>
          <w:p w14:paraId="7825C6D5"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0.90</w:t>
            </w:r>
          </w:p>
        </w:tc>
        <w:tc>
          <w:tcPr>
            <w:tcW w:w="810" w:type="dxa"/>
            <w:vAlign w:val="center"/>
            <w:hideMark/>
          </w:tcPr>
          <w:p w14:paraId="5C49BFBB"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0.75</w:t>
            </w:r>
          </w:p>
        </w:tc>
        <w:tc>
          <w:tcPr>
            <w:tcW w:w="900" w:type="dxa"/>
            <w:vAlign w:val="center"/>
            <w:hideMark/>
          </w:tcPr>
          <w:p w14:paraId="144D4792"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0.39</w:t>
            </w:r>
          </w:p>
        </w:tc>
        <w:tc>
          <w:tcPr>
            <w:tcW w:w="810" w:type="dxa"/>
            <w:vAlign w:val="center"/>
            <w:hideMark/>
          </w:tcPr>
          <w:p w14:paraId="73BF6F52"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0.98</w:t>
            </w:r>
          </w:p>
        </w:tc>
        <w:tc>
          <w:tcPr>
            <w:tcW w:w="845" w:type="dxa"/>
            <w:vMerge/>
            <w:vAlign w:val="center"/>
          </w:tcPr>
          <w:p w14:paraId="121EA157"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810" w:type="dxa"/>
            <w:vMerge/>
            <w:vAlign w:val="center"/>
            <w:hideMark/>
          </w:tcPr>
          <w:p w14:paraId="3C204685"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3D3E33D5"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155" w:type="dxa"/>
            <w:vMerge/>
            <w:vAlign w:val="center"/>
          </w:tcPr>
          <w:p w14:paraId="16575237"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c>
          <w:tcPr>
            <w:tcW w:w="1545" w:type="dxa"/>
            <w:vMerge/>
            <w:vAlign w:val="center"/>
          </w:tcPr>
          <w:p w14:paraId="2EF9C7AC"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r>
      <w:tr w:rsidR="002C7FFA" w:rsidRPr="008035A5" w14:paraId="440FDC50" w14:textId="77777777" w:rsidTr="004F52BC">
        <w:trPr>
          <w:cnfStyle w:val="000000100000" w:firstRow="0" w:lastRow="0" w:firstColumn="0" w:lastColumn="0" w:oddVBand="0" w:evenVBand="0" w:oddHBand="1"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736E88EA"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72875DEF"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hideMark/>
          </w:tcPr>
          <w:p w14:paraId="4E2B8D70"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77DDE603"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16CE099D"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F4</w:t>
            </w:r>
          </w:p>
        </w:tc>
        <w:tc>
          <w:tcPr>
            <w:tcW w:w="1260" w:type="dxa"/>
            <w:vAlign w:val="center"/>
          </w:tcPr>
          <w:p w14:paraId="79537DB6"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0.74</w:t>
            </w:r>
          </w:p>
        </w:tc>
        <w:tc>
          <w:tcPr>
            <w:tcW w:w="900" w:type="dxa"/>
            <w:vAlign w:val="center"/>
            <w:hideMark/>
          </w:tcPr>
          <w:p w14:paraId="130A995E"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1.00</w:t>
            </w:r>
          </w:p>
        </w:tc>
        <w:tc>
          <w:tcPr>
            <w:tcW w:w="810" w:type="dxa"/>
            <w:vAlign w:val="center"/>
            <w:hideMark/>
          </w:tcPr>
          <w:p w14:paraId="18AA7482"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0.81</w:t>
            </w:r>
          </w:p>
        </w:tc>
        <w:tc>
          <w:tcPr>
            <w:tcW w:w="900" w:type="dxa"/>
            <w:vAlign w:val="center"/>
            <w:hideMark/>
          </w:tcPr>
          <w:p w14:paraId="5E444C08"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0.30</w:t>
            </w:r>
          </w:p>
        </w:tc>
        <w:tc>
          <w:tcPr>
            <w:tcW w:w="810" w:type="dxa"/>
            <w:vAlign w:val="center"/>
            <w:hideMark/>
          </w:tcPr>
          <w:p w14:paraId="7D25C092"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1.00</w:t>
            </w:r>
          </w:p>
        </w:tc>
        <w:tc>
          <w:tcPr>
            <w:tcW w:w="845" w:type="dxa"/>
            <w:vMerge/>
            <w:vAlign w:val="center"/>
          </w:tcPr>
          <w:p w14:paraId="2C598FEF"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810" w:type="dxa"/>
            <w:vMerge/>
            <w:vAlign w:val="center"/>
            <w:hideMark/>
          </w:tcPr>
          <w:p w14:paraId="02F39713"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55F75FCF"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155" w:type="dxa"/>
            <w:vMerge/>
            <w:vAlign w:val="center"/>
          </w:tcPr>
          <w:p w14:paraId="0E2372FA"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c>
          <w:tcPr>
            <w:tcW w:w="1545" w:type="dxa"/>
            <w:vMerge/>
            <w:vAlign w:val="center"/>
          </w:tcPr>
          <w:p w14:paraId="00FEA516"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r>
      <w:tr w:rsidR="002C7FFA" w:rsidRPr="008035A5" w14:paraId="1AE6C0A4" w14:textId="77777777" w:rsidTr="004F52BC">
        <w:trPr>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restart"/>
            <w:vAlign w:val="center"/>
          </w:tcPr>
          <w:p w14:paraId="2F83C00F" w14:textId="77777777" w:rsidR="002C7FFA" w:rsidRPr="008035A5" w:rsidRDefault="002C7FFA">
            <w:pPr>
              <w:pStyle w:val="Paragraph"/>
              <w:spacing w:before="0" w:line="240" w:lineRule="auto"/>
              <w:jc w:val="center"/>
              <w:rPr>
                <w:rFonts w:asciiTheme="majorBidi" w:hAnsiTheme="majorBidi" w:cstheme="majorBidi"/>
                <w:b w:val="0"/>
                <w:bCs w:val="0"/>
                <w:i/>
                <w:iCs/>
                <w:sz w:val="18"/>
                <w:szCs w:val="18"/>
                <w:lang w:val="it-IT"/>
              </w:rPr>
            </w:pPr>
            <w:r>
              <w:rPr>
                <w:rFonts w:asciiTheme="majorBidi" w:hAnsiTheme="majorBidi" w:cstheme="majorBidi"/>
                <w:noProof/>
                <w:sz w:val="18"/>
                <w:szCs w:val="18"/>
                <w:vertAlign w:val="superscript"/>
                <w:lang w:val="it-IT"/>
              </w:rPr>
              <w:fldChar w:fldCharType="begin" w:fldLock="1"/>
            </w:r>
            <w:r>
              <w:rPr>
                <w:rFonts w:asciiTheme="majorBidi" w:hAnsiTheme="majorBidi" w:cstheme="majorBidi"/>
                <w:noProof/>
                <w:sz w:val="18"/>
                <w:szCs w:val="18"/>
                <w:vertAlign w:val="superscript"/>
                <w:lang w:val="it-IT"/>
              </w:rPr>
              <w:instrText>ADDIN CSL_CITATION {"citationItems":[{"id":"ITEM-1","itemData":{"DOI":"10.1038/s41598-017-09234-w","ISSN":"2045-2322","author":[{"dropping-particle":"","family":"Huang","given":"Rui","non-dropping-particle":"","parse-names":false,"suffix":""},{"dropping-particle":"","family":"Wang","given":"Guiyang","non-dropping-particle":"","parse-names":false,"suffix":""},{"dropping-particle":"","family":"Tian","given":"Chen","non-dropping-particle":"","parse-names":false,"suffix":""},{"dropping-particle":"","family":"Liu","given":"Yong","non-dropping-particle":"","parse-names":false,"suffix":""},{"dropping-particle":"","family":"Jia","given":"Bei","non-dropping-particle":"","parse-names":false,"suffix":""},{"dropping-particle":"","family":"Wang","given":"Jian","non-dropping-particle":"","parse-names":false,"suffix":""},{"dropping-particle":"","family":"Yang","given":"Yue","non-dropping-particle":"","parse-names":false,"suffix":""},{"dropping-particle":"","family":"Li","given":"Yang","non-dropping-particle":"","parse-names":false,"suffix":""},{"dropping-particle":"","family":"Sun","given":"Zhenhua","non-dropping-particle":"","parse-names":false,"suffix":""},{"dropping-particle":"","family":"Yan","given":"Xiaomin","non-dropping-particle":"","parse-names":false,"suffix":""},{"dropping-particle":"","family":"Xia","given":"Juan","non-dropping-particle":"","parse-names":false,"suffix":""},{"dropping-particle":"","family":"Xiong","given":"Yali","non-dropping-particle":"","parse-names":false,"suffix":""},{"dropping-particle":"","family":"Song","given":"Peixin","non-dropping-particle":"","parse-names":false,"suffix":""},{"dropping-particle":"","family":"Zhang","given":"Zhaoping","non-dropping-particle":"","parse-names":false,"suffix":""},{"dropping-particle":"","family":"Ding","given":"Weimao","non-dropping-particle":"","parse-names":false,"suffix":""},{"dropping-particle":"","family":"Wu","given":"Chao","non-dropping-particle":"","parse-names":false,"suffix":""}],"container-title":"SCIENTIFIC REPORTS","id":"ITEM-1","issued":{"date-parts":[["2017","8"]]},"title":"Gamma-glutamyl-transpeptidase to platelet ratio is not superior to APRI, FIB-4 and RPR for diagnosing liver fibrosis in CHB patients in China","type":"article-journal","volume":"7"},"uris":["http://www.mendeley.com/documents/?uuid=805a2de4-5359-4d55-ae3b-48c9f119b0c1"]}],"mendeley":{"formattedCitation":"[29]","plainTextFormattedCitation":"[29]","previouslyFormattedCitation":"[29]"},"properties":{"noteIndex":0},"schema":"https://github.com/citation-style-language/schema/raw/master/csl-citation.json"}</w:instrText>
            </w:r>
            <w:r>
              <w:rPr>
                <w:rFonts w:asciiTheme="majorBidi" w:hAnsiTheme="majorBidi" w:cstheme="majorBidi"/>
                <w:noProof/>
                <w:sz w:val="18"/>
                <w:szCs w:val="18"/>
                <w:vertAlign w:val="superscript"/>
                <w:lang w:val="it-IT"/>
              </w:rPr>
              <w:fldChar w:fldCharType="separate"/>
            </w:r>
            <w:r w:rsidRPr="00FE246B">
              <w:rPr>
                <w:rFonts w:asciiTheme="majorBidi" w:hAnsiTheme="majorBidi" w:cstheme="majorBidi"/>
                <w:b w:val="0"/>
                <w:noProof/>
                <w:sz w:val="18"/>
                <w:szCs w:val="18"/>
                <w:lang w:val="it-IT"/>
              </w:rPr>
              <w:t>[29]</w:t>
            </w:r>
            <w:r>
              <w:rPr>
                <w:rFonts w:asciiTheme="majorBidi" w:hAnsiTheme="majorBidi" w:cstheme="majorBidi"/>
                <w:noProof/>
                <w:sz w:val="18"/>
                <w:szCs w:val="18"/>
                <w:vertAlign w:val="superscript"/>
                <w:lang w:val="it-IT"/>
              </w:rPr>
              <w:fldChar w:fldCharType="end"/>
            </w:r>
          </w:p>
        </w:tc>
        <w:tc>
          <w:tcPr>
            <w:tcW w:w="1960" w:type="dxa"/>
            <w:vMerge w:val="restart"/>
            <w:vAlign w:val="center"/>
            <w:hideMark/>
          </w:tcPr>
          <w:p w14:paraId="6C6BB9F7"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val="it-IT" w:eastAsia="en-US"/>
              </w:rPr>
            </w:pPr>
            <w:r w:rsidRPr="008035A5">
              <w:rPr>
                <w:rFonts w:asciiTheme="majorBidi" w:eastAsiaTheme="minorHAnsi" w:hAnsiTheme="majorBidi" w:cstheme="majorBidi"/>
                <w:b/>
                <w:bCs/>
                <w:sz w:val="18"/>
                <w:szCs w:val="18"/>
                <w:lang w:val="it-IT" w:eastAsia="en-US"/>
              </w:rPr>
              <w:t>Rui H. et al</w:t>
            </w:r>
          </w:p>
        </w:tc>
        <w:tc>
          <w:tcPr>
            <w:tcW w:w="630" w:type="dxa"/>
            <w:vMerge w:val="restart"/>
            <w:vAlign w:val="center"/>
            <w:hideMark/>
          </w:tcPr>
          <w:p w14:paraId="7BCA339C"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val="it-IT" w:eastAsia="en-US"/>
              </w:rPr>
            </w:pPr>
            <w:r w:rsidRPr="008035A5">
              <w:rPr>
                <w:rFonts w:asciiTheme="majorBidi" w:eastAsiaTheme="minorHAnsi" w:hAnsiTheme="majorBidi" w:cstheme="majorBidi"/>
                <w:b/>
                <w:bCs/>
                <w:sz w:val="18"/>
                <w:szCs w:val="18"/>
                <w:lang w:val="it-IT" w:eastAsia="en-US"/>
              </w:rPr>
              <w:t>2017</w:t>
            </w:r>
          </w:p>
        </w:tc>
        <w:tc>
          <w:tcPr>
            <w:tcW w:w="900" w:type="dxa"/>
            <w:vMerge w:val="restart"/>
            <w:vAlign w:val="center"/>
            <w:hideMark/>
          </w:tcPr>
          <w:p w14:paraId="172AE3AE"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val="it-IT" w:eastAsia="en-US"/>
              </w:rPr>
            </w:pPr>
            <w:r w:rsidRPr="008035A5">
              <w:rPr>
                <w:rFonts w:asciiTheme="majorBidi" w:eastAsiaTheme="minorHAnsi" w:hAnsiTheme="majorBidi" w:cstheme="majorBidi"/>
                <w:b/>
                <w:bCs/>
                <w:sz w:val="18"/>
                <w:szCs w:val="18"/>
                <w:lang w:val="it-IT" w:eastAsia="en-US"/>
              </w:rPr>
              <w:t>China</w:t>
            </w:r>
          </w:p>
        </w:tc>
        <w:tc>
          <w:tcPr>
            <w:tcW w:w="900" w:type="dxa"/>
            <w:vAlign w:val="center"/>
            <w:hideMark/>
          </w:tcPr>
          <w:p w14:paraId="636D555D"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val="it-IT" w:eastAsia="en-US"/>
              </w:rPr>
            </w:pPr>
            <w:r w:rsidRPr="008035A5">
              <w:rPr>
                <w:rFonts w:asciiTheme="majorBidi" w:eastAsiaTheme="minorHAnsi" w:hAnsiTheme="majorBidi" w:cstheme="majorBidi"/>
                <w:b/>
                <w:bCs/>
                <w:sz w:val="18"/>
                <w:szCs w:val="18"/>
                <w:lang w:val="it-IT" w:eastAsia="en-US"/>
              </w:rPr>
              <w:t>F2</w:t>
            </w:r>
          </w:p>
        </w:tc>
        <w:tc>
          <w:tcPr>
            <w:tcW w:w="1260" w:type="dxa"/>
            <w:vAlign w:val="center"/>
          </w:tcPr>
          <w:p w14:paraId="7470B1BD"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val="it-IT"/>
              </w:rPr>
            </w:pPr>
            <w:r w:rsidRPr="008035A5">
              <w:rPr>
                <w:rFonts w:asciiTheme="majorBidi" w:hAnsiTheme="majorBidi" w:cstheme="majorBidi"/>
                <w:b/>
                <w:bCs/>
                <w:sz w:val="18"/>
                <w:szCs w:val="18"/>
                <w:lang w:val="it-IT"/>
              </w:rPr>
              <w:t>0.34</w:t>
            </w:r>
          </w:p>
        </w:tc>
        <w:tc>
          <w:tcPr>
            <w:tcW w:w="900" w:type="dxa"/>
            <w:vAlign w:val="center"/>
            <w:hideMark/>
          </w:tcPr>
          <w:p w14:paraId="225FA183"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val="it-IT" w:eastAsia="en-US"/>
              </w:rPr>
            </w:pPr>
            <w:r w:rsidRPr="008035A5">
              <w:rPr>
                <w:rFonts w:asciiTheme="majorBidi" w:hAnsiTheme="majorBidi" w:cstheme="majorBidi"/>
                <w:sz w:val="18"/>
                <w:szCs w:val="18"/>
                <w:lang w:val="it-IT"/>
              </w:rPr>
              <w:t>0.77</w:t>
            </w:r>
          </w:p>
        </w:tc>
        <w:tc>
          <w:tcPr>
            <w:tcW w:w="810" w:type="dxa"/>
            <w:vAlign w:val="center"/>
            <w:hideMark/>
          </w:tcPr>
          <w:p w14:paraId="49C3F030"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val="it-IT" w:eastAsia="en-US"/>
              </w:rPr>
            </w:pPr>
            <w:r w:rsidRPr="008035A5">
              <w:rPr>
                <w:rFonts w:asciiTheme="majorBidi" w:hAnsiTheme="majorBidi" w:cstheme="majorBidi"/>
                <w:sz w:val="18"/>
                <w:szCs w:val="18"/>
                <w:lang w:val="it-IT"/>
              </w:rPr>
              <w:t>0.65</w:t>
            </w:r>
          </w:p>
        </w:tc>
        <w:tc>
          <w:tcPr>
            <w:tcW w:w="900" w:type="dxa"/>
            <w:vAlign w:val="center"/>
            <w:hideMark/>
          </w:tcPr>
          <w:p w14:paraId="7CE233DB"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val="it-IT" w:eastAsia="en-US"/>
              </w:rPr>
            </w:pPr>
            <w:r w:rsidRPr="008035A5">
              <w:rPr>
                <w:rFonts w:asciiTheme="majorBidi" w:hAnsiTheme="majorBidi" w:cstheme="majorBidi"/>
                <w:sz w:val="18"/>
                <w:szCs w:val="18"/>
                <w:lang w:val="it-IT"/>
              </w:rPr>
              <w:t>0.84</w:t>
            </w:r>
          </w:p>
        </w:tc>
        <w:tc>
          <w:tcPr>
            <w:tcW w:w="810" w:type="dxa"/>
            <w:vAlign w:val="center"/>
            <w:hideMark/>
          </w:tcPr>
          <w:p w14:paraId="0CEC5146"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val="it-IT" w:eastAsia="en-US"/>
              </w:rPr>
            </w:pPr>
            <w:r w:rsidRPr="008035A5">
              <w:rPr>
                <w:rFonts w:asciiTheme="majorBidi" w:hAnsiTheme="majorBidi" w:cstheme="majorBidi"/>
                <w:sz w:val="18"/>
                <w:szCs w:val="18"/>
                <w:lang w:val="it-IT"/>
              </w:rPr>
              <w:t>0.53</w:t>
            </w:r>
          </w:p>
        </w:tc>
        <w:tc>
          <w:tcPr>
            <w:tcW w:w="845" w:type="dxa"/>
            <w:vMerge w:val="restart"/>
            <w:vAlign w:val="center"/>
            <w:hideMark/>
          </w:tcPr>
          <w:p w14:paraId="60F68F84"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val="it-IT" w:eastAsia="en-US"/>
              </w:rPr>
            </w:pPr>
            <w:r w:rsidRPr="008035A5">
              <w:rPr>
                <w:rFonts w:asciiTheme="majorBidi" w:hAnsiTheme="majorBidi" w:cstheme="majorBidi"/>
                <w:b/>
                <w:bCs/>
                <w:sz w:val="18"/>
                <w:szCs w:val="18"/>
                <w:lang w:val="it-IT"/>
              </w:rPr>
              <w:t>256</w:t>
            </w:r>
          </w:p>
        </w:tc>
        <w:tc>
          <w:tcPr>
            <w:tcW w:w="810" w:type="dxa"/>
            <w:vMerge w:val="restart"/>
            <w:vAlign w:val="center"/>
            <w:hideMark/>
          </w:tcPr>
          <w:p w14:paraId="6DECB7C8"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val="it-IT" w:eastAsia="en-US"/>
              </w:rPr>
            </w:pPr>
            <w:r w:rsidRPr="008035A5">
              <w:rPr>
                <w:rFonts w:asciiTheme="majorBidi" w:eastAsiaTheme="minorHAnsi" w:hAnsiTheme="majorBidi" w:cstheme="majorBidi"/>
                <w:b/>
                <w:bCs/>
                <w:sz w:val="18"/>
                <w:szCs w:val="18"/>
                <w:lang w:val="it-IT" w:eastAsia="en-US"/>
              </w:rPr>
              <w:t>0.80</w:t>
            </w:r>
          </w:p>
        </w:tc>
        <w:tc>
          <w:tcPr>
            <w:tcW w:w="900" w:type="dxa"/>
            <w:vMerge w:val="restart"/>
            <w:vAlign w:val="center"/>
            <w:hideMark/>
          </w:tcPr>
          <w:p w14:paraId="2D536506"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val="it-IT" w:eastAsia="en-US"/>
              </w:rPr>
            </w:pPr>
            <w:r w:rsidRPr="008035A5">
              <w:rPr>
                <w:rFonts w:asciiTheme="majorBidi" w:eastAsiaTheme="minorHAnsi" w:hAnsiTheme="majorBidi" w:cstheme="majorBidi"/>
                <w:b/>
                <w:bCs/>
                <w:sz w:val="18"/>
                <w:szCs w:val="18"/>
                <w:lang w:val="it-IT" w:eastAsia="en-US"/>
              </w:rPr>
              <w:t>38</w:t>
            </w:r>
          </w:p>
        </w:tc>
        <w:tc>
          <w:tcPr>
            <w:tcW w:w="1155" w:type="dxa"/>
            <w:vMerge w:val="restart"/>
            <w:vAlign w:val="center"/>
          </w:tcPr>
          <w:p w14:paraId="73576A46"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lang w:val="it-IT"/>
              </w:rPr>
            </w:pPr>
            <w:r w:rsidRPr="008035A5">
              <w:rPr>
                <w:rFonts w:asciiTheme="majorBidi" w:hAnsiTheme="majorBidi" w:cstheme="majorBidi"/>
                <w:b/>
                <w:bCs/>
                <w:sz w:val="18"/>
                <w:szCs w:val="18"/>
                <w:lang w:val="it-IT"/>
              </w:rPr>
              <w:t>METAVIR</w:t>
            </w:r>
          </w:p>
        </w:tc>
        <w:tc>
          <w:tcPr>
            <w:tcW w:w="1545" w:type="dxa"/>
            <w:vMerge w:val="restart"/>
            <w:vAlign w:val="center"/>
          </w:tcPr>
          <w:p w14:paraId="7B94EA20"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lang w:val="it-IT"/>
              </w:rPr>
            </w:pPr>
            <w:r w:rsidRPr="008035A5">
              <w:rPr>
                <w:rFonts w:asciiTheme="majorBidi" w:eastAsiaTheme="minorHAnsi" w:hAnsiTheme="majorBidi" w:cstheme="majorBidi"/>
                <w:b/>
                <w:bCs/>
                <w:sz w:val="18"/>
                <w:szCs w:val="18"/>
                <w:lang w:val="it-IT" w:eastAsia="en-US"/>
              </w:rPr>
              <w:t>HBV</w:t>
            </w:r>
          </w:p>
        </w:tc>
      </w:tr>
      <w:tr w:rsidR="002C7FFA" w:rsidRPr="008035A5" w14:paraId="2D83EAD5" w14:textId="77777777" w:rsidTr="004F52BC">
        <w:trPr>
          <w:cnfStyle w:val="000000100000" w:firstRow="0" w:lastRow="0" w:firstColumn="0" w:lastColumn="0" w:oddVBand="0" w:evenVBand="0" w:oddHBand="1"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21792687"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val="it-IT" w:eastAsia="en-US"/>
              </w:rPr>
            </w:pPr>
          </w:p>
        </w:tc>
        <w:tc>
          <w:tcPr>
            <w:tcW w:w="1960" w:type="dxa"/>
            <w:vMerge/>
            <w:vAlign w:val="center"/>
            <w:hideMark/>
          </w:tcPr>
          <w:p w14:paraId="3FC7BF71"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val="it-IT" w:eastAsia="en-US"/>
              </w:rPr>
            </w:pPr>
          </w:p>
        </w:tc>
        <w:tc>
          <w:tcPr>
            <w:tcW w:w="630" w:type="dxa"/>
            <w:vMerge/>
            <w:vAlign w:val="center"/>
            <w:hideMark/>
          </w:tcPr>
          <w:p w14:paraId="6D0826F1"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val="it-IT" w:eastAsia="en-US"/>
              </w:rPr>
            </w:pPr>
          </w:p>
        </w:tc>
        <w:tc>
          <w:tcPr>
            <w:tcW w:w="900" w:type="dxa"/>
            <w:vMerge/>
            <w:vAlign w:val="center"/>
            <w:hideMark/>
          </w:tcPr>
          <w:p w14:paraId="6CCAE408"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val="it-IT" w:eastAsia="en-US"/>
              </w:rPr>
            </w:pPr>
          </w:p>
        </w:tc>
        <w:tc>
          <w:tcPr>
            <w:tcW w:w="900" w:type="dxa"/>
            <w:vAlign w:val="center"/>
            <w:hideMark/>
          </w:tcPr>
          <w:p w14:paraId="3E9B0A1B"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val="it-IT" w:eastAsia="en-US"/>
              </w:rPr>
            </w:pPr>
            <w:r w:rsidRPr="008035A5">
              <w:rPr>
                <w:rFonts w:asciiTheme="majorBidi" w:eastAsiaTheme="minorHAnsi" w:hAnsiTheme="majorBidi" w:cstheme="majorBidi"/>
                <w:b/>
                <w:bCs/>
                <w:sz w:val="18"/>
                <w:szCs w:val="18"/>
                <w:lang w:val="it-IT" w:eastAsia="en-US"/>
              </w:rPr>
              <w:t>F3</w:t>
            </w:r>
          </w:p>
        </w:tc>
        <w:tc>
          <w:tcPr>
            <w:tcW w:w="1260" w:type="dxa"/>
            <w:vAlign w:val="center"/>
          </w:tcPr>
          <w:p w14:paraId="5CDF89BF"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val="it-IT"/>
              </w:rPr>
            </w:pPr>
            <w:r w:rsidRPr="008035A5">
              <w:rPr>
                <w:rFonts w:asciiTheme="majorBidi" w:hAnsiTheme="majorBidi" w:cstheme="majorBidi"/>
                <w:b/>
                <w:bCs/>
                <w:sz w:val="18"/>
                <w:szCs w:val="18"/>
                <w:lang w:val="it-IT"/>
              </w:rPr>
              <w:t>0.41</w:t>
            </w:r>
          </w:p>
        </w:tc>
        <w:tc>
          <w:tcPr>
            <w:tcW w:w="900" w:type="dxa"/>
            <w:vAlign w:val="center"/>
            <w:hideMark/>
          </w:tcPr>
          <w:p w14:paraId="06B4395C"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val="it-IT" w:eastAsia="en-US"/>
              </w:rPr>
            </w:pPr>
            <w:r w:rsidRPr="008035A5">
              <w:rPr>
                <w:rFonts w:asciiTheme="majorBidi" w:hAnsiTheme="majorBidi" w:cstheme="majorBidi"/>
                <w:sz w:val="18"/>
                <w:szCs w:val="18"/>
                <w:lang w:val="it-IT"/>
              </w:rPr>
              <w:t>0.83</w:t>
            </w:r>
          </w:p>
        </w:tc>
        <w:tc>
          <w:tcPr>
            <w:tcW w:w="810" w:type="dxa"/>
            <w:vAlign w:val="center"/>
            <w:hideMark/>
          </w:tcPr>
          <w:p w14:paraId="4B093126"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val="it-IT" w:eastAsia="en-US"/>
              </w:rPr>
            </w:pPr>
            <w:r w:rsidRPr="008035A5">
              <w:rPr>
                <w:rFonts w:asciiTheme="majorBidi" w:hAnsiTheme="majorBidi" w:cstheme="majorBidi"/>
                <w:sz w:val="18"/>
                <w:szCs w:val="18"/>
                <w:lang w:val="it-IT"/>
              </w:rPr>
              <w:t>0.69</w:t>
            </w:r>
          </w:p>
        </w:tc>
        <w:tc>
          <w:tcPr>
            <w:tcW w:w="900" w:type="dxa"/>
            <w:vAlign w:val="center"/>
            <w:hideMark/>
          </w:tcPr>
          <w:p w14:paraId="3AAF5785"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val="it-IT" w:eastAsia="en-US"/>
              </w:rPr>
            </w:pPr>
            <w:r w:rsidRPr="008035A5">
              <w:rPr>
                <w:rFonts w:asciiTheme="majorBidi" w:hAnsiTheme="majorBidi" w:cstheme="majorBidi"/>
                <w:sz w:val="18"/>
                <w:szCs w:val="18"/>
                <w:lang w:val="it-IT"/>
              </w:rPr>
              <w:t>0.79</w:t>
            </w:r>
          </w:p>
        </w:tc>
        <w:tc>
          <w:tcPr>
            <w:tcW w:w="810" w:type="dxa"/>
            <w:vAlign w:val="center"/>
            <w:hideMark/>
          </w:tcPr>
          <w:p w14:paraId="73BD658D"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val="it-IT" w:eastAsia="en-US"/>
              </w:rPr>
            </w:pPr>
            <w:r w:rsidRPr="008035A5">
              <w:rPr>
                <w:rFonts w:asciiTheme="majorBidi" w:hAnsiTheme="majorBidi" w:cstheme="majorBidi"/>
                <w:sz w:val="18"/>
                <w:szCs w:val="18"/>
                <w:lang w:val="it-IT"/>
              </w:rPr>
              <w:t>0.74</w:t>
            </w:r>
          </w:p>
        </w:tc>
        <w:tc>
          <w:tcPr>
            <w:tcW w:w="845" w:type="dxa"/>
            <w:vMerge/>
            <w:vAlign w:val="center"/>
          </w:tcPr>
          <w:p w14:paraId="43EDC311"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val="it-IT" w:eastAsia="en-US"/>
              </w:rPr>
            </w:pPr>
          </w:p>
        </w:tc>
        <w:tc>
          <w:tcPr>
            <w:tcW w:w="810" w:type="dxa"/>
            <w:vMerge/>
            <w:vAlign w:val="center"/>
            <w:hideMark/>
          </w:tcPr>
          <w:p w14:paraId="13612BEF"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val="it-IT" w:eastAsia="en-US"/>
              </w:rPr>
            </w:pPr>
          </w:p>
        </w:tc>
        <w:tc>
          <w:tcPr>
            <w:tcW w:w="900" w:type="dxa"/>
            <w:vMerge/>
            <w:vAlign w:val="center"/>
            <w:hideMark/>
          </w:tcPr>
          <w:p w14:paraId="11DF319D"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val="it-IT" w:eastAsia="en-US"/>
              </w:rPr>
            </w:pPr>
          </w:p>
        </w:tc>
        <w:tc>
          <w:tcPr>
            <w:tcW w:w="1155" w:type="dxa"/>
            <w:vMerge/>
            <w:vAlign w:val="center"/>
          </w:tcPr>
          <w:p w14:paraId="3A7F19F2"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lang w:val="it-IT"/>
              </w:rPr>
            </w:pPr>
          </w:p>
        </w:tc>
        <w:tc>
          <w:tcPr>
            <w:tcW w:w="1545" w:type="dxa"/>
            <w:vMerge/>
            <w:vAlign w:val="center"/>
          </w:tcPr>
          <w:p w14:paraId="39131E73"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lang w:val="it-IT"/>
              </w:rPr>
            </w:pPr>
          </w:p>
        </w:tc>
      </w:tr>
      <w:tr w:rsidR="002C7FFA" w:rsidRPr="008035A5" w14:paraId="175E9378" w14:textId="77777777" w:rsidTr="004F52BC">
        <w:trPr>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38D4CB0A"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val="it-IT" w:eastAsia="en-US"/>
              </w:rPr>
            </w:pPr>
          </w:p>
        </w:tc>
        <w:tc>
          <w:tcPr>
            <w:tcW w:w="1960" w:type="dxa"/>
            <w:vMerge/>
            <w:vAlign w:val="center"/>
            <w:hideMark/>
          </w:tcPr>
          <w:p w14:paraId="567E1A6B"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val="it-IT" w:eastAsia="en-US"/>
              </w:rPr>
            </w:pPr>
          </w:p>
        </w:tc>
        <w:tc>
          <w:tcPr>
            <w:tcW w:w="630" w:type="dxa"/>
            <w:vMerge/>
            <w:vAlign w:val="center"/>
            <w:hideMark/>
          </w:tcPr>
          <w:p w14:paraId="3EC86844"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val="it-IT" w:eastAsia="en-US"/>
              </w:rPr>
            </w:pPr>
          </w:p>
        </w:tc>
        <w:tc>
          <w:tcPr>
            <w:tcW w:w="900" w:type="dxa"/>
            <w:vMerge/>
            <w:vAlign w:val="center"/>
            <w:hideMark/>
          </w:tcPr>
          <w:p w14:paraId="2954DA09"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val="it-IT" w:eastAsia="en-US"/>
              </w:rPr>
            </w:pPr>
          </w:p>
        </w:tc>
        <w:tc>
          <w:tcPr>
            <w:tcW w:w="900" w:type="dxa"/>
            <w:vAlign w:val="center"/>
            <w:hideMark/>
          </w:tcPr>
          <w:p w14:paraId="373D633C"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val="it-IT" w:eastAsia="en-US"/>
              </w:rPr>
            </w:pPr>
            <w:r w:rsidRPr="008035A5">
              <w:rPr>
                <w:rFonts w:asciiTheme="majorBidi" w:eastAsiaTheme="minorHAnsi" w:hAnsiTheme="majorBidi" w:cstheme="majorBidi"/>
                <w:b/>
                <w:bCs/>
                <w:sz w:val="18"/>
                <w:szCs w:val="18"/>
                <w:lang w:val="it-IT" w:eastAsia="en-US"/>
              </w:rPr>
              <w:t>F4</w:t>
            </w:r>
          </w:p>
        </w:tc>
        <w:tc>
          <w:tcPr>
            <w:tcW w:w="1260" w:type="dxa"/>
            <w:vAlign w:val="center"/>
          </w:tcPr>
          <w:p w14:paraId="4914D814"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val="it-IT"/>
              </w:rPr>
            </w:pPr>
            <w:r w:rsidRPr="008035A5">
              <w:rPr>
                <w:rFonts w:asciiTheme="majorBidi" w:hAnsiTheme="majorBidi" w:cstheme="majorBidi"/>
                <w:b/>
                <w:bCs/>
                <w:sz w:val="18"/>
                <w:szCs w:val="18"/>
                <w:lang w:val="it-IT"/>
              </w:rPr>
              <w:t>0.64</w:t>
            </w:r>
          </w:p>
        </w:tc>
        <w:tc>
          <w:tcPr>
            <w:tcW w:w="900" w:type="dxa"/>
            <w:vAlign w:val="center"/>
            <w:hideMark/>
          </w:tcPr>
          <w:p w14:paraId="3FB24498"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val="it-IT" w:eastAsia="en-US"/>
              </w:rPr>
            </w:pPr>
            <w:r w:rsidRPr="008035A5">
              <w:rPr>
                <w:rFonts w:asciiTheme="majorBidi" w:hAnsiTheme="majorBidi" w:cstheme="majorBidi"/>
                <w:sz w:val="18"/>
                <w:szCs w:val="18"/>
                <w:lang w:val="it-IT"/>
              </w:rPr>
              <w:t>0.72</w:t>
            </w:r>
          </w:p>
        </w:tc>
        <w:tc>
          <w:tcPr>
            <w:tcW w:w="810" w:type="dxa"/>
            <w:vAlign w:val="center"/>
            <w:hideMark/>
          </w:tcPr>
          <w:p w14:paraId="34FE4014"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val="it-IT" w:eastAsia="en-US"/>
              </w:rPr>
            </w:pPr>
            <w:r w:rsidRPr="008035A5">
              <w:rPr>
                <w:rFonts w:asciiTheme="majorBidi" w:hAnsiTheme="majorBidi" w:cstheme="majorBidi"/>
                <w:sz w:val="18"/>
                <w:szCs w:val="18"/>
                <w:lang w:val="it-IT"/>
              </w:rPr>
              <w:t>0.71</w:t>
            </w:r>
          </w:p>
        </w:tc>
        <w:tc>
          <w:tcPr>
            <w:tcW w:w="900" w:type="dxa"/>
            <w:vAlign w:val="center"/>
            <w:hideMark/>
          </w:tcPr>
          <w:p w14:paraId="18ED1656"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val="it-IT" w:eastAsia="en-US"/>
              </w:rPr>
            </w:pPr>
            <w:r w:rsidRPr="008035A5">
              <w:rPr>
                <w:rFonts w:asciiTheme="majorBidi" w:hAnsiTheme="majorBidi" w:cstheme="majorBidi"/>
                <w:sz w:val="18"/>
                <w:szCs w:val="18"/>
                <w:lang w:val="it-IT"/>
              </w:rPr>
              <w:t>0.54</w:t>
            </w:r>
          </w:p>
        </w:tc>
        <w:tc>
          <w:tcPr>
            <w:tcW w:w="810" w:type="dxa"/>
            <w:vAlign w:val="center"/>
            <w:hideMark/>
          </w:tcPr>
          <w:p w14:paraId="5A7E9744"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val="it-IT" w:eastAsia="en-US"/>
              </w:rPr>
            </w:pPr>
            <w:r w:rsidRPr="008035A5">
              <w:rPr>
                <w:rFonts w:asciiTheme="majorBidi" w:hAnsiTheme="majorBidi" w:cstheme="majorBidi"/>
                <w:sz w:val="18"/>
                <w:szCs w:val="18"/>
                <w:lang w:val="it-IT"/>
              </w:rPr>
              <w:t>0.84</w:t>
            </w:r>
          </w:p>
        </w:tc>
        <w:tc>
          <w:tcPr>
            <w:tcW w:w="845" w:type="dxa"/>
            <w:vMerge/>
            <w:vAlign w:val="center"/>
          </w:tcPr>
          <w:p w14:paraId="457DE41E"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val="it-IT" w:eastAsia="en-US"/>
              </w:rPr>
            </w:pPr>
          </w:p>
        </w:tc>
        <w:tc>
          <w:tcPr>
            <w:tcW w:w="810" w:type="dxa"/>
            <w:vMerge/>
            <w:vAlign w:val="center"/>
            <w:hideMark/>
          </w:tcPr>
          <w:p w14:paraId="09A539A1"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val="it-IT" w:eastAsia="en-US"/>
              </w:rPr>
            </w:pPr>
          </w:p>
        </w:tc>
        <w:tc>
          <w:tcPr>
            <w:tcW w:w="900" w:type="dxa"/>
            <w:vMerge/>
            <w:vAlign w:val="center"/>
            <w:hideMark/>
          </w:tcPr>
          <w:p w14:paraId="22A08A17"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val="it-IT" w:eastAsia="en-US"/>
              </w:rPr>
            </w:pPr>
          </w:p>
        </w:tc>
        <w:tc>
          <w:tcPr>
            <w:tcW w:w="1155" w:type="dxa"/>
            <w:vMerge/>
            <w:vAlign w:val="center"/>
          </w:tcPr>
          <w:p w14:paraId="03DE5B77"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lang w:val="it-IT"/>
              </w:rPr>
            </w:pPr>
          </w:p>
        </w:tc>
        <w:tc>
          <w:tcPr>
            <w:tcW w:w="1545" w:type="dxa"/>
            <w:vMerge/>
            <w:vAlign w:val="center"/>
          </w:tcPr>
          <w:p w14:paraId="0467A62C"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lang w:val="it-IT"/>
              </w:rPr>
            </w:pPr>
          </w:p>
        </w:tc>
      </w:tr>
      <w:tr w:rsidR="002C7FFA" w:rsidRPr="008035A5" w14:paraId="743D10D6" w14:textId="77777777" w:rsidTr="004F52BC">
        <w:trPr>
          <w:cnfStyle w:val="000000100000" w:firstRow="0" w:lastRow="0" w:firstColumn="0" w:lastColumn="0" w:oddVBand="0" w:evenVBand="0" w:oddHBand="1"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restart"/>
            <w:vAlign w:val="center"/>
          </w:tcPr>
          <w:p w14:paraId="224C1FE3" w14:textId="77777777" w:rsidR="002C7FFA" w:rsidRPr="008035A5" w:rsidRDefault="002C7FFA">
            <w:pPr>
              <w:pStyle w:val="Paragraph"/>
              <w:spacing w:before="0" w:line="240" w:lineRule="auto"/>
              <w:jc w:val="center"/>
              <w:rPr>
                <w:rFonts w:asciiTheme="majorBidi" w:hAnsiTheme="majorBidi" w:cstheme="majorBidi"/>
                <w:b w:val="0"/>
                <w:bCs w:val="0"/>
                <w:i/>
                <w:iCs/>
                <w:sz w:val="18"/>
                <w:szCs w:val="18"/>
              </w:rPr>
            </w:pPr>
            <w:r>
              <w:rPr>
                <w:rFonts w:asciiTheme="majorBidi" w:hAnsiTheme="majorBidi" w:cstheme="majorBidi"/>
                <w:noProof/>
                <w:sz w:val="18"/>
                <w:szCs w:val="18"/>
                <w:vertAlign w:val="superscript"/>
              </w:rPr>
              <w:fldChar w:fldCharType="begin" w:fldLock="1"/>
            </w:r>
            <w:r>
              <w:rPr>
                <w:rFonts w:asciiTheme="majorBidi" w:hAnsiTheme="majorBidi" w:cstheme="majorBidi"/>
                <w:noProof/>
                <w:sz w:val="18"/>
                <w:szCs w:val="18"/>
                <w:vertAlign w:val="superscript"/>
              </w:rPr>
              <w:instrText>ADDIN CSL_CITATION {"citationItems":[{"id":"ITEM-1","itemData":{"DOI":"10.1177/0300060516664638","ISSN":"0300-0605","author":[{"dropping-particle":"","family":"Wang","given":"Rong-Qi","non-dropping-particle":"","parse-names":false,"suffix":""},{"dropping-particle":"","family":"Zhang","given":"Qing-Shan","non-dropping-particle":"","parse-names":false,"suffix":""},{"dropping-particle":"","family":"Zhao","given":"Su-Xian","non-dropping-particle":"","parse-names":false,"suffix":""},{"dropping-particle":"","family":"Niu","given":"Xue-Min","non-dropping-particle":"","parse-names":false,"suffix":""},{"dropping-particle":"","family":"Du","given":"Jing-Hua","non-dropping-particle":"","parse-names":false,"suffix":""},{"dropping-particle":"","family":"Du","given":"Hui-Juan","non-dropping-particle":"","parse-names":false,"suffix":""},{"dropping-particle":"","family":"Nan","given":"Yue-Min","non-dropping-particle":"","parse-names":false,"suffix":""}],"container-title":"JOURNAL OF INTERNATIONAL MEDICAL RESEARCH","id":"ITEM-1","issue":"6","issued":{"date-parts":[["2016","12"]]},"page":"1302-1313","title":"Gamma-glutamyl transpeptidase to platelet ratio index is a good noninvasive biomarker for predicting liver fibrosis in Chinese chronic hepatitis B patients","type":"article-journal","volume":"44"},"uris":["http://www.mendeley.com/documents/?uuid=a92fce08-92c5-4f78-9d93-2770c451cdf3"]}],"mendeley":{"formattedCitation":"[30]","plainTextFormattedCitation":"[30]","previouslyFormattedCitation":"[30]"},"properties":{"noteIndex":0},"schema":"https://github.com/citation-style-language/schema/raw/master/csl-citation.json"}</w:instrText>
            </w:r>
            <w:r>
              <w:rPr>
                <w:rFonts w:asciiTheme="majorBidi" w:hAnsiTheme="majorBidi" w:cstheme="majorBidi"/>
                <w:noProof/>
                <w:sz w:val="18"/>
                <w:szCs w:val="18"/>
                <w:vertAlign w:val="superscript"/>
              </w:rPr>
              <w:fldChar w:fldCharType="separate"/>
            </w:r>
            <w:r w:rsidRPr="00FE246B">
              <w:rPr>
                <w:rFonts w:asciiTheme="majorBidi" w:hAnsiTheme="majorBidi" w:cstheme="majorBidi"/>
                <w:b w:val="0"/>
                <w:noProof/>
                <w:sz w:val="18"/>
                <w:szCs w:val="18"/>
              </w:rPr>
              <w:t>[30]</w:t>
            </w:r>
            <w:r>
              <w:rPr>
                <w:rFonts w:asciiTheme="majorBidi" w:hAnsiTheme="majorBidi" w:cstheme="majorBidi"/>
                <w:noProof/>
                <w:sz w:val="18"/>
                <w:szCs w:val="18"/>
                <w:vertAlign w:val="superscript"/>
              </w:rPr>
              <w:fldChar w:fldCharType="end"/>
            </w:r>
          </w:p>
        </w:tc>
        <w:tc>
          <w:tcPr>
            <w:tcW w:w="1960" w:type="dxa"/>
            <w:vMerge w:val="restart"/>
            <w:vAlign w:val="center"/>
            <w:hideMark/>
          </w:tcPr>
          <w:p w14:paraId="5D701145"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val="it-IT" w:eastAsia="en-US"/>
              </w:rPr>
            </w:pPr>
            <w:r w:rsidRPr="008035A5">
              <w:rPr>
                <w:rFonts w:asciiTheme="majorBidi" w:eastAsiaTheme="minorHAnsi" w:hAnsiTheme="majorBidi" w:cstheme="majorBidi"/>
                <w:b/>
                <w:bCs/>
                <w:sz w:val="18"/>
                <w:szCs w:val="18"/>
                <w:lang w:val="it-IT" w:eastAsia="en-US"/>
              </w:rPr>
              <w:t>Rong-Qi W. et al</w:t>
            </w:r>
          </w:p>
        </w:tc>
        <w:tc>
          <w:tcPr>
            <w:tcW w:w="630" w:type="dxa"/>
            <w:vMerge w:val="restart"/>
            <w:vAlign w:val="center"/>
            <w:hideMark/>
          </w:tcPr>
          <w:p w14:paraId="2F535AAF"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2016</w:t>
            </w:r>
          </w:p>
        </w:tc>
        <w:tc>
          <w:tcPr>
            <w:tcW w:w="900" w:type="dxa"/>
            <w:vMerge w:val="restart"/>
            <w:vAlign w:val="center"/>
            <w:hideMark/>
          </w:tcPr>
          <w:p w14:paraId="2BCAC484"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China</w:t>
            </w:r>
          </w:p>
        </w:tc>
        <w:tc>
          <w:tcPr>
            <w:tcW w:w="900" w:type="dxa"/>
            <w:vAlign w:val="center"/>
            <w:hideMark/>
          </w:tcPr>
          <w:p w14:paraId="1CE1C6BC"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F2</w:t>
            </w:r>
          </w:p>
        </w:tc>
        <w:tc>
          <w:tcPr>
            <w:tcW w:w="1260" w:type="dxa"/>
            <w:vAlign w:val="center"/>
          </w:tcPr>
          <w:p w14:paraId="1C91D86A"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0.46</w:t>
            </w:r>
          </w:p>
        </w:tc>
        <w:tc>
          <w:tcPr>
            <w:tcW w:w="900" w:type="dxa"/>
            <w:vAlign w:val="center"/>
            <w:hideMark/>
          </w:tcPr>
          <w:p w14:paraId="2228243D"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0.59</w:t>
            </w:r>
          </w:p>
        </w:tc>
        <w:tc>
          <w:tcPr>
            <w:tcW w:w="810" w:type="dxa"/>
            <w:vAlign w:val="center"/>
            <w:hideMark/>
          </w:tcPr>
          <w:p w14:paraId="790307CE"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0.78</w:t>
            </w:r>
          </w:p>
        </w:tc>
        <w:tc>
          <w:tcPr>
            <w:tcW w:w="900" w:type="dxa"/>
            <w:vAlign w:val="center"/>
            <w:hideMark/>
          </w:tcPr>
          <w:p w14:paraId="044F6D44"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0.76</w:t>
            </w:r>
          </w:p>
        </w:tc>
        <w:tc>
          <w:tcPr>
            <w:tcW w:w="810" w:type="dxa"/>
            <w:vAlign w:val="center"/>
            <w:hideMark/>
          </w:tcPr>
          <w:p w14:paraId="761F6DE4"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0.62</w:t>
            </w:r>
          </w:p>
        </w:tc>
        <w:tc>
          <w:tcPr>
            <w:tcW w:w="845" w:type="dxa"/>
            <w:vMerge w:val="restart"/>
            <w:vAlign w:val="center"/>
            <w:hideMark/>
          </w:tcPr>
          <w:p w14:paraId="2EC7B9C4"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hAnsiTheme="majorBidi" w:cstheme="majorBidi"/>
                <w:b/>
                <w:bCs/>
                <w:sz w:val="18"/>
                <w:szCs w:val="18"/>
              </w:rPr>
              <w:t>312</w:t>
            </w:r>
          </w:p>
        </w:tc>
        <w:tc>
          <w:tcPr>
            <w:tcW w:w="810" w:type="dxa"/>
            <w:vMerge w:val="restart"/>
            <w:vAlign w:val="center"/>
            <w:hideMark/>
          </w:tcPr>
          <w:p w14:paraId="3F2E6A72"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0.73</w:t>
            </w:r>
          </w:p>
        </w:tc>
        <w:tc>
          <w:tcPr>
            <w:tcW w:w="900" w:type="dxa"/>
            <w:vMerge w:val="restart"/>
            <w:vAlign w:val="center"/>
            <w:hideMark/>
          </w:tcPr>
          <w:p w14:paraId="72B673DF"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35</w:t>
            </w:r>
          </w:p>
        </w:tc>
        <w:tc>
          <w:tcPr>
            <w:tcW w:w="1155" w:type="dxa"/>
            <w:vMerge w:val="restart"/>
            <w:vAlign w:val="center"/>
          </w:tcPr>
          <w:p w14:paraId="5C8837C2"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8035A5">
              <w:rPr>
                <w:rFonts w:asciiTheme="majorBidi" w:hAnsiTheme="majorBidi" w:cstheme="majorBidi"/>
                <w:b/>
                <w:bCs/>
                <w:sz w:val="18"/>
                <w:szCs w:val="18"/>
              </w:rPr>
              <w:t>METAVIR</w:t>
            </w:r>
          </w:p>
        </w:tc>
        <w:tc>
          <w:tcPr>
            <w:tcW w:w="1545" w:type="dxa"/>
            <w:vMerge/>
            <w:vAlign w:val="center"/>
          </w:tcPr>
          <w:p w14:paraId="70CFF028"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r>
      <w:tr w:rsidR="002C7FFA" w:rsidRPr="008035A5" w14:paraId="403A6E42" w14:textId="77777777" w:rsidTr="004F52BC">
        <w:trPr>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65BBC791"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6FE4002E"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hideMark/>
          </w:tcPr>
          <w:p w14:paraId="18E7E43E"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132BD7FF"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140A1154"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F3</w:t>
            </w:r>
          </w:p>
        </w:tc>
        <w:tc>
          <w:tcPr>
            <w:tcW w:w="1260" w:type="dxa"/>
            <w:vAlign w:val="center"/>
          </w:tcPr>
          <w:p w14:paraId="61478620"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0.53</w:t>
            </w:r>
          </w:p>
        </w:tc>
        <w:tc>
          <w:tcPr>
            <w:tcW w:w="900" w:type="dxa"/>
            <w:vAlign w:val="center"/>
            <w:hideMark/>
          </w:tcPr>
          <w:p w14:paraId="0FF165D3"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0.76</w:t>
            </w:r>
          </w:p>
        </w:tc>
        <w:tc>
          <w:tcPr>
            <w:tcW w:w="810" w:type="dxa"/>
            <w:vAlign w:val="center"/>
            <w:hideMark/>
          </w:tcPr>
          <w:p w14:paraId="3ADC0E38"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0.81</w:t>
            </w:r>
          </w:p>
        </w:tc>
        <w:tc>
          <w:tcPr>
            <w:tcW w:w="900" w:type="dxa"/>
            <w:vAlign w:val="center"/>
            <w:hideMark/>
          </w:tcPr>
          <w:p w14:paraId="271A4786"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0.61</w:t>
            </w:r>
          </w:p>
        </w:tc>
        <w:tc>
          <w:tcPr>
            <w:tcW w:w="810" w:type="dxa"/>
            <w:vAlign w:val="center"/>
            <w:hideMark/>
          </w:tcPr>
          <w:p w14:paraId="3636969A"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0.89</w:t>
            </w:r>
          </w:p>
        </w:tc>
        <w:tc>
          <w:tcPr>
            <w:tcW w:w="845" w:type="dxa"/>
            <w:vMerge/>
            <w:vAlign w:val="center"/>
          </w:tcPr>
          <w:p w14:paraId="673C7141"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810" w:type="dxa"/>
            <w:vMerge/>
            <w:vAlign w:val="center"/>
            <w:hideMark/>
          </w:tcPr>
          <w:p w14:paraId="14D1A641"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49E3C4B5"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155" w:type="dxa"/>
            <w:vMerge/>
            <w:vAlign w:val="center"/>
          </w:tcPr>
          <w:p w14:paraId="41FE3D54"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c>
          <w:tcPr>
            <w:tcW w:w="1545" w:type="dxa"/>
            <w:vMerge/>
            <w:vAlign w:val="center"/>
          </w:tcPr>
          <w:p w14:paraId="518396BB"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r>
      <w:tr w:rsidR="002C7FFA" w:rsidRPr="008035A5" w14:paraId="648918D3" w14:textId="77777777" w:rsidTr="004F52BC">
        <w:trPr>
          <w:cnfStyle w:val="000000100000" w:firstRow="0" w:lastRow="0" w:firstColumn="0" w:lastColumn="0" w:oddVBand="0" w:evenVBand="0" w:oddHBand="1"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1CA4AA27"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74205B47"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hideMark/>
          </w:tcPr>
          <w:p w14:paraId="185AAD14"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69AE9C86"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6AB7ACB9"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F4</w:t>
            </w:r>
          </w:p>
        </w:tc>
        <w:tc>
          <w:tcPr>
            <w:tcW w:w="1260" w:type="dxa"/>
            <w:vAlign w:val="center"/>
          </w:tcPr>
          <w:p w14:paraId="236A3290"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0.65</w:t>
            </w:r>
          </w:p>
        </w:tc>
        <w:tc>
          <w:tcPr>
            <w:tcW w:w="900" w:type="dxa"/>
            <w:vAlign w:val="center"/>
            <w:hideMark/>
          </w:tcPr>
          <w:p w14:paraId="3C2293BB"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0.82</w:t>
            </w:r>
          </w:p>
        </w:tc>
        <w:tc>
          <w:tcPr>
            <w:tcW w:w="810" w:type="dxa"/>
            <w:vAlign w:val="center"/>
            <w:hideMark/>
          </w:tcPr>
          <w:p w14:paraId="158A4979"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0.77</w:t>
            </w:r>
          </w:p>
        </w:tc>
        <w:tc>
          <w:tcPr>
            <w:tcW w:w="900" w:type="dxa"/>
            <w:vAlign w:val="center"/>
            <w:hideMark/>
          </w:tcPr>
          <w:p w14:paraId="753166F1"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0.42</w:t>
            </w:r>
          </w:p>
        </w:tc>
        <w:tc>
          <w:tcPr>
            <w:tcW w:w="810" w:type="dxa"/>
            <w:vAlign w:val="center"/>
            <w:hideMark/>
          </w:tcPr>
          <w:p w14:paraId="03473067"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0.95</w:t>
            </w:r>
          </w:p>
        </w:tc>
        <w:tc>
          <w:tcPr>
            <w:tcW w:w="845" w:type="dxa"/>
            <w:vMerge/>
            <w:vAlign w:val="center"/>
          </w:tcPr>
          <w:p w14:paraId="5D1894D7"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810" w:type="dxa"/>
            <w:vMerge/>
            <w:vAlign w:val="center"/>
            <w:hideMark/>
          </w:tcPr>
          <w:p w14:paraId="1312E982"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5794CBD5"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155" w:type="dxa"/>
            <w:vMerge/>
            <w:vAlign w:val="center"/>
          </w:tcPr>
          <w:p w14:paraId="025C9FA5"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c>
          <w:tcPr>
            <w:tcW w:w="1545" w:type="dxa"/>
            <w:vMerge/>
            <w:vAlign w:val="center"/>
          </w:tcPr>
          <w:p w14:paraId="36653AAF"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r>
      <w:tr w:rsidR="002C7FFA" w:rsidRPr="008035A5" w14:paraId="7256EC33" w14:textId="77777777" w:rsidTr="004F52BC">
        <w:trPr>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restart"/>
            <w:vAlign w:val="center"/>
          </w:tcPr>
          <w:p w14:paraId="7A8A51E8" w14:textId="77777777" w:rsidR="002C7FFA" w:rsidRPr="008035A5" w:rsidRDefault="002C7FFA">
            <w:pPr>
              <w:pStyle w:val="Paragraph"/>
              <w:spacing w:before="0" w:line="240" w:lineRule="auto"/>
              <w:jc w:val="center"/>
              <w:rPr>
                <w:rFonts w:asciiTheme="majorBidi" w:hAnsiTheme="majorBidi" w:cstheme="majorBidi"/>
                <w:b w:val="0"/>
                <w:bCs w:val="0"/>
                <w:i/>
                <w:iCs/>
                <w:sz w:val="18"/>
                <w:szCs w:val="18"/>
              </w:rPr>
            </w:pPr>
            <w:r>
              <w:rPr>
                <w:rFonts w:asciiTheme="majorBidi" w:hAnsiTheme="majorBidi" w:cstheme="majorBidi"/>
                <w:noProof/>
                <w:sz w:val="18"/>
                <w:szCs w:val="18"/>
                <w:vertAlign w:val="superscript"/>
              </w:rPr>
              <w:fldChar w:fldCharType="begin" w:fldLock="1"/>
            </w:r>
            <w:r>
              <w:rPr>
                <w:rFonts w:asciiTheme="majorBidi" w:hAnsiTheme="majorBidi" w:cstheme="majorBidi"/>
                <w:noProof/>
                <w:sz w:val="18"/>
                <w:szCs w:val="18"/>
                <w:vertAlign w:val="superscript"/>
              </w:rPr>
              <w:instrText>ADDIN CSL_CITATION {"citationItems":[{"id":"ITEM-1","itemData":{"DOI":"10.1111/jvh.12563","ISSN":"1352-0504","author":[{"dropping-particle":"","family":"Li","given":"Q","non-dropping-particle":"","parse-names":false,"suffix":""},{"dropping-particle":"","family":"Li","given":"W","non-dropping-particle":"","parse-names":false,"suffix":""},{"dropping-particle":"","family":"Huang","given":"Y","non-dropping-particle":"","parse-names":false,"suffix":""},{"dropping-particle":"","family":"Chen","given":"L","non-dropping-particle":"","parse-names":false,"suffix":""}],"container-title":"JOURNAL OF VIRAL HEPATITIS","id":"ITEM-1","issue":"11","issued":{"date-parts":[["2016","11"]]},"page":"912-919","title":"The gamma-glutamyl transpeptidase-to-platelet ratio predicts liver fibrosis and cirrhosis in HBeAg-positive chronic HBV infection patients with high HBV DNA and normal or mildly elevated alanine transaminase levels in China","type":"article-journal","volume":"23"},"uris":["http://www.mendeley.com/documents/?uuid=04f2083d-dcc2-4620-8440-6b8597bbeff5"]}],"mendeley":{"formattedCitation":"[31]","plainTextFormattedCitation":"[31]","previouslyFormattedCitation":"[31]"},"properties":{"noteIndex":0},"schema":"https://github.com/citation-style-language/schema/raw/master/csl-citation.json"}</w:instrText>
            </w:r>
            <w:r>
              <w:rPr>
                <w:rFonts w:asciiTheme="majorBidi" w:hAnsiTheme="majorBidi" w:cstheme="majorBidi"/>
                <w:noProof/>
                <w:sz w:val="18"/>
                <w:szCs w:val="18"/>
                <w:vertAlign w:val="superscript"/>
              </w:rPr>
              <w:fldChar w:fldCharType="separate"/>
            </w:r>
            <w:r w:rsidRPr="00437E75">
              <w:rPr>
                <w:rFonts w:asciiTheme="majorBidi" w:hAnsiTheme="majorBidi" w:cstheme="majorBidi"/>
                <w:b w:val="0"/>
                <w:noProof/>
                <w:sz w:val="18"/>
                <w:szCs w:val="18"/>
              </w:rPr>
              <w:t>[31]</w:t>
            </w:r>
            <w:r>
              <w:rPr>
                <w:rFonts w:asciiTheme="majorBidi" w:hAnsiTheme="majorBidi" w:cstheme="majorBidi"/>
                <w:noProof/>
                <w:sz w:val="18"/>
                <w:szCs w:val="18"/>
                <w:vertAlign w:val="superscript"/>
              </w:rPr>
              <w:fldChar w:fldCharType="end"/>
            </w:r>
          </w:p>
        </w:tc>
        <w:tc>
          <w:tcPr>
            <w:tcW w:w="1960" w:type="dxa"/>
            <w:vMerge w:val="restart"/>
            <w:vAlign w:val="center"/>
            <w:hideMark/>
          </w:tcPr>
          <w:p w14:paraId="277529C5"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Li Q. et al (a)</w:t>
            </w:r>
          </w:p>
        </w:tc>
        <w:tc>
          <w:tcPr>
            <w:tcW w:w="630" w:type="dxa"/>
            <w:vMerge w:val="restart"/>
            <w:vAlign w:val="center"/>
            <w:hideMark/>
          </w:tcPr>
          <w:p w14:paraId="54D0210A"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2016</w:t>
            </w:r>
          </w:p>
        </w:tc>
        <w:tc>
          <w:tcPr>
            <w:tcW w:w="900" w:type="dxa"/>
            <w:vMerge w:val="restart"/>
            <w:vAlign w:val="center"/>
            <w:hideMark/>
          </w:tcPr>
          <w:p w14:paraId="4F90587F"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China</w:t>
            </w:r>
          </w:p>
        </w:tc>
        <w:tc>
          <w:tcPr>
            <w:tcW w:w="900" w:type="dxa"/>
            <w:vAlign w:val="center"/>
            <w:hideMark/>
          </w:tcPr>
          <w:p w14:paraId="6F9FCE22"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F2</w:t>
            </w:r>
          </w:p>
        </w:tc>
        <w:tc>
          <w:tcPr>
            <w:tcW w:w="1260" w:type="dxa"/>
            <w:vAlign w:val="center"/>
          </w:tcPr>
          <w:p w14:paraId="60B3F1ED"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0.34</w:t>
            </w:r>
          </w:p>
        </w:tc>
        <w:tc>
          <w:tcPr>
            <w:tcW w:w="900" w:type="dxa"/>
            <w:vAlign w:val="center"/>
            <w:hideMark/>
          </w:tcPr>
          <w:p w14:paraId="7254E96F"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0.49</w:t>
            </w:r>
          </w:p>
        </w:tc>
        <w:tc>
          <w:tcPr>
            <w:tcW w:w="810" w:type="dxa"/>
            <w:vAlign w:val="center"/>
            <w:hideMark/>
          </w:tcPr>
          <w:p w14:paraId="3E8C4D72"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0.74</w:t>
            </w:r>
          </w:p>
        </w:tc>
        <w:tc>
          <w:tcPr>
            <w:tcW w:w="900" w:type="dxa"/>
            <w:vAlign w:val="center"/>
            <w:hideMark/>
          </w:tcPr>
          <w:p w14:paraId="2783EDA6"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0.44</w:t>
            </w:r>
          </w:p>
        </w:tc>
        <w:tc>
          <w:tcPr>
            <w:tcW w:w="810" w:type="dxa"/>
            <w:vAlign w:val="center"/>
            <w:hideMark/>
          </w:tcPr>
          <w:p w14:paraId="0B40CDFA"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0.77</w:t>
            </w:r>
          </w:p>
        </w:tc>
        <w:tc>
          <w:tcPr>
            <w:tcW w:w="845" w:type="dxa"/>
            <w:vMerge w:val="restart"/>
            <w:vAlign w:val="center"/>
            <w:hideMark/>
          </w:tcPr>
          <w:p w14:paraId="502AAD09"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hAnsiTheme="majorBidi" w:cstheme="majorBidi"/>
                <w:b/>
                <w:bCs/>
                <w:sz w:val="18"/>
                <w:szCs w:val="18"/>
              </w:rPr>
              <w:t>401</w:t>
            </w:r>
          </w:p>
        </w:tc>
        <w:tc>
          <w:tcPr>
            <w:tcW w:w="810" w:type="dxa"/>
            <w:vMerge w:val="restart"/>
            <w:vAlign w:val="center"/>
            <w:hideMark/>
          </w:tcPr>
          <w:p w14:paraId="103D1B79"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0.63</w:t>
            </w:r>
          </w:p>
        </w:tc>
        <w:tc>
          <w:tcPr>
            <w:tcW w:w="900" w:type="dxa"/>
            <w:vMerge w:val="restart"/>
            <w:vAlign w:val="center"/>
            <w:hideMark/>
          </w:tcPr>
          <w:p w14:paraId="1353A556"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34</w:t>
            </w:r>
          </w:p>
        </w:tc>
        <w:tc>
          <w:tcPr>
            <w:tcW w:w="1155" w:type="dxa"/>
            <w:vMerge w:val="restart"/>
            <w:vAlign w:val="center"/>
          </w:tcPr>
          <w:p w14:paraId="0AFA8673"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8035A5">
              <w:rPr>
                <w:rFonts w:asciiTheme="majorBidi" w:hAnsiTheme="majorBidi" w:cstheme="majorBidi"/>
                <w:b/>
                <w:bCs/>
                <w:sz w:val="18"/>
                <w:szCs w:val="18"/>
              </w:rPr>
              <w:t>METAVIR</w:t>
            </w:r>
          </w:p>
        </w:tc>
        <w:tc>
          <w:tcPr>
            <w:tcW w:w="1545" w:type="dxa"/>
            <w:vMerge w:val="restart"/>
            <w:vAlign w:val="center"/>
          </w:tcPr>
          <w:p w14:paraId="480491B7"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8035A5">
              <w:rPr>
                <w:rFonts w:asciiTheme="majorBidi" w:eastAsiaTheme="minorHAnsi" w:hAnsiTheme="majorBidi" w:cstheme="majorBidi"/>
                <w:b/>
                <w:bCs/>
                <w:sz w:val="18"/>
                <w:szCs w:val="18"/>
                <w:lang w:eastAsia="en-US"/>
              </w:rPr>
              <w:t>HBV</w:t>
            </w:r>
          </w:p>
        </w:tc>
      </w:tr>
      <w:tr w:rsidR="002C7FFA" w:rsidRPr="008035A5" w14:paraId="37C72894" w14:textId="77777777" w:rsidTr="004F52BC">
        <w:trPr>
          <w:cnfStyle w:val="000000100000" w:firstRow="0" w:lastRow="0" w:firstColumn="0" w:lastColumn="0" w:oddVBand="0" w:evenVBand="0" w:oddHBand="1"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0BB04EC0"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05C9D6B9"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hideMark/>
          </w:tcPr>
          <w:p w14:paraId="2B3F28D0"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310D707B"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6BA0EC02"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F2</w:t>
            </w:r>
          </w:p>
        </w:tc>
        <w:tc>
          <w:tcPr>
            <w:tcW w:w="1260" w:type="dxa"/>
            <w:vAlign w:val="center"/>
          </w:tcPr>
          <w:p w14:paraId="178AF3F4"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0.65</w:t>
            </w:r>
          </w:p>
        </w:tc>
        <w:tc>
          <w:tcPr>
            <w:tcW w:w="900" w:type="dxa"/>
            <w:vAlign w:val="center"/>
            <w:hideMark/>
          </w:tcPr>
          <w:p w14:paraId="48BD886B"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0.26</w:t>
            </w:r>
          </w:p>
        </w:tc>
        <w:tc>
          <w:tcPr>
            <w:tcW w:w="810" w:type="dxa"/>
            <w:vAlign w:val="center"/>
            <w:hideMark/>
          </w:tcPr>
          <w:p w14:paraId="2A27543A"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0.96</w:t>
            </w:r>
          </w:p>
        </w:tc>
        <w:tc>
          <w:tcPr>
            <w:tcW w:w="900" w:type="dxa"/>
            <w:vAlign w:val="center"/>
            <w:hideMark/>
          </w:tcPr>
          <w:p w14:paraId="41D7095D"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0.72</w:t>
            </w:r>
          </w:p>
        </w:tc>
        <w:tc>
          <w:tcPr>
            <w:tcW w:w="810" w:type="dxa"/>
            <w:vAlign w:val="center"/>
            <w:hideMark/>
          </w:tcPr>
          <w:p w14:paraId="718F1BE2"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0.75</w:t>
            </w:r>
          </w:p>
        </w:tc>
        <w:tc>
          <w:tcPr>
            <w:tcW w:w="845" w:type="dxa"/>
            <w:vMerge/>
            <w:vAlign w:val="center"/>
          </w:tcPr>
          <w:p w14:paraId="1A2DAAE9"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810" w:type="dxa"/>
            <w:vMerge/>
            <w:vAlign w:val="center"/>
            <w:hideMark/>
          </w:tcPr>
          <w:p w14:paraId="65025F38"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270BD87D"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155" w:type="dxa"/>
            <w:vMerge/>
            <w:vAlign w:val="center"/>
          </w:tcPr>
          <w:p w14:paraId="0C7CF187"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c>
          <w:tcPr>
            <w:tcW w:w="1545" w:type="dxa"/>
            <w:vMerge/>
            <w:vAlign w:val="center"/>
          </w:tcPr>
          <w:p w14:paraId="304A91C6"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r>
      <w:tr w:rsidR="002C7FFA" w:rsidRPr="008035A5" w14:paraId="025B6C25" w14:textId="77777777" w:rsidTr="004F52BC">
        <w:trPr>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6E6C92D3"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5649996B"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hideMark/>
          </w:tcPr>
          <w:p w14:paraId="608F85F2"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7D127A37"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48E78000"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F3</w:t>
            </w:r>
          </w:p>
        </w:tc>
        <w:tc>
          <w:tcPr>
            <w:tcW w:w="1260" w:type="dxa"/>
            <w:vAlign w:val="center"/>
          </w:tcPr>
          <w:p w14:paraId="742648C1"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0.57</w:t>
            </w:r>
          </w:p>
        </w:tc>
        <w:tc>
          <w:tcPr>
            <w:tcW w:w="900" w:type="dxa"/>
            <w:vAlign w:val="center"/>
            <w:hideMark/>
          </w:tcPr>
          <w:p w14:paraId="7BC1FC43"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0.47</w:t>
            </w:r>
          </w:p>
        </w:tc>
        <w:tc>
          <w:tcPr>
            <w:tcW w:w="810" w:type="dxa"/>
            <w:vAlign w:val="center"/>
            <w:hideMark/>
          </w:tcPr>
          <w:p w14:paraId="5BF782C2"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0.90</w:t>
            </w:r>
          </w:p>
        </w:tc>
        <w:tc>
          <w:tcPr>
            <w:tcW w:w="900" w:type="dxa"/>
            <w:vAlign w:val="center"/>
            <w:hideMark/>
          </w:tcPr>
          <w:p w14:paraId="41604663"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0.39</w:t>
            </w:r>
          </w:p>
        </w:tc>
        <w:tc>
          <w:tcPr>
            <w:tcW w:w="810" w:type="dxa"/>
            <w:vAlign w:val="center"/>
            <w:hideMark/>
          </w:tcPr>
          <w:p w14:paraId="25790BC0"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0.71</w:t>
            </w:r>
          </w:p>
        </w:tc>
        <w:tc>
          <w:tcPr>
            <w:tcW w:w="845" w:type="dxa"/>
            <w:vMerge/>
            <w:vAlign w:val="center"/>
          </w:tcPr>
          <w:p w14:paraId="2FC478AD"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810" w:type="dxa"/>
            <w:vMerge/>
            <w:vAlign w:val="center"/>
            <w:hideMark/>
          </w:tcPr>
          <w:p w14:paraId="1F5659F8"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4EC63FC2"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155" w:type="dxa"/>
            <w:vMerge/>
            <w:vAlign w:val="center"/>
          </w:tcPr>
          <w:p w14:paraId="2688C5F4"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c>
          <w:tcPr>
            <w:tcW w:w="1545" w:type="dxa"/>
            <w:vMerge/>
            <w:vAlign w:val="center"/>
          </w:tcPr>
          <w:p w14:paraId="681ED843"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r>
      <w:tr w:rsidR="002C7FFA" w:rsidRPr="008035A5" w14:paraId="6965C7C3" w14:textId="77777777" w:rsidTr="004F52BC">
        <w:trPr>
          <w:cnfStyle w:val="000000100000" w:firstRow="0" w:lastRow="0" w:firstColumn="0" w:lastColumn="0" w:oddVBand="0" w:evenVBand="0" w:oddHBand="1"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085066D7"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0F85FDB5"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hideMark/>
          </w:tcPr>
          <w:p w14:paraId="2262CAAF"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4306602C"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66A449D7"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F3</w:t>
            </w:r>
          </w:p>
        </w:tc>
        <w:tc>
          <w:tcPr>
            <w:tcW w:w="1260" w:type="dxa"/>
            <w:vAlign w:val="center"/>
          </w:tcPr>
          <w:p w14:paraId="47B1BB22"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0.89</w:t>
            </w:r>
          </w:p>
        </w:tc>
        <w:tc>
          <w:tcPr>
            <w:tcW w:w="900" w:type="dxa"/>
            <w:vAlign w:val="center"/>
            <w:hideMark/>
          </w:tcPr>
          <w:p w14:paraId="0864F520"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0.33</w:t>
            </w:r>
          </w:p>
        </w:tc>
        <w:tc>
          <w:tcPr>
            <w:tcW w:w="810" w:type="dxa"/>
            <w:vAlign w:val="center"/>
            <w:hideMark/>
          </w:tcPr>
          <w:p w14:paraId="241C8413"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0.95</w:t>
            </w:r>
          </w:p>
        </w:tc>
        <w:tc>
          <w:tcPr>
            <w:tcW w:w="900" w:type="dxa"/>
            <w:vAlign w:val="center"/>
            <w:hideMark/>
          </w:tcPr>
          <w:p w14:paraId="75039043"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0.49</w:t>
            </w:r>
          </w:p>
        </w:tc>
        <w:tc>
          <w:tcPr>
            <w:tcW w:w="810" w:type="dxa"/>
            <w:vAlign w:val="center"/>
            <w:hideMark/>
          </w:tcPr>
          <w:p w14:paraId="24C23F7F"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0.72</w:t>
            </w:r>
          </w:p>
        </w:tc>
        <w:tc>
          <w:tcPr>
            <w:tcW w:w="845" w:type="dxa"/>
            <w:vMerge/>
            <w:vAlign w:val="center"/>
          </w:tcPr>
          <w:p w14:paraId="4B0AA701"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810" w:type="dxa"/>
            <w:vMerge/>
            <w:vAlign w:val="center"/>
            <w:hideMark/>
          </w:tcPr>
          <w:p w14:paraId="72B5B038"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3F3652E6"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155" w:type="dxa"/>
            <w:vMerge/>
            <w:vAlign w:val="center"/>
          </w:tcPr>
          <w:p w14:paraId="22171374"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c>
          <w:tcPr>
            <w:tcW w:w="1545" w:type="dxa"/>
            <w:vMerge/>
            <w:vAlign w:val="center"/>
          </w:tcPr>
          <w:p w14:paraId="6A521112"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r>
      <w:tr w:rsidR="002C7FFA" w:rsidRPr="008035A5" w14:paraId="6D998DDC" w14:textId="77777777" w:rsidTr="004F52BC">
        <w:trPr>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00AD7715"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19BE220B"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hideMark/>
          </w:tcPr>
          <w:p w14:paraId="2E2CC96E"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0738403E"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140539FE"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F4</w:t>
            </w:r>
          </w:p>
        </w:tc>
        <w:tc>
          <w:tcPr>
            <w:tcW w:w="1260" w:type="dxa"/>
            <w:vAlign w:val="center"/>
          </w:tcPr>
          <w:p w14:paraId="278E8E98"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0.93</w:t>
            </w:r>
          </w:p>
        </w:tc>
        <w:tc>
          <w:tcPr>
            <w:tcW w:w="900" w:type="dxa"/>
            <w:vAlign w:val="center"/>
            <w:hideMark/>
          </w:tcPr>
          <w:p w14:paraId="230119BA"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0.53</w:t>
            </w:r>
          </w:p>
        </w:tc>
        <w:tc>
          <w:tcPr>
            <w:tcW w:w="810" w:type="dxa"/>
            <w:vAlign w:val="center"/>
            <w:hideMark/>
          </w:tcPr>
          <w:p w14:paraId="7C44AEC0"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0.94</w:t>
            </w:r>
          </w:p>
        </w:tc>
        <w:tc>
          <w:tcPr>
            <w:tcW w:w="900" w:type="dxa"/>
            <w:vAlign w:val="center"/>
            <w:hideMark/>
          </w:tcPr>
          <w:p w14:paraId="71F0EA74"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0.28</w:t>
            </w:r>
          </w:p>
        </w:tc>
        <w:tc>
          <w:tcPr>
            <w:tcW w:w="810" w:type="dxa"/>
            <w:vAlign w:val="center"/>
            <w:hideMark/>
          </w:tcPr>
          <w:p w14:paraId="425F5F8C"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0.70</w:t>
            </w:r>
          </w:p>
        </w:tc>
        <w:tc>
          <w:tcPr>
            <w:tcW w:w="845" w:type="dxa"/>
            <w:vMerge/>
            <w:vAlign w:val="center"/>
          </w:tcPr>
          <w:p w14:paraId="5FE15DFE"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810" w:type="dxa"/>
            <w:vMerge/>
            <w:vAlign w:val="center"/>
            <w:hideMark/>
          </w:tcPr>
          <w:p w14:paraId="63DFB4D5"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18294E3C"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155" w:type="dxa"/>
            <w:vMerge/>
            <w:vAlign w:val="center"/>
          </w:tcPr>
          <w:p w14:paraId="03AB1B22"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c>
          <w:tcPr>
            <w:tcW w:w="1545" w:type="dxa"/>
            <w:vMerge/>
            <w:vAlign w:val="center"/>
          </w:tcPr>
          <w:p w14:paraId="563C97D4"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r>
      <w:tr w:rsidR="002C7FFA" w:rsidRPr="008035A5" w14:paraId="14EAF6E4" w14:textId="77777777" w:rsidTr="004F52BC">
        <w:trPr>
          <w:cnfStyle w:val="000000100000" w:firstRow="0" w:lastRow="0" w:firstColumn="0" w:lastColumn="0" w:oddVBand="0" w:evenVBand="0" w:oddHBand="1"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36E415B4"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672159B4"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hideMark/>
          </w:tcPr>
          <w:p w14:paraId="057B3AE4"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638EF0E7"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7DBCB0F8"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F4</w:t>
            </w:r>
          </w:p>
        </w:tc>
        <w:tc>
          <w:tcPr>
            <w:tcW w:w="1260" w:type="dxa"/>
            <w:vAlign w:val="center"/>
          </w:tcPr>
          <w:p w14:paraId="4ADE1F3E"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1.11</w:t>
            </w:r>
          </w:p>
        </w:tc>
        <w:tc>
          <w:tcPr>
            <w:tcW w:w="900" w:type="dxa"/>
            <w:vAlign w:val="center"/>
            <w:hideMark/>
          </w:tcPr>
          <w:p w14:paraId="46615ED2"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0.47</w:t>
            </w:r>
          </w:p>
        </w:tc>
        <w:tc>
          <w:tcPr>
            <w:tcW w:w="810" w:type="dxa"/>
            <w:vAlign w:val="center"/>
            <w:hideMark/>
          </w:tcPr>
          <w:p w14:paraId="207F7B34"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0.95</w:t>
            </w:r>
          </w:p>
        </w:tc>
        <w:tc>
          <w:tcPr>
            <w:tcW w:w="900" w:type="dxa"/>
            <w:vAlign w:val="center"/>
            <w:hideMark/>
          </w:tcPr>
          <w:p w14:paraId="55A6365B"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0.30</w:t>
            </w:r>
          </w:p>
        </w:tc>
        <w:tc>
          <w:tcPr>
            <w:tcW w:w="810" w:type="dxa"/>
            <w:vAlign w:val="center"/>
            <w:hideMark/>
          </w:tcPr>
          <w:p w14:paraId="6480314D"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0.70</w:t>
            </w:r>
          </w:p>
        </w:tc>
        <w:tc>
          <w:tcPr>
            <w:tcW w:w="845" w:type="dxa"/>
            <w:vMerge/>
            <w:vAlign w:val="center"/>
          </w:tcPr>
          <w:p w14:paraId="24F0348F"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810" w:type="dxa"/>
            <w:vMerge/>
            <w:vAlign w:val="center"/>
            <w:hideMark/>
          </w:tcPr>
          <w:p w14:paraId="2E1D26C5"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2F651EB9"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155" w:type="dxa"/>
            <w:vMerge/>
            <w:vAlign w:val="center"/>
          </w:tcPr>
          <w:p w14:paraId="555859CD"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c>
          <w:tcPr>
            <w:tcW w:w="1545" w:type="dxa"/>
            <w:vMerge/>
            <w:vAlign w:val="center"/>
          </w:tcPr>
          <w:p w14:paraId="3979E8F6"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r>
      <w:tr w:rsidR="002C7FFA" w:rsidRPr="008035A5" w14:paraId="1AC37015" w14:textId="77777777" w:rsidTr="004F52BC">
        <w:trPr>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restart"/>
            <w:vAlign w:val="center"/>
          </w:tcPr>
          <w:p w14:paraId="150E5449" w14:textId="77777777" w:rsidR="002C7FFA" w:rsidRPr="008035A5" w:rsidRDefault="002C7FFA">
            <w:pPr>
              <w:pStyle w:val="Paragraph"/>
              <w:spacing w:before="0" w:line="240" w:lineRule="auto"/>
              <w:jc w:val="center"/>
              <w:rPr>
                <w:rFonts w:asciiTheme="majorBidi" w:hAnsiTheme="majorBidi" w:cstheme="majorBidi"/>
                <w:b w:val="0"/>
                <w:bCs w:val="0"/>
                <w:i/>
                <w:iCs/>
                <w:sz w:val="18"/>
                <w:szCs w:val="18"/>
              </w:rPr>
            </w:pPr>
            <w:r>
              <w:rPr>
                <w:rFonts w:asciiTheme="majorBidi" w:hAnsiTheme="majorBidi" w:cstheme="majorBidi"/>
                <w:noProof/>
                <w:sz w:val="18"/>
                <w:szCs w:val="18"/>
                <w:vertAlign w:val="superscript"/>
              </w:rPr>
              <w:fldChar w:fldCharType="begin" w:fldLock="1"/>
            </w:r>
            <w:r>
              <w:rPr>
                <w:rFonts w:asciiTheme="majorBidi" w:hAnsiTheme="majorBidi" w:cstheme="majorBidi"/>
                <w:noProof/>
                <w:sz w:val="18"/>
                <w:szCs w:val="18"/>
                <w:vertAlign w:val="superscript"/>
              </w:rPr>
              <w:instrText>ADDIN CSL_CITATION {"citationItems":[{"id":"ITEM-1","itemData":{"DOI":"10.1097/MD.0000000000003372","ISSN":"0025-7974","author":[{"dropping-particle":"","family":"Li","given":"Qiang","non-dropping-particle":"","parse-names":false,"suffix":""},{"dropping-particle":"","family":"Song","given":"Jie","non-dropping-particle":"","parse-names":false,"suffix":""},{"dropping-particle":"","family":"Huang","given":"Yuxian","non-dropping-particle":"","parse-names":false,"suffix":""},{"dropping-particle":"","family":"Li","given":"Xinyan","non-dropping-particle":"","parse-names":false,"suffix":""},{"dropping-particle":"","family":"Zhuo","given":"Qibin","non-dropping-particle":"","parse-names":false,"suffix":""},{"dropping-particle":"","family":"Li","given":"Weixia","non-dropping-particle":"","parse-names":false,"suffix":""},{"dropping-particle":"","family":"Chen","given":"Chong","non-dropping-particle":"","parse-names":false,"suffix":""},{"dropping-particle":"","family":"Lu","given":"Chuan","non-dropping-particle":"","parse-names":false,"suffix":""},{"dropping-particle":"","family":"Qi","given":"Xun","non-dropping-particle":"","parse-names":false,"suffix":""},{"dropping-particle":"","family":"Chen","given":"Liang","non-dropping-particle":"","parse-names":false,"suffix":""}],"container-title":"MEDICINE","id":"ITEM-1","issue":"16","issued":{"date-parts":[["2016","4"]]},"title":"The Gamma-Glutamyl-Transpeptidase to Platelet Ratio Does not Show Advantages than APRI and Fib-4 in Diagnosing Significant Fibrosis and Cirrhosis in Patients With Chronic Hepatitis B A Retrospective Cohort Study in China","type":"article-journal","volume":"95"},"uris":["http://www.mendeley.com/documents/?uuid=36717aa8-a9ca-4751-b3e5-dbbfa2d3747f"]}],"mendeley":{"formattedCitation":"[32]","plainTextFormattedCitation":"[32]","previouslyFormattedCitation":"[32]"},"properties":{"noteIndex":0},"schema":"https://github.com/citation-style-language/schema/raw/master/csl-citation.json"}</w:instrText>
            </w:r>
            <w:r>
              <w:rPr>
                <w:rFonts w:asciiTheme="majorBidi" w:hAnsiTheme="majorBidi" w:cstheme="majorBidi"/>
                <w:noProof/>
                <w:sz w:val="18"/>
                <w:szCs w:val="18"/>
                <w:vertAlign w:val="superscript"/>
              </w:rPr>
              <w:fldChar w:fldCharType="separate"/>
            </w:r>
            <w:r w:rsidRPr="00437E75">
              <w:rPr>
                <w:rFonts w:asciiTheme="majorBidi" w:hAnsiTheme="majorBidi" w:cstheme="majorBidi"/>
                <w:b w:val="0"/>
                <w:noProof/>
                <w:sz w:val="18"/>
                <w:szCs w:val="18"/>
              </w:rPr>
              <w:t>[32]</w:t>
            </w:r>
            <w:r>
              <w:rPr>
                <w:rFonts w:asciiTheme="majorBidi" w:hAnsiTheme="majorBidi" w:cstheme="majorBidi"/>
                <w:noProof/>
                <w:sz w:val="18"/>
                <w:szCs w:val="18"/>
                <w:vertAlign w:val="superscript"/>
              </w:rPr>
              <w:fldChar w:fldCharType="end"/>
            </w:r>
          </w:p>
        </w:tc>
        <w:tc>
          <w:tcPr>
            <w:tcW w:w="1960" w:type="dxa"/>
            <w:vMerge w:val="restart"/>
            <w:vAlign w:val="center"/>
            <w:hideMark/>
          </w:tcPr>
          <w:p w14:paraId="61C4249F"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Li Q. et al (b)</w:t>
            </w:r>
          </w:p>
        </w:tc>
        <w:tc>
          <w:tcPr>
            <w:tcW w:w="630" w:type="dxa"/>
            <w:vMerge w:val="restart"/>
            <w:vAlign w:val="center"/>
            <w:hideMark/>
          </w:tcPr>
          <w:p w14:paraId="3CBDD921"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2016</w:t>
            </w:r>
          </w:p>
        </w:tc>
        <w:tc>
          <w:tcPr>
            <w:tcW w:w="900" w:type="dxa"/>
            <w:vMerge w:val="restart"/>
            <w:vAlign w:val="center"/>
            <w:hideMark/>
          </w:tcPr>
          <w:p w14:paraId="5A3F9A02"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China</w:t>
            </w:r>
          </w:p>
        </w:tc>
        <w:tc>
          <w:tcPr>
            <w:tcW w:w="900" w:type="dxa"/>
            <w:vAlign w:val="center"/>
            <w:hideMark/>
          </w:tcPr>
          <w:p w14:paraId="55042275"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F2</w:t>
            </w:r>
          </w:p>
        </w:tc>
        <w:tc>
          <w:tcPr>
            <w:tcW w:w="1260" w:type="dxa"/>
            <w:vAlign w:val="center"/>
          </w:tcPr>
          <w:p w14:paraId="1AAAB347"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0.61</w:t>
            </w:r>
          </w:p>
        </w:tc>
        <w:tc>
          <w:tcPr>
            <w:tcW w:w="900" w:type="dxa"/>
            <w:vAlign w:val="center"/>
            <w:hideMark/>
          </w:tcPr>
          <w:p w14:paraId="21AC7D4B"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0.71</w:t>
            </w:r>
          </w:p>
        </w:tc>
        <w:tc>
          <w:tcPr>
            <w:tcW w:w="810" w:type="dxa"/>
            <w:vAlign w:val="center"/>
            <w:hideMark/>
          </w:tcPr>
          <w:p w14:paraId="714F5932"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0.69</w:t>
            </w:r>
          </w:p>
        </w:tc>
        <w:tc>
          <w:tcPr>
            <w:tcW w:w="900" w:type="dxa"/>
            <w:vAlign w:val="center"/>
            <w:hideMark/>
          </w:tcPr>
          <w:p w14:paraId="0C1DC0CA"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0.68</w:t>
            </w:r>
          </w:p>
        </w:tc>
        <w:tc>
          <w:tcPr>
            <w:tcW w:w="810" w:type="dxa"/>
            <w:vAlign w:val="center"/>
            <w:hideMark/>
          </w:tcPr>
          <w:p w14:paraId="6C79AEF7"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0.73</w:t>
            </w:r>
          </w:p>
        </w:tc>
        <w:tc>
          <w:tcPr>
            <w:tcW w:w="845" w:type="dxa"/>
            <w:vMerge w:val="restart"/>
            <w:vAlign w:val="center"/>
            <w:hideMark/>
          </w:tcPr>
          <w:p w14:paraId="133A32AB"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hAnsiTheme="majorBidi" w:cstheme="majorBidi"/>
                <w:b/>
                <w:bCs/>
                <w:sz w:val="18"/>
                <w:szCs w:val="18"/>
              </w:rPr>
              <w:t>372</w:t>
            </w:r>
          </w:p>
        </w:tc>
        <w:tc>
          <w:tcPr>
            <w:tcW w:w="810" w:type="dxa"/>
            <w:vMerge w:val="restart"/>
            <w:vAlign w:val="center"/>
            <w:hideMark/>
          </w:tcPr>
          <w:p w14:paraId="3AB68431"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0.69</w:t>
            </w:r>
          </w:p>
        </w:tc>
        <w:tc>
          <w:tcPr>
            <w:tcW w:w="900" w:type="dxa"/>
            <w:vMerge w:val="restart"/>
            <w:vAlign w:val="center"/>
            <w:hideMark/>
          </w:tcPr>
          <w:p w14:paraId="06FA1CE1"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39</w:t>
            </w:r>
          </w:p>
        </w:tc>
        <w:tc>
          <w:tcPr>
            <w:tcW w:w="1155" w:type="dxa"/>
            <w:vMerge w:val="restart"/>
            <w:vAlign w:val="center"/>
          </w:tcPr>
          <w:p w14:paraId="44328562"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8035A5">
              <w:rPr>
                <w:rFonts w:asciiTheme="majorBidi" w:hAnsiTheme="majorBidi" w:cstheme="majorBidi"/>
                <w:b/>
                <w:bCs/>
                <w:sz w:val="18"/>
                <w:szCs w:val="18"/>
              </w:rPr>
              <w:t>Scheuer</w:t>
            </w:r>
          </w:p>
        </w:tc>
        <w:tc>
          <w:tcPr>
            <w:tcW w:w="1545" w:type="dxa"/>
            <w:vMerge w:val="restart"/>
            <w:vAlign w:val="center"/>
          </w:tcPr>
          <w:p w14:paraId="6133C96E"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8035A5">
              <w:rPr>
                <w:rFonts w:asciiTheme="majorBidi" w:eastAsiaTheme="minorHAnsi" w:hAnsiTheme="majorBidi" w:cstheme="majorBidi"/>
                <w:b/>
                <w:bCs/>
                <w:sz w:val="18"/>
                <w:szCs w:val="18"/>
                <w:lang w:eastAsia="en-US"/>
              </w:rPr>
              <w:t>HBV</w:t>
            </w:r>
          </w:p>
        </w:tc>
      </w:tr>
      <w:tr w:rsidR="002C7FFA" w:rsidRPr="008035A5" w14:paraId="707CEBD8" w14:textId="77777777" w:rsidTr="004F52BC">
        <w:trPr>
          <w:cnfStyle w:val="000000100000" w:firstRow="0" w:lastRow="0" w:firstColumn="0" w:lastColumn="0" w:oddVBand="0" w:evenVBand="0" w:oddHBand="1"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56AF976A"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2950A9C8"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hideMark/>
          </w:tcPr>
          <w:p w14:paraId="168E2331"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65E8D7DB"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30ADCA38"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F3</w:t>
            </w:r>
          </w:p>
        </w:tc>
        <w:tc>
          <w:tcPr>
            <w:tcW w:w="1260" w:type="dxa"/>
            <w:vAlign w:val="center"/>
          </w:tcPr>
          <w:p w14:paraId="1633A222"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0.65</w:t>
            </w:r>
          </w:p>
        </w:tc>
        <w:tc>
          <w:tcPr>
            <w:tcW w:w="900" w:type="dxa"/>
            <w:vAlign w:val="center"/>
            <w:hideMark/>
          </w:tcPr>
          <w:p w14:paraId="55DFB962"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0.77</w:t>
            </w:r>
          </w:p>
        </w:tc>
        <w:tc>
          <w:tcPr>
            <w:tcW w:w="810" w:type="dxa"/>
            <w:vAlign w:val="center"/>
            <w:hideMark/>
          </w:tcPr>
          <w:p w14:paraId="02D7C5F0"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0.64</w:t>
            </w:r>
          </w:p>
        </w:tc>
        <w:tc>
          <w:tcPr>
            <w:tcW w:w="900" w:type="dxa"/>
            <w:vAlign w:val="center"/>
            <w:hideMark/>
          </w:tcPr>
          <w:p w14:paraId="2AD139CB"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0.53</w:t>
            </w:r>
          </w:p>
        </w:tc>
        <w:tc>
          <w:tcPr>
            <w:tcW w:w="810" w:type="dxa"/>
            <w:vAlign w:val="center"/>
            <w:hideMark/>
          </w:tcPr>
          <w:p w14:paraId="37A2DDAA"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0.84</w:t>
            </w:r>
          </w:p>
        </w:tc>
        <w:tc>
          <w:tcPr>
            <w:tcW w:w="845" w:type="dxa"/>
            <w:vMerge/>
            <w:vAlign w:val="center"/>
          </w:tcPr>
          <w:p w14:paraId="7E1EA715"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810" w:type="dxa"/>
            <w:vMerge/>
            <w:vAlign w:val="center"/>
            <w:hideMark/>
          </w:tcPr>
          <w:p w14:paraId="78FCD925"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17235ED9"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155" w:type="dxa"/>
            <w:vMerge/>
            <w:vAlign w:val="center"/>
          </w:tcPr>
          <w:p w14:paraId="42FA6ECB"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c>
          <w:tcPr>
            <w:tcW w:w="1545" w:type="dxa"/>
            <w:vMerge/>
            <w:vAlign w:val="center"/>
          </w:tcPr>
          <w:p w14:paraId="1C7931EC"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r>
      <w:tr w:rsidR="002C7FFA" w:rsidRPr="008035A5" w14:paraId="468EE5E0" w14:textId="77777777" w:rsidTr="004F52BC">
        <w:trPr>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0370B7C1"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16462B60"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hideMark/>
          </w:tcPr>
          <w:p w14:paraId="1CFAC790"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5BC68FF1"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6B8CE5F7"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F4</w:t>
            </w:r>
          </w:p>
        </w:tc>
        <w:tc>
          <w:tcPr>
            <w:tcW w:w="1260" w:type="dxa"/>
            <w:vAlign w:val="center"/>
          </w:tcPr>
          <w:p w14:paraId="175F37A2"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0.72</w:t>
            </w:r>
          </w:p>
        </w:tc>
        <w:tc>
          <w:tcPr>
            <w:tcW w:w="900" w:type="dxa"/>
            <w:vAlign w:val="center"/>
            <w:hideMark/>
          </w:tcPr>
          <w:p w14:paraId="3AE601EA"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0.81</w:t>
            </w:r>
          </w:p>
        </w:tc>
        <w:tc>
          <w:tcPr>
            <w:tcW w:w="810" w:type="dxa"/>
            <w:vAlign w:val="center"/>
            <w:hideMark/>
          </w:tcPr>
          <w:p w14:paraId="24E45376"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0.53</w:t>
            </w:r>
          </w:p>
        </w:tc>
        <w:tc>
          <w:tcPr>
            <w:tcW w:w="900" w:type="dxa"/>
            <w:vAlign w:val="center"/>
            <w:hideMark/>
          </w:tcPr>
          <w:p w14:paraId="6662AD75"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0.29</w:t>
            </w:r>
          </w:p>
        </w:tc>
        <w:tc>
          <w:tcPr>
            <w:tcW w:w="810" w:type="dxa"/>
            <w:vAlign w:val="center"/>
            <w:hideMark/>
          </w:tcPr>
          <w:p w14:paraId="72A5484E"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0.92</w:t>
            </w:r>
          </w:p>
        </w:tc>
        <w:tc>
          <w:tcPr>
            <w:tcW w:w="845" w:type="dxa"/>
            <w:vMerge/>
            <w:vAlign w:val="center"/>
          </w:tcPr>
          <w:p w14:paraId="49D3BA44"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810" w:type="dxa"/>
            <w:vMerge/>
            <w:vAlign w:val="center"/>
            <w:hideMark/>
          </w:tcPr>
          <w:p w14:paraId="5A9DAC20"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6DE13744"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155" w:type="dxa"/>
            <w:vMerge/>
            <w:vAlign w:val="center"/>
          </w:tcPr>
          <w:p w14:paraId="74121E44"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c>
          <w:tcPr>
            <w:tcW w:w="1545" w:type="dxa"/>
            <w:vMerge/>
            <w:vAlign w:val="center"/>
          </w:tcPr>
          <w:p w14:paraId="76200C90"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r>
      <w:tr w:rsidR="002C7FFA" w:rsidRPr="008035A5" w14:paraId="13623AE8" w14:textId="77777777" w:rsidTr="004F52BC">
        <w:trPr>
          <w:cnfStyle w:val="000000100000" w:firstRow="0" w:lastRow="0" w:firstColumn="0" w:lastColumn="0" w:oddVBand="0" w:evenVBand="0" w:oddHBand="1"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restart"/>
            <w:vAlign w:val="center"/>
          </w:tcPr>
          <w:p w14:paraId="73159C10" w14:textId="77777777" w:rsidR="002C7FFA" w:rsidRPr="008035A5" w:rsidRDefault="002C7FFA">
            <w:pPr>
              <w:pStyle w:val="Paragraph"/>
              <w:spacing w:before="0" w:line="240" w:lineRule="auto"/>
              <w:jc w:val="center"/>
              <w:rPr>
                <w:rFonts w:asciiTheme="majorBidi" w:hAnsiTheme="majorBidi" w:cstheme="majorBidi"/>
                <w:b w:val="0"/>
                <w:bCs w:val="0"/>
                <w:i/>
                <w:iCs/>
                <w:sz w:val="18"/>
                <w:szCs w:val="18"/>
              </w:rPr>
            </w:pPr>
            <w:r>
              <w:rPr>
                <w:rFonts w:asciiTheme="majorBidi" w:hAnsiTheme="majorBidi" w:cstheme="majorBidi"/>
                <w:noProof/>
                <w:sz w:val="18"/>
                <w:szCs w:val="18"/>
                <w:vertAlign w:val="superscript"/>
              </w:rPr>
              <w:fldChar w:fldCharType="begin" w:fldLock="1"/>
            </w:r>
            <w:r>
              <w:rPr>
                <w:rFonts w:asciiTheme="majorBidi" w:hAnsiTheme="majorBidi" w:cstheme="majorBidi"/>
                <w:noProof/>
                <w:sz w:val="18"/>
                <w:szCs w:val="18"/>
                <w:vertAlign w:val="superscript"/>
              </w:rPr>
              <w:instrText>ADDIN CSL_CITATION {"citationItems":[{"id":"ITEM-1","itemData":{"DOI":"10.1136/gutjnl-2015-309260","author":[{"dropping-particle":"","family":"Lemoine","given":"Maud","non-dropping-particle":"","parse-names":false,"suffix":""},{"dropping-particle":"","family":"Shimakawa","given":"Yusuke","non-dropping-particle":"","parse-names":false,"suffix":""},{"dropping-particle":"","family":"Nayagam","given":"Shevanthi","non-dropping-particle":"","parse-names":false,"suffix":""},{"dropping-particle":"","family":"Khalil","given":"Mustapha","non-dropping-particle":"","parse-names":false,"suffix":""},{"dropping-particle":"","family":"Suso","given":"Penda","non-dropping-particle":"","parse-names":false,"suffix":""},{"dropping-particle":"","family":"Lloyd","given":"Jo","non-dropping-particle":"","parse-names":false,"suffix":""},{"dropping-particle":"","family":"Goldin","given":"Robert","non-dropping-particle":"","parse-names":false,"suffix":""},{"dropping-particle":"","family":"Njai","given":"Harr-Freeya","non-dropping-particle":"","parse-names":false,"suffix":""},{"dropping-particle":"","family":"Ndow","given":"Gibril","non-dropping-particle":"","parse-names":false,"suffix":""},{"dropping-particle":"","family":"Taal","given":"Makie","non-dropping-particle":"","parse-names":false,"suffix":""},{"dropping-particle":"","family":"Cooke","given":"Graham","non-dropping-particle":"","parse-names":false,"suffix":""},{"dropping-particle":"","family":"D'Alessandro","given":"Umberto","non-dropping-particle":"","parse-names":false,"suffix":""},{"dropping-particle":"","family":"Vray","given":"Muriel","non-dropping-particle":"","parse-names":false,"suffix":""},{"dropping-particle":"","family":"Mbaye","given":"Papa Saliou","non-dropping-particle":"","parse-names":false,"suffix":""},{"dropping-particle":"","family":"Njie","given":"Ramou","non-dropping-particle":"","parse-names":false,"suffix":""},{"dropping-particle":"","family":"Mallet","given":"Vincent","non-dropping-particle":"","parse-names":false,"suffix":""},{"dropping-particle":"","family":"Thursz","given":"Mark","non-dropping-particle":"","parse-names":false,"suffix":""}],"container-title":"Gut","id":"ITEM-1","issue":"8","issued":{"date-parts":[["2016"]]},"note":"Cited by: 238; All Open Access, Green Open Access, Hybrid Gold Open Access","page":"1369 – 1376","title":"The gamma-glutamyl transpeptidase to platelet ratio (GPR) predicts significant liver fibrosis and cirrhosis in patients with chronic HBV infection in West Africa","type":"article-journal","volume":"65"},"uris":["http://www.mendeley.com/documents/?uuid=d4a825fc-4b82-42f1-8c67-92994e974dc3"]}],"mendeley":{"formattedCitation":"[33]","plainTextFormattedCitation":"[33]","previouslyFormattedCitation":"[33]"},"properties":{"noteIndex":0},"schema":"https://github.com/citation-style-language/schema/raw/master/csl-citation.json"}</w:instrText>
            </w:r>
            <w:r>
              <w:rPr>
                <w:rFonts w:asciiTheme="majorBidi" w:hAnsiTheme="majorBidi" w:cstheme="majorBidi"/>
                <w:noProof/>
                <w:sz w:val="18"/>
                <w:szCs w:val="18"/>
                <w:vertAlign w:val="superscript"/>
              </w:rPr>
              <w:fldChar w:fldCharType="separate"/>
            </w:r>
            <w:r w:rsidRPr="00437E75">
              <w:rPr>
                <w:rFonts w:asciiTheme="majorBidi" w:hAnsiTheme="majorBidi" w:cstheme="majorBidi"/>
                <w:b w:val="0"/>
                <w:noProof/>
                <w:sz w:val="18"/>
                <w:szCs w:val="18"/>
              </w:rPr>
              <w:t>[33]</w:t>
            </w:r>
            <w:r>
              <w:rPr>
                <w:rFonts w:asciiTheme="majorBidi" w:hAnsiTheme="majorBidi" w:cstheme="majorBidi"/>
                <w:noProof/>
                <w:sz w:val="18"/>
                <w:szCs w:val="18"/>
                <w:vertAlign w:val="superscript"/>
              </w:rPr>
              <w:fldChar w:fldCharType="end"/>
            </w:r>
          </w:p>
        </w:tc>
        <w:tc>
          <w:tcPr>
            <w:tcW w:w="1960" w:type="dxa"/>
            <w:vMerge w:val="restart"/>
            <w:vAlign w:val="center"/>
            <w:hideMark/>
          </w:tcPr>
          <w:p w14:paraId="1F10FBEA"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Lemoine M. et al</w:t>
            </w:r>
          </w:p>
        </w:tc>
        <w:tc>
          <w:tcPr>
            <w:tcW w:w="630" w:type="dxa"/>
            <w:vMerge w:val="restart"/>
            <w:vAlign w:val="center"/>
            <w:hideMark/>
          </w:tcPr>
          <w:p w14:paraId="699CFB46"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2016</w:t>
            </w:r>
          </w:p>
        </w:tc>
        <w:tc>
          <w:tcPr>
            <w:tcW w:w="900" w:type="dxa"/>
            <w:vMerge w:val="restart"/>
            <w:vAlign w:val="center"/>
            <w:hideMark/>
          </w:tcPr>
          <w:p w14:paraId="4660A045"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Gambia</w:t>
            </w:r>
          </w:p>
        </w:tc>
        <w:tc>
          <w:tcPr>
            <w:tcW w:w="900" w:type="dxa"/>
            <w:vAlign w:val="center"/>
            <w:hideMark/>
          </w:tcPr>
          <w:p w14:paraId="03F149DE"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F2</w:t>
            </w:r>
          </w:p>
        </w:tc>
        <w:tc>
          <w:tcPr>
            <w:tcW w:w="1260" w:type="dxa"/>
            <w:vAlign w:val="center"/>
          </w:tcPr>
          <w:p w14:paraId="5AAB721C"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0.32</w:t>
            </w:r>
          </w:p>
        </w:tc>
        <w:tc>
          <w:tcPr>
            <w:tcW w:w="900" w:type="dxa"/>
            <w:vAlign w:val="center"/>
            <w:hideMark/>
          </w:tcPr>
          <w:p w14:paraId="7E45794E"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0.83</w:t>
            </w:r>
          </w:p>
        </w:tc>
        <w:tc>
          <w:tcPr>
            <w:tcW w:w="810" w:type="dxa"/>
            <w:vAlign w:val="center"/>
            <w:hideMark/>
          </w:tcPr>
          <w:p w14:paraId="4A4B9D12"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0.69</w:t>
            </w:r>
          </w:p>
        </w:tc>
        <w:tc>
          <w:tcPr>
            <w:tcW w:w="900" w:type="dxa"/>
            <w:vAlign w:val="center"/>
            <w:hideMark/>
          </w:tcPr>
          <w:p w14:paraId="51D59F91"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0.63</w:t>
            </w:r>
          </w:p>
        </w:tc>
        <w:tc>
          <w:tcPr>
            <w:tcW w:w="810" w:type="dxa"/>
            <w:vAlign w:val="center"/>
            <w:hideMark/>
          </w:tcPr>
          <w:p w14:paraId="0B576A53"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0.86</w:t>
            </w:r>
          </w:p>
        </w:tc>
        <w:tc>
          <w:tcPr>
            <w:tcW w:w="845" w:type="dxa"/>
            <w:vMerge w:val="restart"/>
            <w:vAlign w:val="center"/>
            <w:hideMark/>
          </w:tcPr>
          <w:p w14:paraId="3396B42A"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hAnsiTheme="majorBidi" w:cstheme="majorBidi"/>
                <w:b/>
                <w:bCs/>
                <w:sz w:val="18"/>
                <w:szCs w:val="18"/>
              </w:rPr>
              <w:t>135</w:t>
            </w:r>
          </w:p>
        </w:tc>
        <w:tc>
          <w:tcPr>
            <w:tcW w:w="810" w:type="dxa"/>
            <w:vMerge w:val="restart"/>
            <w:vAlign w:val="center"/>
            <w:hideMark/>
          </w:tcPr>
          <w:p w14:paraId="378A8A12"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0.78</w:t>
            </w:r>
          </w:p>
        </w:tc>
        <w:tc>
          <w:tcPr>
            <w:tcW w:w="900" w:type="dxa"/>
            <w:vMerge w:val="restart"/>
            <w:vAlign w:val="center"/>
            <w:hideMark/>
          </w:tcPr>
          <w:p w14:paraId="58DFB412"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34</w:t>
            </w:r>
          </w:p>
        </w:tc>
        <w:tc>
          <w:tcPr>
            <w:tcW w:w="1155" w:type="dxa"/>
            <w:vMerge w:val="restart"/>
            <w:vAlign w:val="center"/>
          </w:tcPr>
          <w:p w14:paraId="190C0716"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8035A5">
              <w:rPr>
                <w:rFonts w:asciiTheme="majorBidi" w:hAnsiTheme="majorBidi" w:cstheme="majorBidi"/>
                <w:b/>
                <w:bCs/>
                <w:sz w:val="18"/>
                <w:szCs w:val="18"/>
              </w:rPr>
              <w:t>METAVIR</w:t>
            </w:r>
          </w:p>
        </w:tc>
        <w:tc>
          <w:tcPr>
            <w:tcW w:w="1545" w:type="dxa"/>
            <w:vMerge w:val="restart"/>
            <w:vAlign w:val="center"/>
          </w:tcPr>
          <w:p w14:paraId="7D7883B9"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8035A5">
              <w:rPr>
                <w:rFonts w:asciiTheme="majorBidi" w:eastAsiaTheme="minorHAnsi" w:hAnsiTheme="majorBidi" w:cstheme="majorBidi"/>
                <w:b/>
                <w:bCs/>
                <w:sz w:val="18"/>
                <w:szCs w:val="18"/>
                <w:lang w:eastAsia="en-US"/>
              </w:rPr>
              <w:t>HBV</w:t>
            </w:r>
          </w:p>
        </w:tc>
      </w:tr>
      <w:tr w:rsidR="002C7FFA" w:rsidRPr="008035A5" w14:paraId="7917854B" w14:textId="77777777" w:rsidTr="004F52BC">
        <w:trPr>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3A7AA2EF"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0DC97DB3"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hideMark/>
          </w:tcPr>
          <w:p w14:paraId="05E7EB76"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2D40C085"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28268011"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F3</w:t>
            </w:r>
          </w:p>
        </w:tc>
        <w:tc>
          <w:tcPr>
            <w:tcW w:w="1260" w:type="dxa"/>
            <w:vAlign w:val="center"/>
          </w:tcPr>
          <w:p w14:paraId="680BC62B"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0.32</w:t>
            </w:r>
          </w:p>
        </w:tc>
        <w:tc>
          <w:tcPr>
            <w:tcW w:w="900" w:type="dxa"/>
            <w:vAlign w:val="center"/>
            <w:hideMark/>
          </w:tcPr>
          <w:p w14:paraId="26BE5017"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0.86</w:t>
            </w:r>
          </w:p>
        </w:tc>
        <w:tc>
          <w:tcPr>
            <w:tcW w:w="810" w:type="dxa"/>
            <w:vAlign w:val="center"/>
            <w:hideMark/>
          </w:tcPr>
          <w:p w14:paraId="6E134E7B"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0.64</w:t>
            </w:r>
          </w:p>
        </w:tc>
        <w:tc>
          <w:tcPr>
            <w:tcW w:w="900" w:type="dxa"/>
            <w:vAlign w:val="center"/>
            <w:hideMark/>
          </w:tcPr>
          <w:p w14:paraId="75B6B380"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0.53</w:t>
            </w:r>
          </w:p>
        </w:tc>
        <w:tc>
          <w:tcPr>
            <w:tcW w:w="810" w:type="dxa"/>
            <w:vAlign w:val="center"/>
            <w:hideMark/>
          </w:tcPr>
          <w:p w14:paraId="7D112836"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0.91</w:t>
            </w:r>
          </w:p>
        </w:tc>
        <w:tc>
          <w:tcPr>
            <w:tcW w:w="845" w:type="dxa"/>
            <w:vMerge/>
            <w:vAlign w:val="center"/>
          </w:tcPr>
          <w:p w14:paraId="1640A36B"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810" w:type="dxa"/>
            <w:vMerge/>
            <w:vAlign w:val="center"/>
            <w:hideMark/>
          </w:tcPr>
          <w:p w14:paraId="48CA06D4"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0974CD62"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155" w:type="dxa"/>
            <w:vMerge/>
            <w:vAlign w:val="center"/>
          </w:tcPr>
          <w:p w14:paraId="60F7DE53"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c>
          <w:tcPr>
            <w:tcW w:w="1545" w:type="dxa"/>
            <w:vMerge/>
            <w:vAlign w:val="center"/>
          </w:tcPr>
          <w:p w14:paraId="2018F90F"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r>
      <w:tr w:rsidR="002C7FFA" w:rsidRPr="008035A5" w14:paraId="136979E4" w14:textId="77777777" w:rsidTr="004F52BC">
        <w:trPr>
          <w:cnfStyle w:val="000000100000" w:firstRow="0" w:lastRow="0" w:firstColumn="0" w:lastColumn="0" w:oddVBand="0" w:evenVBand="0" w:oddHBand="1"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16618E14"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3794443F"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tcPr>
          <w:p w14:paraId="4E0AFA74"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16371E9E"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5B9E4B25"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F4</w:t>
            </w:r>
          </w:p>
        </w:tc>
        <w:tc>
          <w:tcPr>
            <w:tcW w:w="1260" w:type="dxa"/>
            <w:vAlign w:val="center"/>
          </w:tcPr>
          <w:p w14:paraId="62B5A9AC"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0.56</w:t>
            </w:r>
          </w:p>
        </w:tc>
        <w:tc>
          <w:tcPr>
            <w:tcW w:w="900" w:type="dxa"/>
            <w:vAlign w:val="center"/>
            <w:hideMark/>
          </w:tcPr>
          <w:p w14:paraId="6E3B2684"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0.85</w:t>
            </w:r>
          </w:p>
        </w:tc>
        <w:tc>
          <w:tcPr>
            <w:tcW w:w="810" w:type="dxa"/>
            <w:vAlign w:val="center"/>
            <w:hideMark/>
          </w:tcPr>
          <w:p w14:paraId="6E417988"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0.76</w:t>
            </w:r>
          </w:p>
        </w:tc>
        <w:tc>
          <w:tcPr>
            <w:tcW w:w="900" w:type="dxa"/>
            <w:vAlign w:val="center"/>
            <w:hideMark/>
          </w:tcPr>
          <w:p w14:paraId="60E03FAE"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0.39</w:t>
            </w:r>
          </w:p>
        </w:tc>
        <w:tc>
          <w:tcPr>
            <w:tcW w:w="810" w:type="dxa"/>
            <w:vAlign w:val="center"/>
            <w:hideMark/>
          </w:tcPr>
          <w:p w14:paraId="15F7D7FF"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0.97</w:t>
            </w:r>
          </w:p>
        </w:tc>
        <w:tc>
          <w:tcPr>
            <w:tcW w:w="845" w:type="dxa"/>
            <w:vMerge/>
            <w:vAlign w:val="center"/>
          </w:tcPr>
          <w:p w14:paraId="602606AF"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810" w:type="dxa"/>
            <w:vMerge/>
            <w:vAlign w:val="center"/>
            <w:hideMark/>
          </w:tcPr>
          <w:p w14:paraId="2DDB587E"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52DEA959"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155" w:type="dxa"/>
            <w:vMerge/>
            <w:vAlign w:val="center"/>
          </w:tcPr>
          <w:p w14:paraId="4313916D"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c>
          <w:tcPr>
            <w:tcW w:w="1545" w:type="dxa"/>
            <w:vMerge/>
            <w:vAlign w:val="center"/>
          </w:tcPr>
          <w:p w14:paraId="60BED11F"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r>
      <w:tr w:rsidR="002C7FFA" w:rsidRPr="008035A5" w14:paraId="10534659" w14:textId="77777777" w:rsidTr="004F52BC">
        <w:trPr>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5075DB52"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546BBB2B"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tcPr>
          <w:p w14:paraId="43F84D6B"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restart"/>
            <w:vAlign w:val="center"/>
            <w:hideMark/>
          </w:tcPr>
          <w:p w14:paraId="27BED1D2"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France</w:t>
            </w:r>
          </w:p>
        </w:tc>
        <w:tc>
          <w:tcPr>
            <w:tcW w:w="900" w:type="dxa"/>
            <w:vAlign w:val="center"/>
            <w:hideMark/>
          </w:tcPr>
          <w:p w14:paraId="5E8437DC"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F2</w:t>
            </w:r>
          </w:p>
        </w:tc>
        <w:tc>
          <w:tcPr>
            <w:tcW w:w="1260" w:type="dxa"/>
            <w:vAlign w:val="center"/>
          </w:tcPr>
          <w:p w14:paraId="115FD335"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0.32</w:t>
            </w:r>
          </w:p>
        </w:tc>
        <w:tc>
          <w:tcPr>
            <w:tcW w:w="900" w:type="dxa"/>
            <w:vAlign w:val="center"/>
            <w:hideMark/>
          </w:tcPr>
          <w:p w14:paraId="24365B64"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0.73</w:t>
            </w:r>
          </w:p>
        </w:tc>
        <w:tc>
          <w:tcPr>
            <w:tcW w:w="810" w:type="dxa"/>
            <w:vAlign w:val="center"/>
            <w:hideMark/>
          </w:tcPr>
          <w:p w14:paraId="545CDB93"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0.49</w:t>
            </w:r>
          </w:p>
        </w:tc>
        <w:tc>
          <w:tcPr>
            <w:tcW w:w="900" w:type="dxa"/>
            <w:vAlign w:val="center"/>
            <w:hideMark/>
          </w:tcPr>
          <w:p w14:paraId="096084DA"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0.56</w:t>
            </w:r>
          </w:p>
        </w:tc>
        <w:tc>
          <w:tcPr>
            <w:tcW w:w="810" w:type="dxa"/>
            <w:vAlign w:val="center"/>
            <w:hideMark/>
          </w:tcPr>
          <w:p w14:paraId="56D548A1"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0.67</w:t>
            </w:r>
          </w:p>
        </w:tc>
        <w:tc>
          <w:tcPr>
            <w:tcW w:w="845" w:type="dxa"/>
            <w:vMerge w:val="restart"/>
            <w:vAlign w:val="center"/>
            <w:hideMark/>
          </w:tcPr>
          <w:p w14:paraId="4F50337C"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hAnsiTheme="majorBidi" w:cstheme="majorBidi"/>
                <w:b/>
                <w:bCs/>
                <w:sz w:val="18"/>
                <w:szCs w:val="18"/>
              </w:rPr>
              <w:t>63</w:t>
            </w:r>
          </w:p>
        </w:tc>
        <w:tc>
          <w:tcPr>
            <w:tcW w:w="810" w:type="dxa"/>
            <w:vMerge w:val="restart"/>
            <w:vAlign w:val="center"/>
            <w:hideMark/>
          </w:tcPr>
          <w:p w14:paraId="52D40492"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0.65</w:t>
            </w:r>
          </w:p>
        </w:tc>
        <w:tc>
          <w:tcPr>
            <w:tcW w:w="900" w:type="dxa"/>
            <w:vMerge w:val="restart"/>
            <w:vAlign w:val="center"/>
            <w:hideMark/>
          </w:tcPr>
          <w:p w14:paraId="2AC03DCA"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38</w:t>
            </w:r>
          </w:p>
        </w:tc>
        <w:tc>
          <w:tcPr>
            <w:tcW w:w="1155" w:type="dxa"/>
            <w:vMerge/>
            <w:vAlign w:val="center"/>
          </w:tcPr>
          <w:p w14:paraId="2C0F45AD"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c>
          <w:tcPr>
            <w:tcW w:w="1545" w:type="dxa"/>
            <w:vMerge/>
            <w:vAlign w:val="center"/>
          </w:tcPr>
          <w:p w14:paraId="60F0C8C6"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r>
      <w:tr w:rsidR="002C7FFA" w:rsidRPr="008035A5" w14:paraId="5253F4B5" w14:textId="77777777" w:rsidTr="004F52BC">
        <w:trPr>
          <w:cnfStyle w:val="000000100000" w:firstRow="0" w:lastRow="0" w:firstColumn="0" w:lastColumn="0" w:oddVBand="0" w:evenVBand="0" w:oddHBand="1"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65BE85D1"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592099B0"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tcPr>
          <w:p w14:paraId="52B4CAF4"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7CDAE08F"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73E5B9B1"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F3</w:t>
            </w:r>
          </w:p>
        </w:tc>
        <w:tc>
          <w:tcPr>
            <w:tcW w:w="1260" w:type="dxa"/>
            <w:vAlign w:val="center"/>
          </w:tcPr>
          <w:p w14:paraId="4F11C34C"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0.32</w:t>
            </w:r>
          </w:p>
        </w:tc>
        <w:tc>
          <w:tcPr>
            <w:tcW w:w="900" w:type="dxa"/>
            <w:vAlign w:val="center"/>
            <w:hideMark/>
          </w:tcPr>
          <w:p w14:paraId="777E0828"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0.80</w:t>
            </w:r>
          </w:p>
        </w:tc>
        <w:tc>
          <w:tcPr>
            <w:tcW w:w="810" w:type="dxa"/>
            <w:vAlign w:val="center"/>
            <w:hideMark/>
          </w:tcPr>
          <w:p w14:paraId="390BE6A9"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0.44</w:t>
            </w:r>
          </w:p>
        </w:tc>
        <w:tc>
          <w:tcPr>
            <w:tcW w:w="900" w:type="dxa"/>
            <w:vAlign w:val="center"/>
            <w:hideMark/>
          </w:tcPr>
          <w:p w14:paraId="189CAC40"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0.31</w:t>
            </w:r>
          </w:p>
        </w:tc>
        <w:tc>
          <w:tcPr>
            <w:tcW w:w="810" w:type="dxa"/>
            <w:vAlign w:val="center"/>
            <w:hideMark/>
          </w:tcPr>
          <w:p w14:paraId="4D88D855"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0.88</w:t>
            </w:r>
          </w:p>
        </w:tc>
        <w:tc>
          <w:tcPr>
            <w:tcW w:w="845" w:type="dxa"/>
            <w:vMerge/>
            <w:vAlign w:val="center"/>
          </w:tcPr>
          <w:p w14:paraId="15E020DA"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810" w:type="dxa"/>
            <w:vMerge/>
            <w:vAlign w:val="center"/>
            <w:hideMark/>
          </w:tcPr>
          <w:p w14:paraId="52591B38"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3F760CE2"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155" w:type="dxa"/>
            <w:vMerge/>
            <w:vAlign w:val="center"/>
          </w:tcPr>
          <w:p w14:paraId="2ED91644"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c>
          <w:tcPr>
            <w:tcW w:w="1545" w:type="dxa"/>
            <w:vMerge/>
            <w:vAlign w:val="center"/>
          </w:tcPr>
          <w:p w14:paraId="5937F236"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r>
      <w:tr w:rsidR="002C7FFA" w:rsidRPr="008035A5" w14:paraId="2FB6342D" w14:textId="77777777" w:rsidTr="004F52BC">
        <w:trPr>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79DF9D97"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12ADA1E5"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tcPr>
          <w:p w14:paraId="2A28815E"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6EF7CF4F"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33D8F393"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F4</w:t>
            </w:r>
          </w:p>
        </w:tc>
        <w:tc>
          <w:tcPr>
            <w:tcW w:w="1260" w:type="dxa"/>
            <w:vAlign w:val="center"/>
          </w:tcPr>
          <w:p w14:paraId="25051B35"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0.56</w:t>
            </w:r>
          </w:p>
        </w:tc>
        <w:tc>
          <w:tcPr>
            <w:tcW w:w="900" w:type="dxa"/>
            <w:vAlign w:val="center"/>
            <w:hideMark/>
          </w:tcPr>
          <w:p w14:paraId="4FF17AB3"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1.00</w:t>
            </w:r>
          </w:p>
        </w:tc>
        <w:tc>
          <w:tcPr>
            <w:tcW w:w="810" w:type="dxa"/>
            <w:vAlign w:val="center"/>
            <w:hideMark/>
          </w:tcPr>
          <w:p w14:paraId="7DFCF293"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0.68</w:t>
            </w:r>
          </w:p>
        </w:tc>
        <w:tc>
          <w:tcPr>
            <w:tcW w:w="900" w:type="dxa"/>
            <w:vAlign w:val="center"/>
            <w:hideMark/>
          </w:tcPr>
          <w:p w14:paraId="6BF2F187"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0.17</w:t>
            </w:r>
          </w:p>
        </w:tc>
        <w:tc>
          <w:tcPr>
            <w:tcW w:w="810" w:type="dxa"/>
            <w:vAlign w:val="center"/>
            <w:hideMark/>
          </w:tcPr>
          <w:p w14:paraId="6228B942"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1.00</w:t>
            </w:r>
          </w:p>
        </w:tc>
        <w:tc>
          <w:tcPr>
            <w:tcW w:w="845" w:type="dxa"/>
            <w:vMerge/>
            <w:vAlign w:val="center"/>
          </w:tcPr>
          <w:p w14:paraId="4F580480"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810" w:type="dxa"/>
            <w:vMerge/>
            <w:vAlign w:val="center"/>
            <w:hideMark/>
          </w:tcPr>
          <w:p w14:paraId="7EB16F13"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77FF1E2A"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155" w:type="dxa"/>
            <w:vMerge/>
            <w:vAlign w:val="center"/>
          </w:tcPr>
          <w:p w14:paraId="1135319D"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c>
          <w:tcPr>
            <w:tcW w:w="1545" w:type="dxa"/>
            <w:vMerge/>
            <w:vAlign w:val="center"/>
          </w:tcPr>
          <w:p w14:paraId="40BD0D5B"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r>
      <w:tr w:rsidR="002C7FFA" w:rsidRPr="008035A5" w14:paraId="6F115381" w14:textId="77777777" w:rsidTr="004F52BC">
        <w:trPr>
          <w:cnfStyle w:val="000000100000" w:firstRow="0" w:lastRow="0" w:firstColumn="0" w:lastColumn="0" w:oddVBand="0" w:evenVBand="0" w:oddHBand="1"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7BFC6D33"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1DF628FA"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tcPr>
          <w:p w14:paraId="078EC495"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restart"/>
            <w:vAlign w:val="center"/>
            <w:hideMark/>
          </w:tcPr>
          <w:p w14:paraId="0B183FBB"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Senegal</w:t>
            </w:r>
          </w:p>
        </w:tc>
        <w:tc>
          <w:tcPr>
            <w:tcW w:w="900" w:type="dxa"/>
            <w:vAlign w:val="center"/>
            <w:hideMark/>
          </w:tcPr>
          <w:p w14:paraId="3C5193DE"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F2</w:t>
            </w:r>
          </w:p>
        </w:tc>
        <w:tc>
          <w:tcPr>
            <w:tcW w:w="1260" w:type="dxa"/>
            <w:vAlign w:val="center"/>
          </w:tcPr>
          <w:p w14:paraId="20A28890"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0.32</w:t>
            </w:r>
          </w:p>
        </w:tc>
        <w:tc>
          <w:tcPr>
            <w:tcW w:w="900" w:type="dxa"/>
            <w:vAlign w:val="center"/>
            <w:hideMark/>
          </w:tcPr>
          <w:p w14:paraId="165DB8C8"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0.50</w:t>
            </w:r>
          </w:p>
        </w:tc>
        <w:tc>
          <w:tcPr>
            <w:tcW w:w="810" w:type="dxa"/>
            <w:vAlign w:val="center"/>
            <w:hideMark/>
          </w:tcPr>
          <w:p w14:paraId="24869A8A"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0.83</w:t>
            </w:r>
          </w:p>
        </w:tc>
        <w:tc>
          <w:tcPr>
            <w:tcW w:w="900" w:type="dxa"/>
            <w:vAlign w:val="center"/>
            <w:hideMark/>
          </w:tcPr>
          <w:p w14:paraId="5AE3575B"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0.59</w:t>
            </w:r>
          </w:p>
        </w:tc>
        <w:tc>
          <w:tcPr>
            <w:tcW w:w="810" w:type="dxa"/>
            <w:vAlign w:val="center"/>
            <w:hideMark/>
          </w:tcPr>
          <w:p w14:paraId="5E9B12E0"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0.78</w:t>
            </w:r>
          </w:p>
        </w:tc>
        <w:tc>
          <w:tcPr>
            <w:tcW w:w="845" w:type="dxa"/>
            <w:vMerge w:val="restart"/>
            <w:vAlign w:val="center"/>
            <w:hideMark/>
          </w:tcPr>
          <w:p w14:paraId="7E300CE3"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hAnsiTheme="majorBidi" w:cstheme="majorBidi"/>
                <w:b/>
                <w:bCs/>
                <w:sz w:val="18"/>
                <w:szCs w:val="18"/>
              </w:rPr>
              <w:t>80</w:t>
            </w:r>
          </w:p>
        </w:tc>
        <w:tc>
          <w:tcPr>
            <w:tcW w:w="810" w:type="dxa"/>
            <w:vMerge w:val="restart"/>
            <w:vAlign w:val="center"/>
            <w:hideMark/>
          </w:tcPr>
          <w:p w14:paraId="146B67CA"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0.84</w:t>
            </w:r>
          </w:p>
        </w:tc>
        <w:tc>
          <w:tcPr>
            <w:tcW w:w="900" w:type="dxa"/>
            <w:vMerge w:val="restart"/>
            <w:vAlign w:val="center"/>
            <w:hideMark/>
          </w:tcPr>
          <w:p w14:paraId="777965A7"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28</w:t>
            </w:r>
          </w:p>
        </w:tc>
        <w:tc>
          <w:tcPr>
            <w:tcW w:w="1155" w:type="dxa"/>
            <w:vMerge/>
            <w:vAlign w:val="center"/>
          </w:tcPr>
          <w:p w14:paraId="073DBD7E"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c>
          <w:tcPr>
            <w:tcW w:w="1545" w:type="dxa"/>
            <w:vMerge/>
            <w:vAlign w:val="center"/>
          </w:tcPr>
          <w:p w14:paraId="669B4E22" w14:textId="77777777" w:rsidR="002C7FFA" w:rsidRPr="008035A5" w:rsidRDefault="002C7FFA">
            <w:pPr>
              <w:pStyle w:val="Paragraph"/>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r>
      <w:tr w:rsidR="002C7FFA" w:rsidRPr="008035A5" w14:paraId="553D1CAF" w14:textId="77777777" w:rsidTr="004F52BC">
        <w:trPr>
          <w:trHeight w:val="72"/>
          <w:jc w:val="center"/>
        </w:trPr>
        <w:tc>
          <w:tcPr>
            <w:cnfStyle w:val="001000000000" w:firstRow="0" w:lastRow="0" w:firstColumn="1" w:lastColumn="0" w:oddVBand="0" w:evenVBand="0" w:oddHBand="0" w:evenHBand="0" w:firstRowFirstColumn="0" w:firstRowLastColumn="0" w:lastRowFirstColumn="0" w:lastRowLastColumn="0"/>
            <w:tcW w:w="645" w:type="dxa"/>
            <w:vMerge/>
            <w:vAlign w:val="center"/>
          </w:tcPr>
          <w:p w14:paraId="06BD5DF3" w14:textId="77777777" w:rsidR="002C7FFA" w:rsidRPr="008035A5" w:rsidRDefault="002C7FFA">
            <w:pPr>
              <w:pStyle w:val="Paragraph"/>
              <w:spacing w:before="0" w:line="240" w:lineRule="auto"/>
              <w:jc w:val="center"/>
              <w:rPr>
                <w:rFonts w:asciiTheme="majorBidi" w:eastAsiaTheme="minorHAnsi" w:hAnsiTheme="majorBidi" w:cstheme="majorBidi"/>
                <w:b w:val="0"/>
                <w:bCs w:val="0"/>
                <w:i/>
                <w:iCs/>
                <w:sz w:val="18"/>
                <w:szCs w:val="18"/>
                <w:lang w:eastAsia="en-US"/>
              </w:rPr>
            </w:pPr>
          </w:p>
        </w:tc>
        <w:tc>
          <w:tcPr>
            <w:tcW w:w="1960" w:type="dxa"/>
            <w:vMerge/>
            <w:vAlign w:val="center"/>
            <w:hideMark/>
          </w:tcPr>
          <w:p w14:paraId="29C9DDEA"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630" w:type="dxa"/>
            <w:vMerge/>
            <w:vAlign w:val="center"/>
            <w:hideMark/>
          </w:tcPr>
          <w:p w14:paraId="40531B0C"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4F41684F"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Align w:val="center"/>
            <w:hideMark/>
          </w:tcPr>
          <w:p w14:paraId="1B4B8D72"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r w:rsidRPr="008035A5">
              <w:rPr>
                <w:rFonts w:asciiTheme="majorBidi" w:eastAsiaTheme="minorHAnsi" w:hAnsiTheme="majorBidi" w:cstheme="majorBidi"/>
                <w:b/>
                <w:bCs/>
                <w:sz w:val="18"/>
                <w:szCs w:val="18"/>
                <w:lang w:eastAsia="en-US"/>
              </w:rPr>
              <w:t>F3</w:t>
            </w:r>
          </w:p>
        </w:tc>
        <w:tc>
          <w:tcPr>
            <w:tcW w:w="1260" w:type="dxa"/>
            <w:vAlign w:val="center"/>
          </w:tcPr>
          <w:p w14:paraId="3C7E13B9"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8035A5">
              <w:rPr>
                <w:rFonts w:asciiTheme="majorBidi" w:hAnsiTheme="majorBidi" w:cstheme="majorBidi"/>
                <w:b/>
                <w:bCs/>
                <w:sz w:val="18"/>
                <w:szCs w:val="18"/>
              </w:rPr>
              <w:t>0.32</w:t>
            </w:r>
          </w:p>
        </w:tc>
        <w:tc>
          <w:tcPr>
            <w:tcW w:w="900" w:type="dxa"/>
            <w:vAlign w:val="center"/>
            <w:hideMark/>
          </w:tcPr>
          <w:p w14:paraId="4BC77AB8"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0.89</w:t>
            </w:r>
          </w:p>
        </w:tc>
        <w:tc>
          <w:tcPr>
            <w:tcW w:w="810" w:type="dxa"/>
            <w:vAlign w:val="center"/>
            <w:hideMark/>
          </w:tcPr>
          <w:p w14:paraId="3EBBCEDE"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0.80</w:t>
            </w:r>
          </w:p>
        </w:tc>
        <w:tc>
          <w:tcPr>
            <w:tcW w:w="900" w:type="dxa"/>
            <w:vAlign w:val="center"/>
            <w:hideMark/>
          </w:tcPr>
          <w:p w14:paraId="45FBF550"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0.36</w:t>
            </w:r>
          </w:p>
        </w:tc>
        <w:tc>
          <w:tcPr>
            <w:tcW w:w="810" w:type="dxa"/>
            <w:vAlign w:val="center"/>
            <w:hideMark/>
          </w:tcPr>
          <w:p w14:paraId="6DFECFA8"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8"/>
                <w:szCs w:val="18"/>
                <w:lang w:eastAsia="en-US"/>
              </w:rPr>
            </w:pPr>
            <w:r w:rsidRPr="008035A5">
              <w:rPr>
                <w:rFonts w:asciiTheme="majorBidi" w:hAnsiTheme="majorBidi" w:cstheme="majorBidi"/>
                <w:sz w:val="18"/>
                <w:szCs w:val="18"/>
              </w:rPr>
              <w:t>0.98</w:t>
            </w:r>
          </w:p>
        </w:tc>
        <w:tc>
          <w:tcPr>
            <w:tcW w:w="845" w:type="dxa"/>
            <w:vMerge/>
            <w:vAlign w:val="center"/>
            <w:hideMark/>
          </w:tcPr>
          <w:p w14:paraId="637158D0"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810" w:type="dxa"/>
            <w:vMerge/>
            <w:vAlign w:val="center"/>
            <w:hideMark/>
          </w:tcPr>
          <w:p w14:paraId="0E691C46"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900" w:type="dxa"/>
            <w:vMerge/>
            <w:vAlign w:val="center"/>
            <w:hideMark/>
          </w:tcPr>
          <w:p w14:paraId="716E74CE"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sz w:val="18"/>
                <w:szCs w:val="18"/>
                <w:lang w:eastAsia="en-US"/>
              </w:rPr>
            </w:pPr>
          </w:p>
        </w:tc>
        <w:tc>
          <w:tcPr>
            <w:tcW w:w="1155" w:type="dxa"/>
            <w:vMerge/>
            <w:vAlign w:val="center"/>
          </w:tcPr>
          <w:p w14:paraId="3583F8B3"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c>
          <w:tcPr>
            <w:tcW w:w="1545" w:type="dxa"/>
            <w:vMerge/>
            <w:vAlign w:val="center"/>
          </w:tcPr>
          <w:p w14:paraId="22E8BA3B" w14:textId="77777777" w:rsidR="002C7FFA" w:rsidRPr="008035A5" w:rsidRDefault="002C7FFA">
            <w:pPr>
              <w:pStyle w:val="Paragraph"/>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r>
    </w:tbl>
    <w:p w14:paraId="248248B5" w14:textId="77777777" w:rsidR="002C7FFA" w:rsidRPr="008035A5" w:rsidRDefault="002C7FFA">
      <w:pPr>
        <w:spacing w:before="0" w:after="160" w:line="259" w:lineRule="auto"/>
        <w:jc w:val="left"/>
        <w:rPr>
          <w:rFonts w:eastAsiaTheme="minorHAnsi"/>
          <w:lang w:val="en-GB" w:eastAsia="en-US" w:bidi="ar-SA"/>
        </w:rPr>
      </w:pPr>
      <w:r w:rsidRPr="008035A5">
        <w:rPr>
          <w:rFonts w:eastAsiaTheme="minorHAnsi"/>
          <w:lang w:val="en-GB" w:eastAsia="en-US" w:bidi="ar-SA"/>
        </w:rPr>
        <w:br w:type="page"/>
      </w:r>
    </w:p>
    <w:p w14:paraId="352C0725" w14:textId="77777777" w:rsidR="002C7FFA" w:rsidRPr="008035A5" w:rsidRDefault="002C7FFA">
      <w:pPr>
        <w:spacing w:before="0" w:after="160" w:line="259" w:lineRule="auto"/>
        <w:jc w:val="left"/>
        <w:rPr>
          <w:rFonts w:eastAsiaTheme="minorHAnsi"/>
          <w:lang w:val="en-GB" w:eastAsia="en-US" w:bidi="ar-SA"/>
        </w:rPr>
        <w:sectPr w:rsidR="002C7FFA" w:rsidRPr="008035A5" w:rsidSect="002C7FFA">
          <w:pgSz w:w="15840" w:h="12240" w:orient="landscape"/>
          <w:pgMar w:top="1440" w:right="1440" w:bottom="1440" w:left="806" w:header="720" w:footer="720" w:gutter="0"/>
          <w:cols w:space="720"/>
          <w:docGrid w:linePitch="360"/>
        </w:sectPr>
      </w:pPr>
    </w:p>
    <w:p w14:paraId="751AE38A" w14:textId="77777777" w:rsidR="002C7FFA" w:rsidRPr="008035A5" w:rsidRDefault="002C7FFA" w:rsidP="006A2D1F">
      <w:pPr>
        <w:pStyle w:val="Heading1"/>
        <w:rPr>
          <w:noProof/>
          <w:lang w:val="en-GB" w:eastAsia="en-US" w:bidi="ar-SA"/>
        </w:rPr>
      </w:pPr>
      <w:bookmarkStart w:id="4" w:name="_Toc156977641"/>
      <w:r w:rsidRPr="008035A5">
        <w:rPr>
          <w:noProof/>
          <w:lang w:val="en-GB" w:eastAsia="en-US" w:bidi="ar-SA"/>
        </w:rPr>
        <w:lastRenderedPageBreak/>
        <w:t>Risk of bias assessment</w:t>
      </w:r>
      <w:bookmarkEnd w:id="4"/>
    </w:p>
    <w:p w14:paraId="239821D1" w14:textId="77777777" w:rsidR="002C7FFA" w:rsidRPr="008035A5" w:rsidRDefault="002C7FFA" w:rsidP="006A2D1F">
      <w:pPr>
        <w:rPr>
          <w:lang w:val="en-GB" w:eastAsia="en-US" w:bidi="ar-SA"/>
        </w:rPr>
      </w:pPr>
      <w:r w:rsidRPr="008035A5">
        <w:rPr>
          <w:b/>
          <w:bCs/>
          <w:noProof/>
          <w:lang w:val="en-GB" w:eastAsia="en-US" w:bidi="ar-SA"/>
        </w:rPr>
        <w:drawing>
          <wp:anchor distT="0" distB="0" distL="114300" distR="114300" simplePos="0" relativeHeight="251659264" behindDoc="0" locked="0" layoutInCell="1" allowOverlap="1" wp14:anchorId="5804E16A" wp14:editId="1FEC3E5E">
            <wp:simplePos x="0" y="0"/>
            <wp:positionH relativeFrom="column">
              <wp:posOffset>0</wp:posOffset>
            </wp:positionH>
            <wp:positionV relativeFrom="paragraph">
              <wp:posOffset>302260</wp:posOffset>
            </wp:positionV>
            <wp:extent cx="3571875" cy="7216140"/>
            <wp:effectExtent l="0" t="0" r="9525" b="3810"/>
            <wp:wrapTopAndBottom/>
            <wp:docPr id="192199168" name="Picture 192199168" descr="A screenshot of a t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99168" name="Picture 1" descr="A screenshot of a tes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71875" cy="7216140"/>
                    </a:xfrm>
                    <a:prstGeom prst="rect">
                      <a:avLst/>
                    </a:prstGeom>
                  </pic:spPr>
                </pic:pic>
              </a:graphicData>
            </a:graphic>
            <wp14:sizeRelH relativeFrom="margin">
              <wp14:pctWidth>0</wp14:pctWidth>
            </wp14:sizeRelH>
            <wp14:sizeRelV relativeFrom="margin">
              <wp14:pctHeight>0</wp14:pctHeight>
            </wp14:sizeRelV>
          </wp:anchor>
        </w:drawing>
      </w:r>
    </w:p>
    <w:p w14:paraId="1E560BFF" w14:textId="77777777" w:rsidR="002C7FFA" w:rsidRPr="008035A5" w:rsidRDefault="002C7FFA" w:rsidP="005757F0">
      <w:pPr>
        <w:pStyle w:val="Caption"/>
        <w:rPr>
          <w:b w:val="0"/>
          <w:bCs w:val="0"/>
          <w:noProof/>
          <w:lang w:val="en-GB" w:eastAsia="en-US" w:bidi="ar-SA"/>
        </w:rPr>
        <w:sectPr w:rsidR="002C7FFA" w:rsidRPr="008035A5" w:rsidSect="002C7FFA">
          <w:pgSz w:w="12240" w:h="15840"/>
          <w:pgMar w:top="806" w:right="1440" w:bottom="1440" w:left="1440" w:header="720" w:footer="720" w:gutter="0"/>
          <w:cols w:space="720"/>
          <w:docGrid w:linePitch="360"/>
        </w:sectPr>
      </w:pPr>
      <w:r w:rsidRPr="008035A5">
        <w:t>Figure S</w:t>
      </w:r>
      <w:fldSimple w:instr=" SEQ Figure_S \* ARABIC ">
        <w:r w:rsidRPr="008035A5">
          <w:rPr>
            <w:noProof/>
          </w:rPr>
          <w:t>1</w:t>
        </w:r>
      </w:fldSimple>
      <w:r w:rsidRPr="008035A5">
        <w:rPr>
          <w:noProof/>
          <w:lang w:val="en-GB" w:eastAsia="en-US" w:bidi="ar-SA"/>
        </w:rPr>
        <w:t>: Risk of Bias Traffic Plot</w:t>
      </w:r>
    </w:p>
    <w:p w14:paraId="6616EA89" w14:textId="77777777" w:rsidR="002C7FFA" w:rsidRPr="008035A5" w:rsidRDefault="002C7FFA" w:rsidP="006A2D1F">
      <w:pPr>
        <w:pStyle w:val="Heading1"/>
        <w:rPr>
          <w:noProof/>
          <w:lang w:val="en-GB" w:eastAsia="en-US" w:bidi="ar-SA"/>
        </w:rPr>
      </w:pPr>
      <w:bookmarkStart w:id="5" w:name="_Toc156977642"/>
      <w:r w:rsidRPr="008035A5">
        <w:rPr>
          <w:noProof/>
          <w:lang w:val="en-GB" w:eastAsia="en-US" w:bidi="ar-SA"/>
        </w:rPr>
        <w:lastRenderedPageBreak/>
        <w:t>Summary of risk of bias assessment</w:t>
      </w:r>
      <w:bookmarkEnd w:id="5"/>
    </w:p>
    <w:p w14:paraId="18306CC1" w14:textId="77777777" w:rsidR="002C7FFA" w:rsidRPr="008035A5" w:rsidRDefault="002C7FFA" w:rsidP="006A2D1F">
      <w:pPr>
        <w:rPr>
          <w:lang w:val="en-GB" w:eastAsia="en-US" w:bidi="ar-SA"/>
        </w:rPr>
      </w:pPr>
      <w:r w:rsidRPr="008035A5">
        <w:rPr>
          <w:b/>
          <w:bCs/>
          <w:noProof/>
          <w:lang w:val="en-GB" w:eastAsia="en-US" w:bidi="ar-SA"/>
        </w:rPr>
        <w:drawing>
          <wp:inline distT="0" distB="0" distL="0" distR="0" wp14:anchorId="5080592E" wp14:editId="66EA1C77">
            <wp:extent cx="5859780" cy="3150235"/>
            <wp:effectExtent l="0" t="0" r="7620" b="0"/>
            <wp:docPr id="729235522" name="Picture 729235522" descr="A green and yellow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235522" name="Picture 2" descr="A green and yellow bar char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859780" cy="3150235"/>
                    </a:xfrm>
                    <a:prstGeom prst="rect">
                      <a:avLst/>
                    </a:prstGeom>
                  </pic:spPr>
                </pic:pic>
              </a:graphicData>
            </a:graphic>
          </wp:inline>
        </w:drawing>
      </w:r>
    </w:p>
    <w:p w14:paraId="14C8D992" w14:textId="77777777" w:rsidR="002C7FFA" w:rsidRPr="008035A5" w:rsidRDefault="002C7FFA" w:rsidP="005757F0">
      <w:pPr>
        <w:pStyle w:val="Caption"/>
        <w:rPr>
          <w:lang w:val="en-GB" w:eastAsia="en-US" w:bidi="ar-SA"/>
        </w:rPr>
      </w:pPr>
      <w:r w:rsidRPr="008035A5">
        <w:t>Figure S</w:t>
      </w:r>
      <w:fldSimple w:instr=" SEQ Figure_S \* ARABIC ">
        <w:r w:rsidRPr="008035A5">
          <w:rPr>
            <w:noProof/>
          </w:rPr>
          <w:t>2</w:t>
        </w:r>
      </w:fldSimple>
      <w:r w:rsidRPr="008035A5">
        <w:t xml:space="preserve">. </w:t>
      </w:r>
      <w:r w:rsidRPr="008035A5">
        <w:rPr>
          <w:noProof/>
          <w:lang w:val="en-GB" w:eastAsia="en-US" w:bidi="ar-SA"/>
        </w:rPr>
        <w:t>Risk of Bias Summary Plot</w:t>
      </w:r>
    </w:p>
    <w:p w14:paraId="784F6504" w14:textId="77777777" w:rsidR="002C7FFA" w:rsidRPr="008035A5" w:rsidRDefault="002C7FFA" w:rsidP="004F52BC">
      <w:pPr>
        <w:rPr>
          <w:lang w:val="en-GB" w:eastAsia="en-US" w:bidi="ar-SA"/>
        </w:rPr>
      </w:pPr>
    </w:p>
    <w:p w14:paraId="18E34663" w14:textId="77777777" w:rsidR="002C7FFA" w:rsidRPr="008035A5" w:rsidRDefault="002C7FFA" w:rsidP="004F52BC">
      <w:pPr>
        <w:rPr>
          <w:lang w:val="en-GB" w:eastAsia="en-US" w:bidi="ar-SA"/>
        </w:rPr>
      </w:pPr>
    </w:p>
    <w:p w14:paraId="62100839" w14:textId="77777777" w:rsidR="002C7FFA" w:rsidRPr="008035A5" w:rsidRDefault="002C7FFA" w:rsidP="004F52BC">
      <w:pPr>
        <w:rPr>
          <w:lang w:val="en-GB" w:eastAsia="en-US" w:bidi="ar-SA"/>
        </w:rPr>
      </w:pPr>
    </w:p>
    <w:p w14:paraId="1C185EC2" w14:textId="77777777" w:rsidR="002C7FFA" w:rsidRPr="008035A5" w:rsidRDefault="002C7FFA" w:rsidP="004F52BC">
      <w:pPr>
        <w:rPr>
          <w:lang w:val="en-GB" w:eastAsia="en-US" w:bidi="ar-SA"/>
        </w:rPr>
      </w:pPr>
    </w:p>
    <w:p w14:paraId="6DF7E91A" w14:textId="77777777" w:rsidR="002C7FFA" w:rsidRPr="008035A5" w:rsidRDefault="002C7FFA" w:rsidP="004F52BC">
      <w:pPr>
        <w:rPr>
          <w:lang w:val="en-GB" w:eastAsia="en-US" w:bidi="ar-SA"/>
        </w:rPr>
      </w:pPr>
    </w:p>
    <w:p w14:paraId="5AB6863A" w14:textId="77777777" w:rsidR="002C7FFA" w:rsidRPr="008035A5" w:rsidRDefault="002C7FFA" w:rsidP="004F52BC">
      <w:pPr>
        <w:rPr>
          <w:lang w:val="en-GB" w:eastAsia="en-US" w:bidi="ar-SA"/>
        </w:rPr>
      </w:pPr>
    </w:p>
    <w:p w14:paraId="27483B9C" w14:textId="77777777" w:rsidR="002C7FFA" w:rsidRPr="008035A5" w:rsidRDefault="002C7FFA" w:rsidP="004F52BC">
      <w:pPr>
        <w:rPr>
          <w:lang w:val="en-GB" w:eastAsia="en-US" w:bidi="ar-SA"/>
        </w:rPr>
        <w:sectPr w:rsidR="002C7FFA" w:rsidRPr="008035A5" w:rsidSect="002C7FFA">
          <w:pgSz w:w="12240" w:h="15840"/>
          <w:pgMar w:top="806" w:right="1440" w:bottom="1440" w:left="1440" w:header="720" w:footer="720" w:gutter="0"/>
          <w:cols w:space="720"/>
          <w:docGrid w:linePitch="360"/>
        </w:sectPr>
      </w:pPr>
    </w:p>
    <w:p w14:paraId="19238FAA" w14:textId="77777777" w:rsidR="002C7FFA" w:rsidRPr="008035A5" w:rsidRDefault="002C7FFA" w:rsidP="006A2D1F">
      <w:pPr>
        <w:pStyle w:val="Heading1"/>
        <w:rPr>
          <w:noProof/>
          <w:lang w:val="en-GB" w:eastAsia="en-US" w:bidi="ar-SA"/>
        </w:rPr>
      </w:pPr>
      <w:bookmarkStart w:id="6" w:name="_Toc156977643"/>
      <w:r w:rsidRPr="008035A5">
        <w:lastRenderedPageBreak/>
        <w:t>Pooled sensitivity and Specificity of GPR in diagnosing severe fibrosis (F3)</w:t>
      </w:r>
      <w:bookmarkEnd w:id="6"/>
    </w:p>
    <w:p w14:paraId="044B24E2" w14:textId="77777777" w:rsidR="002C7FFA" w:rsidRPr="008035A5" w:rsidRDefault="002C7FFA" w:rsidP="00FF6D8A">
      <w:pPr>
        <w:rPr>
          <w:noProof/>
          <w:lang w:val="en-GB" w:eastAsia="en-US" w:bidi="ar-SA"/>
        </w:rPr>
      </w:pPr>
      <w:r w:rsidRPr="008035A5">
        <w:rPr>
          <w:noProof/>
          <w:lang w:val="en-GB" w:eastAsia="en-US" w:bidi="ar-SA"/>
        </w:rPr>
        <w:drawing>
          <wp:inline distT="0" distB="0" distL="0" distR="0" wp14:anchorId="3E52EA81" wp14:editId="0DFB3893">
            <wp:extent cx="5943600" cy="3215640"/>
            <wp:effectExtent l="0" t="0" r="0" b="3810"/>
            <wp:docPr id="1427694432" name="Picture 142769443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694432" name="Picture 1" descr="A screenshot of a computer&#10;&#10;Description automatically generated"/>
                    <pic:cNvPicPr/>
                  </pic:nvPicPr>
                  <pic:blipFill>
                    <a:blip r:embed="rId13"/>
                    <a:stretch>
                      <a:fillRect/>
                    </a:stretch>
                  </pic:blipFill>
                  <pic:spPr>
                    <a:xfrm>
                      <a:off x="0" y="0"/>
                      <a:ext cx="5943600" cy="3215640"/>
                    </a:xfrm>
                    <a:prstGeom prst="rect">
                      <a:avLst/>
                    </a:prstGeom>
                  </pic:spPr>
                </pic:pic>
              </a:graphicData>
            </a:graphic>
          </wp:inline>
        </w:drawing>
      </w:r>
    </w:p>
    <w:p w14:paraId="51D2A773" w14:textId="77777777" w:rsidR="002C7FFA" w:rsidRPr="008035A5" w:rsidRDefault="002C7FFA" w:rsidP="001267E7">
      <w:pPr>
        <w:pStyle w:val="Caption"/>
      </w:pPr>
      <w:r w:rsidRPr="008035A5">
        <w:t>Figure S</w:t>
      </w:r>
      <w:fldSimple w:instr=" SEQ Figure_S \* ARABIC ">
        <w:r w:rsidRPr="008035A5">
          <w:rPr>
            <w:noProof/>
          </w:rPr>
          <w:t>3</w:t>
        </w:r>
      </w:fldSimple>
      <w:r w:rsidRPr="008035A5">
        <w:t>. Pooled sensitivity and Specificity of GPR in diagnosing severe fibrosis (F3)</w:t>
      </w:r>
    </w:p>
    <w:p w14:paraId="196ECD35" w14:textId="77777777" w:rsidR="002C7FFA" w:rsidRPr="008035A5" w:rsidRDefault="002C7FFA" w:rsidP="00571EE8"/>
    <w:p w14:paraId="4AC32958" w14:textId="77777777" w:rsidR="002C7FFA" w:rsidRPr="008035A5" w:rsidRDefault="002C7FFA">
      <w:pPr>
        <w:spacing w:before="0" w:after="160" w:line="259" w:lineRule="auto"/>
        <w:jc w:val="left"/>
        <w:rPr>
          <w:lang w:val="en-GB" w:eastAsia="en-US" w:bidi="ar-SA"/>
        </w:rPr>
      </w:pPr>
      <w:r w:rsidRPr="008035A5">
        <w:rPr>
          <w:lang w:val="en-GB" w:eastAsia="en-US" w:bidi="ar-SA"/>
        </w:rPr>
        <w:br w:type="page"/>
      </w:r>
      <w:r w:rsidRPr="008035A5">
        <w:rPr>
          <w:lang w:val="en-GB" w:eastAsia="en-US" w:bidi="ar-SA"/>
        </w:rPr>
        <w:lastRenderedPageBreak/>
        <w:br w:type="page"/>
      </w:r>
    </w:p>
    <w:p w14:paraId="3C15EC8F" w14:textId="77777777" w:rsidR="002C7FFA" w:rsidRPr="008035A5" w:rsidRDefault="002C7FFA" w:rsidP="00EA0410">
      <w:pPr>
        <w:pStyle w:val="Heading1"/>
        <w:rPr>
          <w:lang w:val="en-GB" w:eastAsia="en-US" w:bidi="ar-SA"/>
        </w:rPr>
      </w:pPr>
      <w:bookmarkStart w:id="7" w:name="_Toc156977644"/>
      <w:r w:rsidRPr="008035A5">
        <w:rPr>
          <w:lang w:val="en-GB" w:eastAsia="en-US" w:bidi="ar-SA"/>
        </w:rPr>
        <w:lastRenderedPageBreak/>
        <w:t xml:space="preserve">Hierarchical Summary Receiver Operating Curve for the different fibrosis </w:t>
      </w:r>
      <w:proofErr w:type="spellStart"/>
      <w:r w:rsidRPr="008035A5">
        <w:rPr>
          <w:lang w:val="en-GB" w:eastAsia="en-US" w:bidi="ar-SA"/>
        </w:rPr>
        <w:t>staages</w:t>
      </w:r>
      <w:bookmarkEnd w:id="7"/>
      <w:proofErr w:type="spellEnd"/>
    </w:p>
    <w:p w14:paraId="302110C1" w14:textId="77777777" w:rsidR="002C7FFA" w:rsidRPr="008035A5" w:rsidRDefault="002C7FFA" w:rsidP="00EA0410">
      <w:pPr>
        <w:jc w:val="center"/>
        <w:rPr>
          <w:rFonts w:eastAsiaTheme="minorHAnsi"/>
        </w:rPr>
      </w:pPr>
      <w:r w:rsidRPr="008035A5">
        <w:rPr>
          <w:rFonts w:eastAsiaTheme="minorHAnsi"/>
          <w:noProof/>
        </w:rPr>
        <w:drawing>
          <wp:inline distT="0" distB="0" distL="0" distR="0" wp14:anchorId="79B60D7B" wp14:editId="58301CB8">
            <wp:extent cx="4305300" cy="3608063"/>
            <wp:effectExtent l="0" t="0" r="0" b="0"/>
            <wp:docPr id="1820593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07440" cy="3609856"/>
                    </a:xfrm>
                    <a:prstGeom prst="rect">
                      <a:avLst/>
                    </a:prstGeom>
                    <a:noFill/>
                  </pic:spPr>
                </pic:pic>
              </a:graphicData>
            </a:graphic>
          </wp:inline>
        </w:drawing>
      </w:r>
    </w:p>
    <w:p w14:paraId="7F8C77AD" w14:textId="77777777" w:rsidR="002C7FFA" w:rsidRPr="008035A5" w:rsidRDefault="002C7FFA" w:rsidP="000331E8">
      <w:pPr>
        <w:pStyle w:val="Caption"/>
        <w:rPr>
          <w:rFonts w:eastAsiaTheme="minorHAnsi"/>
          <w:color w:val="auto"/>
          <w:sz w:val="24"/>
          <w:szCs w:val="24"/>
          <w:lang w:val="en-GB" w:eastAsia="en-US" w:bidi="ar-SA"/>
        </w:rPr>
      </w:pPr>
      <w:r w:rsidRPr="008035A5">
        <w:t>Figure S</w:t>
      </w:r>
      <w:fldSimple w:instr=" SEQ Figure_S \* ARABIC ">
        <w:r w:rsidRPr="008035A5">
          <w:rPr>
            <w:noProof/>
          </w:rPr>
          <w:t>4</w:t>
        </w:r>
      </w:fldSimple>
      <w:r w:rsidRPr="008035A5">
        <w:t xml:space="preserve">. </w:t>
      </w:r>
      <w:r w:rsidRPr="008035A5">
        <w:rPr>
          <w:rFonts w:eastAsiaTheme="minorHAnsi"/>
          <w:color w:val="auto"/>
          <w:sz w:val="24"/>
          <w:szCs w:val="24"/>
          <w:lang w:val="en-GB" w:eastAsia="en-US" w:bidi="ar-SA"/>
        </w:rPr>
        <w:t>Bivariate summary ROC curves comparing GPR performance in different fibrosis stages</w:t>
      </w:r>
    </w:p>
    <w:p w14:paraId="4AD8378F" w14:textId="77777777" w:rsidR="002C7FFA" w:rsidRPr="008035A5" w:rsidRDefault="002C7FFA" w:rsidP="00EA0410">
      <w:pPr>
        <w:rPr>
          <w:lang w:val="en-GB" w:eastAsia="en-US" w:bidi="ar-SA"/>
        </w:rPr>
      </w:pPr>
    </w:p>
    <w:p w14:paraId="63D851C6" w14:textId="77777777" w:rsidR="002C7FFA" w:rsidRPr="008035A5" w:rsidRDefault="002C7FFA" w:rsidP="00EA0410">
      <w:pPr>
        <w:rPr>
          <w:lang w:val="en-GB" w:eastAsia="en-US" w:bidi="ar-SA"/>
        </w:rPr>
      </w:pPr>
    </w:p>
    <w:p w14:paraId="7CC5F730" w14:textId="77777777" w:rsidR="002C7FFA" w:rsidRPr="008035A5" w:rsidRDefault="002C7FFA">
      <w:pPr>
        <w:spacing w:before="0" w:after="160" w:line="259" w:lineRule="auto"/>
        <w:jc w:val="left"/>
        <w:rPr>
          <w:lang w:val="en-GB" w:eastAsia="en-US" w:bidi="ar-SA"/>
        </w:rPr>
      </w:pPr>
      <w:r w:rsidRPr="008035A5">
        <w:rPr>
          <w:lang w:val="en-GB" w:eastAsia="en-US" w:bidi="ar-SA"/>
        </w:rPr>
        <w:br w:type="page"/>
      </w:r>
    </w:p>
    <w:p w14:paraId="51A8D99B" w14:textId="77777777" w:rsidR="002C7FFA" w:rsidRPr="008035A5" w:rsidRDefault="002C7FFA" w:rsidP="00BC0267">
      <w:pPr>
        <w:pStyle w:val="Heading1"/>
        <w:rPr>
          <w:lang w:val="en-GB" w:eastAsia="en-US" w:bidi="ar-SA"/>
        </w:rPr>
      </w:pPr>
      <w:bookmarkStart w:id="8" w:name="_Toc156977645"/>
      <w:r w:rsidRPr="008035A5">
        <w:rPr>
          <w:lang w:val="en-GB" w:eastAsia="en-US" w:bidi="ar-SA"/>
        </w:rPr>
        <w:lastRenderedPageBreak/>
        <w:t>Association between Youden’s index and sensitivity estimates for Cirrhosis</w:t>
      </w:r>
      <w:bookmarkEnd w:id="8"/>
    </w:p>
    <w:p w14:paraId="55B1022C" w14:textId="77777777" w:rsidR="002C7FFA" w:rsidRPr="008035A5" w:rsidRDefault="002C7FFA" w:rsidP="00BC0267">
      <w:pPr>
        <w:jc w:val="center"/>
      </w:pPr>
      <w:r w:rsidRPr="008035A5">
        <w:rPr>
          <w:noProof/>
          <w:lang w:val="en-GB" w:bidi="ar-SA"/>
        </w:rPr>
        <w:drawing>
          <wp:inline distT="0" distB="0" distL="0" distR="0" wp14:anchorId="48CAB48E" wp14:editId="237D9324">
            <wp:extent cx="5064691" cy="4183380"/>
            <wp:effectExtent l="0" t="0" r="0" b="0"/>
            <wp:docPr id="1299864785" name="Picture 1299864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r="18019" b="18697"/>
                    <a:stretch/>
                  </pic:blipFill>
                  <pic:spPr bwMode="auto">
                    <a:xfrm>
                      <a:off x="0" y="0"/>
                      <a:ext cx="5069916" cy="4187695"/>
                    </a:xfrm>
                    <a:prstGeom prst="rect">
                      <a:avLst/>
                    </a:prstGeom>
                    <a:noFill/>
                    <a:ln>
                      <a:noFill/>
                    </a:ln>
                    <a:extLst>
                      <a:ext uri="{53640926-AAD7-44D8-BBD7-CCE9431645EC}">
                        <a14:shadowObscured xmlns:a14="http://schemas.microsoft.com/office/drawing/2010/main"/>
                      </a:ext>
                    </a:extLst>
                  </pic:spPr>
                </pic:pic>
              </a:graphicData>
            </a:graphic>
          </wp:inline>
        </w:drawing>
      </w:r>
    </w:p>
    <w:p w14:paraId="02AD3D49" w14:textId="77777777" w:rsidR="002C7FFA" w:rsidRPr="008035A5" w:rsidRDefault="002C7FFA" w:rsidP="00403B50">
      <w:pPr>
        <w:pStyle w:val="Caption"/>
        <w:rPr>
          <w:color w:val="auto"/>
        </w:rPr>
      </w:pPr>
      <w:r w:rsidRPr="008035A5">
        <w:t>Figure S</w:t>
      </w:r>
      <w:fldSimple w:instr=" SEQ Figure_S \* ARABIC ">
        <w:r w:rsidRPr="008035A5">
          <w:rPr>
            <w:noProof/>
          </w:rPr>
          <w:t>5</w:t>
        </w:r>
      </w:fldSimple>
      <w:r w:rsidRPr="008035A5">
        <w:rPr>
          <w:color w:val="auto"/>
        </w:rPr>
        <w:t>. Bubble plot for the association between Youden’s index and pooled sensitivity estimate</w:t>
      </w:r>
    </w:p>
    <w:p w14:paraId="4B14D131" w14:textId="77777777" w:rsidR="002C7FFA" w:rsidRPr="008035A5" w:rsidRDefault="002C7FFA" w:rsidP="003D6528">
      <w:pPr>
        <w:rPr>
          <w:lang w:eastAsia="en-US" w:bidi="ar-SA"/>
        </w:rPr>
      </w:pPr>
    </w:p>
    <w:p w14:paraId="78AA1D11" w14:textId="77777777" w:rsidR="002C7FFA" w:rsidRPr="008035A5" w:rsidRDefault="002C7FFA">
      <w:pPr>
        <w:spacing w:before="0" w:after="160" w:line="259" w:lineRule="auto"/>
        <w:jc w:val="left"/>
        <w:rPr>
          <w:lang w:val="en-GB" w:eastAsia="en-US" w:bidi="ar-SA"/>
        </w:rPr>
      </w:pPr>
      <w:r w:rsidRPr="008035A5">
        <w:rPr>
          <w:lang w:val="en-GB" w:eastAsia="en-US" w:bidi="ar-SA"/>
        </w:rPr>
        <w:br w:type="page"/>
      </w:r>
    </w:p>
    <w:p w14:paraId="312A04F8" w14:textId="77777777" w:rsidR="002C7FFA" w:rsidRPr="008035A5" w:rsidRDefault="002C7FFA" w:rsidP="00643D68">
      <w:pPr>
        <w:pStyle w:val="Heading1"/>
        <w:rPr>
          <w:lang w:bidi="ar-SA"/>
        </w:rPr>
      </w:pPr>
      <w:bookmarkStart w:id="9" w:name="_Toc154930080"/>
      <w:bookmarkStart w:id="10" w:name="_Toc156977646"/>
      <w:r w:rsidRPr="008035A5">
        <w:rPr>
          <w:lang w:bidi="ar-SA"/>
        </w:rPr>
        <w:lastRenderedPageBreak/>
        <w:t>Determination of thresholds for GPR</w:t>
      </w:r>
      <w:bookmarkEnd w:id="9"/>
      <w:bookmarkEnd w:id="10"/>
    </w:p>
    <w:p w14:paraId="340D783C" w14:textId="77777777" w:rsidR="002C7FFA" w:rsidRPr="008035A5" w:rsidRDefault="002C7FFA" w:rsidP="003501C8">
      <w:pPr>
        <w:rPr>
          <w:lang w:eastAsia="en-US" w:bidi="ar-SA"/>
        </w:rPr>
      </w:pPr>
      <w:r w:rsidRPr="008035A5">
        <w:rPr>
          <w:lang w:eastAsia="en-US" w:bidi="ar-SA"/>
        </w:rPr>
        <w:t xml:space="preserve">The Reitsma function fits the bivariate model of Reitsma et al. (2005) that Harbord et al. (2007) have shown to be equivalent to the HSROC of Rutter &amp; </w:t>
      </w:r>
      <w:proofErr w:type="spellStart"/>
      <w:r w:rsidRPr="008035A5">
        <w:rPr>
          <w:lang w:eastAsia="en-US" w:bidi="ar-SA"/>
        </w:rPr>
        <w:t>Gatsonis</w:t>
      </w:r>
      <w:proofErr w:type="spellEnd"/>
      <w:r w:rsidRPr="008035A5">
        <w:rPr>
          <w:lang w:eastAsia="en-US" w:bidi="ar-SA"/>
        </w:rPr>
        <w:t xml:space="preserve"> (2001). We specify the model as a linear mixed model with known random effects variances, like the computational approach by Reitsma et al. (2005). As a default, variance components are estimated by restricted maximum likelihood (REML), but ML estimation is also available. In addition, meta-regression is possible, as is the use of transformations other than the logit, using the approach of Doebler et al. (2012).</w:t>
      </w:r>
    </w:p>
    <w:p w14:paraId="03CA5CFC" w14:textId="77777777" w:rsidR="002C7FFA" w:rsidRPr="008035A5" w:rsidRDefault="002C7FFA" w:rsidP="001267E7">
      <w:pPr>
        <w:rPr>
          <w:lang w:eastAsia="en-US" w:bidi="ar-SA"/>
        </w:rPr>
      </w:pPr>
      <w:r w:rsidRPr="008035A5">
        <w:rPr>
          <w:lang w:eastAsia="en-US" w:bidi="ar-SA"/>
        </w:rPr>
        <w:t>A different intercept was included for each study, and a logistic distribution was assumed for the thresholds.</w:t>
      </w:r>
      <w:r w:rsidRPr="008035A5">
        <w:t xml:space="preserve"> </w:t>
      </w:r>
      <w:r w:rsidRPr="008035A5">
        <w:rPr>
          <w:lang w:eastAsia="en-US" w:bidi="ar-SA"/>
        </w:rPr>
        <w:t>The cumulative density function (</w:t>
      </w:r>
      <w:proofErr w:type="spellStart"/>
      <w:r w:rsidRPr="008035A5">
        <w:rPr>
          <w:lang w:eastAsia="en-US" w:bidi="ar-SA"/>
        </w:rPr>
        <w:t>cdf</w:t>
      </w:r>
      <w:proofErr w:type="spellEnd"/>
      <w:r w:rsidRPr="008035A5">
        <w:rPr>
          <w:lang w:eastAsia="en-US" w:bidi="ar-SA"/>
        </w:rPr>
        <w:t xml:space="preserve">) was transformed using the quantile function of the logistic distribution and modeled assuming unequal variances. </w:t>
      </w:r>
      <w:r w:rsidRPr="008035A5">
        <w:rPr>
          <w:lang w:eastAsia="en-US" w:bidi="ar-SA"/>
        </w:rPr>
        <w:br w:type="page"/>
      </w:r>
    </w:p>
    <w:p w14:paraId="055DD218" w14:textId="77777777" w:rsidR="002C7FFA" w:rsidRPr="008035A5" w:rsidRDefault="002C7FFA" w:rsidP="0050414C">
      <w:pPr>
        <w:pStyle w:val="Heading2"/>
        <w:rPr>
          <w:lang w:bidi="ar-SA"/>
        </w:rPr>
      </w:pPr>
      <w:bookmarkStart w:id="11" w:name="_Toc154930081"/>
      <w:bookmarkStart w:id="12" w:name="_Toc156977647"/>
      <w:r w:rsidRPr="008035A5">
        <w:rPr>
          <w:lang w:bidi="ar-SA"/>
        </w:rPr>
        <w:lastRenderedPageBreak/>
        <w:t>Optimal cut-point and performance of GPR in predicting significant fibrosis</w:t>
      </w:r>
      <w:bookmarkEnd w:id="11"/>
      <w:bookmarkEnd w:id="12"/>
      <w:r w:rsidRPr="008035A5">
        <w:rPr>
          <w:lang w:bidi="ar-SA"/>
        </w:rPr>
        <w:t xml:space="preserve"> </w:t>
      </w:r>
    </w:p>
    <w:p w14:paraId="7B518C13" w14:textId="77777777" w:rsidR="002C7FFA" w:rsidRPr="008035A5" w:rsidRDefault="002C7FFA" w:rsidP="00676510">
      <w:pPr>
        <w:rPr>
          <w:lang w:eastAsia="en-US" w:bidi="ar-SA"/>
        </w:rPr>
      </w:pPr>
      <w:r w:rsidRPr="008035A5">
        <w:rPr>
          <w:lang w:eastAsia="en-US" w:bidi="ar-SA"/>
        </w:rPr>
        <w:t xml:space="preserve">Forty cut-off points from the included studies were included in the analysis of the various thresholds for significant fibrosis. One study was identified as an outlier (Youden’s index &lt; 0.2) and was excluded </w:t>
      </w:r>
      <w:r w:rsidRPr="008035A5">
        <w:rPr>
          <w:noProof/>
          <w:vertAlign w:val="superscript"/>
          <w:lang w:eastAsia="en-US"/>
        </w:rPr>
        <w:t>18</w:t>
      </w:r>
      <w:r w:rsidRPr="008035A5">
        <w:rPr>
          <w:lang w:eastAsia="en-US" w:bidi="ar-SA"/>
        </w:rPr>
        <w:t>. Thus, the analysis included 3</w:t>
      </w:r>
      <w:r>
        <w:rPr>
          <w:lang w:eastAsia="en-US" w:bidi="ar-SA"/>
        </w:rPr>
        <w:t>3</w:t>
      </w:r>
      <w:r w:rsidRPr="008035A5">
        <w:rPr>
          <w:lang w:eastAsia="en-US" w:bidi="ar-SA"/>
        </w:rPr>
        <w:t xml:space="preserve"> cut-off points.</w:t>
      </w:r>
    </w:p>
    <w:p w14:paraId="0277BF4D" w14:textId="77777777" w:rsidR="002C7FFA" w:rsidRPr="008035A5" w:rsidRDefault="002C7FFA" w:rsidP="00676510">
      <w:pPr>
        <w:rPr>
          <w:lang w:eastAsia="en-US" w:bidi="ar-SA"/>
        </w:rPr>
      </w:pPr>
      <w:r w:rsidRPr="008035A5">
        <w:rPr>
          <w:noProof/>
          <w:lang w:eastAsia="en-US" w:bidi="ar-SA"/>
        </w:rPr>
        <w:drawing>
          <wp:inline distT="0" distB="0" distL="0" distR="0" wp14:anchorId="2382809B" wp14:editId="608C7A72">
            <wp:extent cx="4853940" cy="3909434"/>
            <wp:effectExtent l="0" t="0" r="3810" b="0"/>
            <wp:docPr id="1937172640" name="Picture 1937172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a:extLst>
                        <a:ext uri="{28A0092B-C50C-407E-A947-70E740481C1C}">
                          <a14:useLocalDpi xmlns:a14="http://schemas.microsoft.com/office/drawing/2010/main" val="0"/>
                        </a:ext>
                      </a:extLst>
                    </a:blip>
                    <a:srcRect r="24231" b="18690"/>
                    <a:stretch/>
                  </pic:blipFill>
                  <pic:spPr bwMode="auto">
                    <a:xfrm>
                      <a:off x="0" y="0"/>
                      <a:ext cx="4855149" cy="3910408"/>
                    </a:xfrm>
                    <a:prstGeom prst="rect">
                      <a:avLst/>
                    </a:prstGeom>
                    <a:noFill/>
                    <a:ln>
                      <a:noFill/>
                    </a:ln>
                    <a:extLst>
                      <a:ext uri="{53640926-AAD7-44D8-BBD7-CCE9431645EC}">
                        <a14:shadowObscured xmlns:a14="http://schemas.microsoft.com/office/drawing/2010/main"/>
                      </a:ext>
                    </a:extLst>
                  </pic:spPr>
                </pic:pic>
              </a:graphicData>
            </a:graphic>
          </wp:inline>
        </w:drawing>
      </w:r>
    </w:p>
    <w:p w14:paraId="46F28CF8" w14:textId="77777777" w:rsidR="002C7FFA" w:rsidRPr="008035A5" w:rsidRDefault="002C7FFA" w:rsidP="001756AB">
      <w:pPr>
        <w:pStyle w:val="Caption"/>
      </w:pPr>
      <w:r w:rsidRPr="008035A5">
        <w:t>Figure S</w:t>
      </w:r>
      <w:fldSimple w:instr=" SEQ Figure_S \* ARABIC ">
        <w:r w:rsidRPr="008035A5">
          <w:rPr>
            <w:noProof/>
          </w:rPr>
          <w:t>6</w:t>
        </w:r>
      </w:fldSimple>
      <w:r w:rsidRPr="008035A5">
        <w:t>. Results from the linear mixed multiple thresholds model for significant fibrosis after exclusion</w:t>
      </w:r>
    </w:p>
    <w:p w14:paraId="6216CF13" w14:textId="77777777" w:rsidR="002C7FFA" w:rsidRPr="008035A5" w:rsidRDefault="002C7FFA" w:rsidP="00676510">
      <w:pPr>
        <w:rPr>
          <w:lang w:eastAsia="en-US" w:bidi="ar-SA"/>
        </w:rPr>
      </w:pPr>
      <w:r w:rsidRPr="008035A5">
        <w:rPr>
          <w:lang w:eastAsia="en-US" w:bidi="ar-SA"/>
        </w:rPr>
        <w:br w:type="page"/>
      </w:r>
    </w:p>
    <w:p w14:paraId="2012F99A" w14:textId="77777777" w:rsidR="002C7FFA" w:rsidRPr="008035A5" w:rsidRDefault="002C7FFA" w:rsidP="00676510">
      <w:pPr>
        <w:rPr>
          <w:lang w:eastAsia="en-US" w:bidi="ar-SA"/>
        </w:rPr>
      </w:pPr>
      <w:r w:rsidRPr="008035A5">
        <w:rPr>
          <w:noProof/>
          <w:lang w:eastAsia="en-US" w:bidi="ar-SA"/>
        </w:rPr>
        <w:lastRenderedPageBreak/>
        <w:drawing>
          <wp:inline distT="0" distB="0" distL="0" distR="0" wp14:anchorId="084253D7" wp14:editId="73970C36">
            <wp:extent cx="5744413" cy="3725333"/>
            <wp:effectExtent l="0" t="0" r="0" b="0"/>
            <wp:docPr id="1227564908" name="Picture 1227564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r="18507" b="18372"/>
                    <a:stretch/>
                  </pic:blipFill>
                  <pic:spPr bwMode="auto">
                    <a:xfrm>
                      <a:off x="0" y="0"/>
                      <a:ext cx="5749741" cy="3728788"/>
                    </a:xfrm>
                    <a:prstGeom prst="rect">
                      <a:avLst/>
                    </a:prstGeom>
                    <a:noFill/>
                    <a:ln>
                      <a:noFill/>
                    </a:ln>
                    <a:extLst>
                      <a:ext uri="{53640926-AAD7-44D8-BBD7-CCE9431645EC}">
                        <a14:shadowObscured xmlns:a14="http://schemas.microsoft.com/office/drawing/2010/main"/>
                      </a:ext>
                    </a:extLst>
                  </pic:spPr>
                </pic:pic>
              </a:graphicData>
            </a:graphic>
          </wp:inline>
        </w:drawing>
      </w:r>
    </w:p>
    <w:p w14:paraId="12FE396D" w14:textId="77777777" w:rsidR="002C7FFA" w:rsidRPr="008035A5" w:rsidRDefault="002C7FFA" w:rsidP="001756AB">
      <w:pPr>
        <w:pStyle w:val="Caption"/>
      </w:pPr>
      <w:r w:rsidRPr="008035A5">
        <w:t>Figure S</w:t>
      </w:r>
      <w:fldSimple w:instr=" SEQ Figure_S \* ARABIC ">
        <w:r w:rsidRPr="008035A5">
          <w:rPr>
            <w:noProof/>
          </w:rPr>
          <w:t>7</w:t>
        </w:r>
      </w:fldSimple>
      <w:r w:rsidRPr="008035A5">
        <w:t>. Distribution of PPV and NPV</w:t>
      </w:r>
    </w:p>
    <w:p w14:paraId="3DEDD214" w14:textId="77777777" w:rsidR="002C7FFA" w:rsidRPr="008035A5" w:rsidRDefault="002C7FFA" w:rsidP="00A84C2E">
      <w:r w:rsidRPr="008035A5">
        <w:t>The results were based on an average prevalence of 48% and a standard deviation of 15% for F2 based on the distribution of prevalences in the included studies.</w:t>
      </w:r>
    </w:p>
    <w:p w14:paraId="67A12E0B" w14:textId="77777777" w:rsidR="002C7FFA" w:rsidRPr="008035A5" w:rsidRDefault="002C7FFA" w:rsidP="00A84C2E"/>
    <w:p w14:paraId="2D70419A" w14:textId="77777777" w:rsidR="002C7FFA" w:rsidRPr="008035A5" w:rsidRDefault="002C7FFA">
      <w:pPr>
        <w:spacing w:before="0" w:after="160" w:line="259" w:lineRule="auto"/>
        <w:jc w:val="left"/>
      </w:pPr>
      <w:r w:rsidRPr="008035A5">
        <w:br w:type="page"/>
      </w:r>
    </w:p>
    <w:p w14:paraId="4691701C" w14:textId="77777777" w:rsidR="002C7FFA" w:rsidRPr="008035A5" w:rsidRDefault="002C7FFA" w:rsidP="003501C8">
      <w:pPr>
        <w:pStyle w:val="Heading2"/>
        <w:rPr>
          <w:lang w:bidi="ar-SA"/>
        </w:rPr>
      </w:pPr>
      <w:bookmarkStart w:id="13" w:name="_Toc154930082"/>
      <w:bookmarkStart w:id="14" w:name="_Toc156977648"/>
      <w:r w:rsidRPr="008035A5">
        <w:rPr>
          <w:lang w:bidi="ar-SA"/>
        </w:rPr>
        <w:lastRenderedPageBreak/>
        <w:t>Optimal cut-point and performance of GPR in predicting Cirrhosis</w:t>
      </w:r>
      <w:bookmarkEnd w:id="13"/>
      <w:bookmarkEnd w:id="14"/>
    </w:p>
    <w:p w14:paraId="5486C0BB" w14:textId="77777777" w:rsidR="002C7FFA" w:rsidRPr="008035A5" w:rsidRDefault="002C7FFA" w:rsidP="00676510">
      <w:pPr>
        <w:rPr>
          <w:lang w:eastAsia="en-US"/>
        </w:rPr>
      </w:pPr>
      <w:r w:rsidRPr="008035A5">
        <w:rPr>
          <w:lang w:eastAsia="en-US" w:bidi="ar-SA"/>
        </w:rPr>
        <w:t xml:space="preserve">The initial data from 32 cut-off points were used to construct the multiple cut-offs model using the multi-level random effects models. </w:t>
      </w:r>
      <w:r w:rsidRPr="008035A5">
        <w:rPr>
          <w:lang w:eastAsia="en-US"/>
        </w:rPr>
        <w:t>Initial results showed that two studies were outliers and were excluded from further analysis. One study had an extremely low Youden’s index</w:t>
      </w:r>
      <w:r>
        <w:rPr>
          <w:noProof/>
          <w:vertAlign w:val="superscript"/>
          <w:lang w:eastAsia="en-US"/>
        </w:rPr>
        <w:t xml:space="preserve"> </w:t>
      </w:r>
      <w:r>
        <w:rPr>
          <w:noProof/>
          <w:vertAlign w:val="superscript"/>
          <w:lang w:eastAsia="en-US"/>
        </w:rPr>
        <w:fldChar w:fldCharType="begin" w:fldLock="1"/>
      </w:r>
      <w:r>
        <w:rPr>
          <w:noProof/>
          <w:vertAlign w:val="superscript"/>
          <w:lang w:eastAsia="en-US"/>
        </w:rPr>
        <w:instrText>ADDIN CSL_CITATION {"citationItems":[{"id":"ITEM-1","itemData":{"DOI":"10.1002/1097-0142(1950)3:1&lt;32::AID-CNCR2820030106&gt;3.0.CO;2-3","ISSN":"10970142","PMID":"15405679","author":[{"dropping-particle":"","family":"Youden","given":"W J","non-dropping-particle":"","parse-names":false,"suffix":""}],"container-title":"Cancer","id":"ITEM-1","issue":"1","issued":{"date-parts":[["1950"]]},"page":"32-35","title":"Index for rating diagnostic tests","type":"article-journal","volume":"3"},"uris":["http://www.mendeley.com/documents/?uuid=2be49ecf-a5ff-364c-bfba-e094b108d07a"]}],"mendeley":{"formattedCitation":"[34]","plainTextFormattedCitation":"[34]","previouslyFormattedCitation":"[34]"},"properties":{"noteIndex":0},"schema":"https://github.com/citation-style-language/schema/raw/master/csl-citation.json"}</w:instrText>
      </w:r>
      <w:r>
        <w:rPr>
          <w:noProof/>
          <w:vertAlign w:val="superscript"/>
          <w:lang w:eastAsia="en-US"/>
        </w:rPr>
        <w:fldChar w:fldCharType="separate"/>
      </w:r>
      <w:r w:rsidRPr="00437E75">
        <w:rPr>
          <w:noProof/>
          <w:lang w:eastAsia="en-US"/>
        </w:rPr>
        <w:t>[34]</w:t>
      </w:r>
      <w:r>
        <w:rPr>
          <w:noProof/>
          <w:vertAlign w:val="superscript"/>
          <w:lang w:eastAsia="en-US"/>
        </w:rPr>
        <w:fldChar w:fldCharType="end"/>
      </w:r>
      <w:r w:rsidRPr="008035A5">
        <w:rPr>
          <w:lang w:eastAsia="en-US"/>
        </w:rPr>
        <w:t xml:space="preserve">, and the other had extremely high cut-off value </w:t>
      </w:r>
      <w:r w:rsidRPr="008035A5">
        <w:rPr>
          <w:noProof/>
          <w:vertAlign w:val="superscript"/>
          <w:lang w:eastAsia="en-US"/>
        </w:rPr>
        <w:t>8</w:t>
      </w:r>
      <w:r w:rsidRPr="008035A5">
        <w:rPr>
          <w:lang w:eastAsia="en-US"/>
        </w:rPr>
        <w:t>. Excluding these two studies resulted in the model that was used to estimate the performance and thresholds for GPR in diagnosing cirrhosis.</w:t>
      </w:r>
    </w:p>
    <w:p w14:paraId="509CA89D" w14:textId="77777777" w:rsidR="002C7FFA" w:rsidRPr="008035A5" w:rsidRDefault="002C7FFA" w:rsidP="00676510">
      <w:pPr>
        <w:rPr>
          <w:lang w:eastAsia="en-US" w:bidi="ar-SA"/>
        </w:rPr>
      </w:pPr>
      <w:r w:rsidRPr="008035A5">
        <w:rPr>
          <w:noProof/>
          <w:lang w:eastAsia="en-US" w:bidi="ar-SA"/>
        </w:rPr>
        <w:drawing>
          <wp:inline distT="0" distB="0" distL="0" distR="0" wp14:anchorId="04BC5ACC" wp14:editId="48F3FC3B">
            <wp:extent cx="4533900" cy="4015740"/>
            <wp:effectExtent l="0" t="0" r="0" b="0"/>
            <wp:docPr id="1050018491" name="Picture 1050018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a:extLst>
                        <a:ext uri="{28A0092B-C50C-407E-A947-70E740481C1C}">
                          <a14:useLocalDpi xmlns:a14="http://schemas.microsoft.com/office/drawing/2010/main" val="0"/>
                        </a:ext>
                      </a:extLst>
                    </a:blip>
                    <a:srcRect r="23718" b="18369"/>
                    <a:stretch/>
                  </pic:blipFill>
                  <pic:spPr bwMode="auto">
                    <a:xfrm>
                      <a:off x="0" y="0"/>
                      <a:ext cx="4533900" cy="4015740"/>
                    </a:xfrm>
                    <a:prstGeom prst="rect">
                      <a:avLst/>
                    </a:prstGeom>
                    <a:noFill/>
                    <a:ln>
                      <a:noFill/>
                    </a:ln>
                    <a:extLst>
                      <a:ext uri="{53640926-AAD7-44D8-BBD7-CCE9431645EC}">
                        <a14:shadowObscured xmlns:a14="http://schemas.microsoft.com/office/drawing/2010/main"/>
                      </a:ext>
                    </a:extLst>
                  </pic:spPr>
                </pic:pic>
              </a:graphicData>
            </a:graphic>
          </wp:inline>
        </w:drawing>
      </w:r>
    </w:p>
    <w:p w14:paraId="24FD7158" w14:textId="77777777" w:rsidR="002C7FFA" w:rsidRPr="008035A5" w:rsidRDefault="002C7FFA" w:rsidP="001756AB">
      <w:pPr>
        <w:pStyle w:val="Caption"/>
      </w:pPr>
      <w:r w:rsidRPr="008035A5">
        <w:t>Figure S</w:t>
      </w:r>
      <w:fldSimple w:instr=" SEQ Figure_S \* ARABIC ">
        <w:r w:rsidRPr="008035A5">
          <w:rPr>
            <w:noProof/>
          </w:rPr>
          <w:t>8</w:t>
        </w:r>
      </w:fldSimple>
      <w:r w:rsidRPr="008035A5">
        <w:t>. Results from the linear mixed multiple thresholds model for significant fibrosis after exclusion</w:t>
      </w:r>
    </w:p>
    <w:p w14:paraId="29F1FC6F" w14:textId="77777777" w:rsidR="002C7FFA" w:rsidRPr="008035A5" w:rsidRDefault="002C7FFA">
      <w:pPr>
        <w:spacing w:before="0" w:after="160" w:line="259" w:lineRule="auto"/>
        <w:jc w:val="left"/>
        <w:rPr>
          <w:lang w:eastAsia="en-US" w:bidi="ar-SA"/>
        </w:rPr>
      </w:pPr>
    </w:p>
    <w:p w14:paraId="436E0265" w14:textId="77777777" w:rsidR="002C7FFA" w:rsidRPr="008035A5" w:rsidRDefault="002C7FFA" w:rsidP="000018B1">
      <w:pPr>
        <w:spacing w:before="0" w:after="160" w:line="259" w:lineRule="auto"/>
        <w:jc w:val="left"/>
        <w:rPr>
          <w:lang w:eastAsia="en-US" w:bidi="ar-SA"/>
        </w:rPr>
      </w:pPr>
    </w:p>
    <w:p w14:paraId="6E5EAEE3" w14:textId="77777777" w:rsidR="002C7FFA" w:rsidRPr="008035A5" w:rsidRDefault="002C7FFA" w:rsidP="000018B1">
      <w:pPr>
        <w:spacing w:before="0" w:after="160" w:line="259" w:lineRule="auto"/>
        <w:jc w:val="left"/>
        <w:rPr>
          <w:lang w:eastAsia="en-US" w:bidi="ar-SA"/>
        </w:rPr>
      </w:pPr>
      <w:r w:rsidRPr="008035A5">
        <w:rPr>
          <w:noProof/>
          <w:lang w:eastAsia="en-US" w:bidi="ar-SA"/>
        </w:rPr>
        <w:lastRenderedPageBreak/>
        <w:drawing>
          <wp:inline distT="0" distB="0" distL="0" distR="0" wp14:anchorId="53203F25" wp14:editId="172354DF">
            <wp:extent cx="5486400" cy="4038421"/>
            <wp:effectExtent l="0" t="0" r="0" b="635"/>
            <wp:docPr id="529582059" name="Picture 529582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9">
                      <a:extLst>
                        <a:ext uri="{28A0092B-C50C-407E-A947-70E740481C1C}">
                          <a14:useLocalDpi xmlns:a14="http://schemas.microsoft.com/office/drawing/2010/main" val="0"/>
                        </a:ext>
                      </a:extLst>
                    </a:blip>
                    <a:srcRect r="18519" b="19074"/>
                    <a:stretch/>
                  </pic:blipFill>
                  <pic:spPr bwMode="auto">
                    <a:xfrm>
                      <a:off x="0" y="0"/>
                      <a:ext cx="5491270" cy="4042005"/>
                    </a:xfrm>
                    <a:prstGeom prst="rect">
                      <a:avLst/>
                    </a:prstGeom>
                    <a:noFill/>
                    <a:ln>
                      <a:noFill/>
                    </a:ln>
                    <a:extLst>
                      <a:ext uri="{53640926-AAD7-44D8-BBD7-CCE9431645EC}">
                        <a14:shadowObscured xmlns:a14="http://schemas.microsoft.com/office/drawing/2010/main"/>
                      </a:ext>
                    </a:extLst>
                  </pic:spPr>
                </pic:pic>
              </a:graphicData>
            </a:graphic>
          </wp:inline>
        </w:drawing>
      </w:r>
    </w:p>
    <w:p w14:paraId="41681E45" w14:textId="77777777" w:rsidR="002C7FFA" w:rsidRPr="008035A5" w:rsidRDefault="002C7FFA" w:rsidP="001756AB">
      <w:pPr>
        <w:pStyle w:val="Caption"/>
      </w:pPr>
      <w:r w:rsidRPr="008035A5">
        <w:t>Figure S</w:t>
      </w:r>
      <w:fldSimple w:instr=" SEQ Figure_S \* ARABIC ">
        <w:r w:rsidRPr="008035A5">
          <w:rPr>
            <w:noProof/>
          </w:rPr>
          <w:t>9</w:t>
        </w:r>
      </w:fldSimple>
      <w:r w:rsidRPr="008035A5">
        <w:t>. Distribution of PPV and NPV for F4</w:t>
      </w:r>
    </w:p>
    <w:p w14:paraId="525E14CF" w14:textId="77777777" w:rsidR="002C7FFA" w:rsidRPr="008035A5" w:rsidRDefault="002C7FFA" w:rsidP="006A4758">
      <w:r w:rsidRPr="008035A5">
        <w:t>The results were based on an average prevalence of 16% and a standard deviation of 7.5% for F4 based on the distribution of the included studies.</w:t>
      </w:r>
    </w:p>
    <w:p w14:paraId="7E511792" w14:textId="77777777" w:rsidR="002C7FFA" w:rsidRPr="008035A5" w:rsidRDefault="002C7FFA">
      <w:pPr>
        <w:spacing w:before="0" w:after="160" w:line="259" w:lineRule="auto"/>
        <w:jc w:val="left"/>
      </w:pPr>
      <w:r w:rsidRPr="008035A5">
        <w:br w:type="page"/>
      </w:r>
    </w:p>
    <w:p w14:paraId="08023C18" w14:textId="77777777" w:rsidR="002C7FFA" w:rsidRPr="008035A5" w:rsidRDefault="002C7FFA" w:rsidP="007F714B">
      <w:pPr>
        <w:pStyle w:val="Heading1"/>
      </w:pPr>
      <w:bookmarkStart w:id="15" w:name="_Toc156977649"/>
      <w:r w:rsidRPr="008035A5">
        <w:lastRenderedPageBreak/>
        <w:t>Performance of GPR in diagnosing and excluding significant fibrosis (left graph) and cirrhosis (right graph) using the suggested optimal cut-off thresholds</w:t>
      </w:r>
      <w:bookmarkEnd w:id="15"/>
    </w:p>
    <w:p w14:paraId="58C82887" w14:textId="77777777" w:rsidR="002C7FFA" w:rsidRPr="008035A5" w:rsidRDefault="002C7FFA" w:rsidP="007F714B">
      <w:pPr>
        <w:rPr>
          <w:rFonts w:eastAsiaTheme="minorHAnsi"/>
          <w:sz w:val="24"/>
          <w:szCs w:val="24"/>
          <w:lang w:val="en-GB" w:eastAsia="en-US" w:bidi="ar-SA"/>
        </w:rPr>
      </w:pPr>
      <w:r w:rsidRPr="008035A5">
        <w:rPr>
          <w:rFonts w:eastAsiaTheme="minorHAnsi"/>
          <w:noProof/>
          <w:sz w:val="24"/>
          <w:szCs w:val="24"/>
          <w:lang w:val="en-GB" w:eastAsia="en-US" w:bidi="ar-SA"/>
        </w:rPr>
        <mc:AlternateContent>
          <mc:Choice Requires="wpg">
            <w:drawing>
              <wp:inline distT="0" distB="0" distL="0" distR="0" wp14:anchorId="417BAE1A" wp14:editId="40D2F309">
                <wp:extent cx="6225540" cy="3886200"/>
                <wp:effectExtent l="0" t="0" r="0" b="0"/>
                <wp:docPr id="540547567" name="Group 540547567"/>
                <wp:cNvGraphicFramePr/>
                <a:graphic xmlns:a="http://schemas.openxmlformats.org/drawingml/2006/main">
                  <a:graphicData uri="http://schemas.microsoft.com/office/word/2010/wordprocessingGroup">
                    <wpg:wgp>
                      <wpg:cNvGrpSpPr/>
                      <wpg:grpSpPr>
                        <a:xfrm>
                          <a:off x="0" y="0"/>
                          <a:ext cx="6225540" cy="3886200"/>
                          <a:chOff x="0" y="0"/>
                          <a:chExt cx="5680710" cy="3509010"/>
                        </a:xfrm>
                      </wpg:grpSpPr>
                      <wps:wsp>
                        <wps:cNvPr id="217" name="Text Box 2"/>
                        <wps:cNvSpPr txBox="1">
                          <a:spLocks noChangeArrowheads="1"/>
                        </wps:cNvSpPr>
                        <wps:spPr bwMode="auto">
                          <a:xfrm>
                            <a:off x="1333500" y="3223260"/>
                            <a:ext cx="2368550" cy="285750"/>
                          </a:xfrm>
                          <a:prstGeom prst="rect">
                            <a:avLst/>
                          </a:prstGeom>
                          <a:noFill/>
                          <a:ln w="9525">
                            <a:noFill/>
                            <a:miter lim="800000"/>
                            <a:headEnd/>
                            <a:tailEnd/>
                          </a:ln>
                        </wps:spPr>
                        <wps:txbx>
                          <w:txbxContent>
                            <w:p w14:paraId="44559516" w14:textId="77777777" w:rsidR="002C7FFA" w:rsidRDefault="002C7FFA" w:rsidP="007F714B">
                              <w:pPr>
                                <w:jc w:val="center"/>
                              </w:pPr>
                              <w:r>
                                <w:t>Prevalence</w:t>
                              </w:r>
                            </w:p>
                          </w:txbxContent>
                        </wps:txbx>
                        <wps:bodyPr rot="0" vert="horz" wrap="square" lIns="0" tIns="0" rIns="0" bIns="0" anchor="t" anchorCtr="0">
                          <a:noAutofit/>
                        </wps:bodyPr>
                      </wps:wsp>
                      <pic:pic xmlns:pic="http://schemas.openxmlformats.org/drawingml/2006/picture">
                        <pic:nvPicPr>
                          <pic:cNvPr id="960747213" name="Picture 1"/>
                          <pic:cNvPicPr>
                            <a:picLocks noChangeAspect="1"/>
                          </pic:cNvPicPr>
                        </pic:nvPicPr>
                        <pic:blipFill rotWithShape="1">
                          <a:blip r:embed="rId20">
                            <a:extLst>
                              <a:ext uri="{28A0092B-C50C-407E-A947-70E740481C1C}">
                                <a14:useLocalDpi xmlns:a14="http://schemas.microsoft.com/office/drawing/2010/main" val="0"/>
                              </a:ext>
                            </a:extLst>
                          </a:blip>
                          <a:srcRect r="17008" b="21456"/>
                          <a:stretch/>
                        </pic:blipFill>
                        <pic:spPr bwMode="auto">
                          <a:xfrm>
                            <a:off x="0" y="0"/>
                            <a:ext cx="5680710" cy="3248660"/>
                          </a:xfrm>
                          <a:prstGeom prst="rect">
                            <a:avLst/>
                          </a:prstGeom>
                          <a:noFill/>
                          <a:ln>
                            <a:noFill/>
                          </a:ln>
                          <a:extLst>
                            <a:ext uri="{53640926-AAD7-44D8-BBD7-CCE9431645EC}">
                              <a14:shadowObscured xmlns:a14="http://schemas.microsoft.com/office/drawing/2010/main"/>
                            </a:ext>
                          </a:extLst>
                        </pic:spPr>
                      </pic:pic>
                    </wpg:wgp>
                  </a:graphicData>
                </a:graphic>
              </wp:inline>
            </w:drawing>
          </mc:Choice>
          <mc:Fallback>
            <w:pict>
              <v:group w14:anchorId="417BAE1A" id="Group 540547567" o:spid="_x0000_s1026" style="width:490.2pt;height:306pt;mso-position-horizontal-relative:char;mso-position-vertical-relative:line" coordsize="56807,3509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">
                <v:shapetype id="_x0000_t202" coordsize="21600,21600" o:spt="202" path="m,l,21600r21600,l21600,xe">
                  <v:stroke joinstyle="miter"/>
                  <v:path gradientshapeok="t" o:connecttype="rect"/>
                </v:shapetype>
                <v:shape id="Text Box 2" o:spid="_x0000_s1027" type="#_x0000_t202" style="position:absolute;left:13335;top:32232;width:23685;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" filled="f" stroked="f">
                  <v:textbox inset="0,0,0,0">
                    <w:txbxContent>
                      <w:p w14:paraId="44559516" w14:textId="77777777" w:rsidR="002C7FFA" w:rsidRDefault="002C7FFA" w:rsidP="007F714B">
                        <w:pPr>
                          <w:jc w:val="center"/>
                        </w:pPr>
                        <w:r>
                          <w:t>Prevalence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width:56807;height:324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">
                  <v:imagedata r:id="rId21" o:title="" cropbottom="14061f" cropright="11146f"/>
                </v:shape>
                <w10:anchorlock/>
              </v:group>
            </w:pict>
          </mc:Fallback>
        </mc:AlternateContent>
      </w:r>
    </w:p>
    <w:p w14:paraId="11C7ABA5" w14:textId="77777777" w:rsidR="002C7FFA" w:rsidRPr="008035A5" w:rsidRDefault="002C7FFA" w:rsidP="007F714B">
      <w:pPr>
        <w:pStyle w:val="Caption"/>
      </w:pPr>
      <w:r w:rsidRPr="008035A5">
        <w:t>Figure S</w:t>
      </w:r>
      <w:fldSimple w:instr=" SEQ Figure_S \* ARABIC ">
        <w:r w:rsidRPr="008035A5">
          <w:rPr>
            <w:noProof/>
          </w:rPr>
          <w:t>10</w:t>
        </w:r>
      </w:fldSimple>
      <w:r w:rsidRPr="008035A5">
        <w:t xml:space="preserve">. Performance of GPR in diagnosing and excluding significant fibrosis (left graph) and cirrhosis (right graph) using the suggested optimal cut-off thresholds </w:t>
      </w:r>
    </w:p>
    <w:p w14:paraId="3410A24C" w14:textId="77777777" w:rsidR="002C7FFA" w:rsidRPr="008035A5" w:rsidRDefault="002C7FFA" w:rsidP="007F714B">
      <w:r w:rsidRPr="008035A5">
        <w:t>NPV: Negative predictive value, PPV: Positive predictive value</w:t>
      </w:r>
    </w:p>
    <w:p w14:paraId="7D2F10C7" w14:textId="77777777" w:rsidR="002C7FFA" w:rsidRPr="008035A5" w:rsidRDefault="002C7FFA" w:rsidP="000018B1">
      <w:pPr>
        <w:spacing w:before="0" w:after="160" w:line="259" w:lineRule="auto"/>
        <w:jc w:val="left"/>
        <w:rPr>
          <w:lang w:eastAsia="en-US" w:bidi="ar-SA"/>
        </w:rPr>
      </w:pPr>
    </w:p>
    <w:p w14:paraId="11A393F6" w14:textId="77777777" w:rsidR="002C7FFA" w:rsidRPr="008035A5" w:rsidRDefault="002C7FFA">
      <w:pPr>
        <w:spacing w:before="0" w:after="160" w:line="259" w:lineRule="auto"/>
        <w:jc w:val="left"/>
        <w:rPr>
          <w:lang w:eastAsia="en-US" w:bidi="ar-SA"/>
        </w:rPr>
      </w:pPr>
      <w:r w:rsidRPr="008035A5">
        <w:rPr>
          <w:lang w:eastAsia="en-US" w:bidi="ar-SA"/>
        </w:rPr>
        <w:br w:type="page"/>
      </w:r>
    </w:p>
    <w:p w14:paraId="4B700CF9" w14:textId="77777777" w:rsidR="002C7FFA" w:rsidRDefault="002C7FFA" w:rsidP="003501C8">
      <w:pPr>
        <w:pStyle w:val="Heading1"/>
        <w:rPr>
          <w:lang w:eastAsia="en-US" w:bidi="ar-SA"/>
        </w:rPr>
      </w:pPr>
      <w:bookmarkStart w:id="16" w:name="_Toc154930088"/>
      <w:bookmarkStart w:id="17" w:name="_Toc156977650"/>
      <w:r w:rsidRPr="008035A5">
        <w:rPr>
          <w:lang w:eastAsia="en-US" w:bidi="ar-SA"/>
        </w:rPr>
        <w:lastRenderedPageBreak/>
        <w:t>References</w:t>
      </w:r>
      <w:bookmarkEnd w:id="16"/>
      <w:bookmarkEnd w:id="17"/>
    </w:p>
    <w:p w14:paraId="24AE86AC" w14:textId="77777777" w:rsidR="002C7FFA" w:rsidRPr="00437E75" w:rsidRDefault="002C7FFA" w:rsidP="00437E75">
      <w:pPr>
        <w:widowControl w:val="0"/>
        <w:autoSpaceDE w:val="0"/>
        <w:autoSpaceDN w:val="0"/>
        <w:adjustRightInd w:val="0"/>
        <w:ind w:left="640" w:hanging="640"/>
        <w:rPr>
          <w:rFonts w:ascii="Times New Roman" w:hAnsi="Times New Roman" w:cs="Times New Roman"/>
          <w:noProof/>
        </w:rPr>
      </w:pPr>
      <w:r>
        <w:rPr>
          <w:lang w:eastAsia="en-US" w:bidi="ar-SA"/>
        </w:rPr>
        <w:fldChar w:fldCharType="begin" w:fldLock="1"/>
      </w:r>
      <w:r>
        <w:rPr>
          <w:lang w:eastAsia="en-US" w:bidi="ar-SA"/>
        </w:rPr>
        <w:instrText xml:space="preserve">ADDIN Mendeley Bibliography CSL_BIBLIOGRAPHY </w:instrText>
      </w:r>
      <w:r>
        <w:rPr>
          <w:lang w:eastAsia="en-US" w:bidi="ar-SA"/>
        </w:rPr>
        <w:fldChar w:fldCharType="separate"/>
      </w:r>
      <w:r w:rsidRPr="00437E75">
        <w:rPr>
          <w:rFonts w:ascii="Times New Roman" w:hAnsi="Times New Roman" w:cs="Times New Roman"/>
          <w:noProof/>
        </w:rPr>
        <w:t>[1]</w:t>
      </w:r>
      <w:r w:rsidRPr="00437E75">
        <w:rPr>
          <w:rFonts w:ascii="Times New Roman" w:hAnsi="Times New Roman" w:cs="Times New Roman"/>
          <w:noProof/>
        </w:rPr>
        <w:tab/>
        <w:t>Purkayastha S, Jha AK, Kumar R, Dayal VM, Jha SK. Serum Gamma-Glutamyl Transpeptidase-to-Platelet Ratio as a Non-invasive Marker of  Liver Fibrosis in Chronic Hepatitis B. Cureus 2023;15:e33744. https://doi.org/10.7759/cureus.33744.</w:t>
      </w:r>
    </w:p>
    <w:p w14:paraId="567142A2" w14:textId="77777777" w:rsidR="002C7FFA" w:rsidRPr="00437E75" w:rsidRDefault="002C7FFA" w:rsidP="00437E75">
      <w:pPr>
        <w:widowControl w:val="0"/>
        <w:autoSpaceDE w:val="0"/>
        <w:autoSpaceDN w:val="0"/>
        <w:adjustRightInd w:val="0"/>
        <w:ind w:left="640" w:hanging="640"/>
        <w:rPr>
          <w:rFonts w:ascii="Times New Roman" w:hAnsi="Times New Roman" w:cs="Times New Roman"/>
          <w:noProof/>
        </w:rPr>
      </w:pPr>
      <w:r w:rsidRPr="00437E75">
        <w:rPr>
          <w:rFonts w:ascii="Times New Roman" w:hAnsi="Times New Roman" w:cs="Times New Roman"/>
          <w:noProof/>
        </w:rPr>
        <w:t>[2]</w:t>
      </w:r>
      <w:r w:rsidRPr="00437E75">
        <w:rPr>
          <w:rFonts w:ascii="Times New Roman" w:hAnsi="Times New Roman" w:cs="Times New Roman"/>
          <w:noProof/>
        </w:rPr>
        <w:tab/>
        <w:t>Okdemir S, Cakmak E. A novel non-invasive score for the prediction of advanced fibrosis in patients  with chronic hepatitis B. Ann Hepatol 2022;27:100544. https://doi.org/10.1016/j.aohep.2021.100544.</w:t>
      </w:r>
    </w:p>
    <w:p w14:paraId="52162C00" w14:textId="77777777" w:rsidR="002C7FFA" w:rsidRPr="00437E75" w:rsidRDefault="002C7FFA" w:rsidP="00437E75">
      <w:pPr>
        <w:widowControl w:val="0"/>
        <w:autoSpaceDE w:val="0"/>
        <w:autoSpaceDN w:val="0"/>
        <w:adjustRightInd w:val="0"/>
        <w:ind w:left="640" w:hanging="640"/>
        <w:rPr>
          <w:rFonts w:ascii="Times New Roman" w:hAnsi="Times New Roman" w:cs="Times New Roman"/>
          <w:noProof/>
        </w:rPr>
      </w:pPr>
      <w:r w:rsidRPr="00437E75">
        <w:rPr>
          <w:rFonts w:ascii="Times New Roman" w:hAnsi="Times New Roman" w:cs="Times New Roman"/>
          <w:noProof/>
        </w:rPr>
        <w:t>[3]</w:t>
      </w:r>
      <w:r w:rsidRPr="00437E75">
        <w:rPr>
          <w:rFonts w:ascii="Times New Roman" w:hAnsi="Times New Roman" w:cs="Times New Roman"/>
          <w:noProof/>
        </w:rPr>
        <w:tab/>
        <w:t>Wang Z, Zhou Y, Yu P, Liu Y, Mei M, Bian Z, et al. Retrospective Evaluation of Non-invasive Assessment Based on Routine Laboratory  Markers for Assessing Advanced Liver Fibrosis in Chronic Hepatitis B Patients. Int J Gen Med 2022;15:5159–71. https://doi.org/10.2147/IJGM.S364216.</w:t>
      </w:r>
    </w:p>
    <w:p w14:paraId="37A2CC19" w14:textId="77777777" w:rsidR="002C7FFA" w:rsidRPr="00437E75" w:rsidRDefault="002C7FFA" w:rsidP="00437E75">
      <w:pPr>
        <w:widowControl w:val="0"/>
        <w:autoSpaceDE w:val="0"/>
        <w:autoSpaceDN w:val="0"/>
        <w:adjustRightInd w:val="0"/>
        <w:ind w:left="640" w:hanging="640"/>
        <w:rPr>
          <w:rFonts w:ascii="Times New Roman" w:hAnsi="Times New Roman" w:cs="Times New Roman"/>
          <w:noProof/>
        </w:rPr>
      </w:pPr>
      <w:r w:rsidRPr="00437E75">
        <w:rPr>
          <w:rFonts w:ascii="Times New Roman" w:hAnsi="Times New Roman" w:cs="Times New Roman"/>
          <w:noProof/>
        </w:rPr>
        <w:t>[4]</w:t>
      </w:r>
      <w:r w:rsidRPr="00437E75">
        <w:rPr>
          <w:rFonts w:ascii="Times New Roman" w:hAnsi="Times New Roman" w:cs="Times New Roman"/>
          <w:noProof/>
        </w:rPr>
        <w:tab/>
        <w:t>Pan Y, Yang K, Sun B, Chen J, Tian P. Application of alkaline phosphatase‑to‑platelet ratio as a novel non-invasive  index predicts liver fibrosis in patients with chronic hepatitis B. Exp Ther Med 2022;24:619. https://doi.org/10.3892/etm.2022.11556.</w:t>
      </w:r>
    </w:p>
    <w:p w14:paraId="7B7CBB96" w14:textId="77777777" w:rsidR="002C7FFA" w:rsidRPr="00437E75" w:rsidRDefault="002C7FFA" w:rsidP="00437E75">
      <w:pPr>
        <w:widowControl w:val="0"/>
        <w:autoSpaceDE w:val="0"/>
        <w:autoSpaceDN w:val="0"/>
        <w:adjustRightInd w:val="0"/>
        <w:ind w:left="640" w:hanging="640"/>
        <w:rPr>
          <w:rFonts w:ascii="Times New Roman" w:hAnsi="Times New Roman" w:cs="Times New Roman"/>
          <w:noProof/>
        </w:rPr>
      </w:pPr>
      <w:r w:rsidRPr="00437E75">
        <w:rPr>
          <w:rFonts w:ascii="Times New Roman" w:hAnsi="Times New Roman" w:cs="Times New Roman"/>
          <w:noProof/>
        </w:rPr>
        <w:t>[5]</w:t>
      </w:r>
      <w:r w:rsidRPr="00437E75">
        <w:rPr>
          <w:rFonts w:ascii="Times New Roman" w:hAnsi="Times New Roman" w:cs="Times New Roman"/>
          <w:noProof/>
        </w:rPr>
        <w:tab/>
        <w:t>Zhao X-A, Wang J, Wei J, Liu J, Chen G, Wang L, et al. Gamma-glutamyl Transpeptidase to Platelet Ratio Predicts Liver Injury in  Hepatitis B e Antigen-negative Chronic Hepatitis B Patients With Normal Alanine Aminotransferase. J Clin Transl Hepatol 2022;10:247–53. https://doi.org/10.14218/JCTH.2021.00151.</w:t>
      </w:r>
    </w:p>
    <w:p w14:paraId="7B3567E5" w14:textId="77777777" w:rsidR="002C7FFA" w:rsidRPr="00437E75" w:rsidRDefault="002C7FFA" w:rsidP="00437E75">
      <w:pPr>
        <w:widowControl w:val="0"/>
        <w:autoSpaceDE w:val="0"/>
        <w:autoSpaceDN w:val="0"/>
        <w:adjustRightInd w:val="0"/>
        <w:ind w:left="640" w:hanging="640"/>
        <w:rPr>
          <w:rFonts w:ascii="Times New Roman" w:hAnsi="Times New Roman" w:cs="Times New Roman"/>
          <w:noProof/>
        </w:rPr>
      </w:pPr>
      <w:r w:rsidRPr="00437E75">
        <w:rPr>
          <w:rFonts w:ascii="Times New Roman" w:hAnsi="Times New Roman" w:cs="Times New Roman"/>
          <w:noProof/>
        </w:rPr>
        <w:t>[6]</w:t>
      </w:r>
      <w:r w:rsidRPr="00437E75">
        <w:rPr>
          <w:rFonts w:ascii="Times New Roman" w:hAnsi="Times New Roman" w:cs="Times New Roman"/>
          <w:noProof/>
        </w:rPr>
        <w:tab/>
        <w:t>Liu X, Zhou J, Zhu L, Zhang X, Li F. Diagnostic accuracy of apparent diffusion coefficient values combined with  γ-glutamyl transpeptidase-to-platelet ratio parameters for predicting hepatitis B-related fibrosis. Clin Res Hepatol Gastroenterol 2022;46:101968. https://doi.org/10.1016/j.clinre.2022.101968.</w:t>
      </w:r>
    </w:p>
    <w:p w14:paraId="4ADFA684" w14:textId="77777777" w:rsidR="002C7FFA" w:rsidRPr="00437E75" w:rsidRDefault="002C7FFA" w:rsidP="00437E75">
      <w:pPr>
        <w:widowControl w:val="0"/>
        <w:autoSpaceDE w:val="0"/>
        <w:autoSpaceDN w:val="0"/>
        <w:adjustRightInd w:val="0"/>
        <w:ind w:left="640" w:hanging="640"/>
        <w:rPr>
          <w:rFonts w:ascii="Times New Roman" w:hAnsi="Times New Roman" w:cs="Times New Roman"/>
          <w:noProof/>
        </w:rPr>
      </w:pPr>
      <w:r w:rsidRPr="00437E75">
        <w:rPr>
          <w:rFonts w:ascii="Times New Roman" w:hAnsi="Times New Roman" w:cs="Times New Roman"/>
          <w:noProof/>
        </w:rPr>
        <w:t>[7]</w:t>
      </w:r>
      <w:r w:rsidRPr="00437E75">
        <w:rPr>
          <w:rFonts w:ascii="Times New Roman" w:hAnsi="Times New Roman" w:cs="Times New Roman"/>
          <w:noProof/>
        </w:rPr>
        <w:tab/>
        <w:t xml:space="preserve">Liao M-J, Li J, Dang W, Chen D-B, Qin W-Y, Chen P, et al. Novel index for the prediction of significant liver fibrosis and cirrhosis in  chronic hepatitis B patients in China. World J Gastroenterol </w:t>
      </w:r>
      <w:r w:rsidRPr="00437E75">
        <w:rPr>
          <w:rFonts w:ascii="Times New Roman" w:hAnsi="Times New Roman" w:cs="Times New Roman"/>
          <w:noProof/>
        </w:rPr>
        <w:lastRenderedPageBreak/>
        <w:t>2022;28:3503–13. https://doi.org/10.3748/wjg.v28.i27.3503.</w:t>
      </w:r>
    </w:p>
    <w:p w14:paraId="0103E635" w14:textId="77777777" w:rsidR="002C7FFA" w:rsidRPr="00437E75" w:rsidRDefault="002C7FFA" w:rsidP="00437E75">
      <w:pPr>
        <w:widowControl w:val="0"/>
        <w:autoSpaceDE w:val="0"/>
        <w:autoSpaceDN w:val="0"/>
        <w:adjustRightInd w:val="0"/>
        <w:ind w:left="640" w:hanging="640"/>
        <w:rPr>
          <w:rFonts w:ascii="Times New Roman" w:hAnsi="Times New Roman" w:cs="Times New Roman"/>
          <w:noProof/>
        </w:rPr>
      </w:pPr>
      <w:r w:rsidRPr="00437E75">
        <w:rPr>
          <w:rFonts w:ascii="Times New Roman" w:hAnsi="Times New Roman" w:cs="Times New Roman"/>
          <w:noProof/>
        </w:rPr>
        <w:t>[8]</w:t>
      </w:r>
      <w:r w:rsidRPr="00437E75">
        <w:rPr>
          <w:rFonts w:ascii="Times New Roman" w:hAnsi="Times New Roman" w:cs="Times New Roman"/>
          <w:noProof/>
        </w:rPr>
        <w:tab/>
        <w:t>Peng X, Tian A, Li J, Mao Y, Jiang N, Li T, et al. Diagnostic Value of FibroTouch and Non-invasive Fibrosis Indexes in Hepatic  Fibrosis with Different Aetiologies. Dig Dis Sci 2022;67:2627–36. https://doi.org/10.1007/s10620-021-07049-4.</w:t>
      </w:r>
    </w:p>
    <w:p w14:paraId="0DA320FA" w14:textId="77777777" w:rsidR="002C7FFA" w:rsidRPr="00437E75" w:rsidRDefault="002C7FFA" w:rsidP="00437E75">
      <w:pPr>
        <w:widowControl w:val="0"/>
        <w:autoSpaceDE w:val="0"/>
        <w:autoSpaceDN w:val="0"/>
        <w:adjustRightInd w:val="0"/>
        <w:ind w:left="640" w:hanging="640"/>
        <w:rPr>
          <w:rFonts w:ascii="Times New Roman" w:hAnsi="Times New Roman" w:cs="Times New Roman"/>
          <w:noProof/>
        </w:rPr>
      </w:pPr>
      <w:r w:rsidRPr="00437E75">
        <w:rPr>
          <w:rFonts w:ascii="Times New Roman" w:hAnsi="Times New Roman" w:cs="Times New Roman"/>
          <w:noProof/>
        </w:rPr>
        <w:t>[9]</w:t>
      </w:r>
      <w:r w:rsidRPr="00437E75">
        <w:rPr>
          <w:rFonts w:ascii="Times New Roman" w:hAnsi="Times New Roman" w:cs="Times New Roman"/>
          <w:noProof/>
        </w:rPr>
        <w:tab/>
        <w:t>Ekin N, Ucmak F, Ebik B, Tugba Tuncel E, Kacmaz H, Arpa M, et al. GPR, King’s Score and S-Index are superior to other non-invasive fibrosis markers  in predicting the liver fibrosis in chronic Hepatitis B patients. Acta Gastroenterol Belg 2022;85:62–8. https://doi.org/10.51821/85.1.9156.</w:t>
      </w:r>
    </w:p>
    <w:p w14:paraId="4634C042" w14:textId="77777777" w:rsidR="002C7FFA" w:rsidRPr="00437E75" w:rsidRDefault="002C7FFA" w:rsidP="00437E75">
      <w:pPr>
        <w:widowControl w:val="0"/>
        <w:autoSpaceDE w:val="0"/>
        <w:autoSpaceDN w:val="0"/>
        <w:adjustRightInd w:val="0"/>
        <w:ind w:left="640" w:hanging="640"/>
        <w:rPr>
          <w:rFonts w:ascii="Times New Roman" w:hAnsi="Times New Roman" w:cs="Times New Roman"/>
          <w:noProof/>
        </w:rPr>
      </w:pPr>
      <w:r w:rsidRPr="00437E75">
        <w:rPr>
          <w:rFonts w:ascii="Times New Roman" w:hAnsi="Times New Roman" w:cs="Times New Roman"/>
          <w:noProof/>
        </w:rPr>
        <w:t>[10]</w:t>
      </w:r>
      <w:r w:rsidRPr="00437E75">
        <w:rPr>
          <w:rFonts w:ascii="Times New Roman" w:hAnsi="Times New Roman" w:cs="Times New Roman"/>
          <w:noProof/>
        </w:rPr>
        <w:tab/>
        <w:t>Liu X, Li H, Wei L, Tang Q, Hu P. Optimized cutoffs of gamma-glutamyl transpeptidase-to-platelet ratio, aspartate  aminotransferase-to-platelet ratio index, and fibrosis-4 scoring systems for exclusion of cirrhosis in patients with chronic hepatitis B. Hepatol Commun 2022;6:1664–72. https://doi.org/10.1002/hep4.1938.</w:t>
      </w:r>
    </w:p>
    <w:p w14:paraId="70C0741C" w14:textId="77777777" w:rsidR="002C7FFA" w:rsidRPr="00437E75" w:rsidRDefault="002C7FFA" w:rsidP="00437E75">
      <w:pPr>
        <w:widowControl w:val="0"/>
        <w:autoSpaceDE w:val="0"/>
        <w:autoSpaceDN w:val="0"/>
        <w:adjustRightInd w:val="0"/>
        <w:ind w:left="640" w:hanging="640"/>
        <w:rPr>
          <w:rFonts w:ascii="Times New Roman" w:hAnsi="Times New Roman" w:cs="Times New Roman"/>
          <w:noProof/>
        </w:rPr>
      </w:pPr>
      <w:r w:rsidRPr="00437E75">
        <w:rPr>
          <w:rFonts w:ascii="Times New Roman" w:hAnsi="Times New Roman" w:cs="Times New Roman"/>
          <w:noProof/>
        </w:rPr>
        <w:t>[11]</w:t>
      </w:r>
      <w:r w:rsidRPr="00437E75">
        <w:rPr>
          <w:rFonts w:ascii="Times New Roman" w:hAnsi="Times New Roman" w:cs="Times New Roman"/>
          <w:noProof/>
        </w:rPr>
        <w:tab/>
        <w:t>Yang Z, Ma X, Zhou X, Huang D, Wang Y, Li X, et al. Predictive performance of eLIFT for liver inflammation and fibrosis in chronic  liver diseases. Int J Med Sci 2021;18:3599–608. https://doi.org/10.7150/ijms.62386.</w:t>
      </w:r>
    </w:p>
    <w:p w14:paraId="22334D4F" w14:textId="77777777" w:rsidR="002C7FFA" w:rsidRPr="00437E75" w:rsidRDefault="002C7FFA" w:rsidP="00437E75">
      <w:pPr>
        <w:widowControl w:val="0"/>
        <w:autoSpaceDE w:val="0"/>
        <w:autoSpaceDN w:val="0"/>
        <w:adjustRightInd w:val="0"/>
        <w:ind w:left="640" w:hanging="640"/>
        <w:rPr>
          <w:rFonts w:ascii="Times New Roman" w:hAnsi="Times New Roman" w:cs="Times New Roman"/>
          <w:noProof/>
        </w:rPr>
      </w:pPr>
      <w:r w:rsidRPr="00437E75">
        <w:rPr>
          <w:rFonts w:ascii="Times New Roman" w:hAnsi="Times New Roman" w:cs="Times New Roman"/>
          <w:noProof/>
        </w:rPr>
        <w:t>[12]</w:t>
      </w:r>
      <w:r w:rsidRPr="00437E75">
        <w:rPr>
          <w:rFonts w:ascii="Times New Roman" w:hAnsi="Times New Roman" w:cs="Times New Roman"/>
          <w:noProof/>
        </w:rPr>
        <w:tab/>
        <w:t>Chen Y-P, Huang L-W, Lin X-Y, Hu X-M, Liang X-E, Jiang R-L. Alanine aminotransferase influencing performances of routine available tests  detecting hepatitis B-related cirrhosis. J Viral Hepat 2020;27:826–36. https://doi.org/10.1111/jvh.13293.</w:t>
      </w:r>
    </w:p>
    <w:p w14:paraId="2529A259" w14:textId="77777777" w:rsidR="002C7FFA" w:rsidRPr="00437E75" w:rsidRDefault="002C7FFA" w:rsidP="00437E75">
      <w:pPr>
        <w:widowControl w:val="0"/>
        <w:autoSpaceDE w:val="0"/>
        <w:autoSpaceDN w:val="0"/>
        <w:adjustRightInd w:val="0"/>
        <w:ind w:left="640" w:hanging="640"/>
        <w:rPr>
          <w:rFonts w:ascii="Times New Roman" w:hAnsi="Times New Roman" w:cs="Times New Roman"/>
          <w:noProof/>
        </w:rPr>
      </w:pPr>
      <w:r w:rsidRPr="00437E75">
        <w:rPr>
          <w:rFonts w:ascii="Times New Roman" w:hAnsi="Times New Roman" w:cs="Times New Roman"/>
          <w:noProof/>
        </w:rPr>
        <w:t>[13]</w:t>
      </w:r>
      <w:r w:rsidRPr="00437E75">
        <w:rPr>
          <w:rFonts w:ascii="Times New Roman" w:hAnsi="Times New Roman" w:cs="Times New Roman"/>
          <w:noProof/>
        </w:rPr>
        <w:tab/>
        <w:t>Wang L, Li J, Yang K, Zhang H, Wang Q, Lv X, et al. Comparison and evaluation of non-invasive models in predicting liver inflammation  and fibrosis of chronic hepatitis B virus-infected patients with high hepatitis B virus DNA and normal or mildly elevated alanine transaminase levels. Medicine (Baltimore) 2020;99:e20548. https://doi.org/10.1097/MD.0000000000020548.</w:t>
      </w:r>
    </w:p>
    <w:p w14:paraId="4945F138" w14:textId="77777777" w:rsidR="002C7FFA" w:rsidRPr="00437E75" w:rsidRDefault="002C7FFA" w:rsidP="00437E75">
      <w:pPr>
        <w:widowControl w:val="0"/>
        <w:autoSpaceDE w:val="0"/>
        <w:autoSpaceDN w:val="0"/>
        <w:adjustRightInd w:val="0"/>
        <w:ind w:left="640" w:hanging="640"/>
        <w:rPr>
          <w:rFonts w:ascii="Times New Roman" w:hAnsi="Times New Roman" w:cs="Times New Roman"/>
          <w:noProof/>
        </w:rPr>
      </w:pPr>
      <w:r w:rsidRPr="00437E75">
        <w:rPr>
          <w:rFonts w:ascii="Times New Roman" w:hAnsi="Times New Roman" w:cs="Times New Roman"/>
          <w:noProof/>
        </w:rPr>
        <w:t>[14]</w:t>
      </w:r>
      <w:r w:rsidRPr="00437E75">
        <w:rPr>
          <w:rFonts w:ascii="Times New Roman" w:hAnsi="Times New Roman" w:cs="Times New Roman"/>
          <w:noProof/>
        </w:rPr>
        <w:tab/>
        <w:t>Li Q, Huang C, Xu W, Hu Q, Chen L. Accuracy of FibroScan in analysis of liver fibrosis in patients with concomitant  chronic Hepatitis B and non-alcoholic fatty liver disease. Medicine (Baltimore) 2020;99:e20616. https://doi.org/10.1097/MD.0000000000020616.</w:t>
      </w:r>
    </w:p>
    <w:p w14:paraId="1B43D6B9" w14:textId="77777777" w:rsidR="002C7FFA" w:rsidRPr="00437E75" w:rsidRDefault="002C7FFA" w:rsidP="00437E75">
      <w:pPr>
        <w:widowControl w:val="0"/>
        <w:autoSpaceDE w:val="0"/>
        <w:autoSpaceDN w:val="0"/>
        <w:adjustRightInd w:val="0"/>
        <w:ind w:left="640" w:hanging="640"/>
        <w:rPr>
          <w:rFonts w:ascii="Times New Roman" w:hAnsi="Times New Roman" w:cs="Times New Roman"/>
          <w:noProof/>
        </w:rPr>
      </w:pPr>
      <w:r w:rsidRPr="00437E75">
        <w:rPr>
          <w:rFonts w:ascii="Times New Roman" w:hAnsi="Times New Roman" w:cs="Times New Roman"/>
          <w:noProof/>
        </w:rPr>
        <w:lastRenderedPageBreak/>
        <w:t>[15]</w:t>
      </w:r>
      <w:r w:rsidRPr="00437E75">
        <w:rPr>
          <w:rFonts w:ascii="Times New Roman" w:hAnsi="Times New Roman" w:cs="Times New Roman"/>
          <w:noProof/>
        </w:rPr>
        <w:tab/>
        <w:t>Yang L, Li J, Ma L, Xiang H, He D, Lu C, et al. Non-invasive assessment of liver fibrosis in chronic hepatitis B carriers with sound touch elastography: study of surgical pathology specimens. Expert Rev Med Devices 2020;17:845–53. https://doi.org/10.1080/17434440.2020.1798226.</w:t>
      </w:r>
    </w:p>
    <w:p w14:paraId="149147D5" w14:textId="77777777" w:rsidR="002C7FFA" w:rsidRPr="00437E75" w:rsidRDefault="002C7FFA" w:rsidP="00437E75">
      <w:pPr>
        <w:widowControl w:val="0"/>
        <w:autoSpaceDE w:val="0"/>
        <w:autoSpaceDN w:val="0"/>
        <w:adjustRightInd w:val="0"/>
        <w:ind w:left="640" w:hanging="640"/>
        <w:rPr>
          <w:rFonts w:ascii="Times New Roman" w:hAnsi="Times New Roman" w:cs="Times New Roman"/>
          <w:noProof/>
        </w:rPr>
      </w:pPr>
      <w:r w:rsidRPr="00437E75">
        <w:rPr>
          <w:rFonts w:ascii="Times New Roman" w:hAnsi="Times New Roman" w:cs="Times New Roman"/>
          <w:noProof/>
        </w:rPr>
        <w:t>[16]</w:t>
      </w:r>
      <w:r w:rsidRPr="00437E75">
        <w:rPr>
          <w:rFonts w:ascii="Times New Roman" w:hAnsi="Times New Roman" w:cs="Times New Roman"/>
          <w:noProof/>
        </w:rPr>
        <w:tab/>
        <w:t>Zeng T, Yu J, Tan L, Wu Y, Tian Y, Wu Q, et al. Non-invasive indices for monitoring disease course in Chinese patients with autoimmune hepatitis. Clin Chim ACTA 2018;486:135–41. https://doi.org/10.1016/j.cca.2018.07.030.</w:t>
      </w:r>
    </w:p>
    <w:p w14:paraId="247D7AF1" w14:textId="77777777" w:rsidR="002C7FFA" w:rsidRPr="00437E75" w:rsidRDefault="002C7FFA" w:rsidP="00437E75">
      <w:pPr>
        <w:widowControl w:val="0"/>
        <w:autoSpaceDE w:val="0"/>
        <w:autoSpaceDN w:val="0"/>
        <w:adjustRightInd w:val="0"/>
        <w:ind w:left="640" w:hanging="640"/>
        <w:rPr>
          <w:rFonts w:ascii="Times New Roman" w:hAnsi="Times New Roman" w:cs="Times New Roman"/>
          <w:noProof/>
        </w:rPr>
      </w:pPr>
      <w:r w:rsidRPr="00437E75">
        <w:rPr>
          <w:rFonts w:ascii="Times New Roman" w:hAnsi="Times New Roman" w:cs="Times New Roman"/>
          <w:noProof/>
        </w:rPr>
        <w:t>[17]</w:t>
      </w:r>
      <w:r w:rsidRPr="00437E75">
        <w:rPr>
          <w:rFonts w:ascii="Times New Roman" w:hAnsi="Times New Roman" w:cs="Times New Roman"/>
          <w:noProof/>
        </w:rPr>
        <w:tab/>
        <w:t>Wang W, Zhao X, Li G, Wang L, Chen Y, Ma K, et al. Diagnostic thresholds and performance of non-invasive fibrosis scores are limited  by age in patients with chronic hepatitis B. J Med Virol 2019;91:1279–87. https://doi.org/10.1002/jmv.25435.</w:t>
      </w:r>
    </w:p>
    <w:p w14:paraId="7CE22ABE" w14:textId="77777777" w:rsidR="002C7FFA" w:rsidRPr="00437E75" w:rsidRDefault="002C7FFA" w:rsidP="00437E75">
      <w:pPr>
        <w:widowControl w:val="0"/>
        <w:autoSpaceDE w:val="0"/>
        <w:autoSpaceDN w:val="0"/>
        <w:adjustRightInd w:val="0"/>
        <w:ind w:left="640" w:hanging="640"/>
        <w:rPr>
          <w:rFonts w:ascii="Times New Roman" w:hAnsi="Times New Roman" w:cs="Times New Roman"/>
          <w:noProof/>
        </w:rPr>
      </w:pPr>
      <w:r w:rsidRPr="00437E75">
        <w:rPr>
          <w:rFonts w:ascii="Times New Roman" w:hAnsi="Times New Roman" w:cs="Times New Roman"/>
          <w:noProof/>
        </w:rPr>
        <w:t>[18]</w:t>
      </w:r>
      <w:r w:rsidRPr="00437E75">
        <w:rPr>
          <w:rFonts w:ascii="Times New Roman" w:hAnsi="Times New Roman" w:cs="Times New Roman"/>
          <w:noProof/>
        </w:rPr>
        <w:tab/>
        <w:t>Liu D, Li J, Lu W, Wang Y, Zhou X, Huang D, et al. Gamma-glutamyl transpeptidase to cholinesterase and platelet ratio in predicting  significant liver fibrosis and cirrhosis of chronic hepatitis B. Clin Microbiol Infect  Off Publ Eur  Soc Clin Microbiol Infect Dis 2019;25:514.e1-514.e8. https://doi.org/10.1016/j.cmi.2018.06.002.</w:t>
      </w:r>
    </w:p>
    <w:p w14:paraId="0B8EA7E6" w14:textId="77777777" w:rsidR="002C7FFA" w:rsidRPr="00437E75" w:rsidRDefault="002C7FFA" w:rsidP="00437E75">
      <w:pPr>
        <w:widowControl w:val="0"/>
        <w:autoSpaceDE w:val="0"/>
        <w:autoSpaceDN w:val="0"/>
        <w:adjustRightInd w:val="0"/>
        <w:ind w:left="640" w:hanging="640"/>
        <w:rPr>
          <w:rFonts w:ascii="Times New Roman" w:hAnsi="Times New Roman" w:cs="Times New Roman"/>
          <w:noProof/>
        </w:rPr>
      </w:pPr>
      <w:r w:rsidRPr="00437E75">
        <w:rPr>
          <w:rFonts w:ascii="Times New Roman" w:hAnsi="Times New Roman" w:cs="Times New Roman"/>
          <w:noProof/>
        </w:rPr>
        <w:t>[19]</w:t>
      </w:r>
      <w:r w:rsidRPr="00437E75">
        <w:rPr>
          <w:rFonts w:ascii="Times New Roman" w:hAnsi="Times New Roman" w:cs="Times New Roman"/>
          <w:noProof/>
        </w:rPr>
        <w:tab/>
        <w:t>Zhang G-L, Xu S-C, Zeng J, Chen Z, Li Y-P, Zhang T, et al. Optimizing the Use of the Gamma-Glutamyl Transpeptidase-to-Platelet Ratio and  Transient Elastography to Identify Liver Cirrhosis in Patients with Chronic Hepatitis B Concurrent with Non-alcoholic Fatty Liver Disease. Dis Markers 2019;2019:2585409. https://doi.org/10.1155/2019/2585409.</w:t>
      </w:r>
    </w:p>
    <w:p w14:paraId="7ACBD32E" w14:textId="77777777" w:rsidR="002C7FFA" w:rsidRPr="00437E75" w:rsidRDefault="002C7FFA" w:rsidP="00437E75">
      <w:pPr>
        <w:widowControl w:val="0"/>
        <w:autoSpaceDE w:val="0"/>
        <w:autoSpaceDN w:val="0"/>
        <w:adjustRightInd w:val="0"/>
        <w:ind w:left="640" w:hanging="640"/>
        <w:rPr>
          <w:rFonts w:ascii="Times New Roman" w:hAnsi="Times New Roman" w:cs="Times New Roman"/>
          <w:noProof/>
        </w:rPr>
      </w:pPr>
      <w:r w:rsidRPr="00437E75">
        <w:rPr>
          <w:rFonts w:ascii="Times New Roman" w:hAnsi="Times New Roman" w:cs="Times New Roman"/>
          <w:noProof/>
        </w:rPr>
        <w:t>[20]</w:t>
      </w:r>
      <w:r w:rsidRPr="00437E75">
        <w:rPr>
          <w:rFonts w:ascii="Times New Roman" w:hAnsi="Times New Roman" w:cs="Times New Roman"/>
          <w:noProof/>
        </w:rPr>
        <w:tab/>
        <w:t>Li X, Xu H, Gao P. Fibrosis Index Based on 4 Factors (FIB-4) Predicts Liver Cirrhosis and  Hepatocellular Carcinoma in Chronic Hepatitis C Virus (HCV) Patients. Med Sci Monit  Int Med J Exp  Clin Res 2019;25:7243–50. https://doi.org/10.12659/MSM.918784.</w:t>
      </w:r>
    </w:p>
    <w:p w14:paraId="7871877D" w14:textId="77777777" w:rsidR="002C7FFA" w:rsidRPr="00437E75" w:rsidRDefault="002C7FFA" w:rsidP="00437E75">
      <w:pPr>
        <w:widowControl w:val="0"/>
        <w:autoSpaceDE w:val="0"/>
        <w:autoSpaceDN w:val="0"/>
        <w:adjustRightInd w:val="0"/>
        <w:ind w:left="640" w:hanging="640"/>
        <w:rPr>
          <w:rFonts w:ascii="Times New Roman" w:hAnsi="Times New Roman" w:cs="Times New Roman"/>
          <w:noProof/>
        </w:rPr>
      </w:pPr>
      <w:r w:rsidRPr="00437E75">
        <w:rPr>
          <w:rFonts w:ascii="Times New Roman" w:hAnsi="Times New Roman" w:cs="Times New Roman"/>
          <w:noProof/>
        </w:rPr>
        <w:t>[21]</w:t>
      </w:r>
      <w:r w:rsidRPr="00437E75">
        <w:rPr>
          <w:rFonts w:ascii="Times New Roman" w:hAnsi="Times New Roman" w:cs="Times New Roman"/>
          <w:noProof/>
        </w:rPr>
        <w:tab/>
        <w:t>Wang J, Chen Z, Yan X, Yang Y, Liu Y, Chen Y, et al. The Easy Liver Fibrosis Test (eLIFT) for predicting advanced liver fibrosis in  patients with chronic hepatitis B. Discov Med 2019;28:149–58.</w:t>
      </w:r>
    </w:p>
    <w:p w14:paraId="3667C950" w14:textId="77777777" w:rsidR="002C7FFA" w:rsidRPr="00437E75" w:rsidRDefault="002C7FFA" w:rsidP="00437E75">
      <w:pPr>
        <w:widowControl w:val="0"/>
        <w:autoSpaceDE w:val="0"/>
        <w:autoSpaceDN w:val="0"/>
        <w:adjustRightInd w:val="0"/>
        <w:ind w:left="640" w:hanging="640"/>
        <w:rPr>
          <w:rFonts w:ascii="Times New Roman" w:hAnsi="Times New Roman" w:cs="Times New Roman"/>
          <w:noProof/>
        </w:rPr>
      </w:pPr>
      <w:r w:rsidRPr="00437E75">
        <w:rPr>
          <w:rFonts w:ascii="Times New Roman" w:hAnsi="Times New Roman" w:cs="Times New Roman"/>
          <w:noProof/>
        </w:rPr>
        <w:t>[22]</w:t>
      </w:r>
      <w:r w:rsidRPr="00437E75">
        <w:rPr>
          <w:rFonts w:ascii="Times New Roman" w:hAnsi="Times New Roman" w:cs="Times New Roman"/>
          <w:noProof/>
        </w:rPr>
        <w:tab/>
        <w:t xml:space="preserve">Yu K, Du Z, Li Q, Cheng Q, Huang C, Shi G, et al. Comparison of non-invasive models for </w:t>
      </w:r>
      <w:r w:rsidRPr="00437E75">
        <w:rPr>
          <w:rFonts w:ascii="Times New Roman" w:hAnsi="Times New Roman" w:cs="Times New Roman"/>
          <w:noProof/>
        </w:rPr>
        <w:lastRenderedPageBreak/>
        <w:t>predicting liver damage in chronic  hepatitis B patients. Gastroenterol Hepatol 2019;42:281–8. https://doi.org/10.1016/j.gastrohep.2018.12.004.</w:t>
      </w:r>
    </w:p>
    <w:p w14:paraId="46A2C220" w14:textId="77777777" w:rsidR="002C7FFA" w:rsidRPr="00437E75" w:rsidRDefault="002C7FFA" w:rsidP="00437E75">
      <w:pPr>
        <w:widowControl w:val="0"/>
        <w:autoSpaceDE w:val="0"/>
        <w:autoSpaceDN w:val="0"/>
        <w:adjustRightInd w:val="0"/>
        <w:ind w:left="640" w:hanging="640"/>
        <w:rPr>
          <w:rFonts w:ascii="Times New Roman" w:hAnsi="Times New Roman" w:cs="Times New Roman"/>
          <w:noProof/>
        </w:rPr>
      </w:pPr>
      <w:r w:rsidRPr="00437E75">
        <w:rPr>
          <w:rFonts w:ascii="Times New Roman" w:hAnsi="Times New Roman" w:cs="Times New Roman"/>
          <w:noProof/>
        </w:rPr>
        <w:t>[23]</w:t>
      </w:r>
      <w:r w:rsidRPr="00437E75">
        <w:rPr>
          <w:rFonts w:ascii="Times New Roman" w:hAnsi="Times New Roman" w:cs="Times New Roman"/>
          <w:noProof/>
        </w:rPr>
        <w:tab/>
        <w:t>Zhang W, Sun M, Chen G, An Y, Lv C, Wang Y, et al. Reassessment of gamma-glutamyl transpeptidase to platelet ratio (GPR): a  large-sample, dynamic study based on liver biopsy in a Chinese population with chronic hepatitis B virus (HBV) infection. Gut 2018;67:989–91. https://doi.org/10.1136/gutjnl-2017-313896.</w:t>
      </w:r>
    </w:p>
    <w:p w14:paraId="6CFE2B13" w14:textId="77777777" w:rsidR="002C7FFA" w:rsidRPr="00437E75" w:rsidRDefault="002C7FFA" w:rsidP="00437E75">
      <w:pPr>
        <w:widowControl w:val="0"/>
        <w:autoSpaceDE w:val="0"/>
        <w:autoSpaceDN w:val="0"/>
        <w:adjustRightInd w:val="0"/>
        <w:ind w:left="640" w:hanging="640"/>
        <w:rPr>
          <w:rFonts w:ascii="Times New Roman" w:hAnsi="Times New Roman" w:cs="Times New Roman"/>
          <w:noProof/>
        </w:rPr>
      </w:pPr>
      <w:r w:rsidRPr="00437E75">
        <w:rPr>
          <w:rFonts w:ascii="Times New Roman" w:hAnsi="Times New Roman" w:cs="Times New Roman"/>
          <w:noProof/>
        </w:rPr>
        <w:t>[24]</w:t>
      </w:r>
      <w:r w:rsidRPr="00437E75">
        <w:rPr>
          <w:rFonts w:ascii="Times New Roman" w:hAnsi="Times New Roman" w:cs="Times New Roman"/>
          <w:noProof/>
        </w:rPr>
        <w:tab/>
        <w:t>Lu X-J, Li X-H, Yuan Z-X, Sun H-Y, Wang X-C, Qi X, et al. Assessment of liver fibrosis with the gamma-glutamyl transpeptidase to platelet ratio: a multicentre validation in patients with HBV infection. Gut 2018;67:1903–4. https://doi.org/10.1136/gutjnl-2017-315299.</w:t>
      </w:r>
    </w:p>
    <w:p w14:paraId="6DC775DB" w14:textId="77777777" w:rsidR="002C7FFA" w:rsidRPr="00437E75" w:rsidRDefault="002C7FFA" w:rsidP="00437E75">
      <w:pPr>
        <w:widowControl w:val="0"/>
        <w:autoSpaceDE w:val="0"/>
        <w:autoSpaceDN w:val="0"/>
        <w:adjustRightInd w:val="0"/>
        <w:ind w:left="640" w:hanging="640"/>
        <w:rPr>
          <w:rFonts w:ascii="Times New Roman" w:hAnsi="Times New Roman" w:cs="Times New Roman"/>
          <w:noProof/>
        </w:rPr>
      </w:pPr>
      <w:r w:rsidRPr="00437E75">
        <w:rPr>
          <w:rFonts w:ascii="Times New Roman" w:hAnsi="Times New Roman" w:cs="Times New Roman"/>
          <w:noProof/>
        </w:rPr>
        <w:t>[25]</w:t>
      </w:r>
      <w:r w:rsidRPr="00437E75">
        <w:rPr>
          <w:rFonts w:ascii="Times New Roman" w:hAnsi="Times New Roman" w:cs="Times New Roman"/>
          <w:noProof/>
        </w:rPr>
        <w:tab/>
        <w:t>Liu D-P, Lu W, Zhang Z-Q, Wang Y-B, Ding R-R, Zhou X-L, et al. Comparative evaluation of GPR versus APRI and FIB-4 in predicting different  levels of liver fibrosis of chronic hepatitis B. J Viral Hepat 2018;25:581–9. https://doi.org/10.1111/jvh.12842.</w:t>
      </w:r>
    </w:p>
    <w:p w14:paraId="18013970" w14:textId="77777777" w:rsidR="002C7FFA" w:rsidRPr="00437E75" w:rsidRDefault="002C7FFA" w:rsidP="00437E75">
      <w:pPr>
        <w:widowControl w:val="0"/>
        <w:autoSpaceDE w:val="0"/>
        <w:autoSpaceDN w:val="0"/>
        <w:adjustRightInd w:val="0"/>
        <w:ind w:left="640" w:hanging="640"/>
        <w:rPr>
          <w:rFonts w:ascii="Times New Roman" w:hAnsi="Times New Roman" w:cs="Times New Roman"/>
          <w:noProof/>
        </w:rPr>
      </w:pPr>
      <w:r w:rsidRPr="00437E75">
        <w:rPr>
          <w:rFonts w:ascii="Times New Roman" w:hAnsi="Times New Roman" w:cs="Times New Roman"/>
          <w:noProof/>
        </w:rPr>
        <w:t>[26]</w:t>
      </w:r>
      <w:r w:rsidRPr="00437E75">
        <w:rPr>
          <w:rFonts w:ascii="Times New Roman" w:hAnsi="Times New Roman" w:cs="Times New Roman"/>
          <w:noProof/>
        </w:rPr>
        <w:tab/>
        <w:t>Wu X, Cai B, Su Z, Li Y, Xu J, Deng R, et al. Aspartate transaminase to platelet ratio index and gamma-glutamyl  transpeptidase-to-platelet ratio outweigh fibrosis index based on four factors and red cell distribution width-platelet ratio in diagnosing liver fibrosis and inflammation in chronic hepat. J Clin Lab Anal 2018;32:e22341. https://doi.org/10.1002/jcla.22341.</w:t>
      </w:r>
    </w:p>
    <w:p w14:paraId="0205404E" w14:textId="77777777" w:rsidR="002C7FFA" w:rsidRPr="00437E75" w:rsidRDefault="002C7FFA" w:rsidP="00437E75">
      <w:pPr>
        <w:widowControl w:val="0"/>
        <w:autoSpaceDE w:val="0"/>
        <w:autoSpaceDN w:val="0"/>
        <w:adjustRightInd w:val="0"/>
        <w:ind w:left="640" w:hanging="640"/>
        <w:rPr>
          <w:rFonts w:ascii="Times New Roman" w:hAnsi="Times New Roman" w:cs="Times New Roman"/>
          <w:noProof/>
        </w:rPr>
      </w:pPr>
      <w:r w:rsidRPr="00437E75">
        <w:rPr>
          <w:rFonts w:ascii="Times New Roman" w:hAnsi="Times New Roman" w:cs="Times New Roman"/>
          <w:noProof/>
        </w:rPr>
        <w:t>[27]</w:t>
      </w:r>
      <w:r w:rsidRPr="00437E75">
        <w:rPr>
          <w:rFonts w:ascii="Times New Roman" w:hAnsi="Times New Roman" w:cs="Times New Roman"/>
          <w:noProof/>
        </w:rPr>
        <w:tab/>
        <w:t>Ren T, Wang H, Wu R, Niu J. Gamma-glutamyl transpeptidase-to-platelet ratio predicts significant liver fibrosis of chronic Hepatitis B patients in China. Gastroenterol Res Pract 2017;2017. https://doi.org/10.1155/2017/7089702.</w:t>
      </w:r>
    </w:p>
    <w:p w14:paraId="1E808FCF" w14:textId="77777777" w:rsidR="002C7FFA" w:rsidRPr="00437E75" w:rsidRDefault="002C7FFA" w:rsidP="00437E75">
      <w:pPr>
        <w:widowControl w:val="0"/>
        <w:autoSpaceDE w:val="0"/>
        <w:autoSpaceDN w:val="0"/>
        <w:adjustRightInd w:val="0"/>
        <w:ind w:left="640" w:hanging="640"/>
        <w:rPr>
          <w:rFonts w:ascii="Times New Roman" w:hAnsi="Times New Roman" w:cs="Times New Roman"/>
          <w:noProof/>
        </w:rPr>
      </w:pPr>
      <w:r w:rsidRPr="00437E75">
        <w:rPr>
          <w:rFonts w:ascii="Times New Roman" w:hAnsi="Times New Roman" w:cs="Times New Roman"/>
          <w:noProof/>
        </w:rPr>
        <w:t>[28]</w:t>
      </w:r>
      <w:r w:rsidRPr="00437E75">
        <w:rPr>
          <w:rFonts w:ascii="Times New Roman" w:hAnsi="Times New Roman" w:cs="Times New Roman"/>
          <w:noProof/>
        </w:rPr>
        <w:tab/>
        <w:t>Li Q, Lu C, Li W, Huang Y, Chen L. The gamma-glutamyl transpeptidase to platelet ratio for non-invasive assessment of liver fibrosis in patients with chronic hepatitis B and non-alcoholic fatty liver disease. Oncotarget 2017;8:28641 – 28649. https://doi.org/10.18632/oncotarget.16162.</w:t>
      </w:r>
    </w:p>
    <w:p w14:paraId="4519B6C4" w14:textId="77777777" w:rsidR="002C7FFA" w:rsidRPr="00437E75" w:rsidRDefault="002C7FFA" w:rsidP="00437E75">
      <w:pPr>
        <w:widowControl w:val="0"/>
        <w:autoSpaceDE w:val="0"/>
        <w:autoSpaceDN w:val="0"/>
        <w:adjustRightInd w:val="0"/>
        <w:ind w:left="640" w:hanging="640"/>
        <w:rPr>
          <w:rFonts w:ascii="Times New Roman" w:hAnsi="Times New Roman" w:cs="Times New Roman"/>
          <w:noProof/>
        </w:rPr>
      </w:pPr>
      <w:r w:rsidRPr="00437E75">
        <w:rPr>
          <w:rFonts w:ascii="Times New Roman" w:hAnsi="Times New Roman" w:cs="Times New Roman"/>
          <w:noProof/>
        </w:rPr>
        <w:t>[29]</w:t>
      </w:r>
      <w:r w:rsidRPr="00437E75">
        <w:rPr>
          <w:rFonts w:ascii="Times New Roman" w:hAnsi="Times New Roman" w:cs="Times New Roman"/>
          <w:noProof/>
        </w:rPr>
        <w:tab/>
        <w:t xml:space="preserve">Huang R, Wang G, Tian C, Liu Y, Jia B, Wang J, et al. Gamma-glutamyl-transpeptidase to platelet ratio is not superior to APRI, FIB-4 and RPR for diagnosing liver fibrosis in CHB patients in China. </w:t>
      </w:r>
      <w:r w:rsidRPr="00437E75">
        <w:rPr>
          <w:rFonts w:ascii="Times New Roman" w:hAnsi="Times New Roman" w:cs="Times New Roman"/>
          <w:noProof/>
        </w:rPr>
        <w:lastRenderedPageBreak/>
        <w:t>Sci Rep 2017;7. https://doi.org/10.1038/s41598-017-09234-w.</w:t>
      </w:r>
    </w:p>
    <w:p w14:paraId="06856163" w14:textId="77777777" w:rsidR="002C7FFA" w:rsidRPr="00437E75" w:rsidRDefault="002C7FFA" w:rsidP="00437E75">
      <w:pPr>
        <w:widowControl w:val="0"/>
        <w:autoSpaceDE w:val="0"/>
        <w:autoSpaceDN w:val="0"/>
        <w:adjustRightInd w:val="0"/>
        <w:ind w:left="640" w:hanging="640"/>
        <w:rPr>
          <w:rFonts w:ascii="Times New Roman" w:hAnsi="Times New Roman" w:cs="Times New Roman"/>
          <w:noProof/>
        </w:rPr>
      </w:pPr>
      <w:r w:rsidRPr="00437E75">
        <w:rPr>
          <w:rFonts w:ascii="Times New Roman" w:hAnsi="Times New Roman" w:cs="Times New Roman"/>
          <w:noProof/>
        </w:rPr>
        <w:t>[30]</w:t>
      </w:r>
      <w:r w:rsidRPr="00437E75">
        <w:rPr>
          <w:rFonts w:ascii="Times New Roman" w:hAnsi="Times New Roman" w:cs="Times New Roman"/>
          <w:noProof/>
        </w:rPr>
        <w:tab/>
        <w:t>Wang R-Q, Zhang Q-S, Zhao S-X, Niu X-M, Du J-H, Du H-J, et al. Gamma-glutamyl transpeptidase to platelet ratio index is a good non-invasive biomarker for predicting liver fibrosis in Chinese chronic hepatitis B patients. J Int Med Res 2016;44:1302–13. https://doi.org/10.1177/0300060516664638.</w:t>
      </w:r>
    </w:p>
    <w:p w14:paraId="45F5C0D2" w14:textId="77777777" w:rsidR="002C7FFA" w:rsidRPr="00437E75" w:rsidRDefault="002C7FFA" w:rsidP="00437E75">
      <w:pPr>
        <w:widowControl w:val="0"/>
        <w:autoSpaceDE w:val="0"/>
        <w:autoSpaceDN w:val="0"/>
        <w:adjustRightInd w:val="0"/>
        <w:ind w:left="640" w:hanging="640"/>
        <w:rPr>
          <w:rFonts w:ascii="Times New Roman" w:hAnsi="Times New Roman" w:cs="Times New Roman"/>
          <w:noProof/>
        </w:rPr>
      </w:pPr>
      <w:r w:rsidRPr="00437E75">
        <w:rPr>
          <w:rFonts w:ascii="Times New Roman" w:hAnsi="Times New Roman" w:cs="Times New Roman"/>
          <w:noProof/>
        </w:rPr>
        <w:t>[31]</w:t>
      </w:r>
      <w:r w:rsidRPr="00437E75">
        <w:rPr>
          <w:rFonts w:ascii="Times New Roman" w:hAnsi="Times New Roman" w:cs="Times New Roman"/>
          <w:noProof/>
        </w:rPr>
        <w:tab/>
        <w:t>Li Q, Li W, Huang Y, Chen L. The gamma-glutamyl transpeptidase-to-platelet ratio predicts liver fibrosis and cirrhosis in HBeAg-positive chronic HBV infection patients with high HBV DNA and normal or mildly elevated alanine transaminase levels in China. J Viral Hepat 2016;23:912–9. https://doi.org/10.1111/jvh.12563.</w:t>
      </w:r>
    </w:p>
    <w:p w14:paraId="7FF3186B" w14:textId="77777777" w:rsidR="002C7FFA" w:rsidRPr="00437E75" w:rsidRDefault="002C7FFA" w:rsidP="00437E75">
      <w:pPr>
        <w:widowControl w:val="0"/>
        <w:autoSpaceDE w:val="0"/>
        <w:autoSpaceDN w:val="0"/>
        <w:adjustRightInd w:val="0"/>
        <w:ind w:left="640" w:hanging="640"/>
        <w:rPr>
          <w:rFonts w:ascii="Times New Roman" w:hAnsi="Times New Roman" w:cs="Times New Roman"/>
          <w:noProof/>
        </w:rPr>
      </w:pPr>
      <w:r w:rsidRPr="00437E75">
        <w:rPr>
          <w:rFonts w:ascii="Times New Roman" w:hAnsi="Times New Roman" w:cs="Times New Roman"/>
          <w:noProof/>
        </w:rPr>
        <w:t>[32]</w:t>
      </w:r>
      <w:r w:rsidRPr="00437E75">
        <w:rPr>
          <w:rFonts w:ascii="Times New Roman" w:hAnsi="Times New Roman" w:cs="Times New Roman"/>
          <w:noProof/>
        </w:rPr>
        <w:tab/>
        <w:t>Li Q, Song J, Huang Y, Li X, Zhuo Q, Li W, et al. The Gamma-Glutamyl-Transpeptidase to Platelet Ratio Does not Show Advantages than APRI and Fib-4 in Diagnosing Significant Fibrosis and Cirrhosis in Patients With Chronic Hepatitis B A Retrospective Cohort Study in China. Medicine (Baltimore) 2016;95. https://doi.org/10.1097/MD.0000000000003372.</w:t>
      </w:r>
    </w:p>
    <w:p w14:paraId="2BFCC2CC" w14:textId="77777777" w:rsidR="002C7FFA" w:rsidRPr="00437E75" w:rsidRDefault="002C7FFA" w:rsidP="00437E75">
      <w:pPr>
        <w:widowControl w:val="0"/>
        <w:autoSpaceDE w:val="0"/>
        <w:autoSpaceDN w:val="0"/>
        <w:adjustRightInd w:val="0"/>
        <w:ind w:left="640" w:hanging="640"/>
        <w:rPr>
          <w:rFonts w:ascii="Times New Roman" w:hAnsi="Times New Roman" w:cs="Times New Roman"/>
          <w:noProof/>
        </w:rPr>
      </w:pPr>
      <w:r w:rsidRPr="00437E75">
        <w:rPr>
          <w:rFonts w:ascii="Times New Roman" w:hAnsi="Times New Roman" w:cs="Times New Roman"/>
          <w:noProof/>
        </w:rPr>
        <w:t>[33]</w:t>
      </w:r>
      <w:r w:rsidRPr="00437E75">
        <w:rPr>
          <w:rFonts w:ascii="Times New Roman" w:hAnsi="Times New Roman" w:cs="Times New Roman"/>
          <w:noProof/>
        </w:rPr>
        <w:tab/>
        <w:t>Lemoine M, Shimakawa Y, Nayagam S, Khalil M, Suso P, Lloyd J, et al. The gamma-glutamyl transpeptidase to platelet ratio (GPR) predicts significant liver fibrosis and cirrhosis in patients with chronic HBV infection in West Africa. Gut 2016;65:1369 – 1376. https://doi.org/10.1136/gutjnl-2015-309260.</w:t>
      </w:r>
    </w:p>
    <w:p w14:paraId="1AC9E4C1" w14:textId="77777777" w:rsidR="002C7FFA" w:rsidRPr="00437E75" w:rsidRDefault="002C7FFA" w:rsidP="00437E75">
      <w:pPr>
        <w:widowControl w:val="0"/>
        <w:autoSpaceDE w:val="0"/>
        <w:autoSpaceDN w:val="0"/>
        <w:adjustRightInd w:val="0"/>
        <w:ind w:left="640" w:hanging="640"/>
        <w:rPr>
          <w:rFonts w:ascii="Times New Roman" w:hAnsi="Times New Roman" w:cs="Times New Roman"/>
          <w:noProof/>
        </w:rPr>
      </w:pPr>
      <w:r w:rsidRPr="00437E75">
        <w:rPr>
          <w:rFonts w:ascii="Times New Roman" w:hAnsi="Times New Roman" w:cs="Times New Roman"/>
          <w:noProof/>
        </w:rPr>
        <w:t>[34]</w:t>
      </w:r>
      <w:r w:rsidRPr="00437E75">
        <w:rPr>
          <w:rFonts w:ascii="Times New Roman" w:hAnsi="Times New Roman" w:cs="Times New Roman"/>
          <w:noProof/>
        </w:rPr>
        <w:tab/>
        <w:t>Youden WJ. Index for rating diagnostic tests. Cancer 1950;3:32–5. https://doi.org/10.1002/1097-0142(1950)3:1&lt;32::AID-CNCR2820030106&gt;3.0.CO;2-3.</w:t>
      </w:r>
    </w:p>
    <w:p w14:paraId="4E596F05" w14:textId="77777777" w:rsidR="002C7FFA" w:rsidRPr="00437E75" w:rsidRDefault="002C7FFA" w:rsidP="00437E75">
      <w:pPr>
        <w:rPr>
          <w:lang w:eastAsia="en-US" w:bidi="ar-SA"/>
        </w:rPr>
      </w:pPr>
      <w:r>
        <w:rPr>
          <w:lang w:eastAsia="en-US" w:bidi="ar-SA"/>
        </w:rPr>
        <w:fldChar w:fldCharType="end"/>
      </w:r>
    </w:p>
    <w:sectPr w:rsidR="002C7FFA" w:rsidRPr="00437E75" w:rsidSect="001D1E23">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C11F1B" w14:textId="77777777" w:rsidR="009F1BEA" w:rsidRDefault="009F1BEA" w:rsidP="00F667FF">
      <w:pPr>
        <w:spacing w:before="0" w:after="0" w:line="240" w:lineRule="auto"/>
      </w:pPr>
      <w:r>
        <w:separator/>
      </w:r>
    </w:p>
  </w:endnote>
  <w:endnote w:type="continuationSeparator" w:id="0">
    <w:p w14:paraId="0E97A7D1" w14:textId="77777777" w:rsidR="009F1BEA" w:rsidRDefault="009F1BEA" w:rsidP="00F667FF">
      <w:pPr>
        <w:spacing w:before="0" w:after="0" w:line="240" w:lineRule="auto"/>
      </w:pPr>
      <w:r>
        <w:continuationSeparator/>
      </w:r>
    </w:p>
  </w:endnote>
  <w:endnote w:type="continuationNotice" w:id="1">
    <w:p w14:paraId="09FB3126" w14:textId="77777777" w:rsidR="009F1BEA" w:rsidRDefault="009F1BE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9452170"/>
      <w:docPartObj>
        <w:docPartGallery w:val="Page Numbers (Bottom of Page)"/>
        <w:docPartUnique/>
      </w:docPartObj>
    </w:sdtPr>
    <w:sdtEndPr>
      <w:rPr>
        <w:noProof/>
      </w:rPr>
    </w:sdtEndPr>
    <w:sdtContent>
      <w:p w14:paraId="77C28711" w14:textId="77777777" w:rsidR="002C7FFA" w:rsidRDefault="002C7F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C49F78" w14:textId="77777777" w:rsidR="002C7FFA" w:rsidRDefault="002C7F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9792304"/>
      <w:docPartObj>
        <w:docPartGallery w:val="Page Numbers (Bottom of Page)"/>
        <w:docPartUnique/>
      </w:docPartObj>
    </w:sdtPr>
    <w:sdtEndPr>
      <w:rPr>
        <w:noProof/>
      </w:rPr>
    </w:sdtEndPr>
    <w:sdtContent>
      <w:p w14:paraId="7DA70A9F" w14:textId="0835DD34" w:rsidR="00F666C7" w:rsidRDefault="00F666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B8B73C" w14:textId="77777777" w:rsidR="00F666C7" w:rsidRDefault="00F666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00A59D" w14:textId="77777777" w:rsidR="009F1BEA" w:rsidRDefault="009F1BEA" w:rsidP="00F667FF">
      <w:pPr>
        <w:spacing w:before="0" w:after="0" w:line="240" w:lineRule="auto"/>
      </w:pPr>
      <w:r>
        <w:separator/>
      </w:r>
    </w:p>
  </w:footnote>
  <w:footnote w:type="continuationSeparator" w:id="0">
    <w:p w14:paraId="7DD06B67" w14:textId="77777777" w:rsidR="009F1BEA" w:rsidRDefault="009F1BEA" w:rsidP="00F667FF">
      <w:pPr>
        <w:spacing w:before="0" w:after="0" w:line="240" w:lineRule="auto"/>
      </w:pPr>
      <w:r>
        <w:continuationSeparator/>
      </w:r>
    </w:p>
  </w:footnote>
  <w:footnote w:type="continuationNotice" w:id="1">
    <w:p w14:paraId="2B48080F" w14:textId="77777777" w:rsidR="009F1BEA" w:rsidRDefault="009F1BEA">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32544"/>
    <w:multiLevelType w:val="hybridMultilevel"/>
    <w:tmpl w:val="0BF63BFA"/>
    <w:lvl w:ilvl="0" w:tplc="FFFFFFFF">
      <w:start w:val="1"/>
      <w:numFmt w:val="upperLetter"/>
      <w:lvlText w:val="%1-"/>
      <w:lvlJc w:val="left"/>
      <w:pPr>
        <w:ind w:left="720" w:hanging="360"/>
      </w:pPr>
      <w:rPr>
        <w:rFonts w:asciiTheme="majorBidi" w:eastAsiaTheme="minorHAnsi" w:hAnsiTheme="majorBidi" w:cstheme="majorBidi"/>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6E6134"/>
    <w:multiLevelType w:val="hybridMultilevel"/>
    <w:tmpl w:val="2D94083C"/>
    <w:lvl w:ilvl="0" w:tplc="FC387B28">
      <w:start w:val="3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C5E9F"/>
    <w:multiLevelType w:val="hybridMultilevel"/>
    <w:tmpl w:val="0BF63BFA"/>
    <w:lvl w:ilvl="0" w:tplc="5DE0B064">
      <w:start w:val="1"/>
      <w:numFmt w:val="upperLetter"/>
      <w:lvlText w:val="%1-"/>
      <w:lvlJc w:val="left"/>
      <w:pPr>
        <w:ind w:left="720" w:hanging="360"/>
      </w:pPr>
      <w:rPr>
        <w:rFonts w:asciiTheme="majorBidi" w:eastAsiaTheme="minorHAnsi" w:hAnsiTheme="majorBidi" w:cstheme="majorBidi"/>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5F191F"/>
    <w:multiLevelType w:val="multilevel"/>
    <w:tmpl w:val="E5C2F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5274A5"/>
    <w:multiLevelType w:val="hybridMultilevel"/>
    <w:tmpl w:val="020A87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6F73E0"/>
    <w:multiLevelType w:val="hybridMultilevel"/>
    <w:tmpl w:val="9A426C84"/>
    <w:lvl w:ilvl="0" w:tplc="5CFEE386">
      <w:start w:val="1"/>
      <w:numFmt w:val="upperLetter"/>
      <w:lvlText w:val="%1-"/>
      <w:lvlJc w:val="left"/>
      <w:pPr>
        <w:ind w:left="72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CB6EB6"/>
    <w:multiLevelType w:val="hybridMultilevel"/>
    <w:tmpl w:val="05C6D096"/>
    <w:lvl w:ilvl="0" w:tplc="B2620B6E">
      <w:start w:val="1"/>
      <w:numFmt w:val="decimal"/>
      <w:lvlText w:val="%1."/>
      <w:lvlJc w:val="left"/>
      <w:pPr>
        <w:ind w:left="820" w:hanging="360"/>
      </w:pPr>
      <w:rPr>
        <w:rFonts w:ascii="Times New Roman" w:eastAsia="Times New Roman" w:hAnsi="Times New Roman" w:cs="Times New Roman" w:hint="default"/>
        <w:b w:val="0"/>
        <w:bCs w:val="0"/>
        <w:i w:val="0"/>
        <w:iCs w:val="0"/>
        <w:w w:val="100"/>
        <w:sz w:val="22"/>
        <w:szCs w:val="22"/>
      </w:rPr>
    </w:lvl>
    <w:lvl w:ilvl="1" w:tplc="D17AEB98">
      <w:numFmt w:val="bullet"/>
      <w:lvlText w:val="•"/>
      <w:lvlJc w:val="left"/>
      <w:pPr>
        <w:ind w:left="3720" w:hanging="360"/>
      </w:pPr>
      <w:rPr>
        <w:rFonts w:hint="default"/>
      </w:rPr>
    </w:lvl>
    <w:lvl w:ilvl="2" w:tplc="AEC8C118">
      <w:numFmt w:val="bullet"/>
      <w:lvlText w:val="•"/>
      <w:lvlJc w:val="left"/>
      <w:pPr>
        <w:ind w:left="4368" w:hanging="360"/>
      </w:pPr>
      <w:rPr>
        <w:rFonts w:hint="default"/>
      </w:rPr>
    </w:lvl>
    <w:lvl w:ilvl="3" w:tplc="3148E152">
      <w:numFmt w:val="bullet"/>
      <w:lvlText w:val="•"/>
      <w:lvlJc w:val="left"/>
      <w:pPr>
        <w:ind w:left="5017" w:hanging="360"/>
      </w:pPr>
      <w:rPr>
        <w:rFonts w:hint="default"/>
      </w:rPr>
    </w:lvl>
    <w:lvl w:ilvl="4" w:tplc="C03C3170">
      <w:numFmt w:val="bullet"/>
      <w:lvlText w:val="•"/>
      <w:lvlJc w:val="left"/>
      <w:pPr>
        <w:ind w:left="5666" w:hanging="360"/>
      </w:pPr>
      <w:rPr>
        <w:rFonts w:hint="default"/>
      </w:rPr>
    </w:lvl>
    <w:lvl w:ilvl="5" w:tplc="126E5792">
      <w:numFmt w:val="bullet"/>
      <w:lvlText w:val="•"/>
      <w:lvlJc w:val="left"/>
      <w:pPr>
        <w:ind w:left="6315" w:hanging="360"/>
      </w:pPr>
      <w:rPr>
        <w:rFonts w:hint="default"/>
      </w:rPr>
    </w:lvl>
    <w:lvl w:ilvl="6" w:tplc="0BDAE922">
      <w:numFmt w:val="bullet"/>
      <w:lvlText w:val="•"/>
      <w:lvlJc w:val="left"/>
      <w:pPr>
        <w:ind w:left="6964" w:hanging="360"/>
      </w:pPr>
      <w:rPr>
        <w:rFonts w:hint="default"/>
      </w:rPr>
    </w:lvl>
    <w:lvl w:ilvl="7" w:tplc="4E58064A">
      <w:numFmt w:val="bullet"/>
      <w:lvlText w:val="•"/>
      <w:lvlJc w:val="left"/>
      <w:pPr>
        <w:ind w:left="7613" w:hanging="360"/>
      </w:pPr>
      <w:rPr>
        <w:rFonts w:hint="default"/>
      </w:rPr>
    </w:lvl>
    <w:lvl w:ilvl="8" w:tplc="BB5E97FE">
      <w:numFmt w:val="bullet"/>
      <w:lvlText w:val="•"/>
      <w:lvlJc w:val="left"/>
      <w:pPr>
        <w:ind w:left="8262" w:hanging="360"/>
      </w:pPr>
      <w:rPr>
        <w:rFonts w:hint="default"/>
      </w:rPr>
    </w:lvl>
  </w:abstractNum>
  <w:abstractNum w:abstractNumId="7" w15:restartNumberingAfterBreak="0">
    <w:nsid w:val="3F433940"/>
    <w:multiLevelType w:val="hybridMultilevel"/>
    <w:tmpl w:val="E0F824C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FC946A9"/>
    <w:multiLevelType w:val="hybridMultilevel"/>
    <w:tmpl w:val="1E143EDA"/>
    <w:lvl w:ilvl="0" w:tplc="6E00632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B6300A"/>
    <w:multiLevelType w:val="multilevel"/>
    <w:tmpl w:val="7BE0C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3D0717"/>
    <w:multiLevelType w:val="multilevel"/>
    <w:tmpl w:val="165634EE"/>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5D247DF8"/>
    <w:multiLevelType w:val="hybridMultilevel"/>
    <w:tmpl w:val="168ECACC"/>
    <w:lvl w:ilvl="0" w:tplc="83FA8A1C">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3361DF"/>
    <w:multiLevelType w:val="hybridMultilevel"/>
    <w:tmpl w:val="542EF5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498617D"/>
    <w:multiLevelType w:val="hybridMultilevel"/>
    <w:tmpl w:val="24762C9A"/>
    <w:lvl w:ilvl="0" w:tplc="53B47F4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7BA1C8F"/>
    <w:multiLevelType w:val="multilevel"/>
    <w:tmpl w:val="82187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0F54FA"/>
    <w:multiLevelType w:val="hybridMultilevel"/>
    <w:tmpl w:val="A8DEF6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C9948EE"/>
    <w:multiLevelType w:val="multilevel"/>
    <w:tmpl w:val="23887BA4"/>
    <w:lvl w:ilvl="0">
      <w:start w:val="1"/>
      <w:numFmt w:val="decimal"/>
      <w:lvlText w:val="%1 | "/>
      <w:lvlJc w:val="left"/>
      <w:pPr>
        <w:ind w:left="0" w:firstLine="0"/>
      </w:pPr>
      <w:rPr>
        <w:rFonts w:hint="default"/>
        <w:spacing w:val="0"/>
      </w:rPr>
    </w:lvl>
    <w:lvl w:ilvl="1">
      <w:start w:val="1"/>
      <w:numFmt w:val="decimal"/>
      <w:lvlText w:val="%1.%2 | "/>
      <w:lvlJc w:val="left"/>
      <w:pPr>
        <w:ind w:left="0" w:firstLine="0"/>
      </w:pPr>
      <w:rPr>
        <w:rFonts w:hint="default"/>
      </w:rPr>
    </w:lvl>
    <w:lvl w:ilvl="2">
      <w:start w:val="1"/>
      <w:numFmt w:val="decimal"/>
      <w:lvlText w:val="%1.%2.%3 | "/>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1563640034">
    <w:abstractNumId w:val="16"/>
  </w:num>
  <w:num w:numId="2" w16cid:durableId="871957907">
    <w:abstractNumId w:val="13"/>
  </w:num>
  <w:num w:numId="3" w16cid:durableId="8532035">
    <w:abstractNumId w:val="15"/>
  </w:num>
  <w:num w:numId="4" w16cid:durableId="834341235">
    <w:abstractNumId w:val="12"/>
  </w:num>
  <w:num w:numId="5" w16cid:durableId="1462386118">
    <w:abstractNumId w:val="8"/>
  </w:num>
  <w:num w:numId="6" w16cid:durableId="776144032">
    <w:abstractNumId w:val="6"/>
  </w:num>
  <w:num w:numId="7" w16cid:durableId="873276258">
    <w:abstractNumId w:val="1"/>
  </w:num>
  <w:num w:numId="8" w16cid:durableId="1469349756">
    <w:abstractNumId w:val="10"/>
  </w:num>
  <w:num w:numId="9" w16cid:durableId="270937039">
    <w:abstractNumId w:val="7"/>
  </w:num>
  <w:num w:numId="10" w16cid:durableId="254943037">
    <w:abstractNumId w:val="4"/>
  </w:num>
  <w:num w:numId="11" w16cid:durableId="977418926">
    <w:abstractNumId w:val="9"/>
  </w:num>
  <w:num w:numId="12" w16cid:durableId="1886989942">
    <w:abstractNumId w:val="3"/>
  </w:num>
  <w:num w:numId="13" w16cid:durableId="256526137">
    <w:abstractNumId w:val="14"/>
  </w:num>
  <w:num w:numId="14" w16cid:durableId="1828394538">
    <w:abstractNumId w:val="2"/>
  </w:num>
  <w:num w:numId="15" w16cid:durableId="1101489332">
    <w:abstractNumId w:val="11"/>
  </w:num>
  <w:num w:numId="16" w16cid:durableId="1313023104">
    <w:abstractNumId w:val="5"/>
  </w:num>
  <w:num w:numId="17" w16cid:durableId="1793860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GyNDUwNjE0Mje1sDRQ0lEKTi0uzszPAykwMqsFALzT/9otAAAA"/>
  </w:docVars>
  <w:rsids>
    <w:rsidRoot w:val="00A956C3"/>
    <w:rsid w:val="000005D6"/>
    <w:rsid w:val="00001520"/>
    <w:rsid w:val="000018B1"/>
    <w:rsid w:val="00002661"/>
    <w:rsid w:val="00005648"/>
    <w:rsid w:val="000067CE"/>
    <w:rsid w:val="00006BB6"/>
    <w:rsid w:val="00006BF6"/>
    <w:rsid w:val="00006CA7"/>
    <w:rsid w:val="0001042F"/>
    <w:rsid w:val="00010B40"/>
    <w:rsid w:val="00015028"/>
    <w:rsid w:val="000170C5"/>
    <w:rsid w:val="00020899"/>
    <w:rsid w:val="0002182D"/>
    <w:rsid w:val="0002462C"/>
    <w:rsid w:val="000263FA"/>
    <w:rsid w:val="000278CD"/>
    <w:rsid w:val="00030503"/>
    <w:rsid w:val="00030FEB"/>
    <w:rsid w:val="00031303"/>
    <w:rsid w:val="0003264C"/>
    <w:rsid w:val="00032691"/>
    <w:rsid w:val="000331E8"/>
    <w:rsid w:val="000341B2"/>
    <w:rsid w:val="000359BA"/>
    <w:rsid w:val="00036497"/>
    <w:rsid w:val="000366D5"/>
    <w:rsid w:val="00037069"/>
    <w:rsid w:val="000374CA"/>
    <w:rsid w:val="0004500A"/>
    <w:rsid w:val="00045B0B"/>
    <w:rsid w:val="00050487"/>
    <w:rsid w:val="00053468"/>
    <w:rsid w:val="0005550F"/>
    <w:rsid w:val="000557B2"/>
    <w:rsid w:val="00056EBA"/>
    <w:rsid w:val="0006106C"/>
    <w:rsid w:val="000616B7"/>
    <w:rsid w:val="00061A44"/>
    <w:rsid w:val="00061E05"/>
    <w:rsid w:val="00062DB7"/>
    <w:rsid w:val="00067814"/>
    <w:rsid w:val="00070807"/>
    <w:rsid w:val="00076098"/>
    <w:rsid w:val="00076456"/>
    <w:rsid w:val="000770FA"/>
    <w:rsid w:val="00080CCC"/>
    <w:rsid w:val="00081FF0"/>
    <w:rsid w:val="0008230F"/>
    <w:rsid w:val="00084D1A"/>
    <w:rsid w:val="0009340B"/>
    <w:rsid w:val="00093D2D"/>
    <w:rsid w:val="00096233"/>
    <w:rsid w:val="00097867"/>
    <w:rsid w:val="000A0B86"/>
    <w:rsid w:val="000A21A3"/>
    <w:rsid w:val="000A2DE4"/>
    <w:rsid w:val="000A2F68"/>
    <w:rsid w:val="000A7D1E"/>
    <w:rsid w:val="000B0550"/>
    <w:rsid w:val="000B0B54"/>
    <w:rsid w:val="000B2F31"/>
    <w:rsid w:val="000B2F32"/>
    <w:rsid w:val="000B51E1"/>
    <w:rsid w:val="000B5AF4"/>
    <w:rsid w:val="000B658F"/>
    <w:rsid w:val="000B6DF7"/>
    <w:rsid w:val="000C07C1"/>
    <w:rsid w:val="000C318E"/>
    <w:rsid w:val="000C3DBC"/>
    <w:rsid w:val="000C4503"/>
    <w:rsid w:val="000C4518"/>
    <w:rsid w:val="000C6B90"/>
    <w:rsid w:val="000C6FE9"/>
    <w:rsid w:val="000D0405"/>
    <w:rsid w:val="000D1361"/>
    <w:rsid w:val="000D143E"/>
    <w:rsid w:val="000D1ADE"/>
    <w:rsid w:val="000D4E28"/>
    <w:rsid w:val="000D68DE"/>
    <w:rsid w:val="000D7252"/>
    <w:rsid w:val="000D7792"/>
    <w:rsid w:val="000E00BB"/>
    <w:rsid w:val="000E1CD2"/>
    <w:rsid w:val="000E46FD"/>
    <w:rsid w:val="000E548E"/>
    <w:rsid w:val="000E7054"/>
    <w:rsid w:val="000E73B7"/>
    <w:rsid w:val="000F149F"/>
    <w:rsid w:val="000F2875"/>
    <w:rsid w:val="000F34DB"/>
    <w:rsid w:val="000F69E9"/>
    <w:rsid w:val="000F6CF4"/>
    <w:rsid w:val="000F7420"/>
    <w:rsid w:val="000F75EE"/>
    <w:rsid w:val="000F7A84"/>
    <w:rsid w:val="00100535"/>
    <w:rsid w:val="001015AB"/>
    <w:rsid w:val="001024F0"/>
    <w:rsid w:val="00103015"/>
    <w:rsid w:val="00104436"/>
    <w:rsid w:val="00106A46"/>
    <w:rsid w:val="001076C4"/>
    <w:rsid w:val="00107831"/>
    <w:rsid w:val="001140DB"/>
    <w:rsid w:val="00116565"/>
    <w:rsid w:val="00117AB4"/>
    <w:rsid w:val="001202AB"/>
    <w:rsid w:val="00120B4A"/>
    <w:rsid w:val="001217A8"/>
    <w:rsid w:val="00125E9F"/>
    <w:rsid w:val="001267E7"/>
    <w:rsid w:val="00127C7C"/>
    <w:rsid w:val="00127C84"/>
    <w:rsid w:val="00130015"/>
    <w:rsid w:val="0013464C"/>
    <w:rsid w:val="00135908"/>
    <w:rsid w:val="00140C5F"/>
    <w:rsid w:val="00141B63"/>
    <w:rsid w:val="001425E5"/>
    <w:rsid w:val="00143F83"/>
    <w:rsid w:val="001440C8"/>
    <w:rsid w:val="001442DB"/>
    <w:rsid w:val="00150144"/>
    <w:rsid w:val="00150885"/>
    <w:rsid w:val="00150CD2"/>
    <w:rsid w:val="0015106D"/>
    <w:rsid w:val="0015187F"/>
    <w:rsid w:val="00151970"/>
    <w:rsid w:val="00152B2F"/>
    <w:rsid w:val="00155979"/>
    <w:rsid w:val="00156E8E"/>
    <w:rsid w:val="00160B70"/>
    <w:rsid w:val="001623A1"/>
    <w:rsid w:val="0016394D"/>
    <w:rsid w:val="001712B7"/>
    <w:rsid w:val="00171E90"/>
    <w:rsid w:val="00172553"/>
    <w:rsid w:val="00173450"/>
    <w:rsid w:val="001756AB"/>
    <w:rsid w:val="001759BE"/>
    <w:rsid w:val="00176224"/>
    <w:rsid w:val="00180333"/>
    <w:rsid w:val="00180A85"/>
    <w:rsid w:val="00181AF2"/>
    <w:rsid w:val="00183720"/>
    <w:rsid w:val="00185304"/>
    <w:rsid w:val="00187B9D"/>
    <w:rsid w:val="00190539"/>
    <w:rsid w:val="00191712"/>
    <w:rsid w:val="001918F5"/>
    <w:rsid w:val="0019356E"/>
    <w:rsid w:val="0019648A"/>
    <w:rsid w:val="0019728C"/>
    <w:rsid w:val="0019731A"/>
    <w:rsid w:val="001A1FF7"/>
    <w:rsid w:val="001A3821"/>
    <w:rsid w:val="001A42CE"/>
    <w:rsid w:val="001A4462"/>
    <w:rsid w:val="001A46F4"/>
    <w:rsid w:val="001A58FD"/>
    <w:rsid w:val="001A7C28"/>
    <w:rsid w:val="001B12BC"/>
    <w:rsid w:val="001B2D70"/>
    <w:rsid w:val="001B49C2"/>
    <w:rsid w:val="001C0BE1"/>
    <w:rsid w:val="001C0CF1"/>
    <w:rsid w:val="001C1FA3"/>
    <w:rsid w:val="001C2B1C"/>
    <w:rsid w:val="001C36BD"/>
    <w:rsid w:val="001D1128"/>
    <w:rsid w:val="001D1226"/>
    <w:rsid w:val="001D1E23"/>
    <w:rsid w:val="001D2BB6"/>
    <w:rsid w:val="001D3257"/>
    <w:rsid w:val="001D3407"/>
    <w:rsid w:val="001D3737"/>
    <w:rsid w:val="001D3872"/>
    <w:rsid w:val="001D3E98"/>
    <w:rsid w:val="001D5472"/>
    <w:rsid w:val="001D604F"/>
    <w:rsid w:val="001E035F"/>
    <w:rsid w:val="001E03A2"/>
    <w:rsid w:val="001E28CC"/>
    <w:rsid w:val="001E741D"/>
    <w:rsid w:val="001F1D7E"/>
    <w:rsid w:val="001F202E"/>
    <w:rsid w:val="001F32DE"/>
    <w:rsid w:val="001F3709"/>
    <w:rsid w:val="001F4A11"/>
    <w:rsid w:val="001F5EE1"/>
    <w:rsid w:val="002012FA"/>
    <w:rsid w:val="00202A58"/>
    <w:rsid w:val="00202B33"/>
    <w:rsid w:val="00203243"/>
    <w:rsid w:val="0020373D"/>
    <w:rsid w:val="00206D33"/>
    <w:rsid w:val="00207A2A"/>
    <w:rsid w:val="00210530"/>
    <w:rsid w:val="002112DF"/>
    <w:rsid w:val="00211E3B"/>
    <w:rsid w:val="002135E6"/>
    <w:rsid w:val="002142F0"/>
    <w:rsid w:val="0021431E"/>
    <w:rsid w:val="00215E86"/>
    <w:rsid w:val="0021619E"/>
    <w:rsid w:val="00220252"/>
    <w:rsid w:val="00220B85"/>
    <w:rsid w:val="00226A53"/>
    <w:rsid w:val="00226F01"/>
    <w:rsid w:val="0022796B"/>
    <w:rsid w:val="002279D3"/>
    <w:rsid w:val="002320C1"/>
    <w:rsid w:val="002327D7"/>
    <w:rsid w:val="0023449D"/>
    <w:rsid w:val="00234883"/>
    <w:rsid w:val="00241508"/>
    <w:rsid w:val="00242846"/>
    <w:rsid w:val="00242BB6"/>
    <w:rsid w:val="00242E75"/>
    <w:rsid w:val="00243CC9"/>
    <w:rsid w:val="00244DBE"/>
    <w:rsid w:val="0024544E"/>
    <w:rsid w:val="0024775E"/>
    <w:rsid w:val="00247CDD"/>
    <w:rsid w:val="002549C1"/>
    <w:rsid w:val="00255734"/>
    <w:rsid w:val="0025591F"/>
    <w:rsid w:val="002559E2"/>
    <w:rsid w:val="00260291"/>
    <w:rsid w:val="00260E29"/>
    <w:rsid w:val="00262842"/>
    <w:rsid w:val="002635CA"/>
    <w:rsid w:val="00265675"/>
    <w:rsid w:val="002668D3"/>
    <w:rsid w:val="0026723D"/>
    <w:rsid w:val="00267962"/>
    <w:rsid w:val="00267B57"/>
    <w:rsid w:val="0027097A"/>
    <w:rsid w:val="00271F71"/>
    <w:rsid w:val="00272A84"/>
    <w:rsid w:val="002743E3"/>
    <w:rsid w:val="002749C3"/>
    <w:rsid w:val="00277173"/>
    <w:rsid w:val="00280943"/>
    <w:rsid w:val="00280FB3"/>
    <w:rsid w:val="002815B4"/>
    <w:rsid w:val="002827CC"/>
    <w:rsid w:val="00282E02"/>
    <w:rsid w:val="0028420E"/>
    <w:rsid w:val="002849A8"/>
    <w:rsid w:val="002852F4"/>
    <w:rsid w:val="00285624"/>
    <w:rsid w:val="002866EC"/>
    <w:rsid w:val="00296B84"/>
    <w:rsid w:val="002976CF"/>
    <w:rsid w:val="002A2C82"/>
    <w:rsid w:val="002A36D7"/>
    <w:rsid w:val="002A42F2"/>
    <w:rsid w:val="002A4BF1"/>
    <w:rsid w:val="002A51D4"/>
    <w:rsid w:val="002A66EB"/>
    <w:rsid w:val="002A6A46"/>
    <w:rsid w:val="002B15D4"/>
    <w:rsid w:val="002B1B4B"/>
    <w:rsid w:val="002B1E9D"/>
    <w:rsid w:val="002B2596"/>
    <w:rsid w:val="002B7E40"/>
    <w:rsid w:val="002C2F7A"/>
    <w:rsid w:val="002C3CE6"/>
    <w:rsid w:val="002C43AE"/>
    <w:rsid w:val="002C5C45"/>
    <w:rsid w:val="002C5F9F"/>
    <w:rsid w:val="002C7310"/>
    <w:rsid w:val="002C7FFA"/>
    <w:rsid w:val="002D0C78"/>
    <w:rsid w:val="002D0F81"/>
    <w:rsid w:val="002D1CA8"/>
    <w:rsid w:val="002D4B21"/>
    <w:rsid w:val="002D6D72"/>
    <w:rsid w:val="002D71E7"/>
    <w:rsid w:val="002E1CC8"/>
    <w:rsid w:val="002E203E"/>
    <w:rsid w:val="002E24E3"/>
    <w:rsid w:val="002E373E"/>
    <w:rsid w:val="002E448E"/>
    <w:rsid w:val="002E70DE"/>
    <w:rsid w:val="002E7E07"/>
    <w:rsid w:val="002F07D3"/>
    <w:rsid w:val="002F1444"/>
    <w:rsid w:val="002F322F"/>
    <w:rsid w:val="002F3603"/>
    <w:rsid w:val="002F517A"/>
    <w:rsid w:val="002F604F"/>
    <w:rsid w:val="002F6424"/>
    <w:rsid w:val="002F691E"/>
    <w:rsid w:val="0030072E"/>
    <w:rsid w:val="00301E17"/>
    <w:rsid w:val="00303422"/>
    <w:rsid w:val="00303568"/>
    <w:rsid w:val="00304F0A"/>
    <w:rsid w:val="0030555A"/>
    <w:rsid w:val="003075D3"/>
    <w:rsid w:val="00314582"/>
    <w:rsid w:val="00314739"/>
    <w:rsid w:val="0031514D"/>
    <w:rsid w:val="00315776"/>
    <w:rsid w:val="003160FD"/>
    <w:rsid w:val="00317693"/>
    <w:rsid w:val="0032037C"/>
    <w:rsid w:val="00323F26"/>
    <w:rsid w:val="00323FFC"/>
    <w:rsid w:val="003243E6"/>
    <w:rsid w:val="00324AFE"/>
    <w:rsid w:val="003256E8"/>
    <w:rsid w:val="003265A4"/>
    <w:rsid w:val="00327619"/>
    <w:rsid w:val="00327F42"/>
    <w:rsid w:val="00330080"/>
    <w:rsid w:val="00332160"/>
    <w:rsid w:val="0033245C"/>
    <w:rsid w:val="003333D7"/>
    <w:rsid w:val="003337D7"/>
    <w:rsid w:val="003351EA"/>
    <w:rsid w:val="00340C99"/>
    <w:rsid w:val="00341B6E"/>
    <w:rsid w:val="00342914"/>
    <w:rsid w:val="00344E0F"/>
    <w:rsid w:val="003462D3"/>
    <w:rsid w:val="00347D19"/>
    <w:rsid w:val="003501C8"/>
    <w:rsid w:val="00353361"/>
    <w:rsid w:val="0035408D"/>
    <w:rsid w:val="0035428F"/>
    <w:rsid w:val="0035706A"/>
    <w:rsid w:val="0036118D"/>
    <w:rsid w:val="00363C0E"/>
    <w:rsid w:val="003678D1"/>
    <w:rsid w:val="00370CA6"/>
    <w:rsid w:val="003722E3"/>
    <w:rsid w:val="00372B9E"/>
    <w:rsid w:val="003730D7"/>
    <w:rsid w:val="003730EC"/>
    <w:rsid w:val="003760FD"/>
    <w:rsid w:val="003763F4"/>
    <w:rsid w:val="00376AF6"/>
    <w:rsid w:val="00377285"/>
    <w:rsid w:val="003800A9"/>
    <w:rsid w:val="0038026B"/>
    <w:rsid w:val="003805FE"/>
    <w:rsid w:val="00392122"/>
    <w:rsid w:val="00392595"/>
    <w:rsid w:val="00394A31"/>
    <w:rsid w:val="00395778"/>
    <w:rsid w:val="00395960"/>
    <w:rsid w:val="00396580"/>
    <w:rsid w:val="00397390"/>
    <w:rsid w:val="00397424"/>
    <w:rsid w:val="00397A63"/>
    <w:rsid w:val="003A1CA7"/>
    <w:rsid w:val="003A409A"/>
    <w:rsid w:val="003A51E6"/>
    <w:rsid w:val="003A6051"/>
    <w:rsid w:val="003B0644"/>
    <w:rsid w:val="003B08C1"/>
    <w:rsid w:val="003B218E"/>
    <w:rsid w:val="003B2906"/>
    <w:rsid w:val="003B37BA"/>
    <w:rsid w:val="003B3CA5"/>
    <w:rsid w:val="003B7836"/>
    <w:rsid w:val="003B7E44"/>
    <w:rsid w:val="003C214E"/>
    <w:rsid w:val="003C2FC2"/>
    <w:rsid w:val="003C34A0"/>
    <w:rsid w:val="003C38E2"/>
    <w:rsid w:val="003C6E8A"/>
    <w:rsid w:val="003D107E"/>
    <w:rsid w:val="003D36A6"/>
    <w:rsid w:val="003D38BA"/>
    <w:rsid w:val="003D512C"/>
    <w:rsid w:val="003D5968"/>
    <w:rsid w:val="003D6528"/>
    <w:rsid w:val="003D6B89"/>
    <w:rsid w:val="003D72B2"/>
    <w:rsid w:val="003D73EA"/>
    <w:rsid w:val="003D7BCB"/>
    <w:rsid w:val="003D7C03"/>
    <w:rsid w:val="003D7DBD"/>
    <w:rsid w:val="003E13C3"/>
    <w:rsid w:val="003E2311"/>
    <w:rsid w:val="003E5C88"/>
    <w:rsid w:val="003E6241"/>
    <w:rsid w:val="003E6DEC"/>
    <w:rsid w:val="003E7139"/>
    <w:rsid w:val="003E73C0"/>
    <w:rsid w:val="003E7CED"/>
    <w:rsid w:val="003F0C6F"/>
    <w:rsid w:val="003F205F"/>
    <w:rsid w:val="003F286A"/>
    <w:rsid w:val="003F37CF"/>
    <w:rsid w:val="003F3800"/>
    <w:rsid w:val="003F4405"/>
    <w:rsid w:val="003F4A51"/>
    <w:rsid w:val="003F596F"/>
    <w:rsid w:val="00401B75"/>
    <w:rsid w:val="00401ED9"/>
    <w:rsid w:val="00403B50"/>
    <w:rsid w:val="004054CF"/>
    <w:rsid w:val="00407A34"/>
    <w:rsid w:val="00410277"/>
    <w:rsid w:val="004135D8"/>
    <w:rsid w:val="00415035"/>
    <w:rsid w:val="00416B48"/>
    <w:rsid w:val="00420FA5"/>
    <w:rsid w:val="00421D93"/>
    <w:rsid w:val="00423E1D"/>
    <w:rsid w:val="004255EE"/>
    <w:rsid w:val="00425F2C"/>
    <w:rsid w:val="00426706"/>
    <w:rsid w:val="00426AD7"/>
    <w:rsid w:val="00427B99"/>
    <w:rsid w:val="00431C15"/>
    <w:rsid w:val="00432991"/>
    <w:rsid w:val="00435BCF"/>
    <w:rsid w:val="0043774E"/>
    <w:rsid w:val="0043795A"/>
    <w:rsid w:val="00437E75"/>
    <w:rsid w:val="0044158C"/>
    <w:rsid w:val="00441C96"/>
    <w:rsid w:val="004428DD"/>
    <w:rsid w:val="00443514"/>
    <w:rsid w:val="00444EDA"/>
    <w:rsid w:val="00451CD0"/>
    <w:rsid w:val="00452C35"/>
    <w:rsid w:val="00453E91"/>
    <w:rsid w:val="00453EB5"/>
    <w:rsid w:val="004546CF"/>
    <w:rsid w:val="00457134"/>
    <w:rsid w:val="00457368"/>
    <w:rsid w:val="00457712"/>
    <w:rsid w:val="00457A55"/>
    <w:rsid w:val="004601AB"/>
    <w:rsid w:val="00461DB0"/>
    <w:rsid w:val="0046313F"/>
    <w:rsid w:val="004651AD"/>
    <w:rsid w:val="0046562A"/>
    <w:rsid w:val="00466E0C"/>
    <w:rsid w:val="00467262"/>
    <w:rsid w:val="0047070D"/>
    <w:rsid w:val="00471470"/>
    <w:rsid w:val="00471BD4"/>
    <w:rsid w:val="004728B1"/>
    <w:rsid w:val="0047320C"/>
    <w:rsid w:val="00473745"/>
    <w:rsid w:val="004745F6"/>
    <w:rsid w:val="0047647E"/>
    <w:rsid w:val="00476E25"/>
    <w:rsid w:val="00477318"/>
    <w:rsid w:val="00477AA2"/>
    <w:rsid w:val="00477C2C"/>
    <w:rsid w:val="00480C98"/>
    <w:rsid w:val="004817B3"/>
    <w:rsid w:val="00482046"/>
    <w:rsid w:val="00482246"/>
    <w:rsid w:val="00482A5E"/>
    <w:rsid w:val="00482C5F"/>
    <w:rsid w:val="00483266"/>
    <w:rsid w:val="00490FA4"/>
    <w:rsid w:val="00492055"/>
    <w:rsid w:val="004933AB"/>
    <w:rsid w:val="004951BC"/>
    <w:rsid w:val="00495251"/>
    <w:rsid w:val="0049569E"/>
    <w:rsid w:val="004956A9"/>
    <w:rsid w:val="00495B3A"/>
    <w:rsid w:val="00496A45"/>
    <w:rsid w:val="0049742A"/>
    <w:rsid w:val="00497744"/>
    <w:rsid w:val="00497C63"/>
    <w:rsid w:val="004A34DF"/>
    <w:rsid w:val="004A62BD"/>
    <w:rsid w:val="004A6910"/>
    <w:rsid w:val="004A756D"/>
    <w:rsid w:val="004A798D"/>
    <w:rsid w:val="004B032A"/>
    <w:rsid w:val="004B1236"/>
    <w:rsid w:val="004B473A"/>
    <w:rsid w:val="004B490F"/>
    <w:rsid w:val="004B6724"/>
    <w:rsid w:val="004C2687"/>
    <w:rsid w:val="004C2A04"/>
    <w:rsid w:val="004C4102"/>
    <w:rsid w:val="004C63AA"/>
    <w:rsid w:val="004C72C4"/>
    <w:rsid w:val="004C78C9"/>
    <w:rsid w:val="004D1166"/>
    <w:rsid w:val="004D2561"/>
    <w:rsid w:val="004D4CAD"/>
    <w:rsid w:val="004D5316"/>
    <w:rsid w:val="004D5CC8"/>
    <w:rsid w:val="004D78C3"/>
    <w:rsid w:val="004D7D0A"/>
    <w:rsid w:val="004E0479"/>
    <w:rsid w:val="004E265A"/>
    <w:rsid w:val="004E2CD4"/>
    <w:rsid w:val="004E4FD5"/>
    <w:rsid w:val="004E5658"/>
    <w:rsid w:val="004F085D"/>
    <w:rsid w:val="004F3189"/>
    <w:rsid w:val="004F37F8"/>
    <w:rsid w:val="004F52BC"/>
    <w:rsid w:val="004F5A34"/>
    <w:rsid w:val="004F6AAC"/>
    <w:rsid w:val="004F6BFB"/>
    <w:rsid w:val="004F7593"/>
    <w:rsid w:val="004F760B"/>
    <w:rsid w:val="004F7C93"/>
    <w:rsid w:val="0050136F"/>
    <w:rsid w:val="00503247"/>
    <w:rsid w:val="0050414C"/>
    <w:rsid w:val="00504398"/>
    <w:rsid w:val="00504EE7"/>
    <w:rsid w:val="00505D5C"/>
    <w:rsid w:val="00506173"/>
    <w:rsid w:val="005069B4"/>
    <w:rsid w:val="00506D25"/>
    <w:rsid w:val="005101EB"/>
    <w:rsid w:val="0051247B"/>
    <w:rsid w:val="00512B1F"/>
    <w:rsid w:val="00514385"/>
    <w:rsid w:val="00516622"/>
    <w:rsid w:val="00517424"/>
    <w:rsid w:val="00521ABB"/>
    <w:rsid w:val="0052310A"/>
    <w:rsid w:val="00523770"/>
    <w:rsid w:val="00526767"/>
    <w:rsid w:val="005275C9"/>
    <w:rsid w:val="005333EE"/>
    <w:rsid w:val="0053389A"/>
    <w:rsid w:val="00535539"/>
    <w:rsid w:val="00535728"/>
    <w:rsid w:val="00535D45"/>
    <w:rsid w:val="005366CA"/>
    <w:rsid w:val="00536BEE"/>
    <w:rsid w:val="005423D8"/>
    <w:rsid w:val="00543727"/>
    <w:rsid w:val="00543F31"/>
    <w:rsid w:val="00544300"/>
    <w:rsid w:val="005457BB"/>
    <w:rsid w:val="0055027D"/>
    <w:rsid w:val="00551200"/>
    <w:rsid w:val="00551366"/>
    <w:rsid w:val="00552217"/>
    <w:rsid w:val="00552758"/>
    <w:rsid w:val="00553071"/>
    <w:rsid w:val="00553094"/>
    <w:rsid w:val="005545A8"/>
    <w:rsid w:val="00555937"/>
    <w:rsid w:val="005560C7"/>
    <w:rsid w:val="00557602"/>
    <w:rsid w:val="00557B64"/>
    <w:rsid w:val="00557DE9"/>
    <w:rsid w:val="00557E0E"/>
    <w:rsid w:val="00557E37"/>
    <w:rsid w:val="00560215"/>
    <w:rsid w:val="0056248B"/>
    <w:rsid w:val="00562E2F"/>
    <w:rsid w:val="00562F02"/>
    <w:rsid w:val="00563055"/>
    <w:rsid w:val="00566318"/>
    <w:rsid w:val="00571EE8"/>
    <w:rsid w:val="00572A32"/>
    <w:rsid w:val="0057355B"/>
    <w:rsid w:val="00574412"/>
    <w:rsid w:val="005757F0"/>
    <w:rsid w:val="0057702E"/>
    <w:rsid w:val="005776C1"/>
    <w:rsid w:val="005800E9"/>
    <w:rsid w:val="0058018D"/>
    <w:rsid w:val="005814A1"/>
    <w:rsid w:val="00581945"/>
    <w:rsid w:val="00581C22"/>
    <w:rsid w:val="00582B8B"/>
    <w:rsid w:val="0058591B"/>
    <w:rsid w:val="00586D91"/>
    <w:rsid w:val="00590E49"/>
    <w:rsid w:val="00591754"/>
    <w:rsid w:val="00592948"/>
    <w:rsid w:val="00592A44"/>
    <w:rsid w:val="00594116"/>
    <w:rsid w:val="00594773"/>
    <w:rsid w:val="00594C0D"/>
    <w:rsid w:val="00595907"/>
    <w:rsid w:val="005979CF"/>
    <w:rsid w:val="005A035F"/>
    <w:rsid w:val="005A1148"/>
    <w:rsid w:val="005A24FA"/>
    <w:rsid w:val="005A53D1"/>
    <w:rsid w:val="005A63A7"/>
    <w:rsid w:val="005A6580"/>
    <w:rsid w:val="005B2428"/>
    <w:rsid w:val="005B2B44"/>
    <w:rsid w:val="005B2B81"/>
    <w:rsid w:val="005B38BD"/>
    <w:rsid w:val="005B400C"/>
    <w:rsid w:val="005C0249"/>
    <w:rsid w:val="005C0B11"/>
    <w:rsid w:val="005C0C2C"/>
    <w:rsid w:val="005C1302"/>
    <w:rsid w:val="005C2EB2"/>
    <w:rsid w:val="005D0DBF"/>
    <w:rsid w:val="005D29AB"/>
    <w:rsid w:val="005D3C14"/>
    <w:rsid w:val="005D40A8"/>
    <w:rsid w:val="005D5031"/>
    <w:rsid w:val="005D634F"/>
    <w:rsid w:val="005D7431"/>
    <w:rsid w:val="005E0A7F"/>
    <w:rsid w:val="005E0B8D"/>
    <w:rsid w:val="005E1924"/>
    <w:rsid w:val="005E26BC"/>
    <w:rsid w:val="005E3D32"/>
    <w:rsid w:val="005E571C"/>
    <w:rsid w:val="005F2303"/>
    <w:rsid w:val="005F2468"/>
    <w:rsid w:val="005F4F80"/>
    <w:rsid w:val="005F558B"/>
    <w:rsid w:val="005F75C9"/>
    <w:rsid w:val="005F7A5E"/>
    <w:rsid w:val="006012DC"/>
    <w:rsid w:val="00602C58"/>
    <w:rsid w:val="00602E3D"/>
    <w:rsid w:val="00603BF9"/>
    <w:rsid w:val="00603DB8"/>
    <w:rsid w:val="00604190"/>
    <w:rsid w:val="0060446B"/>
    <w:rsid w:val="00604522"/>
    <w:rsid w:val="00604F32"/>
    <w:rsid w:val="00605784"/>
    <w:rsid w:val="006066CB"/>
    <w:rsid w:val="00607390"/>
    <w:rsid w:val="00607D29"/>
    <w:rsid w:val="00612522"/>
    <w:rsid w:val="00614026"/>
    <w:rsid w:val="00615C38"/>
    <w:rsid w:val="00621264"/>
    <w:rsid w:val="0062362E"/>
    <w:rsid w:val="00626540"/>
    <w:rsid w:val="00627807"/>
    <w:rsid w:val="006344E8"/>
    <w:rsid w:val="00634976"/>
    <w:rsid w:val="00636060"/>
    <w:rsid w:val="0063739F"/>
    <w:rsid w:val="00637A89"/>
    <w:rsid w:val="00640FB8"/>
    <w:rsid w:val="00641093"/>
    <w:rsid w:val="00643B50"/>
    <w:rsid w:val="00643D68"/>
    <w:rsid w:val="00644A86"/>
    <w:rsid w:val="00645725"/>
    <w:rsid w:val="00645D65"/>
    <w:rsid w:val="006478C1"/>
    <w:rsid w:val="00650821"/>
    <w:rsid w:val="00650AFE"/>
    <w:rsid w:val="00650C35"/>
    <w:rsid w:val="006510E9"/>
    <w:rsid w:val="00653A16"/>
    <w:rsid w:val="006551C8"/>
    <w:rsid w:val="0065619C"/>
    <w:rsid w:val="0065684E"/>
    <w:rsid w:val="00656FAE"/>
    <w:rsid w:val="00657CC3"/>
    <w:rsid w:val="006602E2"/>
    <w:rsid w:val="00661580"/>
    <w:rsid w:val="006615F6"/>
    <w:rsid w:val="00664C6F"/>
    <w:rsid w:val="00667373"/>
    <w:rsid w:val="006674CF"/>
    <w:rsid w:val="00670315"/>
    <w:rsid w:val="0067037A"/>
    <w:rsid w:val="0067092C"/>
    <w:rsid w:val="00672F23"/>
    <w:rsid w:val="0067624D"/>
    <w:rsid w:val="00676510"/>
    <w:rsid w:val="00676FC5"/>
    <w:rsid w:val="00680A60"/>
    <w:rsid w:val="00681223"/>
    <w:rsid w:val="00681F9E"/>
    <w:rsid w:val="0068252E"/>
    <w:rsid w:val="00682D4B"/>
    <w:rsid w:val="0068457E"/>
    <w:rsid w:val="00690163"/>
    <w:rsid w:val="0069395B"/>
    <w:rsid w:val="006955C8"/>
    <w:rsid w:val="00696742"/>
    <w:rsid w:val="00697155"/>
    <w:rsid w:val="00697941"/>
    <w:rsid w:val="006A07CA"/>
    <w:rsid w:val="006A09F9"/>
    <w:rsid w:val="006A2D1F"/>
    <w:rsid w:val="006A2EA5"/>
    <w:rsid w:val="006A4758"/>
    <w:rsid w:val="006A4EA8"/>
    <w:rsid w:val="006A6290"/>
    <w:rsid w:val="006B058A"/>
    <w:rsid w:val="006B2174"/>
    <w:rsid w:val="006B303E"/>
    <w:rsid w:val="006B3392"/>
    <w:rsid w:val="006B3519"/>
    <w:rsid w:val="006B47D1"/>
    <w:rsid w:val="006B5A5A"/>
    <w:rsid w:val="006C0B44"/>
    <w:rsid w:val="006C1723"/>
    <w:rsid w:val="006C25B5"/>
    <w:rsid w:val="006C29A4"/>
    <w:rsid w:val="006C42D7"/>
    <w:rsid w:val="006C540D"/>
    <w:rsid w:val="006C7C9B"/>
    <w:rsid w:val="006D14EB"/>
    <w:rsid w:val="006D1A9F"/>
    <w:rsid w:val="006D2381"/>
    <w:rsid w:val="006D41C1"/>
    <w:rsid w:val="006D55A5"/>
    <w:rsid w:val="006D7928"/>
    <w:rsid w:val="006E0E83"/>
    <w:rsid w:val="006E3864"/>
    <w:rsid w:val="006E5CB9"/>
    <w:rsid w:val="006E664F"/>
    <w:rsid w:val="006F232B"/>
    <w:rsid w:val="006F31FE"/>
    <w:rsid w:val="006F3D35"/>
    <w:rsid w:val="006F64F1"/>
    <w:rsid w:val="006F7868"/>
    <w:rsid w:val="006F7ECE"/>
    <w:rsid w:val="00700179"/>
    <w:rsid w:val="0070073E"/>
    <w:rsid w:val="00701C48"/>
    <w:rsid w:val="00710525"/>
    <w:rsid w:val="00711154"/>
    <w:rsid w:val="007122DD"/>
    <w:rsid w:val="00712FD1"/>
    <w:rsid w:val="00713B3C"/>
    <w:rsid w:val="00714D22"/>
    <w:rsid w:val="0071578A"/>
    <w:rsid w:val="00720BC8"/>
    <w:rsid w:val="00721C3D"/>
    <w:rsid w:val="007225C7"/>
    <w:rsid w:val="0072304D"/>
    <w:rsid w:val="0072757E"/>
    <w:rsid w:val="007302CB"/>
    <w:rsid w:val="00731B3D"/>
    <w:rsid w:val="00733AF8"/>
    <w:rsid w:val="00734A6B"/>
    <w:rsid w:val="00735AB1"/>
    <w:rsid w:val="00737741"/>
    <w:rsid w:val="00742939"/>
    <w:rsid w:val="007435DF"/>
    <w:rsid w:val="007454FD"/>
    <w:rsid w:val="007463D6"/>
    <w:rsid w:val="00746A64"/>
    <w:rsid w:val="00750352"/>
    <w:rsid w:val="00750BE0"/>
    <w:rsid w:val="00753192"/>
    <w:rsid w:val="0075396A"/>
    <w:rsid w:val="00754FE5"/>
    <w:rsid w:val="0075504B"/>
    <w:rsid w:val="007566D6"/>
    <w:rsid w:val="00757F65"/>
    <w:rsid w:val="0076070A"/>
    <w:rsid w:val="0076094B"/>
    <w:rsid w:val="00760EF1"/>
    <w:rsid w:val="00762DCE"/>
    <w:rsid w:val="0077164F"/>
    <w:rsid w:val="00771E41"/>
    <w:rsid w:val="00773670"/>
    <w:rsid w:val="00773BD0"/>
    <w:rsid w:val="00773D34"/>
    <w:rsid w:val="00773D4D"/>
    <w:rsid w:val="00774978"/>
    <w:rsid w:val="0077591D"/>
    <w:rsid w:val="00780010"/>
    <w:rsid w:val="007808FC"/>
    <w:rsid w:val="0078105D"/>
    <w:rsid w:val="0078152B"/>
    <w:rsid w:val="00781AAC"/>
    <w:rsid w:val="00782212"/>
    <w:rsid w:val="00782909"/>
    <w:rsid w:val="00783A93"/>
    <w:rsid w:val="00786F12"/>
    <w:rsid w:val="0078757B"/>
    <w:rsid w:val="00791983"/>
    <w:rsid w:val="00792486"/>
    <w:rsid w:val="0079328C"/>
    <w:rsid w:val="007932C8"/>
    <w:rsid w:val="00793D3D"/>
    <w:rsid w:val="00795CC9"/>
    <w:rsid w:val="007963BC"/>
    <w:rsid w:val="007974CA"/>
    <w:rsid w:val="00797588"/>
    <w:rsid w:val="007A1363"/>
    <w:rsid w:val="007A1F9B"/>
    <w:rsid w:val="007A3981"/>
    <w:rsid w:val="007A40CE"/>
    <w:rsid w:val="007A4A33"/>
    <w:rsid w:val="007A5AB8"/>
    <w:rsid w:val="007B0176"/>
    <w:rsid w:val="007B0975"/>
    <w:rsid w:val="007B2542"/>
    <w:rsid w:val="007B3F8C"/>
    <w:rsid w:val="007B43D7"/>
    <w:rsid w:val="007B6A8B"/>
    <w:rsid w:val="007B6FEC"/>
    <w:rsid w:val="007C3470"/>
    <w:rsid w:val="007D04B8"/>
    <w:rsid w:val="007D08C4"/>
    <w:rsid w:val="007D179E"/>
    <w:rsid w:val="007D1F22"/>
    <w:rsid w:val="007D3196"/>
    <w:rsid w:val="007D465C"/>
    <w:rsid w:val="007D4BE9"/>
    <w:rsid w:val="007D528B"/>
    <w:rsid w:val="007D613E"/>
    <w:rsid w:val="007E107C"/>
    <w:rsid w:val="007E1649"/>
    <w:rsid w:val="007E3B21"/>
    <w:rsid w:val="007E5E5B"/>
    <w:rsid w:val="007F01CD"/>
    <w:rsid w:val="007F2F2A"/>
    <w:rsid w:val="007F5BAC"/>
    <w:rsid w:val="007F6785"/>
    <w:rsid w:val="007F714B"/>
    <w:rsid w:val="00801A42"/>
    <w:rsid w:val="008035A5"/>
    <w:rsid w:val="00804DEE"/>
    <w:rsid w:val="00805362"/>
    <w:rsid w:val="008053E1"/>
    <w:rsid w:val="00805E26"/>
    <w:rsid w:val="008066E5"/>
    <w:rsid w:val="008121EC"/>
    <w:rsid w:val="00813EF0"/>
    <w:rsid w:val="00814933"/>
    <w:rsid w:val="00816863"/>
    <w:rsid w:val="00817288"/>
    <w:rsid w:val="00820409"/>
    <w:rsid w:val="008229AD"/>
    <w:rsid w:val="008239ED"/>
    <w:rsid w:val="00824A64"/>
    <w:rsid w:val="0082666F"/>
    <w:rsid w:val="00826963"/>
    <w:rsid w:val="00826B80"/>
    <w:rsid w:val="008305F9"/>
    <w:rsid w:val="00830788"/>
    <w:rsid w:val="008310A9"/>
    <w:rsid w:val="0083220E"/>
    <w:rsid w:val="00832B3D"/>
    <w:rsid w:val="00832B3E"/>
    <w:rsid w:val="00833B19"/>
    <w:rsid w:val="008340A7"/>
    <w:rsid w:val="00835A06"/>
    <w:rsid w:val="00836272"/>
    <w:rsid w:val="00837074"/>
    <w:rsid w:val="00837BAE"/>
    <w:rsid w:val="00841F1A"/>
    <w:rsid w:val="008436A2"/>
    <w:rsid w:val="00845EBE"/>
    <w:rsid w:val="0084779A"/>
    <w:rsid w:val="00847EAB"/>
    <w:rsid w:val="00850E6B"/>
    <w:rsid w:val="00850EBD"/>
    <w:rsid w:val="008517BE"/>
    <w:rsid w:val="00853163"/>
    <w:rsid w:val="008531E2"/>
    <w:rsid w:val="00854D58"/>
    <w:rsid w:val="008559C6"/>
    <w:rsid w:val="00857C30"/>
    <w:rsid w:val="00860BF5"/>
    <w:rsid w:val="00863B26"/>
    <w:rsid w:val="0086554A"/>
    <w:rsid w:val="00865C9B"/>
    <w:rsid w:val="00866766"/>
    <w:rsid w:val="00866FCF"/>
    <w:rsid w:val="00870253"/>
    <w:rsid w:val="0087125D"/>
    <w:rsid w:val="0087494A"/>
    <w:rsid w:val="0087543E"/>
    <w:rsid w:val="0087691D"/>
    <w:rsid w:val="00877BA5"/>
    <w:rsid w:val="00881819"/>
    <w:rsid w:val="0089200A"/>
    <w:rsid w:val="0089214B"/>
    <w:rsid w:val="00892F23"/>
    <w:rsid w:val="008930FA"/>
    <w:rsid w:val="0089368D"/>
    <w:rsid w:val="00893E78"/>
    <w:rsid w:val="0089431D"/>
    <w:rsid w:val="00895D75"/>
    <w:rsid w:val="008A1F29"/>
    <w:rsid w:val="008A7C59"/>
    <w:rsid w:val="008B33FA"/>
    <w:rsid w:val="008B447D"/>
    <w:rsid w:val="008B4C57"/>
    <w:rsid w:val="008B7218"/>
    <w:rsid w:val="008B7759"/>
    <w:rsid w:val="008C0817"/>
    <w:rsid w:val="008C1D0B"/>
    <w:rsid w:val="008C3444"/>
    <w:rsid w:val="008C4D68"/>
    <w:rsid w:val="008C5843"/>
    <w:rsid w:val="008C671B"/>
    <w:rsid w:val="008D05CE"/>
    <w:rsid w:val="008D0676"/>
    <w:rsid w:val="008D0746"/>
    <w:rsid w:val="008D1B89"/>
    <w:rsid w:val="008D3053"/>
    <w:rsid w:val="008D63EF"/>
    <w:rsid w:val="008D6587"/>
    <w:rsid w:val="008D7379"/>
    <w:rsid w:val="008E062C"/>
    <w:rsid w:val="008E0930"/>
    <w:rsid w:val="008E18BF"/>
    <w:rsid w:val="008E1B12"/>
    <w:rsid w:val="008E251D"/>
    <w:rsid w:val="008E5476"/>
    <w:rsid w:val="008E5D6B"/>
    <w:rsid w:val="008F2DA7"/>
    <w:rsid w:val="008F3E7B"/>
    <w:rsid w:val="008F3EA2"/>
    <w:rsid w:val="009003F9"/>
    <w:rsid w:val="00900D8C"/>
    <w:rsid w:val="009017FC"/>
    <w:rsid w:val="009036A1"/>
    <w:rsid w:val="009038FC"/>
    <w:rsid w:val="00905813"/>
    <w:rsid w:val="009059D6"/>
    <w:rsid w:val="00905F94"/>
    <w:rsid w:val="00906066"/>
    <w:rsid w:val="009060F0"/>
    <w:rsid w:val="00906E46"/>
    <w:rsid w:val="009128F1"/>
    <w:rsid w:val="00913A02"/>
    <w:rsid w:val="00915C1F"/>
    <w:rsid w:val="009160B2"/>
    <w:rsid w:val="009200F1"/>
    <w:rsid w:val="009215C9"/>
    <w:rsid w:val="0092181B"/>
    <w:rsid w:val="009230CF"/>
    <w:rsid w:val="0092378B"/>
    <w:rsid w:val="00924D9E"/>
    <w:rsid w:val="0092643B"/>
    <w:rsid w:val="00926F91"/>
    <w:rsid w:val="00930745"/>
    <w:rsid w:val="009307D7"/>
    <w:rsid w:val="00931DD8"/>
    <w:rsid w:val="00933FBF"/>
    <w:rsid w:val="00934DF3"/>
    <w:rsid w:val="0093568F"/>
    <w:rsid w:val="00936B4D"/>
    <w:rsid w:val="00936F88"/>
    <w:rsid w:val="00937C95"/>
    <w:rsid w:val="009405C0"/>
    <w:rsid w:val="00940BD1"/>
    <w:rsid w:val="00944462"/>
    <w:rsid w:val="00946B7C"/>
    <w:rsid w:val="009477B2"/>
    <w:rsid w:val="00952429"/>
    <w:rsid w:val="00952A72"/>
    <w:rsid w:val="00954C36"/>
    <w:rsid w:val="00960FA2"/>
    <w:rsid w:val="0096306E"/>
    <w:rsid w:val="0096410C"/>
    <w:rsid w:val="00967BD4"/>
    <w:rsid w:val="00971ABB"/>
    <w:rsid w:val="00971AC2"/>
    <w:rsid w:val="00975507"/>
    <w:rsid w:val="009755E0"/>
    <w:rsid w:val="009756FD"/>
    <w:rsid w:val="0098285C"/>
    <w:rsid w:val="009856A2"/>
    <w:rsid w:val="009875BA"/>
    <w:rsid w:val="009877EE"/>
    <w:rsid w:val="00987FC5"/>
    <w:rsid w:val="0099090A"/>
    <w:rsid w:val="0099281A"/>
    <w:rsid w:val="009929D2"/>
    <w:rsid w:val="00993DF3"/>
    <w:rsid w:val="00993FE7"/>
    <w:rsid w:val="00997DA0"/>
    <w:rsid w:val="009A013C"/>
    <w:rsid w:val="009A2C34"/>
    <w:rsid w:val="009A3AD5"/>
    <w:rsid w:val="009A3C59"/>
    <w:rsid w:val="009A3EB6"/>
    <w:rsid w:val="009A5259"/>
    <w:rsid w:val="009A60ED"/>
    <w:rsid w:val="009A68BE"/>
    <w:rsid w:val="009B1410"/>
    <w:rsid w:val="009B4544"/>
    <w:rsid w:val="009B52FB"/>
    <w:rsid w:val="009C07CC"/>
    <w:rsid w:val="009C2F9A"/>
    <w:rsid w:val="009C310A"/>
    <w:rsid w:val="009C4C3C"/>
    <w:rsid w:val="009C6045"/>
    <w:rsid w:val="009C66C2"/>
    <w:rsid w:val="009C6F62"/>
    <w:rsid w:val="009D0DBB"/>
    <w:rsid w:val="009D2567"/>
    <w:rsid w:val="009D2DAB"/>
    <w:rsid w:val="009D32EB"/>
    <w:rsid w:val="009D6D60"/>
    <w:rsid w:val="009D7E55"/>
    <w:rsid w:val="009E0E43"/>
    <w:rsid w:val="009E2D22"/>
    <w:rsid w:val="009E44F2"/>
    <w:rsid w:val="009E5145"/>
    <w:rsid w:val="009E598C"/>
    <w:rsid w:val="009E6450"/>
    <w:rsid w:val="009E6CD6"/>
    <w:rsid w:val="009F1198"/>
    <w:rsid w:val="009F15DD"/>
    <w:rsid w:val="009F1BEA"/>
    <w:rsid w:val="009F32DF"/>
    <w:rsid w:val="009F38F3"/>
    <w:rsid w:val="009F3DBF"/>
    <w:rsid w:val="009F5503"/>
    <w:rsid w:val="009F7B76"/>
    <w:rsid w:val="00A04345"/>
    <w:rsid w:val="00A0709B"/>
    <w:rsid w:val="00A07940"/>
    <w:rsid w:val="00A07D85"/>
    <w:rsid w:val="00A1038B"/>
    <w:rsid w:val="00A109D9"/>
    <w:rsid w:val="00A12694"/>
    <w:rsid w:val="00A1331E"/>
    <w:rsid w:val="00A14360"/>
    <w:rsid w:val="00A14699"/>
    <w:rsid w:val="00A15648"/>
    <w:rsid w:val="00A21E41"/>
    <w:rsid w:val="00A222CE"/>
    <w:rsid w:val="00A233A6"/>
    <w:rsid w:val="00A23580"/>
    <w:rsid w:val="00A26332"/>
    <w:rsid w:val="00A268CE"/>
    <w:rsid w:val="00A27144"/>
    <w:rsid w:val="00A3056C"/>
    <w:rsid w:val="00A31581"/>
    <w:rsid w:val="00A3398D"/>
    <w:rsid w:val="00A3469C"/>
    <w:rsid w:val="00A35997"/>
    <w:rsid w:val="00A40E84"/>
    <w:rsid w:val="00A42BFB"/>
    <w:rsid w:val="00A43A35"/>
    <w:rsid w:val="00A45456"/>
    <w:rsid w:val="00A46418"/>
    <w:rsid w:val="00A5071F"/>
    <w:rsid w:val="00A53884"/>
    <w:rsid w:val="00A56C6B"/>
    <w:rsid w:val="00A602BF"/>
    <w:rsid w:val="00A632A7"/>
    <w:rsid w:val="00A63FF5"/>
    <w:rsid w:val="00A64A03"/>
    <w:rsid w:val="00A658BC"/>
    <w:rsid w:val="00A66458"/>
    <w:rsid w:val="00A72402"/>
    <w:rsid w:val="00A72853"/>
    <w:rsid w:val="00A75484"/>
    <w:rsid w:val="00A76458"/>
    <w:rsid w:val="00A770F7"/>
    <w:rsid w:val="00A7735A"/>
    <w:rsid w:val="00A77D55"/>
    <w:rsid w:val="00A83FE5"/>
    <w:rsid w:val="00A84C2E"/>
    <w:rsid w:val="00A86F51"/>
    <w:rsid w:val="00A87048"/>
    <w:rsid w:val="00A915CA"/>
    <w:rsid w:val="00A91E32"/>
    <w:rsid w:val="00A920C9"/>
    <w:rsid w:val="00A92A6D"/>
    <w:rsid w:val="00A936C1"/>
    <w:rsid w:val="00A938A0"/>
    <w:rsid w:val="00A94D8E"/>
    <w:rsid w:val="00A95625"/>
    <w:rsid w:val="00A956C3"/>
    <w:rsid w:val="00A95727"/>
    <w:rsid w:val="00A9600F"/>
    <w:rsid w:val="00A96568"/>
    <w:rsid w:val="00A97699"/>
    <w:rsid w:val="00AA0DA2"/>
    <w:rsid w:val="00AA2012"/>
    <w:rsid w:val="00AA2E39"/>
    <w:rsid w:val="00AA468A"/>
    <w:rsid w:val="00AA4927"/>
    <w:rsid w:val="00AA50C1"/>
    <w:rsid w:val="00AA5143"/>
    <w:rsid w:val="00AA5775"/>
    <w:rsid w:val="00AA5963"/>
    <w:rsid w:val="00AA73FC"/>
    <w:rsid w:val="00AB0E4B"/>
    <w:rsid w:val="00AB1938"/>
    <w:rsid w:val="00AB1DD2"/>
    <w:rsid w:val="00AB29E3"/>
    <w:rsid w:val="00AB3FB1"/>
    <w:rsid w:val="00AB4B37"/>
    <w:rsid w:val="00AB5447"/>
    <w:rsid w:val="00AB595D"/>
    <w:rsid w:val="00AB6B21"/>
    <w:rsid w:val="00AB7D1A"/>
    <w:rsid w:val="00AC33ED"/>
    <w:rsid w:val="00AC7554"/>
    <w:rsid w:val="00AD0011"/>
    <w:rsid w:val="00AD0C6F"/>
    <w:rsid w:val="00AD0E24"/>
    <w:rsid w:val="00AD3281"/>
    <w:rsid w:val="00AD35CE"/>
    <w:rsid w:val="00AD4341"/>
    <w:rsid w:val="00AD4697"/>
    <w:rsid w:val="00AD4AC7"/>
    <w:rsid w:val="00AD4F8A"/>
    <w:rsid w:val="00AD743F"/>
    <w:rsid w:val="00AE0150"/>
    <w:rsid w:val="00AE0EA2"/>
    <w:rsid w:val="00AE1428"/>
    <w:rsid w:val="00AE526F"/>
    <w:rsid w:val="00AE61C3"/>
    <w:rsid w:val="00AE6563"/>
    <w:rsid w:val="00AE6778"/>
    <w:rsid w:val="00AF2719"/>
    <w:rsid w:val="00B00BEF"/>
    <w:rsid w:val="00B035F9"/>
    <w:rsid w:val="00B041B0"/>
    <w:rsid w:val="00B069B2"/>
    <w:rsid w:val="00B069C4"/>
    <w:rsid w:val="00B06A05"/>
    <w:rsid w:val="00B07D80"/>
    <w:rsid w:val="00B1129E"/>
    <w:rsid w:val="00B139AA"/>
    <w:rsid w:val="00B15CE1"/>
    <w:rsid w:val="00B176FE"/>
    <w:rsid w:val="00B2142D"/>
    <w:rsid w:val="00B215B2"/>
    <w:rsid w:val="00B220B8"/>
    <w:rsid w:val="00B22918"/>
    <w:rsid w:val="00B25C9A"/>
    <w:rsid w:val="00B26AE8"/>
    <w:rsid w:val="00B304B1"/>
    <w:rsid w:val="00B3053B"/>
    <w:rsid w:val="00B30A94"/>
    <w:rsid w:val="00B36D6F"/>
    <w:rsid w:val="00B37273"/>
    <w:rsid w:val="00B415D2"/>
    <w:rsid w:val="00B43293"/>
    <w:rsid w:val="00B43955"/>
    <w:rsid w:val="00B439FD"/>
    <w:rsid w:val="00B46315"/>
    <w:rsid w:val="00B47010"/>
    <w:rsid w:val="00B51132"/>
    <w:rsid w:val="00B51444"/>
    <w:rsid w:val="00B53CF4"/>
    <w:rsid w:val="00B5460E"/>
    <w:rsid w:val="00B55186"/>
    <w:rsid w:val="00B56E6C"/>
    <w:rsid w:val="00B60ADF"/>
    <w:rsid w:val="00B61183"/>
    <w:rsid w:val="00B6131B"/>
    <w:rsid w:val="00B63392"/>
    <w:rsid w:val="00B6394E"/>
    <w:rsid w:val="00B64EC7"/>
    <w:rsid w:val="00B65F9C"/>
    <w:rsid w:val="00B71964"/>
    <w:rsid w:val="00B74266"/>
    <w:rsid w:val="00B743B8"/>
    <w:rsid w:val="00B74BF7"/>
    <w:rsid w:val="00B75134"/>
    <w:rsid w:val="00B7767D"/>
    <w:rsid w:val="00B77810"/>
    <w:rsid w:val="00B77A33"/>
    <w:rsid w:val="00B80111"/>
    <w:rsid w:val="00B83756"/>
    <w:rsid w:val="00B86447"/>
    <w:rsid w:val="00B86AAB"/>
    <w:rsid w:val="00B9016C"/>
    <w:rsid w:val="00B9101F"/>
    <w:rsid w:val="00B923A7"/>
    <w:rsid w:val="00B92630"/>
    <w:rsid w:val="00B92926"/>
    <w:rsid w:val="00B9402D"/>
    <w:rsid w:val="00B955A6"/>
    <w:rsid w:val="00B96740"/>
    <w:rsid w:val="00B96DC1"/>
    <w:rsid w:val="00B970A3"/>
    <w:rsid w:val="00BA14D5"/>
    <w:rsid w:val="00BA3151"/>
    <w:rsid w:val="00BA3B58"/>
    <w:rsid w:val="00BA4916"/>
    <w:rsid w:val="00BA4A41"/>
    <w:rsid w:val="00BA546B"/>
    <w:rsid w:val="00BA5FEE"/>
    <w:rsid w:val="00BA798A"/>
    <w:rsid w:val="00BB09B0"/>
    <w:rsid w:val="00BB0AAA"/>
    <w:rsid w:val="00BB25D2"/>
    <w:rsid w:val="00BB59BE"/>
    <w:rsid w:val="00BB5BA8"/>
    <w:rsid w:val="00BB61D1"/>
    <w:rsid w:val="00BC0267"/>
    <w:rsid w:val="00BC119C"/>
    <w:rsid w:val="00BC143A"/>
    <w:rsid w:val="00BC2E3A"/>
    <w:rsid w:val="00BC3846"/>
    <w:rsid w:val="00BC6926"/>
    <w:rsid w:val="00BC6D01"/>
    <w:rsid w:val="00BC6ECC"/>
    <w:rsid w:val="00BD21CE"/>
    <w:rsid w:val="00BD43BA"/>
    <w:rsid w:val="00BD56ED"/>
    <w:rsid w:val="00BD6BE4"/>
    <w:rsid w:val="00BD6E38"/>
    <w:rsid w:val="00BD7CCB"/>
    <w:rsid w:val="00BE2716"/>
    <w:rsid w:val="00BE321B"/>
    <w:rsid w:val="00BE4000"/>
    <w:rsid w:val="00BE42AD"/>
    <w:rsid w:val="00BE4C00"/>
    <w:rsid w:val="00BE4FA2"/>
    <w:rsid w:val="00BE704B"/>
    <w:rsid w:val="00BF1557"/>
    <w:rsid w:val="00BF20E1"/>
    <w:rsid w:val="00BF24AE"/>
    <w:rsid w:val="00BF3A72"/>
    <w:rsid w:val="00BF486E"/>
    <w:rsid w:val="00BF5B15"/>
    <w:rsid w:val="00BF647A"/>
    <w:rsid w:val="00BF78CC"/>
    <w:rsid w:val="00BF798A"/>
    <w:rsid w:val="00BF7B94"/>
    <w:rsid w:val="00C00DD3"/>
    <w:rsid w:val="00C02069"/>
    <w:rsid w:val="00C0300D"/>
    <w:rsid w:val="00C0428F"/>
    <w:rsid w:val="00C04A96"/>
    <w:rsid w:val="00C0631D"/>
    <w:rsid w:val="00C06CE3"/>
    <w:rsid w:val="00C0776A"/>
    <w:rsid w:val="00C10EF9"/>
    <w:rsid w:val="00C1205D"/>
    <w:rsid w:val="00C1273F"/>
    <w:rsid w:val="00C154E7"/>
    <w:rsid w:val="00C1552E"/>
    <w:rsid w:val="00C165FA"/>
    <w:rsid w:val="00C171F8"/>
    <w:rsid w:val="00C17918"/>
    <w:rsid w:val="00C20426"/>
    <w:rsid w:val="00C204F7"/>
    <w:rsid w:val="00C210DA"/>
    <w:rsid w:val="00C21730"/>
    <w:rsid w:val="00C224E2"/>
    <w:rsid w:val="00C256A8"/>
    <w:rsid w:val="00C25A90"/>
    <w:rsid w:val="00C318A2"/>
    <w:rsid w:val="00C33683"/>
    <w:rsid w:val="00C345EC"/>
    <w:rsid w:val="00C34E5B"/>
    <w:rsid w:val="00C35373"/>
    <w:rsid w:val="00C3735F"/>
    <w:rsid w:val="00C37ECB"/>
    <w:rsid w:val="00C405B0"/>
    <w:rsid w:val="00C45773"/>
    <w:rsid w:val="00C45C9D"/>
    <w:rsid w:val="00C46EE8"/>
    <w:rsid w:val="00C50A9C"/>
    <w:rsid w:val="00C511BF"/>
    <w:rsid w:val="00C51E2A"/>
    <w:rsid w:val="00C51F4D"/>
    <w:rsid w:val="00C5650F"/>
    <w:rsid w:val="00C6289B"/>
    <w:rsid w:val="00C6427C"/>
    <w:rsid w:val="00C65092"/>
    <w:rsid w:val="00C66CFC"/>
    <w:rsid w:val="00C72EF9"/>
    <w:rsid w:val="00C72FE1"/>
    <w:rsid w:val="00C736CA"/>
    <w:rsid w:val="00C73872"/>
    <w:rsid w:val="00C76497"/>
    <w:rsid w:val="00C77C07"/>
    <w:rsid w:val="00C81122"/>
    <w:rsid w:val="00C81784"/>
    <w:rsid w:val="00C86E9B"/>
    <w:rsid w:val="00C90015"/>
    <w:rsid w:val="00C92ED1"/>
    <w:rsid w:val="00C93090"/>
    <w:rsid w:val="00C93805"/>
    <w:rsid w:val="00C93CC6"/>
    <w:rsid w:val="00C94651"/>
    <w:rsid w:val="00C94FE9"/>
    <w:rsid w:val="00C959F3"/>
    <w:rsid w:val="00C96192"/>
    <w:rsid w:val="00C9652F"/>
    <w:rsid w:val="00CA1285"/>
    <w:rsid w:val="00CA2B89"/>
    <w:rsid w:val="00CA41CB"/>
    <w:rsid w:val="00CA4332"/>
    <w:rsid w:val="00CA4786"/>
    <w:rsid w:val="00CA568E"/>
    <w:rsid w:val="00CA6E0B"/>
    <w:rsid w:val="00CB1811"/>
    <w:rsid w:val="00CB1D78"/>
    <w:rsid w:val="00CB2418"/>
    <w:rsid w:val="00CB279D"/>
    <w:rsid w:val="00CB46F0"/>
    <w:rsid w:val="00CB512A"/>
    <w:rsid w:val="00CB6AF2"/>
    <w:rsid w:val="00CB6CB1"/>
    <w:rsid w:val="00CB77A5"/>
    <w:rsid w:val="00CB7F40"/>
    <w:rsid w:val="00CC104A"/>
    <w:rsid w:val="00CC1CDE"/>
    <w:rsid w:val="00CC2D1C"/>
    <w:rsid w:val="00CC4111"/>
    <w:rsid w:val="00CC719A"/>
    <w:rsid w:val="00CC74D2"/>
    <w:rsid w:val="00CD0321"/>
    <w:rsid w:val="00CD0CB3"/>
    <w:rsid w:val="00CD1757"/>
    <w:rsid w:val="00CD2920"/>
    <w:rsid w:val="00CD375A"/>
    <w:rsid w:val="00CD3D2D"/>
    <w:rsid w:val="00CD571E"/>
    <w:rsid w:val="00CD6359"/>
    <w:rsid w:val="00CD6A17"/>
    <w:rsid w:val="00CD6D52"/>
    <w:rsid w:val="00CE07B0"/>
    <w:rsid w:val="00CE099A"/>
    <w:rsid w:val="00CE3204"/>
    <w:rsid w:val="00CE64DC"/>
    <w:rsid w:val="00CF0AF6"/>
    <w:rsid w:val="00CF0DEB"/>
    <w:rsid w:val="00CF1A22"/>
    <w:rsid w:val="00CF1D69"/>
    <w:rsid w:val="00CF570D"/>
    <w:rsid w:val="00CF5A13"/>
    <w:rsid w:val="00CF60D3"/>
    <w:rsid w:val="00CF660B"/>
    <w:rsid w:val="00CF6937"/>
    <w:rsid w:val="00CF6C6F"/>
    <w:rsid w:val="00CF7D6D"/>
    <w:rsid w:val="00D01137"/>
    <w:rsid w:val="00D01467"/>
    <w:rsid w:val="00D02AF5"/>
    <w:rsid w:val="00D0478C"/>
    <w:rsid w:val="00D04E9E"/>
    <w:rsid w:val="00D103DD"/>
    <w:rsid w:val="00D1213C"/>
    <w:rsid w:val="00D12172"/>
    <w:rsid w:val="00D1228B"/>
    <w:rsid w:val="00D12965"/>
    <w:rsid w:val="00D139A0"/>
    <w:rsid w:val="00D154ED"/>
    <w:rsid w:val="00D1701B"/>
    <w:rsid w:val="00D1799E"/>
    <w:rsid w:val="00D17B4E"/>
    <w:rsid w:val="00D20173"/>
    <w:rsid w:val="00D270BD"/>
    <w:rsid w:val="00D30992"/>
    <w:rsid w:val="00D31BB0"/>
    <w:rsid w:val="00D31D2C"/>
    <w:rsid w:val="00D34408"/>
    <w:rsid w:val="00D34F0B"/>
    <w:rsid w:val="00D36170"/>
    <w:rsid w:val="00D36D7E"/>
    <w:rsid w:val="00D37B9D"/>
    <w:rsid w:val="00D37BD2"/>
    <w:rsid w:val="00D4001E"/>
    <w:rsid w:val="00D40F32"/>
    <w:rsid w:val="00D4263C"/>
    <w:rsid w:val="00D44A83"/>
    <w:rsid w:val="00D4609E"/>
    <w:rsid w:val="00D46840"/>
    <w:rsid w:val="00D47A22"/>
    <w:rsid w:val="00D52253"/>
    <w:rsid w:val="00D55CCE"/>
    <w:rsid w:val="00D564DE"/>
    <w:rsid w:val="00D56ADC"/>
    <w:rsid w:val="00D6027B"/>
    <w:rsid w:val="00D648DE"/>
    <w:rsid w:val="00D64DF7"/>
    <w:rsid w:val="00D65288"/>
    <w:rsid w:val="00D65538"/>
    <w:rsid w:val="00D70603"/>
    <w:rsid w:val="00D70B76"/>
    <w:rsid w:val="00D70FF7"/>
    <w:rsid w:val="00D71671"/>
    <w:rsid w:val="00D71E67"/>
    <w:rsid w:val="00D735E5"/>
    <w:rsid w:val="00D76057"/>
    <w:rsid w:val="00D764E7"/>
    <w:rsid w:val="00D76775"/>
    <w:rsid w:val="00D77D63"/>
    <w:rsid w:val="00D8005A"/>
    <w:rsid w:val="00D80FC5"/>
    <w:rsid w:val="00D81807"/>
    <w:rsid w:val="00D81F16"/>
    <w:rsid w:val="00D81FB5"/>
    <w:rsid w:val="00D834B5"/>
    <w:rsid w:val="00D83CFD"/>
    <w:rsid w:val="00D84751"/>
    <w:rsid w:val="00D847BD"/>
    <w:rsid w:val="00D847BE"/>
    <w:rsid w:val="00D84D34"/>
    <w:rsid w:val="00D84E92"/>
    <w:rsid w:val="00D8756A"/>
    <w:rsid w:val="00D87BB4"/>
    <w:rsid w:val="00D92171"/>
    <w:rsid w:val="00D9230E"/>
    <w:rsid w:val="00D92D48"/>
    <w:rsid w:val="00D9326D"/>
    <w:rsid w:val="00D935E6"/>
    <w:rsid w:val="00D979D8"/>
    <w:rsid w:val="00DA15E8"/>
    <w:rsid w:val="00DA45C7"/>
    <w:rsid w:val="00DA4D87"/>
    <w:rsid w:val="00DB02E3"/>
    <w:rsid w:val="00DB05E8"/>
    <w:rsid w:val="00DB10A8"/>
    <w:rsid w:val="00DB18D2"/>
    <w:rsid w:val="00DB207C"/>
    <w:rsid w:val="00DB2115"/>
    <w:rsid w:val="00DB2F97"/>
    <w:rsid w:val="00DB3193"/>
    <w:rsid w:val="00DB4B8F"/>
    <w:rsid w:val="00DB5829"/>
    <w:rsid w:val="00DC1057"/>
    <w:rsid w:val="00DC148B"/>
    <w:rsid w:val="00DC1F4B"/>
    <w:rsid w:val="00DC2A04"/>
    <w:rsid w:val="00DC31C6"/>
    <w:rsid w:val="00DC4663"/>
    <w:rsid w:val="00DC6E89"/>
    <w:rsid w:val="00DC7619"/>
    <w:rsid w:val="00DD09FE"/>
    <w:rsid w:val="00DD23E2"/>
    <w:rsid w:val="00DD2A34"/>
    <w:rsid w:val="00DD3E6E"/>
    <w:rsid w:val="00DD3F43"/>
    <w:rsid w:val="00DD444C"/>
    <w:rsid w:val="00DD5852"/>
    <w:rsid w:val="00DD75F6"/>
    <w:rsid w:val="00DE2B60"/>
    <w:rsid w:val="00DE2C61"/>
    <w:rsid w:val="00DE552F"/>
    <w:rsid w:val="00DE5C88"/>
    <w:rsid w:val="00DE63A8"/>
    <w:rsid w:val="00DE7E54"/>
    <w:rsid w:val="00DF0185"/>
    <w:rsid w:val="00DF03CF"/>
    <w:rsid w:val="00DF0EC0"/>
    <w:rsid w:val="00DF1BED"/>
    <w:rsid w:val="00DF2C73"/>
    <w:rsid w:val="00DF32D1"/>
    <w:rsid w:val="00DF4805"/>
    <w:rsid w:val="00DF5E45"/>
    <w:rsid w:val="00DF7D72"/>
    <w:rsid w:val="00E002FF"/>
    <w:rsid w:val="00E020C0"/>
    <w:rsid w:val="00E02D2E"/>
    <w:rsid w:val="00E03599"/>
    <w:rsid w:val="00E03C9E"/>
    <w:rsid w:val="00E05DC1"/>
    <w:rsid w:val="00E05EE3"/>
    <w:rsid w:val="00E05F34"/>
    <w:rsid w:val="00E07A72"/>
    <w:rsid w:val="00E12AC5"/>
    <w:rsid w:val="00E134CB"/>
    <w:rsid w:val="00E1365E"/>
    <w:rsid w:val="00E14454"/>
    <w:rsid w:val="00E200D3"/>
    <w:rsid w:val="00E20B74"/>
    <w:rsid w:val="00E22B84"/>
    <w:rsid w:val="00E23351"/>
    <w:rsid w:val="00E24558"/>
    <w:rsid w:val="00E256E2"/>
    <w:rsid w:val="00E26D14"/>
    <w:rsid w:val="00E30195"/>
    <w:rsid w:val="00E30397"/>
    <w:rsid w:val="00E31226"/>
    <w:rsid w:val="00E3196A"/>
    <w:rsid w:val="00E3253E"/>
    <w:rsid w:val="00E32842"/>
    <w:rsid w:val="00E33936"/>
    <w:rsid w:val="00E34F4E"/>
    <w:rsid w:val="00E35DEF"/>
    <w:rsid w:val="00E40B4C"/>
    <w:rsid w:val="00E44714"/>
    <w:rsid w:val="00E462A3"/>
    <w:rsid w:val="00E4724E"/>
    <w:rsid w:val="00E472CB"/>
    <w:rsid w:val="00E47DE3"/>
    <w:rsid w:val="00E5418F"/>
    <w:rsid w:val="00E618BD"/>
    <w:rsid w:val="00E62E6C"/>
    <w:rsid w:val="00E64627"/>
    <w:rsid w:val="00E6494E"/>
    <w:rsid w:val="00E65A4C"/>
    <w:rsid w:val="00E663F9"/>
    <w:rsid w:val="00E66584"/>
    <w:rsid w:val="00E67386"/>
    <w:rsid w:val="00E71795"/>
    <w:rsid w:val="00E72036"/>
    <w:rsid w:val="00E7242A"/>
    <w:rsid w:val="00E734D3"/>
    <w:rsid w:val="00E74F77"/>
    <w:rsid w:val="00E759BC"/>
    <w:rsid w:val="00E801E4"/>
    <w:rsid w:val="00E80BF8"/>
    <w:rsid w:val="00E84913"/>
    <w:rsid w:val="00E8492D"/>
    <w:rsid w:val="00E86613"/>
    <w:rsid w:val="00E900D1"/>
    <w:rsid w:val="00E94286"/>
    <w:rsid w:val="00E9456E"/>
    <w:rsid w:val="00E95B90"/>
    <w:rsid w:val="00E96713"/>
    <w:rsid w:val="00EA0410"/>
    <w:rsid w:val="00EA0795"/>
    <w:rsid w:val="00EA145C"/>
    <w:rsid w:val="00EA3504"/>
    <w:rsid w:val="00EA3C96"/>
    <w:rsid w:val="00EA3DD8"/>
    <w:rsid w:val="00EA5CCD"/>
    <w:rsid w:val="00EB05A2"/>
    <w:rsid w:val="00EB41BA"/>
    <w:rsid w:val="00EB4CF7"/>
    <w:rsid w:val="00EB4D1F"/>
    <w:rsid w:val="00EB5E0E"/>
    <w:rsid w:val="00EC0D44"/>
    <w:rsid w:val="00EC0EBE"/>
    <w:rsid w:val="00EC3574"/>
    <w:rsid w:val="00EC4D18"/>
    <w:rsid w:val="00EC5B64"/>
    <w:rsid w:val="00EC6190"/>
    <w:rsid w:val="00EC6E7F"/>
    <w:rsid w:val="00ED0E10"/>
    <w:rsid w:val="00ED4D73"/>
    <w:rsid w:val="00ED6620"/>
    <w:rsid w:val="00ED66BA"/>
    <w:rsid w:val="00EE0A3E"/>
    <w:rsid w:val="00EE2262"/>
    <w:rsid w:val="00EE36A4"/>
    <w:rsid w:val="00EE7F01"/>
    <w:rsid w:val="00EF1668"/>
    <w:rsid w:val="00EF40BC"/>
    <w:rsid w:val="00EF67EF"/>
    <w:rsid w:val="00EF70EF"/>
    <w:rsid w:val="00EF7524"/>
    <w:rsid w:val="00EF7F90"/>
    <w:rsid w:val="00F014D7"/>
    <w:rsid w:val="00F0200F"/>
    <w:rsid w:val="00F0332D"/>
    <w:rsid w:val="00F0335E"/>
    <w:rsid w:val="00F045DE"/>
    <w:rsid w:val="00F07EFD"/>
    <w:rsid w:val="00F1327A"/>
    <w:rsid w:val="00F15BAD"/>
    <w:rsid w:val="00F16261"/>
    <w:rsid w:val="00F171C7"/>
    <w:rsid w:val="00F20A0D"/>
    <w:rsid w:val="00F23B6C"/>
    <w:rsid w:val="00F25B8B"/>
    <w:rsid w:val="00F26B66"/>
    <w:rsid w:val="00F30407"/>
    <w:rsid w:val="00F30F18"/>
    <w:rsid w:val="00F35849"/>
    <w:rsid w:val="00F359B3"/>
    <w:rsid w:val="00F3607C"/>
    <w:rsid w:val="00F363F0"/>
    <w:rsid w:val="00F3788C"/>
    <w:rsid w:val="00F40700"/>
    <w:rsid w:val="00F4134A"/>
    <w:rsid w:val="00F4391E"/>
    <w:rsid w:val="00F44E92"/>
    <w:rsid w:val="00F450B0"/>
    <w:rsid w:val="00F469B5"/>
    <w:rsid w:val="00F52749"/>
    <w:rsid w:val="00F529AF"/>
    <w:rsid w:val="00F536B6"/>
    <w:rsid w:val="00F542E7"/>
    <w:rsid w:val="00F547A9"/>
    <w:rsid w:val="00F572F4"/>
    <w:rsid w:val="00F606E0"/>
    <w:rsid w:val="00F6225E"/>
    <w:rsid w:val="00F625F5"/>
    <w:rsid w:val="00F62BBB"/>
    <w:rsid w:val="00F65EA6"/>
    <w:rsid w:val="00F666C7"/>
    <w:rsid w:val="00F667FF"/>
    <w:rsid w:val="00F6748D"/>
    <w:rsid w:val="00F71D93"/>
    <w:rsid w:val="00F733A9"/>
    <w:rsid w:val="00F7384C"/>
    <w:rsid w:val="00F74A0C"/>
    <w:rsid w:val="00F76C64"/>
    <w:rsid w:val="00F77294"/>
    <w:rsid w:val="00F77950"/>
    <w:rsid w:val="00F812BA"/>
    <w:rsid w:val="00F822B5"/>
    <w:rsid w:val="00F85B8D"/>
    <w:rsid w:val="00F8686F"/>
    <w:rsid w:val="00F868BE"/>
    <w:rsid w:val="00F90BA7"/>
    <w:rsid w:val="00F91452"/>
    <w:rsid w:val="00F92313"/>
    <w:rsid w:val="00F92869"/>
    <w:rsid w:val="00F92E22"/>
    <w:rsid w:val="00F962BB"/>
    <w:rsid w:val="00FA2382"/>
    <w:rsid w:val="00FA2C34"/>
    <w:rsid w:val="00FA42D2"/>
    <w:rsid w:val="00FA4FD0"/>
    <w:rsid w:val="00FA6B02"/>
    <w:rsid w:val="00FA73D6"/>
    <w:rsid w:val="00FA78D1"/>
    <w:rsid w:val="00FB10A7"/>
    <w:rsid w:val="00FB252F"/>
    <w:rsid w:val="00FB39ED"/>
    <w:rsid w:val="00FB3C81"/>
    <w:rsid w:val="00FB3F19"/>
    <w:rsid w:val="00FB4836"/>
    <w:rsid w:val="00FC03EB"/>
    <w:rsid w:val="00FC051B"/>
    <w:rsid w:val="00FC0A65"/>
    <w:rsid w:val="00FC0C5C"/>
    <w:rsid w:val="00FC0D13"/>
    <w:rsid w:val="00FC200B"/>
    <w:rsid w:val="00FC3015"/>
    <w:rsid w:val="00FC6E75"/>
    <w:rsid w:val="00FD1158"/>
    <w:rsid w:val="00FD1209"/>
    <w:rsid w:val="00FD1C16"/>
    <w:rsid w:val="00FD1FDF"/>
    <w:rsid w:val="00FD308A"/>
    <w:rsid w:val="00FD3C34"/>
    <w:rsid w:val="00FD4397"/>
    <w:rsid w:val="00FE246B"/>
    <w:rsid w:val="00FE46F2"/>
    <w:rsid w:val="00FE5007"/>
    <w:rsid w:val="00FE50F2"/>
    <w:rsid w:val="00FF03A2"/>
    <w:rsid w:val="00FF0633"/>
    <w:rsid w:val="00FF21D6"/>
    <w:rsid w:val="00FF3340"/>
    <w:rsid w:val="00FF6438"/>
    <w:rsid w:val="00FF6D8A"/>
    <w:rsid w:val="00FF72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02E13"/>
  <w15:chartTrackingRefBased/>
  <w15:docId w15:val="{4341F0BA-D171-430B-AF5E-0EC872459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758"/>
    <w:pPr>
      <w:spacing w:before="120" w:after="120" w:line="480" w:lineRule="auto"/>
      <w:jc w:val="both"/>
    </w:pPr>
    <w:rPr>
      <w:rFonts w:asciiTheme="majorBidi" w:eastAsia="Times New Roman" w:hAnsiTheme="majorBidi" w:cstheme="majorBidi"/>
      <w:szCs w:val="28"/>
      <w:lang w:eastAsia="en-GB" w:bidi="ar-EG"/>
    </w:rPr>
  </w:style>
  <w:style w:type="paragraph" w:styleId="Heading1">
    <w:name w:val="heading 1"/>
    <w:basedOn w:val="Normal"/>
    <w:next w:val="Normal"/>
    <w:link w:val="Heading1Char"/>
    <w:autoRedefine/>
    <w:uiPriority w:val="9"/>
    <w:qFormat/>
    <w:rsid w:val="00506D25"/>
    <w:pPr>
      <w:keepNext/>
      <w:keepLines/>
      <w:numPr>
        <w:numId w:val="8"/>
      </w:numPr>
      <w:mirrorIndents/>
      <w:outlineLvl w:val="0"/>
    </w:pPr>
    <w:rPr>
      <w:rFonts w:eastAsiaTheme="majorEastAsia"/>
      <w:b/>
      <w:color w:val="000000" w:themeColor="text1"/>
      <w:szCs w:val="32"/>
    </w:rPr>
  </w:style>
  <w:style w:type="paragraph" w:styleId="Heading2">
    <w:name w:val="heading 2"/>
    <w:basedOn w:val="Normal"/>
    <w:next w:val="Normal"/>
    <w:link w:val="Heading2Char"/>
    <w:autoRedefine/>
    <w:uiPriority w:val="9"/>
    <w:unhideWhenUsed/>
    <w:qFormat/>
    <w:rsid w:val="003B0644"/>
    <w:pPr>
      <w:keepNext/>
      <w:keepLines/>
      <w:numPr>
        <w:ilvl w:val="1"/>
        <w:numId w:val="8"/>
      </w:numPr>
      <w:jc w:val="left"/>
      <w:outlineLvl w:val="1"/>
    </w:pPr>
    <w:rPr>
      <w:rFonts w:eastAsia="MS Mincho"/>
      <w:b/>
      <w:bCs/>
      <w:lang w:eastAsia="en-US"/>
    </w:rPr>
  </w:style>
  <w:style w:type="paragraph" w:styleId="Heading3">
    <w:name w:val="heading 3"/>
    <w:basedOn w:val="Normal"/>
    <w:next w:val="Normal"/>
    <w:link w:val="Heading3Char"/>
    <w:uiPriority w:val="9"/>
    <w:unhideWhenUsed/>
    <w:qFormat/>
    <w:rsid w:val="00A956C3"/>
    <w:pPr>
      <w:keepNext/>
      <w:keepLines/>
      <w:numPr>
        <w:ilvl w:val="2"/>
        <w:numId w:val="8"/>
      </w:numPr>
      <w:outlineLvl w:val="2"/>
    </w:pPr>
    <w:rPr>
      <w:rFonts w:eastAsiaTheme="majorEastAsia"/>
    </w:rPr>
  </w:style>
  <w:style w:type="paragraph" w:styleId="Heading4">
    <w:name w:val="heading 4"/>
    <w:basedOn w:val="Normal"/>
    <w:next w:val="Normal"/>
    <w:link w:val="Heading4Char"/>
    <w:uiPriority w:val="9"/>
    <w:unhideWhenUsed/>
    <w:qFormat/>
    <w:rsid w:val="00A956C3"/>
    <w:pPr>
      <w:keepNext/>
      <w:keepLines/>
      <w:numPr>
        <w:ilvl w:val="3"/>
        <w:numId w:val="8"/>
      </w:numPr>
      <w:spacing w:before="40" w:after="0"/>
      <w:outlineLvl w:val="3"/>
    </w:pPr>
    <w:rPr>
      <w:rFonts w:asciiTheme="majorHAnsi" w:eastAsiaTheme="majorEastAsia" w:hAnsiTheme="majorHAnsi"/>
      <w:i/>
      <w:iCs/>
      <w:color w:val="2F5496" w:themeColor="accent1" w:themeShade="BF"/>
    </w:rPr>
  </w:style>
  <w:style w:type="paragraph" w:styleId="Heading5">
    <w:name w:val="heading 5"/>
    <w:basedOn w:val="Normal"/>
    <w:next w:val="Normal"/>
    <w:link w:val="Heading5Char"/>
    <w:uiPriority w:val="9"/>
    <w:semiHidden/>
    <w:unhideWhenUsed/>
    <w:qFormat/>
    <w:rsid w:val="00A956C3"/>
    <w:pPr>
      <w:keepNext/>
      <w:keepLines/>
      <w:numPr>
        <w:ilvl w:val="4"/>
        <w:numId w:val="8"/>
      </w:numPr>
      <w:spacing w:before="40" w:after="0"/>
      <w:outlineLvl w:val="4"/>
    </w:pPr>
    <w:rPr>
      <w:rFonts w:asciiTheme="majorHAnsi" w:eastAsiaTheme="majorEastAsia" w:hAnsiTheme="majorHAnsi"/>
      <w:color w:val="2F5496" w:themeColor="accent1" w:themeShade="BF"/>
    </w:rPr>
  </w:style>
  <w:style w:type="paragraph" w:styleId="Heading6">
    <w:name w:val="heading 6"/>
    <w:basedOn w:val="Normal"/>
    <w:next w:val="Normal"/>
    <w:link w:val="Heading6Char"/>
    <w:uiPriority w:val="9"/>
    <w:semiHidden/>
    <w:unhideWhenUsed/>
    <w:qFormat/>
    <w:rsid w:val="00A956C3"/>
    <w:pPr>
      <w:keepNext/>
      <w:keepLines/>
      <w:numPr>
        <w:ilvl w:val="5"/>
        <w:numId w:val="8"/>
      </w:numPr>
      <w:spacing w:before="40" w:after="0"/>
      <w:outlineLvl w:val="5"/>
    </w:pPr>
    <w:rPr>
      <w:rFonts w:asciiTheme="majorHAnsi" w:eastAsiaTheme="majorEastAsia" w:hAnsiTheme="majorHAnsi"/>
      <w:color w:val="1F3763" w:themeColor="accent1" w:themeShade="7F"/>
    </w:rPr>
  </w:style>
  <w:style w:type="paragraph" w:styleId="Heading7">
    <w:name w:val="heading 7"/>
    <w:basedOn w:val="Normal"/>
    <w:next w:val="Normal"/>
    <w:link w:val="Heading7Char"/>
    <w:uiPriority w:val="9"/>
    <w:semiHidden/>
    <w:unhideWhenUsed/>
    <w:qFormat/>
    <w:rsid w:val="00A956C3"/>
    <w:pPr>
      <w:keepNext/>
      <w:keepLines/>
      <w:numPr>
        <w:ilvl w:val="6"/>
        <w:numId w:val="8"/>
      </w:numPr>
      <w:spacing w:before="40" w:after="0"/>
      <w:outlineLvl w:val="6"/>
    </w:pPr>
    <w:rPr>
      <w:rFonts w:asciiTheme="majorHAnsi" w:eastAsiaTheme="majorEastAsia" w:hAnsiTheme="majorHAnsi"/>
      <w:i/>
      <w:iCs/>
      <w:color w:val="1F3763" w:themeColor="accent1" w:themeShade="7F"/>
    </w:rPr>
  </w:style>
  <w:style w:type="paragraph" w:styleId="Heading8">
    <w:name w:val="heading 8"/>
    <w:basedOn w:val="Normal"/>
    <w:next w:val="Normal"/>
    <w:link w:val="Heading8Char"/>
    <w:uiPriority w:val="9"/>
    <w:semiHidden/>
    <w:unhideWhenUsed/>
    <w:qFormat/>
    <w:rsid w:val="00A956C3"/>
    <w:pPr>
      <w:keepNext/>
      <w:keepLines/>
      <w:numPr>
        <w:ilvl w:val="7"/>
        <w:numId w:val="8"/>
      </w:numPr>
      <w:spacing w:before="40" w:after="0"/>
      <w:outlineLvl w:val="7"/>
    </w:pPr>
    <w:rPr>
      <w:rFonts w:asciiTheme="majorHAnsi" w:eastAsiaTheme="majorEastAsia" w:hAnsiTheme="majorHAnsi"/>
      <w:color w:val="272727" w:themeColor="text1" w:themeTint="D8"/>
      <w:sz w:val="21"/>
      <w:szCs w:val="21"/>
    </w:rPr>
  </w:style>
  <w:style w:type="paragraph" w:styleId="Heading9">
    <w:name w:val="heading 9"/>
    <w:basedOn w:val="Normal"/>
    <w:next w:val="Normal"/>
    <w:link w:val="Heading9Char"/>
    <w:uiPriority w:val="9"/>
    <w:semiHidden/>
    <w:unhideWhenUsed/>
    <w:qFormat/>
    <w:rsid w:val="00A956C3"/>
    <w:pPr>
      <w:keepNext/>
      <w:keepLines/>
      <w:numPr>
        <w:ilvl w:val="8"/>
        <w:numId w:val="8"/>
      </w:numPr>
      <w:spacing w:before="40" w:after="0"/>
      <w:outlineLvl w:val="8"/>
    </w:pPr>
    <w:rPr>
      <w:rFonts w:asciiTheme="majorHAnsi" w:eastAsiaTheme="majorEastAsia" w:hAnsiTheme="majorHAns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25"/>
    <w:rPr>
      <w:rFonts w:asciiTheme="majorBidi" w:eastAsiaTheme="majorEastAsia" w:hAnsiTheme="majorBidi" w:cstheme="majorBidi"/>
      <w:b/>
      <w:color w:val="000000" w:themeColor="text1"/>
      <w:szCs w:val="32"/>
      <w:lang w:eastAsia="en-GB" w:bidi="ar-EG"/>
    </w:rPr>
  </w:style>
  <w:style w:type="character" w:customStyle="1" w:styleId="Heading2Char">
    <w:name w:val="Heading 2 Char"/>
    <w:basedOn w:val="DefaultParagraphFont"/>
    <w:link w:val="Heading2"/>
    <w:uiPriority w:val="9"/>
    <w:rsid w:val="003B0644"/>
    <w:rPr>
      <w:rFonts w:asciiTheme="majorBidi" w:eastAsia="MS Mincho" w:hAnsiTheme="majorBidi" w:cstheme="majorBidi"/>
      <w:b/>
      <w:bCs/>
      <w:szCs w:val="28"/>
      <w:lang w:bidi="ar-EG"/>
    </w:rPr>
  </w:style>
  <w:style w:type="character" w:customStyle="1" w:styleId="Heading3Char">
    <w:name w:val="Heading 3 Char"/>
    <w:basedOn w:val="DefaultParagraphFont"/>
    <w:link w:val="Heading3"/>
    <w:uiPriority w:val="9"/>
    <w:rsid w:val="00A956C3"/>
    <w:rPr>
      <w:rFonts w:asciiTheme="majorBidi" w:eastAsiaTheme="majorEastAsia" w:hAnsiTheme="majorBidi" w:cstheme="majorBidi"/>
      <w:szCs w:val="28"/>
      <w:lang w:eastAsia="en-GB" w:bidi="ar-EG"/>
    </w:rPr>
  </w:style>
  <w:style w:type="character" w:customStyle="1" w:styleId="Heading4Char">
    <w:name w:val="Heading 4 Char"/>
    <w:basedOn w:val="DefaultParagraphFont"/>
    <w:link w:val="Heading4"/>
    <w:uiPriority w:val="9"/>
    <w:rsid w:val="00A956C3"/>
    <w:rPr>
      <w:rFonts w:asciiTheme="majorHAnsi" w:eastAsiaTheme="majorEastAsia" w:hAnsiTheme="majorHAnsi" w:cstheme="majorBidi"/>
      <w:i/>
      <w:iCs/>
      <w:color w:val="2F5496" w:themeColor="accent1" w:themeShade="BF"/>
      <w:szCs w:val="28"/>
      <w:lang w:eastAsia="en-GB" w:bidi="ar-EG"/>
    </w:rPr>
  </w:style>
  <w:style w:type="character" w:customStyle="1" w:styleId="Heading5Char">
    <w:name w:val="Heading 5 Char"/>
    <w:basedOn w:val="DefaultParagraphFont"/>
    <w:link w:val="Heading5"/>
    <w:uiPriority w:val="9"/>
    <w:semiHidden/>
    <w:rsid w:val="00A956C3"/>
    <w:rPr>
      <w:rFonts w:asciiTheme="majorHAnsi" w:eastAsiaTheme="majorEastAsia" w:hAnsiTheme="majorHAnsi" w:cstheme="majorBidi"/>
      <w:color w:val="2F5496" w:themeColor="accent1" w:themeShade="BF"/>
      <w:szCs w:val="28"/>
      <w:lang w:eastAsia="en-GB" w:bidi="ar-EG"/>
    </w:rPr>
  </w:style>
  <w:style w:type="character" w:customStyle="1" w:styleId="Heading6Char">
    <w:name w:val="Heading 6 Char"/>
    <w:basedOn w:val="DefaultParagraphFont"/>
    <w:link w:val="Heading6"/>
    <w:uiPriority w:val="9"/>
    <w:semiHidden/>
    <w:rsid w:val="00A956C3"/>
    <w:rPr>
      <w:rFonts w:asciiTheme="majorHAnsi" w:eastAsiaTheme="majorEastAsia" w:hAnsiTheme="majorHAnsi" w:cstheme="majorBidi"/>
      <w:color w:val="1F3763" w:themeColor="accent1" w:themeShade="7F"/>
      <w:szCs w:val="28"/>
      <w:lang w:eastAsia="en-GB" w:bidi="ar-EG"/>
    </w:rPr>
  </w:style>
  <w:style w:type="character" w:customStyle="1" w:styleId="Heading7Char">
    <w:name w:val="Heading 7 Char"/>
    <w:basedOn w:val="DefaultParagraphFont"/>
    <w:link w:val="Heading7"/>
    <w:uiPriority w:val="9"/>
    <w:semiHidden/>
    <w:rsid w:val="00A956C3"/>
    <w:rPr>
      <w:rFonts w:asciiTheme="majorHAnsi" w:eastAsiaTheme="majorEastAsia" w:hAnsiTheme="majorHAnsi" w:cstheme="majorBidi"/>
      <w:i/>
      <w:iCs/>
      <w:color w:val="1F3763" w:themeColor="accent1" w:themeShade="7F"/>
      <w:szCs w:val="28"/>
      <w:lang w:eastAsia="en-GB" w:bidi="ar-EG"/>
    </w:rPr>
  </w:style>
  <w:style w:type="character" w:customStyle="1" w:styleId="Heading8Char">
    <w:name w:val="Heading 8 Char"/>
    <w:basedOn w:val="DefaultParagraphFont"/>
    <w:link w:val="Heading8"/>
    <w:uiPriority w:val="9"/>
    <w:semiHidden/>
    <w:rsid w:val="00A956C3"/>
    <w:rPr>
      <w:rFonts w:asciiTheme="majorHAnsi" w:eastAsiaTheme="majorEastAsia" w:hAnsiTheme="majorHAnsi" w:cstheme="majorBidi"/>
      <w:color w:val="272727" w:themeColor="text1" w:themeTint="D8"/>
      <w:sz w:val="21"/>
      <w:szCs w:val="21"/>
      <w:lang w:eastAsia="en-GB" w:bidi="ar-EG"/>
    </w:rPr>
  </w:style>
  <w:style w:type="character" w:customStyle="1" w:styleId="Heading9Char">
    <w:name w:val="Heading 9 Char"/>
    <w:basedOn w:val="DefaultParagraphFont"/>
    <w:link w:val="Heading9"/>
    <w:uiPriority w:val="9"/>
    <w:semiHidden/>
    <w:rsid w:val="00A956C3"/>
    <w:rPr>
      <w:rFonts w:asciiTheme="majorHAnsi" w:eastAsiaTheme="majorEastAsia" w:hAnsiTheme="majorHAnsi" w:cstheme="majorBidi"/>
      <w:i/>
      <w:iCs/>
      <w:color w:val="272727" w:themeColor="text1" w:themeTint="D8"/>
      <w:sz w:val="21"/>
      <w:szCs w:val="21"/>
      <w:lang w:eastAsia="en-GB" w:bidi="ar-EG"/>
    </w:rPr>
  </w:style>
  <w:style w:type="paragraph" w:styleId="ListParagraph">
    <w:name w:val="List Paragraph"/>
    <w:aliases w:val="Table heading"/>
    <w:basedOn w:val="Compact"/>
    <w:link w:val="ListParagraphChar"/>
    <w:uiPriority w:val="1"/>
    <w:qFormat/>
    <w:rsid w:val="00A956C3"/>
    <w:pPr>
      <w:spacing w:before="240" w:after="240"/>
    </w:pPr>
    <w:rPr>
      <w:i/>
      <w:iCs/>
    </w:rPr>
  </w:style>
  <w:style w:type="paragraph" w:styleId="Caption">
    <w:name w:val="caption"/>
    <w:basedOn w:val="Normal"/>
    <w:next w:val="Normal"/>
    <w:uiPriority w:val="35"/>
    <w:unhideWhenUsed/>
    <w:qFormat/>
    <w:rsid w:val="00B36D6F"/>
    <w:pPr>
      <w:spacing w:after="200" w:line="240" w:lineRule="auto"/>
    </w:pPr>
    <w:rPr>
      <w:b/>
      <w:bCs/>
      <w:iCs/>
      <w:color w:val="000000" w:themeColor="text1"/>
      <w:szCs w:val="16"/>
    </w:rPr>
  </w:style>
  <w:style w:type="paragraph" w:styleId="Title">
    <w:name w:val="Title"/>
    <w:basedOn w:val="Normal"/>
    <w:next w:val="Normal"/>
    <w:link w:val="TitleChar"/>
    <w:uiPriority w:val="10"/>
    <w:qFormat/>
    <w:rsid w:val="00A956C3"/>
    <w:pPr>
      <w:ind w:left="1440" w:right="1440"/>
      <w:contextualSpacing/>
      <w:jc w:val="center"/>
    </w:pPr>
    <w:rPr>
      <w:rFonts w:eastAsiaTheme="majorEastAsia"/>
      <w:spacing w:val="-10"/>
      <w:kern w:val="28"/>
      <w:sz w:val="32"/>
      <w:szCs w:val="56"/>
    </w:rPr>
  </w:style>
  <w:style w:type="character" w:customStyle="1" w:styleId="TitleChar">
    <w:name w:val="Title Char"/>
    <w:basedOn w:val="DefaultParagraphFont"/>
    <w:link w:val="Title"/>
    <w:uiPriority w:val="10"/>
    <w:rsid w:val="00A956C3"/>
    <w:rPr>
      <w:rFonts w:asciiTheme="majorBidi" w:eastAsiaTheme="majorEastAsia" w:hAnsiTheme="majorBidi" w:cstheme="majorBidi"/>
      <w:spacing w:val="-10"/>
      <w:kern w:val="28"/>
      <w:sz w:val="32"/>
      <w:szCs w:val="56"/>
      <w:lang w:eastAsia="en-GB" w:bidi="ar-EG"/>
    </w:rPr>
  </w:style>
  <w:style w:type="character" w:customStyle="1" w:styleId="ListParagraphChar">
    <w:name w:val="List Paragraph Char"/>
    <w:aliases w:val="Table heading Char"/>
    <w:basedOn w:val="DefaultParagraphFont"/>
    <w:link w:val="ListParagraph"/>
    <w:uiPriority w:val="1"/>
    <w:locked/>
    <w:rsid w:val="00A956C3"/>
    <w:rPr>
      <w:rFonts w:asciiTheme="majorBidi" w:hAnsiTheme="majorBidi"/>
      <w:i/>
      <w:iCs/>
      <w:szCs w:val="28"/>
      <w:lang w:bidi="ar-EG"/>
    </w:rPr>
  </w:style>
  <w:style w:type="paragraph" w:customStyle="1" w:styleId="Compact">
    <w:name w:val="Compact"/>
    <w:basedOn w:val="BodyText"/>
    <w:qFormat/>
    <w:rsid w:val="00A956C3"/>
    <w:pPr>
      <w:spacing w:before="36" w:after="36" w:line="240" w:lineRule="auto"/>
    </w:pPr>
    <w:rPr>
      <w:rFonts w:eastAsiaTheme="minorHAnsi" w:cstheme="minorBidi"/>
      <w:lang w:eastAsia="en-US"/>
    </w:rPr>
  </w:style>
  <w:style w:type="table" w:customStyle="1" w:styleId="TableGrid1">
    <w:name w:val="Table Grid1"/>
    <w:basedOn w:val="TableNormal"/>
    <w:next w:val="TableGrid"/>
    <w:uiPriority w:val="59"/>
    <w:rsid w:val="00A956C3"/>
    <w:pPr>
      <w:spacing w:after="0" w:line="240" w:lineRule="auto"/>
    </w:pPr>
    <w:rPr>
      <w:rFonts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A956C3"/>
    <w:rPr>
      <w:i/>
      <w:iCs/>
      <w:color w:val="4472C4" w:themeColor="accent1"/>
    </w:rPr>
  </w:style>
  <w:style w:type="paragraph" w:styleId="BodyText">
    <w:name w:val="Body Text"/>
    <w:basedOn w:val="Normal"/>
    <w:link w:val="BodyTextChar"/>
    <w:uiPriority w:val="99"/>
    <w:semiHidden/>
    <w:unhideWhenUsed/>
    <w:rsid w:val="00A956C3"/>
  </w:style>
  <w:style w:type="character" w:customStyle="1" w:styleId="BodyTextChar">
    <w:name w:val="Body Text Char"/>
    <w:basedOn w:val="DefaultParagraphFont"/>
    <w:link w:val="BodyText"/>
    <w:uiPriority w:val="99"/>
    <w:semiHidden/>
    <w:rsid w:val="00A956C3"/>
    <w:rPr>
      <w:rFonts w:asciiTheme="majorBidi" w:eastAsia="Times New Roman" w:hAnsiTheme="majorBidi" w:cstheme="majorBidi"/>
      <w:szCs w:val="28"/>
      <w:lang w:eastAsia="en-GB" w:bidi="ar-EG"/>
    </w:rPr>
  </w:style>
  <w:style w:type="table" w:styleId="TableGrid">
    <w:name w:val="Table Grid"/>
    <w:basedOn w:val="TableNormal"/>
    <w:uiPriority w:val="39"/>
    <w:rsid w:val="00A95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67F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667FF"/>
    <w:rPr>
      <w:rFonts w:asciiTheme="majorBidi" w:eastAsia="Times New Roman" w:hAnsiTheme="majorBidi" w:cstheme="majorBidi"/>
      <w:szCs w:val="28"/>
      <w:lang w:eastAsia="en-GB" w:bidi="ar-EG"/>
    </w:rPr>
  </w:style>
  <w:style w:type="paragraph" w:styleId="Footer">
    <w:name w:val="footer"/>
    <w:basedOn w:val="Normal"/>
    <w:link w:val="FooterChar"/>
    <w:uiPriority w:val="99"/>
    <w:unhideWhenUsed/>
    <w:rsid w:val="00F667F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667FF"/>
    <w:rPr>
      <w:rFonts w:asciiTheme="majorBidi" w:eastAsia="Times New Roman" w:hAnsiTheme="majorBidi" w:cstheme="majorBidi"/>
      <w:szCs w:val="28"/>
      <w:lang w:eastAsia="en-GB" w:bidi="ar-EG"/>
    </w:rPr>
  </w:style>
  <w:style w:type="character" w:styleId="CommentReference">
    <w:name w:val="annotation reference"/>
    <w:basedOn w:val="DefaultParagraphFont"/>
    <w:unhideWhenUsed/>
    <w:rsid w:val="00CE3204"/>
    <w:rPr>
      <w:sz w:val="16"/>
      <w:szCs w:val="16"/>
    </w:rPr>
  </w:style>
  <w:style w:type="paragraph" w:styleId="CommentText">
    <w:name w:val="annotation text"/>
    <w:basedOn w:val="Normal"/>
    <w:link w:val="CommentTextChar"/>
    <w:uiPriority w:val="99"/>
    <w:unhideWhenUsed/>
    <w:rsid w:val="00CE3204"/>
    <w:pPr>
      <w:spacing w:line="240" w:lineRule="auto"/>
    </w:pPr>
    <w:rPr>
      <w:szCs w:val="20"/>
    </w:rPr>
  </w:style>
  <w:style w:type="character" w:customStyle="1" w:styleId="CommentTextChar">
    <w:name w:val="Comment Text Char"/>
    <w:basedOn w:val="DefaultParagraphFont"/>
    <w:link w:val="CommentText"/>
    <w:uiPriority w:val="99"/>
    <w:rsid w:val="00CE3204"/>
    <w:rPr>
      <w:rFonts w:asciiTheme="majorBidi" w:eastAsia="Times New Roman" w:hAnsiTheme="majorBidi" w:cstheme="majorBidi"/>
      <w:szCs w:val="20"/>
      <w:lang w:eastAsia="en-GB" w:bidi="ar-EG"/>
    </w:rPr>
  </w:style>
  <w:style w:type="character" w:customStyle="1" w:styleId="cf01">
    <w:name w:val="cf01"/>
    <w:basedOn w:val="DefaultParagraphFont"/>
    <w:rsid w:val="00BE321B"/>
    <w:rPr>
      <w:rFonts w:ascii="Segoe UI" w:hAnsi="Segoe UI" w:cs="Segoe UI" w:hint="default"/>
      <w:sz w:val="18"/>
      <w:szCs w:val="18"/>
    </w:rPr>
  </w:style>
  <w:style w:type="paragraph" w:customStyle="1" w:styleId="pf0">
    <w:name w:val="pf0"/>
    <w:basedOn w:val="Normal"/>
    <w:rsid w:val="003A409A"/>
    <w:pPr>
      <w:spacing w:before="100" w:beforeAutospacing="1" w:after="100" w:afterAutospacing="1" w:line="240" w:lineRule="auto"/>
      <w:jc w:val="left"/>
    </w:pPr>
    <w:rPr>
      <w:rFonts w:ascii="Times New Roman" w:hAnsi="Times New Roman" w:cs="Times New Roman"/>
      <w:sz w:val="24"/>
      <w:szCs w:val="24"/>
      <w:lang w:eastAsia="en-US" w:bidi="ar-SA"/>
    </w:rPr>
  </w:style>
  <w:style w:type="paragraph" w:styleId="CommentSubject">
    <w:name w:val="annotation subject"/>
    <w:basedOn w:val="CommentText"/>
    <w:next w:val="CommentText"/>
    <w:link w:val="CommentSubjectChar"/>
    <w:uiPriority w:val="99"/>
    <w:semiHidden/>
    <w:unhideWhenUsed/>
    <w:rsid w:val="00CB2418"/>
    <w:rPr>
      <w:b/>
      <w:bCs/>
      <w:sz w:val="20"/>
    </w:rPr>
  </w:style>
  <w:style w:type="character" w:customStyle="1" w:styleId="CommentSubjectChar">
    <w:name w:val="Comment Subject Char"/>
    <w:basedOn w:val="CommentTextChar"/>
    <w:link w:val="CommentSubject"/>
    <w:uiPriority w:val="99"/>
    <w:semiHidden/>
    <w:rsid w:val="00CB2418"/>
    <w:rPr>
      <w:rFonts w:asciiTheme="majorBidi" w:eastAsia="Times New Roman" w:hAnsiTheme="majorBidi" w:cstheme="majorBidi"/>
      <w:b/>
      <w:bCs/>
      <w:sz w:val="20"/>
      <w:szCs w:val="20"/>
      <w:lang w:eastAsia="en-GB" w:bidi="ar-EG"/>
    </w:rPr>
  </w:style>
  <w:style w:type="paragraph" w:styleId="Revision">
    <w:name w:val="Revision"/>
    <w:hidden/>
    <w:uiPriority w:val="99"/>
    <w:semiHidden/>
    <w:rsid w:val="00056EBA"/>
    <w:pPr>
      <w:spacing w:after="0" w:line="240" w:lineRule="auto"/>
    </w:pPr>
    <w:rPr>
      <w:rFonts w:asciiTheme="majorBidi" w:eastAsia="Times New Roman" w:hAnsiTheme="majorBidi" w:cstheme="majorBidi"/>
      <w:szCs w:val="28"/>
      <w:lang w:eastAsia="en-GB" w:bidi="ar-EG"/>
    </w:rPr>
  </w:style>
  <w:style w:type="character" w:styleId="Strong">
    <w:name w:val="Strong"/>
    <w:basedOn w:val="DefaultParagraphFont"/>
    <w:uiPriority w:val="22"/>
    <w:qFormat/>
    <w:rsid w:val="00F35849"/>
    <w:rPr>
      <w:b/>
      <w:bCs/>
    </w:rPr>
  </w:style>
  <w:style w:type="character" w:styleId="Emphasis">
    <w:name w:val="Emphasis"/>
    <w:basedOn w:val="DefaultParagraphFont"/>
    <w:uiPriority w:val="20"/>
    <w:qFormat/>
    <w:rsid w:val="00152B2F"/>
    <w:rPr>
      <w:i/>
      <w:iCs/>
    </w:rPr>
  </w:style>
  <w:style w:type="paragraph" w:styleId="BalloonText">
    <w:name w:val="Balloon Text"/>
    <w:basedOn w:val="Normal"/>
    <w:link w:val="BalloonTextChar"/>
    <w:uiPriority w:val="99"/>
    <w:semiHidden/>
    <w:unhideWhenUsed/>
    <w:rsid w:val="003E13C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3C3"/>
    <w:rPr>
      <w:rFonts w:ascii="Segoe UI" w:eastAsia="Times New Roman" w:hAnsi="Segoe UI" w:cs="Segoe UI"/>
      <w:sz w:val="18"/>
      <w:szCs w:val="18"/>
      <w:lang w:eastAsia="en-GB" w:bidi="ar-EG"/>
    </w:rPr>
  </w:style>
  <w:style w:type="paragraph" w:styleId="NoSpacing">
    <w:name w:val="No Spacing"/>
    <w:uiPriority w:val="1"/>
    <w:qFormat/>
    <w:rsid w:val="003B2906"/>
    <w:pPr>
      <w:spacing w:after="0" w:line="240" w:lineRule="auto"/>
      <w:jc w:val="both"/>
    </w:pPr>
    <w:rPr>
      <w:rFonts w:asciiTheme="majorBidi" w:eastAsia="Times New Roman" w:hAnsiTheme="majorBidi" w:cstheme="majorBidi"/>
      <w:szCs w:val="28"/>
      <w:lang w:eastAsia="en-GB" w:bidi="ar-EG"/>
    </w:rPr>
  </w:style>
  <w:style w:type="table" w:customStyle="1" w:styleId="Table">
    <w:name w:val="Table"/>
    <w:semiHidden/>
    <w:unhideWhenUsed/>
    <w:qFormat/>
    <w:rsid w:val="00792486"/>
    <w:pPr>
      <w:spacing w:after="200" w:line="240" w:lineRule="auto"/>
    </w:pPr>
    <w:rPr>
      <w:sz w:val="24"/>
      <w:szCs w:val="24"/>
      <w:lang w:val="en-GB" w:eastAsia="en-GB"/>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customStyle="1" w:styleId="selectable-text1">
    <w:name w:val="selectable-text1"/>
    <w:basedOn w:val="DefaultParagraphFont"/>
    <w:rsid w:val="009C66C2"/>
  </w:style>
  <w:style w:type="paragraph" w:customStyle="1" w:styleId="Paragraph">
    <w:name w:val="Paragraph"/>
    <w:basedOn w:val="Normal"/>
    <w:next w:val="Normal"/>
    <w:qFormat/>
    <w:rsid w:val="00457A55"/>
    <w:pPr>
      <w:widowControl w:val="0"/>
      <w:spacing w:before="240" w:after="0"/>
    </w:pPr>
    <w:rPr>
      <w:rFonts w:ascii="Times New Roman" w:hAnsi="Times New Roman" w:cs="Times New Roman"/>
      <w:sz w:val="24"/>
      <w:szCs w:val="24"/>
      <w:lang w:val="en-GB" w:bidi="ar-SA"/>
    </w:rPr>
  </w:style>
  <w:style w:type="paragraph" w:customStyle="1" w:styleId="Pa3">
    <w:name w:val="Pa3"/>
    <w:basedOn w:val="Normal"/>
    <w:next w:val="Normal"/>
    <w:uiPriority w:val="99"/>
    <w:rsid w:val="00D9326D"/>
    <w:pPr>
      <w:autoSpaceDE w:val="0"/>
      <w:autoSpaceDN w:val="0"/>
      <w:adjustRightInd w:val="0"/>
      <w:spacing w:before="0" w:after="0" w:line="191" w:lineRule="atLeast"/>
      <w:jc w:val="left"/>
    </w:pPr>
    <w:rPr>
      <w:rFonts w:ascii="Minion Pro" w:eastAsiaTheme="minorHAnsi" w:hAnsi="Minion Pro" w:cstheme="minorBidi"/>
      <w:sz w:val="24"/>
      <w:szCs w:val="24"/>
      <w:lang w:eastAsia="en-US" w:bidi="ar-SA"/>
    </w:rPr>
  </w:style>
  <w:style w:type="paragraph" w:styleId="TOCHeading">
    <w:name w:val="TOC Heading"/>
    <w:basedOn w:val="Heading1"/>
    <w:next w:val="Normal"/>
    <w:uiPriority w:val="39"/>
    <w:unhideWhenUsed/>
    <w:qFormat/>
    <w:rsid w:val="002F691E"/>
    <w:pPr>
      <w:numPr>
        <w:numId w:val="0"/>
      </w:numPr>
      <w:spacing w:before="240" w:after="0" w:line="259" w:lineRule="auto"/>
      <w:mirrorIndents w:val="0"/>
      <w:jc w:val="left"/>
      <w:outlineLvl w:val="9"/>
    </w:pPr>
    <w:rPr>
      <w:rFonts w:asciiTheme="majorHAnsi" w:hAnsiTheme="majorHAnsi"/>
      <w:b w:val="0"/>
      <w:color w:val="2F5496" w:themeColor="accent1" w:themeShade="BF"/>
      <w:sz w:val="32"/>
      <w:lang w:eastAsia="en-US" w:bidi="ar-SA"/>
    </w:rPr>
  </w:style>
  <w:style w:type="paragraph" w:styleId="TOC1">
    <w:name w:val="toc 1"/>
    <w:basedOn w:val="Normal"/>
    <w:next w:val="Normal"/>
    <w:autoRedefine/>
    <w:uiPriority w:val="39"/>
    <w:unhideWhenUsed/>
    <w:rsid w:val="006A2D1F"/>
    <w:pPr>
      <w:tabs>
        <w:tab w:val="left" w:pos="440"/>
        <w:tab w:val="right" w:leader="dot" w:pos="9350"/>
      </w:tabs>
      <w:spacing w:after="100" w:line="240" w:lineRule="auto"/>
      <w:jc w:val="left"/>
    </w:pPr>
  </w:style>
  <w:style w:type="character" w:styleId="Hyperlink">
    <w:name w:val="Hyperlink"/>
    <w:basedOn w:val="DefaultParagraphFont"/>
    <w:uiPriority w:val="99"/>
    <w:unhideWhenUsed/>
    <w:rsid w:val="002F691E"/>
    <w:rPr>
      <w:color w:val="0563C1" w:themeColor="hyperlink"/>
      <w:u w:val="single"/>
    </w:rPr>
  </w:style>
  <w:style w:type="numbering" w:customStyle="1" w:styleId="NoList1">
    <w:name w:val="No List1"/>
    <w:next w:val="NoList"/>
    <w:uiPriority w:val="99"/>
    <w:semiHidden/>
    <w:unhideWhenUsed/>
    <w:rsid w:val="00443514"/>
  </w:style>
  <w:style w:type="paragraph" w:customStyle="1" w:styleId="msonormal0">
    <w:name w:val="msonormal"/>
    <w:basedOn w:val="Normal"/>
    <w:rsid w:val="00443514"/>
    <w:pPr>
      <w:spacing w:before="100" w:beforeAutospacing="1" w:after="100" w:afterAutospacing="1" w:line="240" w:lineRule="auto"/>
      <w:jc w:val="left"/>
    </w:pPr>
    <w:rPr>
      <w:rFonts w:ascii="Times New Roman" w:hAnsi="Times New Roman" w:cs="Times New Roman"/>
      <w:sz w:val="24"/>
      <w:szCs w:val="24"/>
      <w:lang w:val="en-GB" w:bidi="ar-SA"/>
    </w:rPr>
  </w:style>
  <w:style w:type="character" w:styleId="FollowedHyperlink">
    <w:name w:val="FollowedHyperlink"/>
    <w:basedOn w:val="DefaultParagraphFont"/>
    <w:uiPriority w:val="99"/>
    <w:semiHidden/>
    <w:unhideWhenUsed/>
    <w:rsid w:val="00443514"/>
    <w:rPr>
      <w:color w:val="800080"/>
      <w:u w:val="single"/>
    </w:rPr>
  </w:style>
  <w:style w:type="character" w:styleId="UnresolvedMention">
    <w:name w:val="Unresolved Mention"/>
    <w:basedOn w:val="DefaultParagraphFont"/>
    <w:uiPriority w:val="99"/>
    <w:semiHidden/>
    <w:unhideWhenUsed/>
    <w:rsid w:val="00443514"/>
    <w:rPr>
      <w:color w:val="605E5C"/>
      <w:shd w:val="clear" w:color="auto" w:fill="E1DFDD"/>
    </w:rPr>
  </w:style>
  <w:style w:type="table" w:styleId="PlainTable5">
    <w:name w:val="Plain Table 5"/>
    <w:basedOn w:val="TableNormal"/>
    <w:uiPriority w:val="45"/>
    <w:rsid w:val="0044351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OC2">
    <w:name w:val="toc 2"/>
    <w:basedOn w:val="Normal"/>
    <w:next w:val="Normal"/>
    <w:autoRedefine/>
    <w:uiPriority w:val="39"/>
    <w:unhideWhenUsed/>
    <w:rsid w:val="00062DB7"/>
    <w:pPr>
      <w:spacing w:after="100"/>
      <w:ind w:left="220"/>
    </w:pPr>
  </w:style>
  <w:style w:type="table" w:styleId="PlainTable1">
    <w:name w:val="Plain Table 1"/>
    <w:basedOn w:val="TableNormal"/>
    <w:uiPriority w:val="41"/>
    <w:rsid w:val="008E54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E54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35967">
      <w:bodyDiv w:val="1"/>
      <w:marLeft w:val="0"/>
      <w:marRight w:val="0"/>
      <w:marTop w:val="0"/>
      <w:marBottom w:val="0"/>
      <w:divBdr>
        <w:top w:val="none" w:sz="0" w:space="0" w:color="auto"/>
        <w:left w:val="none" w:sz="0" w:space="0" w:color="auto"/>
        <w:bottom w:val="none" w:sz="0" w:space="0" w:color="auto"/>
        <w:right w:val="none" w:sz="0" w:space="0" w:color="auto"/>
      </w:divBdr>
    </w:div>
    <w:div w:id="29961097">
      <w:bodyDiv w:val="1"/>
      <w:marLeft w:val="0"/>
      <w:marRight w:val="0"/>
      <w:marTop w:val="0"/>
      <w:marBottom w:val="0"/>
      <w:divBdr>
        <w:top w:val="none" w:sz="0" w:space="0" w:color="auto"/>
        <w:left w:val="none" w:sz="0" w:space="0" w:color="auto"/>
        <w:bottom w:val="none" w:sz="0" w:space="0" w:color="auto"/>
        <w:right w:val="none" w:sz="0" w:space="0" w:color="auto"/>
      </w:divBdr>
    </w:div>
    <w:div w:id="37048386">
      <w:bodyDiv w:val="1"/>
      <w:marLeft w:val="0"/>
      <w:marRight w:val="0"/>
      <w:marTop w:val="0"/>
      <w:marBottom w:val="0"/>
      <w:divBdr>
        <w:top w:val="none" w:sz="0" w:space="0" w:color="auto"/>
        <w:left w:val="none" w:sz="0" w:space="0" w:color="auto"/>
        <w:bottom w:val="none" w:sz="0" w:space="0" w:color="auto"/>
        <w:right w:val="none" w:sz="0" w:space="0" w:color="auto"/>
      </w:divBdr>
    </w:div>
    <w:div w:id="65612123">
      <w:bodyDiv w:val="1"/>
      <w:marLeft w:val="0"/>
      <w:marRight w:val="0"/>
      <w:marTop w:val="0"/>
      <w:marBottom w:val="0"/>
      <w:divBdr>
        <w:top w:val="none" w:sz="0" w:space="0" w:color="auto"/>
        <w:left w:val="none" w:sz="0" w:space="0" w:color="auto"/>
        <w:bottom w:val="none" w:sz="0" w:space="0" w:color="auto"/>
        <w:right w:val="none" w:sz="0" w:space="0" w:color="auto"/>
      </w:divBdr>
    </w:div>
    <w:div w:id="81755669">
      <w:bodyDiv w:val="1"/>
      <w:marLeft w:val="0"/>
      <w:marRight w:val="0"/>
      <w:marTop w:val="0"/>
      <w:marBottom w:val="0"/>
      <w:divBdr>
        <w:top w:val="none" w:sz="0" w:space="0" w:color="auto"/>
        <w:left w:val="none" w:sz="0" w:space="0" w:color="auto"/>
        <w:bottom w:val="none" w:sz="0" w:space="0" w:color="auto"/>
        <w:right w:val="none" w:sz="0" w:space="0" w:color="auto"/>
      </w:divBdr>
    </w:div>
    <w:div w:id="83305936">
      <w:bodyDiv w:val="1"/>
      <w:marLeft w:val="0"/>
      <w:marRight w:val="0"/>
      <w:marTop w:val="0"/>
      <w:marBottom w:val="0"/>
      <w:divBdr>
        <w:top w:val="none" w:sz="0" w:space="0" w:color="auto"/>
        <w:left w:val="none" w:sz="0" w:space="0" w:color="auto"/>
        <w:bottom w:val="none" w:sz="0" w:space="0" w:color="auto"/>
        <w:right w:val="none" w:sz="0" w:space="0" w:color="auto"/>
      </w:divBdr>
    </w:div>
    <w:div w:id="90245807">
      <w:bodyDiv w:val="1"/>
      <w:marLeft w:val="0"/>
      <w:marRight w:val="0"/>
      <w:marTop w:val="0"/>
      <w:marBottom w:val="0"/>
      <w:divBdr>
        <w:top w:val="none" w:sz="0" w:space="0" w:color="auto"/>
        <w:left w:val="none" w:sz="0" w:space="0" w:color="auto"/>
        <w:bottom w:val="none" w:sz="0" w:space="0" w:color="auto"/>
        <w:right w:val="none" w:sz="0" w:space="0" w:color="auto"/>
      </w:divBdr>
    </w:div>
    <w:div w:id="90712509">
      <w:bodyDiv w:val="1"/>
      <w:marLeft w:val="0"/>
      <w:marRight w:val="0"/>
      <w:marTop w:val="0"/>
      <w:marBottom w:val="0"/>
      <w:divBdr>
        <w:top w:val="none" w:sz="0" w:space="0" w:color="auto"/>
        <w:left w:val="none" w:sz="0" w:space="0" w:color="auto"/>
        <w:bottom w:val="none" w:sz="0" w:space="0" w:color="auto"/>
        <w:right w:val="none" w:sz="0" w:space="0" w:color="auto"/>
      </w:divBdr>
    </w:div>
    <w:div w:id="91752005">
      <w:bodyDiv w:val="1"/>
      <w:marLeft w:val="0"/>
      <w:marRight w:val="0"/>
      <w:marTop w:val="0"/>
      <w:marBottom w:val="0"/>
      <w:divBdr>
        <w:top w:val="none" w:sz="0" w:space="0" w:color="auto"/>
        <w:left w:val="none" w:sz="0" w:space="0" w:color="auto"/>
        <w:bottom w:val="none" w:sz="0" w:space="0" w:color="auto"/>
        <w:right w:val="none" w:sz="0" w:space="0" w:color="auto"/>
      </w:divBdr>
    </w:div>
    <w:div w:id="95027667">
      <w:bodyDiv w:val="1"/>
      <w:marLeft w:val="0"/>
      <w:marRight w:val="0"/>
      <w:marTop w:val="0"/>
      <w:marBottom w:val="0"/>
      <w:divBdr>
        <w:top w:val="none" w:sz="0" w:space="0" w:color="auto"/>
        <w:left w:val="none" w:sz="0" w:space="0" w:color="auto"/>
        <w:bottom w:val="none" w:sz="0" w:space="0" w:color="auto"/>
        <w:right w:val="none" w:sz="0" w:space="0" w:color="auto"/>
      </w:divBdr>
    </w:div>
    <w:div w:id="103574509">
      <w:bodyDiv w:val="1"/>
      <w:marLeft w:val="0"/>
      <w:marRight w:val="0"/>
      <w:marTop w:val="0"/>
      <w:marBottom w:val="0"/>
      <w:divBdr>
        <w:top w:val="none" w:sz="0" w:space="0" w:color="auto"/>
        <w:left w:val="none" w:sz="0" w:space="0" w:color="auto"/>
        <w:bottom w:val="none" w:sz="0" w:space="0" w:color="auto"/>
        <w:right w:val="none" w:sz="0" w:space="0" w:color="auto"/>
      </w:divBdr>
    </w:div>
    <w:div w:id="103965172">
      <w:bodyDiv w:val="1"/>
      <w:marLeft w:val="0"/>
      <w:marRight w:val="0"/>
      <w:marTop w:val="0"/>
      <w:marBottom w:val="0"/>
      <w:divBdr>
        <w:top w:val="none" w:sz="0" w:space="0" w:color="auto"/>
        <w:left w:val="none" w:sz="0" w:space="0" w:color="auto"/>
        <w:bottom w:val="none" w:sz="0" w:space="0" w:color="auto"/>
        <w:right w:val="none" w:sz="0" w:space="0" w:color="auto"/>
      </w:divBdr>
    </w:div>
    <w:div w:id="106627856">
      <w:bodyDiv w:val="1"/>
      <w:marLeft w:val="0"/>
      <w:marRight w:val="0"/>
      <w:marTop w:val="0"/>
      <w:marBottom w:val="0"/>
      <w:divBdr>
        <w:top w:val="none" w:sz="0" w:space="0" w:color="auto"/>
        <w:left w:val="none" w:sz="0" w:space="0" w:color="auto"/>
        <w:bottom w:val="none" w:sz="0" w:space="0" w:color="auto"/>
        <w:right w:val="none" w:sz="0" w:space="0" w:color="auto"/>
      </w:divBdr>
    </w:div>
    <w:div w:id="110321934">
      <w:bodyDiv w:val="1"/>
      <w:marLeft w:val="0"/>
      <w:marRight w:val="0"/>
      <w:marTop w:val="0"/>
      <w:marBottom w:val="0"/>
      <w:divBdr>
        <w:top w:val="none" w:sz="0" w:space="0" w:color="auto"/>
        <w:left w:val="none" w:sz="0" w:space="0" w:color="auto"/>
        <w:bottom w:val="none" w:sz="0" w:space="0" w:color="auto"/>
        <w:right w:val="none" w:sz="0" w:space="0" w:color="auto"/>
      </w:divBdr>
    </w:div>
    <w:div w:id="118258326">
      <w:bodyDiv w:val="1"/>
      <w:marLeft w:val="0"/>
      <w:marRight w:val="0"/>
      <w:marTop w:val="0"/>
      <w:marBottom w:val="0"/>
      <w:divBdr>
        <w:top w:val="none" w:sz="0" w:space="0" w:color="auto"/>
        <w:left w:val="none" w:sz="0" w:space="0" w:color="auto"/>
        <w:bottom w:val="none" w:sz="0" w:space="0" w:color="auto"/>
        <w:right w:val="none" w:sz="0" w:space="0" w:color="auto"/>
      </w:divBdr>
    </w:div>
    <w:div w:id="152912076">
      <w:bodyDiv w:val="1"/>
      <w:marLeft w:val="0"/>
      <w:marRight w:val="0"/>
      <w:marTop w:val="0"/>
      <w:marBottom w:val="0"/>
      <w:divBdr>
        <w:top w:val="none" w:sz="0" w:space="0" w:color="auto"/>
        <w:left w:val="none" w:sz="0" w:space="0" w:color="auto"/>
        <w:bottom w:val="none" w:sz="0" w:space="0" w:color="auto"/>
        <w:right w:val="none" w:sz="0" w:space="0" w:color="auto"/>
      </w:divBdr>
    </w:div>
    <w:div w:id="162161846">
      <w:bodyDiv w:val="1"/>
      <w:marLeft w:val="0"/>
      <w:marRight w:val="0"/>
      <w:marTop w:val="0"/>
      <w:marBottom w:val="0"/>
      <w:divBdr>
        <w:top w:val="none" w:sz="0" w:space="0" w:color="auto"/>
        <w:left w:val="none" w:sz="0" w:space="0" w:color="auto"/>
        <w:bottom w:val="none" w:sz="0" w:space="0" w:color="auto"/>
        <w:right w:val="none" w:sz="0" w:space="0" w:color="auto"/>
      </w:divBdr>
    </w:div>
    <w:div w:id="181869115">
      <w:bodyDiv w:val="1"/>
      <w:marLeft w:val="0"/>
      <w:marRight w:val="0"/>
      <w:marTop w:val="0"/>
      <w:marBottom w:val="0"/>
      <w:divBdr>
        <w:top w:val="none" w:sz="0" w:space="0" w:color="auto"/>
        <w:left w:val="none" w:sz="0" w:space="0" w:color="auto"/>
        <w:bottom w:val="none" w:sz="0" w:space="0" w:color="auto"/>
        <w:right w:val="none" w:sz="0" w:space="0" w:color="auto"/>
      </w:divBdr>
    </w:div>
    <w:div w:id="187987155">
      <w:bodyDiv w:val="1"/>
      <w:marLeft w:val="0"/>
      <w:marRight w:val="0"/>
      <w:marTop w:val="0"/>
      <w:marBottom w:val="0"/>
      <w:divBdr>
        <w:top w:val="none" w:sz="0" w:space="0" w:color="auto"/>
        <w:left w:val="none" w:sz="0" w:space="0" w:color="auto"/>
        <w:bottom w:val="none" w:sz="0" w:space="0" w:color="auto"/>
        <w:right w:val="none" w:sz="0" w:space="0" w:color="auto"/>
      </w:divBdr>
    </w:div>
    <w:div w:id="197355233">
      <w:bodyDiv w:val="1"/>
      <w:marLeft w:val="0"/>
      <w:marRight w:val="0"/>
      <w:marTop w:val="0"/>
      <w:marBottom w:val="0"/>
      <w:divBdr>
        <w:top w:val="none" w:sz="0" w:space="0" w:color="auto"/>
        <w:left w:val="none" w:sz="0" w:space="0" w:color="auto"/>
        <w:bottom w:val="none" w:sz="0" w:space="0" w:color="auto"/>
        <w:right w:val="none" w:sz="0" w:space="0" w:color="auto"/>
      </w:divBdr>
    </w:div>
    <w:div w:id="205796880">
      <w:bodyDiv w:val="1"/>
      <w:marLeft w:val="0"/>
      <w:marRight w:val="0"/>
      <w:marTop w:val="0"/>
      <w:marBottom w:val="0"/>
      <w:divBdr>
        <w:top w:val="none" w:sz="0" w:space="0" w:color="auto"/>
        <w:left w:val="none" w:sz="0" w:space="0" w:color="auto"/>
        <w:bottom w:val="none" w:sz="0" w:space="0" w:color="auto"/>
        <w:right w:val="none" w:sz="0" w:space="0" w:color="auto"/>
      </w:divBdr>
    </w:div>
    <w:div w:id="212887595">
      <w:bodyDiv w:val="1"/>
      <w:marLeft w:val="0"/>
      <w:marRight w:val="0"/>
      <w:marTop w:val="0"/>
      <w:marBottom w:val="0"/>
      <w:divBdr>
        <w:top w:val="none" w:sz="0" w:space="0" w:color="auto"/>
        <w:left w:val="none" w:sz="0" w:space="0" w:color="auto"/>
        <w:bottom w:val="none" w:sz="0" w:space="0" w:color="auto"/>
        <w:right w:val="none" w:sz="0" w:space="0" w:color="auto"/>
      </w:divBdr>
    </w:div>
    <w:div w:id="215043547">
      <w:bodyDiv w:val="1"/>
      <w:marLeft w:val="0"/>
      <w:marRight w:val="0"/>
      <w:marTop w:val="0"/>
      <w:marBottom w:val="0"/>
      <w:divBdr>
        <w:top w:val="none" w:sz="0" w:space="0" w:color="auto"/>
        <w:left w:val="none" w:sz="0" w:space="0" w:color="auto"/>
        <w:bottom w:val="none" w:sz="0" w:space="0" w:color="auto"/>
        <w:right w:val="none" w:sz="0" w:space="0" w:color="auto"/>
      </w:divBdr>
    </w:div>
    <w:div w:id="216091427">
      <w:bodyDiv w:val="1"/>
      <w:marLeft w:val="0"/>
      <w:marRight w:val="0"/>
      <w:marTop w:val="0"/>
      <w:marBottom w:val="0"/>
      <w:divBdr>
        <w:top w:val="none" w:sz="0" w:space="0" w:color="auto"/>
        <w:left w:val="none" w:sz="0" w:space="0" w:color="auto"/>
        <w:bottom w:val="none" w:sz="0" w:space="0" w:color="auto"/>
        <w:right w:val="none" w:sz="0" w:space="0" w:color="auto"/>
      </w:divBdr>
    </w:div>
    <w:div w:id="253057427">
      <w:bodyDiv w:val="1"/>
      <w:marLeft w:val="0"/>
      <w:marRight w:val="0"/>
      <w:marTop w:val="0"/>
      <w:marBottom w:val="0"/>
      <w:divBdr>
        <w:top w:val="none" w:sz="0" w:space="0" w:color="auto"/>
        <w:left w:val="none" w:sz="0" w:space="0" w:color="auto"/>
        <w:bottom w:val="none" w:sz="0" w:space="0" w:color="auto"/>
        <w:right w:val="none" w:sz="0" w:space="0" w:color="auto"/>
      </w:divBdr>
    </w:div>
    <w:div w:id="260990756">
      <w:bodyDiv w:val="1"/>
      <w:marLeft w:val="0"/>
      <w:marRight w:val="0"/>
      <w:marTop w:val="0"/>
      <w:marBottom w:val="0"/>
      <w:divBdr>
        <w:top w:val="none" w:sz="0" w:space="0" w:color="auto"/>
        <w:left w:val="none" w:sz="0" w:space="0" w:color="auto"/>
        <w:bottom w:val="none" w:sz="0" w:space="0" w:color="auto"/>
        <w:right w:val="none" w:sz="0" w:space="0" w:color="auto"/>
      </w:divBdr>
    </w:div>
    <w:div w:id="266348761">
      <w:bodyDiv w:val="1"/>
      <w:marLeft w:val="0"/>
      <w:marRight w:val="0"/>
      <w:marTop w:val="0"/>
      <w:marBottom w:val="0"/>
      <w:divBdr>
        <w:top w:val="none" w:sz="0" w:space="0" w:color="auto"/>
        <w:left w:val="none" w:sz="0" w:space="0" w:color="auto"/>
        <w:bottom w:val="none" w:sz="0" w:space="0" w:color="auto"/>
        <w:right w:val="none" w:sz="0" w:space="0" w:color="auto"/>
      </w:divBdr>
    </w:div>
    <w:div w:id="278535814">
      <w:bodyDiv w:val="1"/>
      <w:marLeft w:val="0"/>
      <w:marRight w:val="0"/>
      <w:marTop w:val="0"/>
      <w:marBottom w:val="0"/>
      <w:divBdr>
        <w:top w:val="none" w:sz="0" w:space="0" w:color="auto"/>
        <w:left w:val="none" w:sz="0" w:space="0" w:color="auto"/>
        <w:bottom w:val="none" w:sz="0" w:space="0" w:color="auto"/>
        <w:right w:val="none" w:sz="0" w:space="0" w:color="auto"/>
      </w:divBdr>
    </w:div>
    <w:div w:id="310795136">
      <w:bodyDiv w:val="1"/>
      <w:marLeft w:val="0"/>
      <w:marRight w:val="0"/>
      <w:marTop w:val="0"/>
      <w:marBottom w:val="0"/>
      <w:divBdr>
        <w:top w:val="none" w:sz="0" w:space="0" w:color="auto"/>
        <w:left w:val="none" w:sz="0" w:space="0" w:color="auto"/>
        <w:bottom w:val="none" w:sz="0" w:space="0" w:color="auto"/>
        <w:right w:val="none" w:sz="0" w:space="0" w:color="auto"/>
      </w:divBdr>
    </w:div>
    <w:div w:id="312178034">
      <w:bodyDiv w:val="1"/>
      <w:marLeft w:val="0"/>
      <w:marRight w:val="0"/>
      <w:marTop w:val="0"/>
      <w:marBottom w:val="0"/>
      <w:divBdr>
        <w:top w:val="none" w:sz="0" w:space="0" w:color="auto"/>
        <w:left w:val="none" w:sz="0" w:space="0" w:color="auto"/>
        <w:bottom w:val="none" w:sz="0" w:space="0" w:color="auto"/>
        <w:right w:val="none" w:sz="0" w:space="0" w:color="auto"/>
      </w:divBdr>
    </w:div>
    <w:div w:id="312179080">
      <w:bodyDiv w:val="1"/>
      <w:marLeft w:val="0"/>
      <w:marRight w:val="0"/>
      <w:marTop w:val="0"/>
      <w:marBottom w:val="0"/>
      <w:divBdr>
        <w:top w:val="none" w:sz="0" w:space="0" w:color="auto"/>
        <w:left w:val="none" w:sz="0" w:space="0" w:color="auto"/>
        <w:bottom w:val="none" w:sz="0" w:space="0" w:color="auto"/>
        <w:right w:val="none" w:sz="0" w:space="0" w:color="auto"/>
      </w:divBdr>
    </w:div>
    <w:div w:id="322855309">
      <w:bodyDiv w:val="1"/>
      <w:marLeft w:val="0"/>
      <w:marRight w:val="0"/>
      <w:marTop w:val="0"/>
      <w:marBottom w:val="0"/>
      <w:divBdr>
        <w:top w:val="none" w:sz="0" w:space="0" w:color="auto"/>
        <w:left w:val="none" w:sz="0" w:space="0" w:color="auto"/>
        <w:bottom w:val="none" w:sz="0" w:space="0" w:color="auto"/>
        <w:right w:val="none" w:sz="0" w:space="0" w:color="auto"/>
      </w:divBdr>
    </w:div>
    <w:div w:id="344139230">
      <w:bodyDiv w:val="1"/>
      <w:marLeft w:val="0"/>
      <w:marRight w:val="0"/>
      <w:marTop w:val="0"/>
      <w:marBottom w:val="0"/>
      <w:divBdr>
        <w:top w:val="none" w:sz="0" w:space="0" w:color="auto"/>
        <w:left w:val="none" w:sz="0" w:space="0" w:color="auto"/>
        <w:bottom w:val="none" w:sz="0" w:space="0" w:color="auto"/>
        <w:right w:val="none" w:sz="0" w:space="0" w:color="auto"/>
      </w:divBdr>
    </w:div>
    <w:div w:id="384377250">
      <w:bodyDiv w:val="1"/>
      <w:marLeft w:val="0"/>
      <w:marRight w:val="0"/>
      <w:marTop w:val="0"/>
      <w:marBottom w:val="0"/>
      <w:divBdr>
        <w:top w:val="none" w:sz="0" w:space="0" w:color="auto"/>
        <w:left w:val="none" w:sz="0" w:space="0" w:color="auto"/>
        <w:bottom w:val="none" w:sz="0" w:space="0" w:color="auto"/>
        <w:right w:val="none" w:sz="0" w:space="0" w:color="auto"/>
      </w:divBdr>
    </w:div>
    <w:div w:id="427386437">
      <w:bodyDiv w:val="1"/>
      <w:marLeft w:val="0"/>
      <w:marRight w:val="0"/>
      <w:marTop w:val="0"/>
      <w:marBottom w:val="0"/>
      <w:divBdr>
        <w:top w:val="none" w:sz="0" w:space="0" w:color="auto"/>
        <w:left w:val="none" w:sz="0" w:space="0" w:color="auto"/>
        <w:bottom w:val="none" w:sz="0" w:space="0" w:color="auto"/>
        <w:right w:val="none" w:sz="0" w:space="0" w:color="auto"/>
      </w:divBdr>
    </w:div>
    <w:div w:id="450638549">
      <w:bodyDiv w:val="1"/>
      <w:marLeft w:val="0"/>
      <w:marRight w:val="0"/>
      <w:marTop w:val="0"/>
      <w:marBottom w:val="0"/>
      <w:divBdr>
        <w:top w:val="none" w:sz="0" w:space="0" w:color="auto"/>
        <w:left w:val="none" w:sz="0" w:space="0" w:color="auto"/>
        <w:bottom w:val="none" w:sz="0" w:space="0" w:color="auto"/>
        <w:right w:val="none" w:sz="0" w:space="0" w:color="auto"/>
      </w:divBdr>
    </w:div>
    <w:div w:id="546918774">
      <w:bodyDiv w:val="1"/>
      <w:marLeft w:val="0"/>
      <w:marRight w:val="0"/>
      <w:marTop w:val="0"/>
      <w:marBottom w:val="0"/>
      <w:divBdr>
        <w:top w:val="none" w:sz="0" w:space="0" w:color="auto"/>
        <w:left w:val="none" w:sz="0" w:space="0" w:color="auto"/>
        <w:bottom w:val="none" w:sz="0" w:space="0" w:color="auto"/>
        <w:right w:val="none" w:sz="0" w:space="0" w:color="auto"/>
      </w:divBdr>
    </w:div>
    <w:div w:id="549003105">
      <w:bodyDiv w:val="1"/>
      <w:marLeft w:val="0"/>
      <w:marRight w:val="0"/>
      <w:marTop w:val="0"/>
      <w:marBottom w:val="0"/>
      <w:divBdr>
        <w:top w:val="none" w:sz="0" w:space="0" w:color="auto"/>
        <w:left w:val="none" w:sz="0" w:space="0" w:color="auto"/>
        <w:bottom w:val="none" w:sz="0" w:space="0" w:color="auto"/>
        <w:right w:val="none" w:sz="0" w:space="0" w:color="auto"/>
      </w:divBdr>
    </w:div>
    <w:div w:id="564603515">
      <w:bodyDiv w:val="1"/>
      <w:marLeft w:val="0"/>
      <w:marRight w:val="0"/>
      <w:marTop w:val="0"/>
      <w:marBottom w:val="0"/>
      <w:divBdr>
        <w:top w:val="none" w:sz="0" w:space="0" w:color="auto"/>
        <w:left w:val="none" w:sz="0" w:space="0" w:color="auto"/>
        <w:bottom w:val="none" w:sz="0" w:space="0" w:color="auto"/>
        <w:right w:val="none" w:sz="0" w:space="0" w:color="auto"/>
      </w:divBdr>
    </w:div>
    <w:div w:id="576403904">
      <w:bodyDiv w:val="1"/>
      <w:marLeft w:val="0"/>
      <w:marRight w:val="0"/>
      <w:marTop w:val="0"/>
      <w:marBottom w:val="0"/>
      <w:divBdr>
        <w:top w:val="none" w:sz="0" w:space="0" w:color="auto"/>
        <w:left w:val="none" w:sz="0" w:space="0" w:color="auto"/>
        <w:bottom w:val="none" w:sz="0" w:space="0" w:color="auto"/>
        <w:right w:val="none" w:sz="0" w:space="0" w:color="auto"/>
      </w:divBdr>
    </w:div>
    <w:div w:id="673536963">
      <w:bodyDiv w:val="1"/>
      <w:marLeft w:val="0"/>
      <w:marRight w:val="0"/>
      <w:marTop w:val="0"/>
      <w:marBottom w:val="0"/>
      <w:divBdr>
        <w:top w:val="none" w:sz="0" w:space="0" w:color="auto"/>
        <w:left w:val="none" w:sz="0" w:space="0" w:color="auto"/>
        <w:bottom w:val="none" w:sz="0" w:space="0" w:color="auto"/>
        <w:right w:val="none" w:sz="0" w:space="0" w:color="auto"/>
      </w:divBdr>
    </w:div>
    <w:div w:id="678780260">
      <w:bodyDiv w:val="1"/>
      <w:marLeft w:val="0"/>
      <w:marRight w:val="0"/>
      <w:marTop w:val="0"/>
      <w:marBottom w:val="0"/>
      <w:divBdr>
        <w:top w:val="none" w:sz="0" w:space="0" w:color="auto"/>
        <w:left w:val="none" w:sz="0" w:space="0" w:color="auto"/>
        <w:bottom w:val="none" w:sz="0" w:space="0" w:color="auto"/>
        <w:right w:val="none" w:sz="0" w:space="0" w:color="auto"/>
      </w:divBdr>
    </w:div>
    <w:div w:id="683823929">
      <w:bodyDiv w:val="1"/>
      <w:marLeft w:val="0"/>
      <w:marRight w:val="0"/>
      <w:marTop w:val="0"/>
      <w:marBottom w:val="0"/>
      <w:divBdr>
        <w:top w:val="none" w:sz="0" w:space="0" w:color="auto"/>
        <w:left w:val="none" w:sz="0" w:space="0" w:color="auto"/>
        <w:bottom w:val="none" w:sz="0" w:space="0" w:color="auto"/>
        <w:right w:val="none" w:sz="0" w:space="0" w:color="auto"/>
      </w:divBdr>
    </w:div>
    <w:div w:id="692655278">
      <w:bodyDiv w:val="1"/>
      <w:marLeft w:val="0"/>
      <w:marRight w:val="0"/>
      <w:marTop w:val="0"/>
      <w:marBottom w:val="0"/>
      <w:divBdr>
        <w:top w:val="none" w:sz="0" w:space="0" w:color="auto"/>
        <w:left w:val="none" w:sz="0" w:space="0" w:color="auto"/>
        <w:bottom w:val="none" w:sz="0" w:space="0" w:color="auto"/>
        <w:right w:val="none" w:sz="0" w:space="0" w:color="auto"/>
      </w:divBdr>
    </w:div>
    <w:div w:id="701521254">
      <w:bodyDiv w:val="1"/>
      <w:marLeft w:val="0"/>
      <w:marRight w:val="0"/>
      <w:marTop w:val="0"/>
      <w:marBottom w:val="0"/>
      <w:divBdr>
        <w:top w:val="none" w:sz="0" w:space="0" w:color="auto"/>
        <w:left w:val="none" w:sz="0" w:space="0" w:color="auto"/>
        <w:bottom w:val="none" w:sz="0" w:space="0" w:color="auto"/>
        <w:right w:val="none" w:sz="0" w:space="0" w:color="auto"/>
      </w:divBdr>
    </w:div>
    <w:div w:id="729036477">
      <w:bodyDiv w:val="1"/>
      <w:marLeft w:val="0"/>
      <w:marRight w:val="0"/>
      <w:marTop w:val="0"/>
      <w:marBottom w:val="0"/>
      <w:divBdr>
        <w:top w:val="none" w:sz="0" w:space="0" w:color="auto"/>
        <w:left w:val="none" w:sz="0" w:space="0" w:color="auto"/>
        <w:bottom w:val="none" w:sz="0" w:space="0" w:color="auto"/>
        <w:right w:val="none" w:sz="0" w:space="0" w:color="auto"/>
      </w:divBdr>
    </w:div>
    <w:div w:id="729114473">
      <w:bodyDiv w:val="1"/>
      <w:marLeft w:val="0"/>
      <w:marRight w:val="0"/>
      <w:marTop w:val="0"/>
      <w:marBottom w:val="0"/>
      <w:divBdr>
        <w:top w:val="none" w:sz="0" w:space="0" w:color="auto"/>
        <w:left w:val="none" w:sz="0" w:space="0" w:color="auto"/>
        <w:bottom w:val="none" w:sz="0" w:space="0" w:color="auto"/>
        <w:right w:val="none" w:sz="0" w:space="0" w:color="auto"/>
      </w:divBdr>
    </w:div>
    <w:div w:id="848636679">
      <w:bodyDiv w:val="1"/>
      <w:marLeft w:val="0"/>
      <w:marRight w:val="0"/>
      <w:marTop w:val="0"/>
      <w:marBottom w:val="0"/>
      <w:divBdr>
        <w:top w:val="none" w:sz="0" w:space="0" w:color="auto"/>
        <w:left w:val="none" w:sz="0" w:space="0" w:color="auto"/>
        <w:bottom w:val="none" w:sz="0" w:space="0" w:color="auto"/>
        <w:right w:val="none" w:sz="0" w:space="0" w:color="auto"/>
      </w:divBdr>
    </w:div>
    <w:div w:id="875041657">
      <w:bodyDiv w:val="1"/>
      <w:marLeft w:val="0"/>
      <w:marRight w:val="0"/>
      <w:marTop w:val="0"/>
      <w:marBottom w:val="0"/>
      <w:divBdr>
        <w:top w:val="none" w:sz="0" w:space="0" w:color="auto"/>
        <w:left w:val="none" w:sz="0" w:space="0" w:color="auto"/>
        <w:bottom w:val="none" w:sz="0" w:space="0" w:color="auto"/>
        <w:right w:val="none" w:sz="0" w:space="0" w:color="auto"/>
      </w:divBdr>
    </w:div>
    <w:div w:id="889540004">
      <w:bodyDiv w:val="1"/>
      <w:marLeft w:val="0"/>
      <w:marRight w:val="0"/>
      <w:marTop w:val="0"/>
      <w:marBottom w:val="0"/>
      <w:divBdr>
        <w:top w:val="none" w:sz="0" w:space="0" w:color="auto"/>
        <w:left w:val="none" w:sz="0" w:space="0" w:color="auto"/>
        <w:bottom w:val="none" w:sz="0" w:space="0" w:color="auto"/>
        <w:right w:val="none" w:sz="0" w:space="0" w:color="auto"/>
      </w:divBdr>
    </w:div>
    <w:div w:id="910509048">
      <w:bodyDiv w:val="1"/>
      <w:marLeft w:val="0"/>
      <w:marRight w:val="0"/>
      <w:marTop w:val="0"/>
      <w:marBottom w:val="0"/>
      <w:divBdr>
        <w:top w:val="none" w:sz="0" w:space="0" w:color="auto"/>
        <w:left w:val="none" w:sz="0" w:space="0" w:color="auto"/>
        <w:bottom w:val="none" w:sz="0" w:space="0" w:color="auto"/>
        <w:right w:val="none" w:sz="0" w:space="0" w:color="auto"/>
      </w:divBdr>
    </w:div>
    <w:div w:id="964116528">
      <w:bodyDiv w:val="1"/>
      <w:marLeft w:val="0"/>
      <w:marRight w:val="0"/>
      <w:marTop w:val="0"/>
      <w:marBottom w:val="0"/>
      <w:divBdr>
        <w:top w:val="none" w:sz="0" w:space="0" w:color="auto"/>
        <w:left w:val="none" w:sz="0" w:space="0" w:color="auto"/>
        <w:bottom w:val="none" w:sz="0" w:space="0" w:color="auto"/>
        <w:right w:val="none" w:sz="0" w:space="0" w:color="auto"/>
      </w:divBdr>
    </w:div>
    <w:div w:id="993290609">
      <w:bodyDiv w:val="1"/>
      <w:marLeft w:val="0"/>
      <w:marRight w:val="0"/>
      <w:marTop w:val="0"/>
      <w:marBottom w:val="0"/>
      <w:divBdr>
        <w:top w:val="none" w:sz="0" w:space="0" w:color="auto"/>
        <w:left w:val="none" w:sz="0" w:space="0" w:color="auto"/>
        <w:bottom w:val="none" w:sz="0" w:space="0" w:color="auto"/>
        <w:right w:val="none" w:sz="0" w:space="0" w:color="auto"/>
      </w:divBdr>
    </w:div>
    <w:div w:id="1019552262">
      <w:bodyDiv w:val="1"/>
      <w:marLeft w:val="0"/>
      <w:marRight w:val="0"/>
      <w:marTop w:val="0"/>
      <w:marBottom w:val="0"/>
      <w:divBdr>
        <w:top w:val="none" w:sz="0" w:space="0" w:color="auto"/>
        <w:left w:val="none" w:sz="0" w:space="0" w:color="auto"/>
        <w:bottom w:val="none" w:sz="0" w:space="0" w:color="auto"/>
        <w:right w:val="none" w:sz="0" w:space="0" w:color="auto"/>
      </w:divBdr>
    </w:div>
    <w:div w:id="1045982818">
      <w:bodyDiv w:val="1"/>
      <w:marLeft w:val="0"/>
      <w:marRight w:val="0"/>
      <w:marTop w:val="0"/>
      <w:marBottom w:val="0"/>
      <w:divBdr>
        <w:top w:val="none" w:sz="0" w:space="0" w:color="auto"/>
        <w:left w:val="none" w:sz="0" w:space="0" w:color="auto"/>
        <w:bottom w:val="none" w:sz="0" w:space="0" w:color="auto"/>
        <w:right w:val="none" w:sz="0" w:space="0" w:color="auto"/>
      </w:divBdr>
    </w:div>
    <w:div w:id="1050568724">
      <w:bodyDiv w:val="1"/>
      <w:marLeft w:val="0"/>
      <w:marRight w:val="0"/>
      <w:marTop w:val="0"/>
      <w:marBottom w:val="0"/>
      <w:divBdr>
        <w:top w:val="none" w:sz="0" w:space="0" w:color="auto"/>
        <w:left w:val="none" w:sz="0" w:space="0" w:color="auto"/>
        <w:bottom w:val="none" w:sz="0" w:space="0" w:color="auto"/>
        <w:right w:val="none" w:sz="0" w:space="0" w:color="auto"/>
      </w:divBdr>
    </w:div>
    <w:div w:id="1104307321">
      <w:bodyDiv w:val="1"/>
      <w:marLeft w:val="0"/>
      <w:marRight w:val="0"/>
      <w:marTop w:val="0"/>
      <w:marBottom w:val="0"/>
      <w:divBdr>
        <w:top w:val="none" w:sz="0" w:space="0" w:color="auto"/>
        <w:left w:val="none" w:sz="0" w:space="0" w:color="auto"/>
        <w:bottom w:val="none" w:sz="0" w:space="0" w:color="auto"/>
        <w:right w:val="none" w:sz="0" w:space="0" w:color="auto"/>
      </w:divBdr>
    </w:div>
    <w:div w:id="1108962644">
      <w:bodyDiv w:val="1"/>
      <w:marLeft w:val="0"/>
      <w:marRight w:val="0"/>
      <w:marTop w:val="0"/>
      <w:marBottom w:val="0"/>
      <w:divBdr>
        <w:top w:val="none" w:sz="0" w:space="0" w:color="auto"/>
        <w:left w:val="none" w:sz="0" w:space="0" w:color="auto"/>
        <w:bottom w:val="none" w:sz="0" w:space="0" w:color="auto"/>
        <w:right w:val="none" w:sz="0" w:space="0" w:color="auto"/>
      </w:divBdr>
    </w:div>
    <w:div w:id="1130786363">
      <w:bodyDiv w:val="1"/>
      <w:marLeft w:val="0"/>
      <w:marRight w:val="0"/>
      <w:marTop w:val="0"/>
      <w:marBottom w:val="0"/>
      <w:divBdr>
        <w:top w:val="none" w:sz="0" w:space="0" w:color="auto"/>
        <w:left w:val="none" w:sz="0" w:space="0" w:color="auto"/>
        <w:bottom w:val="none" w:sz="0" w:space="0" w:color="auto"/>
        <w:right w:val="none" w:sz="0" w:space="0" w:color="auto"/>
      </w:divBdr>
    </w:div>
    <w:div w:id="1133861971">
      <w:bodyDiv w:val="1"/>
      <w:marLeft w:val="0"/>
      <w:marRight w:val="0"/>
      <w:marTop w:val="0"/>
      <w:marBottom w:val="0"/>
      <w:divBdr>
        <w:top w:val="none" w:sz="0" w:space="0" w:color="auto"/>
        <w:left w:val="none" w:sz="0" w:space="0" w:color="auto"/>
        <w:bottom w:val="none" w:sz="0" w:space="0" w:color="auto"/>
        <w:right w:val="none" w:sz="0" w:space="0" w:color="auto"/>
      </w:divBdr>
    </w:div>
    <w:div w:id="1147698466">
      <w:bodyDiv w:val="1"/>
      <w:marLeft w:val="0"/>
      <w:marRight w:val="0"/>
      <w:marTop w:val="0"/>
      <w:marBottom w:val="0"/>
      <w:divBdr>
        <w:top w:val="none" w:sz="0" w:space="0" w:color="auto"/>
        <w:left w:val="none" w:sz="0" w:space="0" w:color="auto"/>
        <w:bottom w:val="none" w:sz="0" w:space="0" w:color="auto"/>
        <w:right w:val="none" w:sz="0" w:space="0" w:color="auto"/>
      </w:divBdr>
    </w:div>
    <w:div w:id="1160853563">
      <w:bodyDiv w:val="1"/>
      <w:marLeft w:val="0"/>
      <w:marRight w:val="0"/>
      <w:marTop w:val="0"/>
      <w:marBottom w:val="0"/>
      <w:divBdr>
        <w:top w:val="none" w:sz="0" w:space="0" w:color="auto"/>
        <w:left w:val="none" w:sz="0" w:space="0" w:color="auto"/>
        <w:bottom w:val="none" w:sz="0" w:space="0" w:color="auto"/>
        <w:right w:val="none" w:sz="0" w:space="0" w:color="auto"/>
      </w:divBdr>
    </w:div>
    <w:div w:id="1171023608">
      <w:bodyDiv w:val="1"/>
      <w:marLeft w:val="0"/>
      <w:marRight w:val="0"/>
      <w:marTop w:val="0"/>
      <w:marBottom w:val="0"/>
      <w:divBdr>
        <w:top w:val="none" w:sz="0" w:space="0" w:color="auto"/>
        <w:left w:val="none" w:sz="0" w:space="0" w:color="auto"/>
        <w:bottom w:val="none" w:sz="0" w:space="0" w:color="auto"/>
        <w:right w:val="none" w:sz="0" w:space="0" w:color="auto"/>
      </w:divBdr>
    </w:div>
    <w:div w:id="1176772101">
      <w:bodyDiv w:val="1"/>
      <w:marLeft w:val="0"/>
      <w:marRight w:val="0"/>
      <w:marTop w:val="0"/>
      <w:marBottom w:val="0"/>
      <w:divBdr>
        <w:top w:val="none" w:sz="0" w:space="0" w:color="auto"/>
        <w:left w:val="none" w:sz="0" w:space="0" w:color="auto"/>
        <w:bottom w:val="none" w:sz="0" w:space="0" w:color="auto"/>
        <w:right w:val="none" w:sz="0" w:space="0" w:color="auto"/>
      </w:divBdr>
    </w:div>
    <w:div w:id="1211185462">
      <w:bodyDiv w:val="1"/>
      <w:marLeft w:val="0"/>
      <w:marRight w:val="0"/>
      <w:marTop w:val="0"/>
      <w:marBottom w:val="0"/>
      <w:divBdr>
        <w:top w:val="none" w:sz="0" w:space="0" w:color="auto"/>
        <w:left w:val="none" w:sz="0" w:space="0" w:color="auto"/>
        <w:bottom w:val="none" w:sz="0" w:space="0" w:color="auto"/>
        <w:right w:val="none" w:sz="0" w:space="0" w:color="auto"/>
      </w:divBdr>
    </w:div>
    <w:div w:id="1221206466">
      <w:bodyDiv w:val="1"/>
      <w:marLeft w:val="0"/>
      <w:marRight w:val="0"/>
      <w:marTop w:val="0"/>
      <w:marBottom w:val="0"/>
      <w:divBdr>
        <w:top w:val="none" w:sz="0" w:space="0" w:color="auto"/>
        <w:left w:val="none" w:sz="0" w:space="0" w:color="auto"/>
        <w:bottom w:val="none" w:sz="0" w:space="0" w:color="auto"/>
        <w:right w:val="none" w:sz="0" w:space="0" w:color="auto"/>
      </w:divBdr>
    </w:div>
    <w:div w:id="1230964346">
      <w:bodyDiv w:val="1"/>
      <w:marLeft w:val="0"/>
      <w:marRight w:val="0"/>
      <w:marTop w:val="0"/>
      <w:marBottom w:val="0"/>
      <w:divBdr>
        <w:top w:val="none" w:sz="0" w:space="0" w:color="auto"/>
        <w:left w:val="none" w:sz="0" w:space="0" w:color="auto"/>
        <w:bottom w:val="none" w:sz="0" w:space="0" w:color="auto"/>
        <w:right w:val="none" w:sz="0" w:space="0" w:color="auto"/>
      </w:divBdr>
    </w:div>
    <w:div w:id="1240751367">
      <w:bodyDiv w:val="1"/>
      <w:marLeft w:val="0"/>
      <w:marRight w:val="0"/>
      <w:marTop w:val="0"/>
      <w:marBottom w:val="0"/>
      <w:divBdr>
        <w:top w:val="none" w:sz="0" w:space="0" w:color="auto"/>
        <w:left w:val="none" w:sz="0" w:space="0" w:color="auto"/>
        <w:bottom w:val="none" w:sz="0" w:space="0" w:color="auto"/>
        <w:right w:val="none" w:sz="0" w:space="0" w:color="auto"/>
      </w:divBdr>
    </w:div>
    <w:div w:id="1277522284">
      <w:bodyDiv w:val="1"/>
      <w:marLeft w:val="0"/>
      <w:marRight w:val="0"/>
      <w:marTop w:val="0"/>
      <w:marBottom w:val="0"/>
      <w:divBdr>
        <w:top w:val="none" w:sz="0" w:space="0" w:color="auto"/>
        <w:left w:val="none" w:sz="0" w:space="0" w:color="auto"/>
        <w:bottom w:val="none" w:sz="0" w:space="0" w:color="auto"/>
        <w:right w:val="none" w:sz="0" w:space="0" w:color="auto"/>
      </w:divBdr>
    </w:div>
    <w:div w:id="1277834981">
      <w:bodyDiv w:val="1"/>
      <w:marLeft w:val="0"/>
      <w:marRight w:val="0"/>
      <w:marTop w:val="0"/>
      <w:marBottom w:val="0"/>
      <w:divBdr>
        <w:top w:val="none" w:sz="0" w:space="0" w:color="auto"/>
        <w:left w:val="none" w:sz="0" w:space="0" w:color="auto"/>
        <w:bottom w:val="none" w:sz="0" w:space="0" w:color="auto"/>
        <w:right w:val="none" w:sz="0" w:space="0" w:color="auto"/>
      </w:divBdr>
    </w:div>
    <w:div w:id="1299071252">
      <w:bodyDiv w:val="1"/>
      <w:marLeft w:val="0"/>
      <w:marRight w:val="0"/>
      <w:marTop w:val="0"/>
      <w:marBottom w:val="0"/>
      <w:divBdr>
        <w:top w:val="none" w:sz="0" w:space="0" w:color="auto"/>
        <w:left w:val="none" w:sz="0" w:space="0" w:color="auto"/>
        <w:bottom w:val="none" w:sz="0" w:space="0" w:color="auto"/>
        <w:right w:val="none" w:sz="0" w:space="0" w:color="auto"/>
      </w:divBdr>
    </w:div>
    <w:div w:id="1303580419">
      <w:bodyDiv w:val="1"/>
      <w:marLeft w:val="0"/>
      <w:marRight w:val="0"/>
      <w:marTop w:val="0"/>
      <w:marBottom w:val="0"/>
      <w:divBdr>
        <w:top w:val="none" w:sz="0" w:space="0" w:color="auto"/>
        <w:left w:val="none" w:sz="0" w:space="0" w:color="auto"/>
        <w:bottom w:val="none" w:sz="0" w:space="0" w:color="auto"/>
        <w:right w:val="none" w:sz="0" w:space="0" w:color="auto"/>
      </w:divBdr>
    </w:div>
    <w:div w:id="1320574402">
      <w:bodyDiv w:val="1"/>
      <w:marLeft w:val="0"/>
      <w:marRight w:val="0"/>
      <w:marTop w:val="0"/>
      <w:marBottom w:val="0"/>
      <w:divBdr>
        <w:top w:val="none" w:sz="0" w:space="0" w:color="auto"/>
        <w:left w:val="none" w:sz="0" w:space="0" w:color="auto"/>
        <w:bottom w:val="none" w:sz="0" w:space="0" w:color="auto"/>
        <w:right w:val="none" w:sz="0" w:space="0" w:color="auto"/>
      </w:divBdr>
    </w:div>
    <w:div w:id="1321075733">
      <w:bodyDiv w:val="1"/>
      <w:marLeft w:val="0"/>
      <w:marRight w:val="0"/>
      <w:marTop w:val="0"/>
      <w:marBottom w:val="0"/>
      <w:divBdr>
        <w:top w:val="none" w:sz="0" w:space="0" w:color="auto"/>
        <w:left w:val="none" w:sz="0" w:space="0" w:color="auto"/>
        <w:bottom w:val="none" w:sz="0" w:space="0" w:color="auto"/>
        <w:right w:val="none" w:sz="0" w:space="0" w:color="auto"/>
      </w:divBdr>
    </w:div>
    <w:div w:id="1335303498">
      <w:bodyDiv w:val="1"/>
      <w:marLeft w:val="0"/>
      <w:marRight w:val="0"/>
      <w:marTop w:val="0"/>
      <w:marBottom w:val="0"/>
      <w:divBdr>
        <w:top w:val="none" w:sz="0" w:space="0" w:color="auto"/>
        <w:left w:val="none" w:sz="0" w:space="0" w:color="auto"/>
        <w:bottom w:val="none" w:sz="0" w:space="0" w:color="auto"/>
        <w:right w:val="none" w:sz="0" w:space="0" w:color="auto"/>
      </w:divBdr>
    </w:div>
    <w:div w:id="1379621848">
      <w:bodyDiv w:val="1"/>
      <w:marLeft w:val="0"/>
      <w:marRight w:val="0"/>
      <w:marTop w:val="0"/>
      <w:marBottom w:val="0"/>
      <w:divBdr>
        <w:top w:val="none" w:sz="0" w:space="0" w:color="auto"/>
        <w:left w:val="none" w:sz="0" w:space="0" w:color="auto"/>
        <w:bottom w:val="none" w:sz="0" w:space="0" w:color="auto"/>
        <w:right w:val="none" w:sz="0" w:space="0" w:color="auto"/>
      </w:divBdr>
    </w:div>
    <w:div w:id="1415198197">
      <w:bodyDiv w:val="1"/>
      <w:marLeft w:val="0"/>
      <w:marRight w:val="0"/>
      <w:marTop w:val="0"/>
      <w:marBottom w:val="0"/>
      <w:divBdr>
        <w:top w:val="none" w:sz="0" w:space="0" w:color="auto"/>
        <w:left w:val="none" w:sz="0" w:space="0" w:color="auto"/>
        <w:bottom w:val="none" w:sz="0" w:space="0" w:color="auto"/>
        <w:right w:val="none" w:sz="0" w:space="0" w:color="auto"/>
      </w:divBdr>
    </w:div>
    <w:div w:id="1420171793">
      <w:bodyDiv w:val="1"/>
      <w:marLeft w:val="0"/>
      <w:marRight w:val="0"/>
      <w:marTop w:val="0"/>
      <w:marBottom w:val="0"/>
      <w:divBdr>
        <w:top w:val="none" w:sz="0" w:space="0" w:color="auto"/>
        <w:left w:val="none" w:sz="0" w:space="0" w:color="auto"/>
        <w:bottom w:val="none" w:sz="0" w:space="0" w:color="auto"/>
        <w:right w:val="none" w:sz="0" w:space="0" w:color="auto"/>
      </w:divBdr>
    </w:div>
    <w:div w:id="1429932501">
      <w:bodyDiv w:val="1"/>
      <w:marLeft w:val="0"/>
      <w:marRight w:val="0"/>
      <w:marTop w:val="0"/>
      <w:marBottom w:val="0"/>
      <w:divBdr>
        <w:top w:val="none" w:sz="0" w:space="0" w:color="auto"/>
        <w:left w:val="none" w:sz="0" w:space="0" w:color="auto"/>
        <w:bottom w:val="none" w:sz="0" w:space="0" w:color="auto"/>
        <w:right w:val="none" w:sz="0" w:space="0" w:color="auto"/>
      </w:divBdr>
    </w:div>
    <w:div w:id="1451507347">
      <w:bodyDiv w:val="1"/>
      <w:marLeft w:val="0"/>
      <w:marRight w:val="0"/>
      <w:marTop w:val="0"/>
      <w:marBottom w:val="0"/>
      <w:divBdr>
        <w:top w:val="none" w:sz="0" w:space="0" w:color="auto"/>
        <w:left w:val="none" w:sz="0" w:space="0" w:color="auto"/>
        <w:bottom w:val="none" w:sz="0" w:space="0" w:color="auto"/>
        <w:right w:val="none" w:sz="0" w:space="0" w:color="auto"/>
      </w:divBdr>
    </w:div>
    <w:div w:id="1512141292">
      <w:bodyDiv w:val="1"/>
      <w:marLeft w:val="0"/>
      <w:marRight w:val="0"/>
      <w:marTop w:val="0"/>
      <w:marBottom w:val="0"/>
      <w:divBdr>
        <w:top w:val="none" w:sz="0" w:space="0" w:color="auto"/>
        <w:left w:val="none" w:sz="0" w:space="0" w:color="auto"/>
        <w:bottom w:val="none" w:sz="0" w:space="0" w:color="auto"/>
        <w:right w:val="none" w:sz="0" w:space="0" w:color="auto"/>
      </w:divBdr>
    </w:div>
    <w:div w:id="1615359440">
      <w:bodyDiv w:val="1"/>
      <w:marLeft w:val="0"/>
      <w:marRight w:val="0"/>
      <w:marTop w:val="0"/>
      <w:marBottom w:val="0"/>
      <w:divBdr>
        <w:top w:val="none" w:sz="0" w:space="0" w:color="auto"/>
        <w:left w:val="none" w:sz="0" w:space="0" w:color="auto"/>
        <w:bottom w:val="none" w:sz="0" w:space="0" w:color="auto"/>
        <w:right w:val="none" w:sz="0" w:space="0" w:color="auto"/>
      </w:divBdr>
      <w:divsChild>
        <w:div w:id="520826058">
          <w:marLeft w:val="0"/>
          <w:marRight w:val="0"/>
          <w:marTop w:val="0"/>
          <w:marBottom w:val="0"/>
          <w:divBdr>
            <w:top w:val="none" w:sz="0" w:space="0" w:color="auto"/>
            <w:left w:val="none" w:sz="0" w:space="0" w:color="auto"/>
            <w:bottom w:val="none" w:sz="0" w:space="0" w:color="auto"/>
            <w:right w:val="none" w:sz="0" w:space="0" w:color="auto"/>
          </w:divBdr>
          <w:divsChild>
            <w:div w:id="1654092692">
              <w:marLeft w:val="0"/>
              <w:marRight w:val="0"/>
              <w:marTop w:val="0"/>
              <w:marBottom w:val="0"/>
              <w:divBdr>
                <w:top w:val="none" w:sz="0" w:space="0" w:color="auto"/>
                <w:left w:val="none" w:sz="0" w:space="0" w:color="auto"/>
                <w:bottom w:val="none" w:sz="0" w:space="0" w:color="auto"/>
                <w:right w:val="none" w:sz="0" w:space="0" w:color="auto"/>
              </w:divBdr>
              <w:divsChild>
                <w:div w:id="359596225">
                  <w:marLeft w:val="0"/>
                  <w:marRight w:val="0"/>
                  <w:marTop w:val="0"/>
                  <w:marBottom w:val="0"/>
                  <w:divBdr>
                    <w:top w:val="none" w:sz="0" w:space="0" w:color="auto"/>
                    <w:left w:val="none" w:sz="0" w:space="0" w:color="auto"/>
                    <w:bottom w:val="none" w:sz="0" w:space="0" w:color="auto"/>
                    <w:right w:val="none" w:sz="0" w:space="0" w:color="auto"/>
                  </w:divBdr>
                  <w:divsChild>
                    <w:div w:id="1016611592">
                      <w:marLeft w:val="0"/>
                      <w:marRight w:val="0"/>
                      <w:marTop w:val="0"/>
                      <w:marBottom w:val="0"/>
                      <w:divBdr>
                        <w:top w:val="none" w:sz="0" w:space="0" w:color="auto"/>
                        <w:left w:val="none" w:sz="0" w:space="0" w:color="auto"/>
                        <w:bottom w:val="none" w:sz="0" w:space="0" w:color="auto"/>
                        <w:right w:val="none" w:sz="0" w:space="0" w:color="auto"/>
                      </w:divBdr>
                      <w:divsChild>
                        <w:div w:id="4553414">
                          <w:marLeft w:val="0"/>
                          <w:marRight w:val="0"/>
                          <w:marTop w:val="0"/>
                          <w:marBottom w:val="0"/>
                          <w:divBdr>
                            <w:top w:val="none" w:sz="0" w:space="0" w:color="auto"/>
                            <w:left w:val="none" w:sz="0" w:space="0" w:color="auto"/>
                            <w:bottom w:val="none" w:sz="0" w:space="0" w:color="auto"/>
                            <w:right w:val="none" w:sz="0" w:space="0" w:color="auto"/>
                          </w:divBdr>
                          <w:divsChild>
                            <w:div w:id="704595763">
                              <w:marLeft w:val="0"/>
                              <w:marRight w:val="0"/>
                              <w:marTop w:val="0"/>
                              <w:marBottom w:val="0"/>
                              <w:divBdr>
                                <w:top w:val="none" w:sz="0" w:space="0" w:color="auto"/>
                                <w:left w:val="none" w:sz="0" w:space="0" w:color="auto"/>
                                <w:bottom w:val="none" w:sz="0" w:space="0" w:color="auto"/>
                                <w:right w:val="none" w:sz="0" w:space="0" w:color="auto"/>
                              </w:divBdr>
                              <w:divsChild>
                                <w:div w:id="315031583">
                                  <w:marLeft w:val="0"/>
                                  <w:marRight w:val="0"/>
                                  <w:marTop w:val="0"/>
                                  <w:marBottom w:val="0"/>
                                  <w:divBdr>
                                    <w:top w:val="none" w:sz="0" w:space="0" w:color="auto"/>
                                    <w:left w:val="none" w:sz="0" w:space="0" w:color="auto"/>
                                    <w:bottom w:val="none" w:sz="0" w:space="0" w:color="auto"/>
                                    <w:right w:val="none" w:sz="0" w:space="0" w:color="auto"/>
                                  </w:divBdr>
                                  <w:divsChild>
                                    <w:div w:id="20416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1772">
                          <w:marLeft w:val="0"/>
                          <w:marRight w:val="0"/>
                          <w:marTop w:val="0"/>
                          <w:marBottom w:val="0"/>
                          <w:divBdr>
                            <w:top w:val="none" w:sz="0" w:space="0" w:color="auto"/>
                            <w:left w:val="none" w:sz="0" w:space="0" w:color="auto"/>
                            <w:bottom w:val="none" w:sz="0" w:space="0" w:color="auto"/>
                            <w:right w:val="none" w:sz="0" w:space="0" w:color="auto"/>
                          </w:divBdr>
                          <w:divsChild>
                            <w:div w:id="369501327">
                              <w:marLeft w:val="0"/>
                              <w:marRight w:val="0"/>
                              <w:marTop w:val="0"/>
                              <w:marBottom w:val="0"/>
                              <w:divBdr>
                                <w:top w:val="none" w:sz="0" w:space="0" w:color="auto"/>
                                <w:left w:val="none" w:sz="0" w:space="0" w:color="auto"/>
                                <w:bottom w:val="none" w:sz="0" w:space="0" w:color="auto"/>
                                <w:right w:val="none" w:sz="0" w:space="0" w:color="auto"/>
                              </w:divBdr>
                              <w:divsChild>
                                <w:div w:id="1006052325">
                                  <w:marLeft w:val="0"/>
                                  <w:marRight w:val="0"/>
                                  <w:marTop w:val="0"/>
                                  <w:marBottom w:val="0"/>
                                  <w:divBdr>
                                    <w:top w:val="none" w:sz="0" w:space="0" w:color="auto"/>
                                    <w:left w:val="none" w:sz="0" w:space="0" w:color="auto"/>
                                    <w:bottom w:val="none" w:sz="0" w:space="0" w:color="auto"/>
                                    <w:right w:val="none" w:sz="0" w:space="0" w:color="auto"/>
                                  </w:divBdr>
                                  <w:divsChild>
                                    <w:div w:id="79857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77624">
                          <w:marLeft w:val="0"/>
                          <w:marRight w:val="0"/>
                          <w:marTop w:val="0"/>
                          <w:marBottom w:val="0"/>
                          <w:divBdr>
                            <w:top w:val="none" w:sz="0" w:space="0" w:color="auto"/>
                            <w:left w:val="none" w:sz="0" w:space="0" w:color="auto"/>
                            <w:bottom w:val="none" w:sz="0" w:space="0" w:color="auto"/>
                            <w:right w:val="none" w:sz="0" w:space="0" w:color="auto"/>
                          </w:divBdr>
                          <w:divsChild>
                            <w:div w:id="2002149947">
                              <w:marLeft w:val="0"/>
                              <w:marRight w:val="0"/>
                              <w:marTop w:val="0"/>
                              <w:marBottom w:val="0"/>
                              <w:divBdr>
                                <w:top w:val="none" w:sz="0" w:space="0" w:color="auto"/>
                                <w:left w:val="none" w:sz="0" w:space="0" w:color="auto"/>
                                <w:bottom w:val="none" w:sz="0" w:space="0" w:color="auto"/>
                                <w:right w:val="none" w:sz="0" w:space="0" w:color="auto"/>
                              </w:divBdr>
                              <w:divsChild>
                                <w:div w:id="120267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48301">
                          <w:marLeft w:val="0"/>
                          <w:marRight w:val="0"/>
                          <w:marTop w:val="0"/>
                          <w:marBottom w:val="0"/>
                          <w:divBdr>
                            <w:top w:val="none" w:sz="0" w:space="0" w:color="auto"/>
                            <w:left w:val="none" w:sz="0" w:space="0" w:color="auto"/>
                            <w:bottom w:val="none" w:sz="0" w:space="0" w:color="auto"/>
                            <w:right w:val="none" w:sz="0" w:space="0" w:color="auto"/>
                          </w:divBdr>
                          <w:divsChild>
                            <w:div w:id="262495579">
                              <w:marLeft w:val="0"/>
                              <w:marRight w:val="0"/>
                              <w:marTop w:val="0"/>
                              <w:marBottom w:val="0"/>
                              <w:divBdr>
                                <w:top w:val="none" w:sz="0" w:space="0" w:color="auto"/>
                                <w:left w:val="none" w:sz="0" w:space="0" w:color="auto"/>
                                <w:bottom w:val="none" w:sz="0" w:space="0" w:color="auto"/>
                                <w:right w:val="none" w:sz="0" w:space="0" w:color="auto"/>
                              </w:divBdr>
                              <w:divsChild>
                                <w:div w:id="234704618">
                                  <w:marLeft w:val="0"/>
                                  <w:marRight w:val="0"/>
                                  <w:marTop w:val="0"/>
                                  <w:marBottom w:val="0"/>
                                  <w:divBdr>
                                    <w:top w:val="none" w:sz="0" w:space="0" w:color="auto"/>
                                    <w:left w:val="none" w:sz="0" w:space="0" w:color="auto"/>
                                    <w:bottom w:val="none" w:sz="0" w:space="0" w:color="auto"/>
                                    <w:right w:val="none" w:sz="0" w:space="0" w:color="auto"/>
                                  </w:divBdr>
                                  <w:divsChild>
                                    <w:div w:id="136814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008344">
                          <w:marLeft w:val="0"/>
                          <w:marRight w:val="0"/>
                          <w:marTop w:val="0"/>
                          <w:marBottom w:val="0"/>
                          <w:divBdr>
                            <w:top w:val="none" w:sz="0" w:space="0" w:color="auto"/>
                            <w:left w:val="none" w:sz="0" w:space="0" w:color="auto"/>
                            <w:bottom w:val="none" w:sz="0" w:space="0" w:color="auto"/>
                            <w:right w:val="none" w:sz="0" w:space="0" w:color="auto"/>
                          </w:divBdr>
                          <w:divsChild>
                            <w:div w:id="243535640">
                              <w:marLeft w:val="0"/>
                              <w:marRight w:val="0"/>
                              <w:marTop w:val="0"/>
                              <w:marBottom w:val="0"/>
                              <w:divBdr>
                                <w:top w:val="none" w:sz="0" w:space="0" w:color="auto"/>
                                <w:left w:val="none" w:sz="0" w:space="0" w:color="auto"/>
                                <w:bottom w:val="none" w:sz="0" w:space="0" w:color="auto"/>
                                <w:right w:val="none" w:sz="0" w:space="0" w:color="auto"/>
                              </w:divBdr>
                            </w:div>
                          </w:divsChild>
                        </w:div>
                        <w:div w:id="334184322">
                          <w:marLeft w:val="0"/>
                          <w:marRight w:val="0"/>
                          <w:marTop w:val="0"/>
                          <w:marBottom w:val="0"/>
                          <w:divBdr>
                            <w:top w:val="none" w:sz="0" w:space="0" w:color="auto"/>
                            <w:left w:val="none" w:sz="0" w:space="0" w:color="auto"/>
                            <w:bottom w:val="none" w:sz="0" w:space="0" w:color="auto"/>
                            <w:right w:val="none" w:sz="0" w:space="0" w:color="auto"/>
                          </w:divBdr>
                          <w:divsChild>
                            <w:div w:id="519978009">
                              <w:marLeft w:val="0"/>
                              <w:marRight w:val="0"/>
                              <w:marTop w:val="0"/>
                              <w:marBottom w:val="0"/>
                              <w:divBdr>
                                <w:top w:val="none" w:sz="0" w:space="0" w:color="auto"/>
                                <w:left w:val="none" w:sz="0" w:space="0" w:color="auto"/>
                                <w:bottom w:val="none" w:sz="0" w:space="0" w:color="auto"/>
                                <w:right w:val="none" w:sz="0" w:space="0" w:color="auto"/>
                              </w:divBdr>
                              <w:divsChild>
                                <w:div w:id="141913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95072">
                          <w:marLeft w:val="0"/>
                          <w:marRight w:val="0"/>
                          <w:marTop w:val="0"/>
                          <w:marBottom w:val="0"/>
                          <w:divBdr>
                            <w:top w:val="none" w:sz="0" w:space="0" w:color="auto"/>
                            <w:left w:val="none" w:sz="0" w:space="0" w:color="auto"/>
                            <w:bottom w:val="none" w:sz="0" w:space="0" w:color="auto"/>
                            <w:right w:val="none" w:sz="0" w:space="0" w:color="auto"/>
                          </w:divBdr>
                          <w:divsChild>
                            <w:div w:id="451247110">
                              <w:marLeft w:val="0"/>
                              <w:marRight w:val="0"/>
                              <w:marTop w:val="0"/>
                              <w:marBottom w:val="0"/>
                              <w:divBdr>
                                <w:top w:val="none" w:sz="0" w:space="0" w:color="auto"/>
                                <w:left w:val="none" w:sz="0" w:space="0" w:color="auto"/>
                                <w:bottom w:val="none" w:sz="0" w:space="0" w:color="auto"/>
                                <w:right w:val="none" w:sz="0" w:space="0" w:color="auto"/>
                              </w:divBdr>
                              <w:divsChild>
                                <w:div w:id="1471247475">
                                  <w:marLeft w:val="0"/>
                                  <w:marRight w:val="0"/>
                                  <w:marTop w:val="0"/>
                                  <w:marBottom w:val="0"/>
                                  <w:divBdr>
                                    <w:top w:val="none" w:sz="0" w:space="0" w:color="auto"/>
                                    <w:left w:val="none" w:sz="0" w:space="0" w:color="auto"/>
                                    <w:bottom w:val="none" w:sz="0" w:space="0" w:color="auto"/>
                                    <w:right w:val="none" w:sz="0" w:space="0" w:color="auto"/>
                                  </w:divBdr>
                                  <w:divsChild>
                                    <w:div w:id="188999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619603">
                          <w:marLeft w:val="0"/>
                          <w:marRight w:val="0"/>
                          <w:marTop w:val="0"/>
                          <w:marBottom w:val="0"/>
                          <w:divBdr>
                            <w:top w:val="none" w:sz="0" w:space="0" w:color="auto"/>
                            <w:left w:val="none" w:sz="0" w:space="0" w:color="auto"/>
                            <w:bottom w:val="none" w:sz="0" w:space="0" w:color="auto"/>
                            <w:right w:val="none" w:sz="0" w:space="0" w:color="auto"/>
                          </w:divBdr>
                          <w:divsChild>
                            <w:div w:id="1172985476">
                              <w:marLeft w:val="0"/>
                              <w:marRight w:val="0"/>
                              <w:marTop w:val="0"/>
                              <w:marBottom w:val="0"/>
                              <w:divBdr>
                                <w:top w:val="none" w:sz="0" w:space="0" w:color="auto"/>
                                <w:left w:val="none" w:sz="0" w:space="0" w:color="auto"/>
                                <w:bottom w:val="none" w:sz="0" w:space="0" w:color="auto"/>
                                <w:right w:val="none" w:sz="0" w:space="0" w:color="auto"/>
                              </w:divBdr>
                              <w:divsChild>
                                <w:div w:id="1764456318">
                                  <w:marLeft w:val="0"/>
                                  <w:marRight w:val="0"/>
                                  <w:marTop w:val="0"/>
                                  <w:marBottom w:val="0"/>
                                  <w:divBdr>
                                    <w:top w:val="none" w:sz="0" w:space="0" w:color="auto"/>
                                    <w:left w:val="none" w:sz="0" w:space="0" w:color="auto"/>
                                    <w:bottom w:val="none" w:sz="0" w:space="0" w:color="auto"/>
                                    <w:right w:val="none" w:sz="0" w:space="0" w:color="auto"/>
                                  </w:divBdr>
                                  <w:divsChild>
                                    <w:div w:id="18086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76507">
                          <w:marLeft w:val="0"/>
                          <w:marRight w:val="0"/>
                          <w:marTop w:val="0"/>
                          <w:marBottom w:val="0"/>
                          <w:divBdr>
                            <w:top w:val="none" w:sz="0" w:space="0" w:color="auto"/>
                            <w:left w:val="none" w:sz="0" w:space="0" w:color="auto"/>
                            <w:bottom w:val="none" w:sz="0" w:space="0" w:color="auto"/>
                            <w:right w:val="none" w:sz="0" w:space="0" w:color="auto"/>
                          </w:divBdr>
                          <w:divsChild>
                            <w:div w:id="596713495">
                              <w:marLeft w:val="0"/>
                              <w:marRight w:val="0"/>
                              <w:marTop w:val="0"/>
                              <w:marBottom w:val="0"/>
                              <w:divBdr>
                                <w:top w:val="none" w:sz="0" w:space="0" w:color="auto"/>
                                <w:left w:val="none" w:sz="0" w:space="0" w:color="auto"/>
                                <w:bottom w:val="none" w:sz="0" w:space="0" w:color="auto"/>
                                <w:right w:val="none" w:sz="0" w:space="0" w:color="auto"/>
                              </w:divBdr>
                            </w:div>
                          </w:divsChild>
                        </w:div>
                        <w:div w:id="684945923">
                          <w:marLeft w:val="0"/>
                          <w:marRight w:val="0"/>
                          <w:marTop w:val="0"/>
                          <w:marBottom w:val="0"/>
                          <w:divBdr>
                            <w:top w:val="none" w:sz="0" w:space="0" w:color="auto"/>
                            <w:left w:val="none" w:sz="0" w:space="0" w:color="auto"/>
                            <w:bottom w:val="none" w:sz="0" w:space="0" w:color="auto"/>
                            <w:right w:val="none" w:sz="0" w:space="0" w:color="auto"/>
                          </w:divBdr>
                          <w:divsChild>
                            <w:div w:id="182596956">
                              <w:marLeft w:val="0"/>
                              <w:marRight w:val="0"/>
                              <w:marTop w:val="0"/>
                              <w:marBottom w:val="0"/>
                              <w:divBdr>
                                <w:top w:val="none" w:sz="0" w:space="0" w:color="auto"/>
                                <w:left w:val="none" w:sz="0" w:space="0" w:color="auto"/>
                                <w:bottom w:val="none" w:sz="0" w:space="0" w:color="auto"/>
                                <w:right w:val="none" w:sz="0" w:space="0" w:color="auto"/>
                              </w:divBdr>
                              <w:divsChild>
                                <w:div w:id="99172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429287">
                          <w:marLeft w:val="0"/>
                          <w:marRight w:val="0"/>
                          <w:marTop w:val="0"/>
                          <w:marBottom w:val="0"/>
                          <w:divBdr>
                            <w:top w:val="none" w:sz="0" w:space="0" w:color="auto"/>
                            <w:left w:val="none" w:sz="0" w:space="0" w:color="auto"/>
                            <w:bottom w:val="none" w:sz="0" w:space="0" w:color="auto"/>
                            <w:right w:val="none" w:sz="0" w:space="0" w:color="auto"/>
                          </w:divBdr>
                          <w:divsChild>
                            <w:div w:id="890269174">
                              <w:marLeft w:val="0"/>
                              <w:marRight w:val="0"/>
                              <w:marTop w:val="0"/>
                              <w:marBottom w:val="0"/>
                              <w:divBdr>
                                <w:top w:val="none" w:sz="0" w:space="0" w:color="auto"/>
                                <w:left w:val="none" w:sz="0" w:space="0" w:color="auto"/>
                                <w:bottom w:val="none" w:sz="0" w:space="0" w:color="auto"/>
                                <w:right w:val="none" w:sz="0" w:space="0" w:color="auto"/>
                              </w:divBdr>
                              <w:divsChild>
                                <w:div w:id="1839997008">
                                  <w:marLeft w:val="0"/>
                                  <w:marRight w:val="0"/>
                                  <w:marTop w:val="0"/>
                                  <w:marBottom w:val="0"/>
                                  <w:divBdr>
                                    <w:top w:val="none" w:sz="0" w:space="0" w:color="auto"/>
                                    <w:left w:val="none" w:sz="0" w:space="0" w:color="auto"/>
                                    <w:bottom w:val="none" w:sz="0" w:space="0" w:color="auto"/>
                                    <w:right w:val="none" w:sz="0" w:space="0" w:color="auto"/>
                                  </w:divBdr>
                                  <w:divsChild>
                                    <w:div w:id="164065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900850">
                          <w:marLeft w:val="0"/>
                          <w:marRight w:val="0"/>
                          <w:marTop w:val="240"/>
                          <w:marBottom w:val="0"/>
                          <w:divBdr>
                            <w:top w:val="none" w:sz="0" w:space="0" w:color="auto"/>
                            <w:left w:val="none" w:sz="0" w:space="0" w:color="auto"/>
                            <w:bottom w:val="none" w:sz="0" w:space="0" w:color="auto"/>
                            <w:right w:val="none" w:sz="0" w:space="0" w:color="auto"/>
                          </w:divBdr>
                          <w:divsChild>
                            <w:div w:id="962157769">
                              <w:marLeft w:val="0"/>
                              <w:marRight w:val="0"/>
                              <w:marTop w:val="0"/>
                              <w:marBottom w:val="0"/>
                              <w:divBdr>
                                <w:top w:val="none" w:sz="0" w:space="0" w:color="auto"/>
                                <w:left w:val="none" w:sz="0" w:space="0" w:color="auto"/>
                                <w:bottom w:val="none" w:sz="0" w:space="0" w:color="auto"/>
                                <w:right w:val="none" w:sz="0" w:space="0" w:color="auto"/>
                              </w:divBdr>
                              <w:divsChild>
                                <w:div w:id="184204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77879">
                          <w:marLeft w:val="0"/>
                          <w:marRight w:val="0"/>
                          <w:marTop w:val="0"/>
                          <w:marBottom w:val="0"/>
                          <w:divBdr>
                            <w:top w:val="none" w:sz="0" w:space="0" w:color="auto"/>
                            <w:left w:val="none" w:sz="0" w:space="0" w:color="auto"/>
                            <w:bottom w:val="none" w:sz="0" w:space="0" w:color="auto"/>
                            <w:right w:val="none" w:sz="0" w:space="0" w:color="auto"/>
                          </w:divBdr>
                          <w:divsChild>
                            <w:div w:id="876817469">
                              <w:marLeft w:val="0"/>
                              <w:marRight w:val="0"/>
                              <w:marTop w:val="0"/>
                              <w:marBottom w:val="0"/>
                              <w:divBdr>
                                <w:top w:val="none" w:sz="0" w:space="0" w:color="auto"/>
                                <w:left w:val="none" w:sz="0" w:space="0" w:color="auto"/>
                                <w:bottom w:val="none" w:sz="0" w:space="0" w:color="auto"/>
                                <w:right w:val="none" w:sz="0" w:space="0" w:color="auto"/>
                              </w:divBdr>
                              <w:divsChild>
                                <w:div w:id="122502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788089">
                          <w:marLeft w:val="0"/>
                          <w:marRight w:val="0"/>
                          <w:marTop w:val="0"/>
                          <w:marBottom w:val="0"/>
                          <w:divBdr>
                            <w:top w:val="none" w:sz="0" w:space="0" w:color="auto"/>
                            <w:left w:val="none" w:sz="0" w:space="0" w:color="auto"/>
                            <w:bottom w:val="none" w:sz="0" w:space="0" w:color="auto"/>
                            <w:right w:val="none" w:sz="0" w:space="0" w:color="auto"/>
                          </w:divBdr>
                          <w:divsChild>
                            <w:div w:id="499547813">
                              <w:marLeft w:val="0"/>
                              <w:marRight w:val="0"/>
                              <w:marTop w:val="0"/>
                              <w:marBottom w:val="0"/>
                              <w:divBdr>
                                <w:top w:val="none" w:sz="0" w:space="0" w:color="auto"/>
                                <w:left w:val="none" w:sz="0" w:space="0" w:color="auto"/>
                                <w:bottom w:val="none" w:sz="0" w:space="0" w:color="auto"/>
                                <w:right w:val="none" w:sz="0" w:space="0" w:color="auto"/>
                              </w:divBdr>
                            </w:div>
                          </w:divsChild>
                        </w:div>
                        <w:div w:id="889607033">
                          <w:marLeft w:val="0"/>
                          <w:marRight w:val="0"/>
                          <w:marTop w:val="0"/>
                          <w:marBottom w:val="0"/>
                          <w:divBdr>
                            <w:top w:val="none" w:sz="0" w:space="0" w:color="auto"/>
                            <w:left w:val="none" w:sz="0" w:space="0" w:color="auto"/>
                            <w:bottom w:val="none" w:sz="0" w:space="0" w:color="auto"/>
                            <w:right w:val="none" w:sz="0" w:space="0" w:color="auto"/>
                          </w:divBdr>
                          <w:divsChild>
                            <w:div w:id="144972556">
                              <w:marLeft w:val="0"/>
                              <w:marRight w:val="0"/>
                              <w:marTop w:val="0"/>
                              <w:marBottom w:val="0"/>
                              <w:divBdr>
                                <w:top w:val="none" w:sz="0" w:space="0" w:color="auto"/>
                                <w:left w:val="none" w:sz="0" w:space="0" w:color="auto"/>
                                <w:bottom w:val="none" w:sz="0" w:space="0" w:color="auto"/>
                                <w:right w:val="none" w:sz="0" w:space="0" w:color="auto"/>
                              </w:divBdr>
                              <w:divsChild>
                                <w:div w:id="66612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901233">
                          <w:marLeft w:val="0"/>
                          <w:marRight w:val="0"/>
                          <w:marTop w:val="0"/>
                          <w:marBottom w:val="0"/>
                          <w:divBdr>
                            <w:top w:val="none" w:sz="0" w:space="0" w:color="auto"/>
                            <w:left w:val="none" w:sz="0" w:space="0" w:color="auto"/>
                            <w:bottom w:val="none" w:sz="0" w:space="0" w:color="auto"/>
                            <w:right w:val="none" w:sz="0" w:space="0" w:color="auto"/>
                          </w:divBdr>
                          <w:divsChild>
                            <w:div w:id="80690178">
                              <w:marLeft w:val="0"/>
                              <w:marRight w:val="0"/>
                              <w:marTop w:val="0"/>
                              <w:marBottom w:val="0"/>
                              <w:divBdr>
                                <w:top w:val="none" w:sz="0" w:space="0" w:color="auto"/>
                                <w:left w:val="none" w:sz="0" w:space="0" w:color="auto"/>
                                <w:bottom w:val="none" w:sz="0" w:space="0" w:color="auto"/>
                                <w:right w:val="none" w:sz="0" w:space="0" w:color="auto"/>
                              </w:divBdr>
                              <w:divsChild>
                                <w:div w:id="34698215">
                                  <w:marLeft w:val="0"/>
                                  <w:marRight w:val="0"/>
                                  <w:marTop w:val="0"/>
                                  <w:marBottom w:val="0"/>
                                  <w:divBdr>
                                    <w:top w:val="none" w:sz="0" w:space="0" w:color="auto"/>
                                    <w:left w:val="none" w:sz="0" w:space="0" w:color="auto"/>
                                    <w:bottom w:val="none" w:sz="0" w:space="0" w:color="auto"/>
                                    <w:right w:val="none" w:sz="0" w:space="0" w:color="auto"/>
                                  </w:divBdr>
                                  <w:divsChild>
                                    <w:div w:id="123550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6878">
                          <w:marLeft w:val="0"/>
                          <w:marRight w:val="0"/>
                          <w:marTop w:val="0"/>
                          <w:marBottom w:val="0"/>
                          <w:divBdr>
                            <w:top w:val="none" w:sz="0" w:space="0" w:color="auto"/>
                            <w:left w:val="none" w:sz="0" w:space="0" w:color="auto"/>
                            <w:bottom w:val="none" w:sz="0" w:space="0" w:color="auto"/>
                            <w:right w:val="none" w:sz="0" w:space="0" w:color="auto"/>
                          </w:divBdr>
                          <w:divsChild>
                            <w:div w:id="438451209">
                              <w:marLeft w:val="0"/>
                              <w:marRight w:val="0"/>
                              <w:marTop w:val="0"/>
                              <w:marBottom w:val="0"/>
                              <w:divBdr>
                                <w:top w:val="none" w:sz="0" w:space="0" w:color="auto"/>
                                <w:left w:val="none" w:sz="0" w:space="0" w:color="auto"/>
                                <w:bottom w:val="none" w:sz="0" w:space="0" w:color="auto"/>
                                <w:right w:val="none" w:sz="0" w:space="0" w:color="auto"/>
                              </w:divBdr>
                              <w:divsChild>
                                <w:div w:id="459030877">
                                  <w:marLeft w:val="0"/>
                                  <w:marRight w:val="0"/>
                                  <w:marTop w:val="0"/>
                                  <w:marBottom w:val="0"/>
                                  <w:divBdr>
                                    <w:top w:val="none" w:sz="0" w:space="0" w:color="auto"/>
                                    <w:left w:val="none" w:sz="0" w:space="0" w:color="auto"/>
                                    <w:bottom w:val="none" w:sz="0" w:space="0" w:color="auto"/>
                                    <w:right w:val="none" w:sz="0" w:space="0" w:color="auto"/>
                                  </w:divBdr>
                                  <w:divsChild>
                                    <w:div w:id="4352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363490">
                          <w:marLeft w:val="0"/>
                          <w:marRight w:val="0"/>
                          <w:marTop w:val="0"/>
                          <w:marBottom w:val="0"/>
                          <w:divBdr>
                            <w:top w:val="none" w:sz="0" w:space="0" w:color="auto"/>
                            <w:left w:val="none" w:sz="0" w:space="0" w:color="auto"/>
                            <w:bottom w:val="none" w:sz="0" w:space="0" w:color="auto"/>
                            <w:right w:val="none" w:sz="0" w:space="0" w:color="auto"/>
                          </w:divBdr>
                          <w:divsChild>
                            <w:div w:id="629822378">
                              <w:marLeft w:val="0"/>
                              <w:marRight w:val="0"/>
                              <w:marTop w:val="0"/>
                              <w:marBottom w:val="0"/>
                              <w:divBdr>
                                <w:top w:val="none" w:sz="0" w:space="0" w:color="auto"/>
                                <w:left w:val="none" w:sz="0" w:space="0" w:color="auto"/>
                                <w:bottom w:val="none" w:sz="0" w:space="0" w:color="auto"/>
                                <w:right w:val="none" w:sz="0" w:space="0" w:color="auto"/>
                              </w:divBdr>
                              <w:divsChild>
                                <w:div w:id="16594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9928">
                          <w:marLeft w:val="0"/>
                          <w:marRight w:val="0"/>
                          <w:marTop w:val="0"/>
                          <w:marBottom w:val="0"/>
                          <w:divBdr>
                            <w:top w:val="none" w:sz="0" w:space="0" w:color="auto"/>
                            <w:left w:val="none" w:sz="0" w:space="0" w:color="auto"/>
                            <w:bottom w:val="none" w:sz="0" w:space="0" w:color="auto"/>
                            <w:right w:val="none" w:sz="0" w:space="0" w:color="auto"/>
                          </w:divBdr>
                          <w:divsChild>
                            <w:div w:id="1020738366">
                              <w:marLeft w:val="0"/>
                              <w:marRight w:val="0"/>
                              <w:marTop w:val="0"/>
                              <w:marBottom w:val="0"/>
                              <w:divBdr>
                                <w:top w:val="none" w:sz="0" w:space="0" w:color="auto"/>
                                <w:left w:val="none" w:sz="0" w:space="0" w:color="auto"/>
                                <w:bottom w:val="none" w:sz="0" w:space="0" w:color="auto"/>
                                <w:right w:val="none" w:sz="0" w:space="0" w:color="auto"/>
                              </w:divBdr>
                            </w:div>
                          </w:divsChild>
                        </w:div>
                        <w:div w:id="1386106336">
                          <w:marLeft w:val="0"/>
                          <w:marRight w:val="0"/>
                          <w:marTop w:val="0"/>
                          <w:marBottom w:val="0"/>
                          <w:divBdr>
                            <w:top w:val="none" w:sz="0" w:space="0" w:color="auto"/>
                            <w:left w:val="none" w:sz="0" w:space="0" w:color="auto"/>
                            <w:bottom w:val="none" w:sz="0" w:space="0" w:color="auto"/>
                            <w:right w:val="none" w:sz="0" w:space="0" w:color="auto"/>
                          </w:divBdr>
                          <w:divsChild>
                            <w:div w:id="2138912233">
                              <w:marLeft w:val="0"/>
                              <w:marRight w:val="0"/>
                              <w:marTop w:val="0"/>
                              <w:marBottom w:val="0"/>
                              <w:divBdr>
                                <w:top w:val="none" w:sz="0" w:space="0" w:color="auto"/>
                                <w:left w:val="none" w:sz="0" w:space="0" w:color="auto"/>
                                <w:bottom w:val="none" w:sz="0" w:space="0" w:color="auto"/>
                                <w:right w:val="none" w:sz="0" w:space="0" w:color="auto"/>
                              </w:divBdr>
                              <w:divsChild>
                                <w:div w:id="1756781851">
                                  <w:marLeft w:val="0"/>
                                  <w:marRight w:val="0"/>
                                  <w:marTop w:val="0"/>
                                  <w:marBottom w:val="0"/>
                                  <w:divBdr>
                                    <w:top w:val="none" w:sz="0" w:space="0" w:color="auto"/>
                                    <w:left w:val="none" w:sz="0" w:space="0" w:color="auto"/>
                                    <w:bottom w:val="none" w:sz="0" w:space="0" w:color="auto"/>
                                    <w:right w:val="none" w:sz="0" w:space="0" w:color="auto"/>
                                  </w:divBdr>
                                  <w:divsChild>
                                    <w:div w:id="29317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052326">
                          <w:marLeft w:val="0"/>
                          <w:marRight w:val="0"/>
                          <w:marTop w:val="0"/>
                          <w:marBottom w:val="0"/>
                          <w:divBdr>
                            <w:top w:val="none" w:sz="0" w:space="0" w:color="auto"/>
                            <w:left w:val="none" w:sz="0" w:space="0" w:color="auto"/>
                            <w:bottom w:val="none" w:sz="0" w:space="0" w:color="auto"/>
                            <w:right w:val="none" w:sz="0" w:space="0" w:color="auto"/>
                          </w:divBdr>
                          <w:divsChild>
                            <w:div w:id="1213464905">
                              <w:marLeft w:val="0"/>
                              <w:marRight w:val="0"/>
                              <w:marTop w:val="0"/>
                              <w:marBottom w:val="0"/>
                              <w:divBdr>
                                <w:top w:val="none" w:sz="0" w:space="0" w:color="auto"/>
                                <w:left w:val="none" w:sz="0" w:space="0" w:color="auto"/>
                                <w:bottom w:val="none" w:sz="0" w:space="0" w:color="auto"/>
                                <w:right w:val="none" w:sz="0" w:space="0" w:color="auto"/>
                              </w:divBdr>
                              <w:divsChild>
                                <w:div w:id="55111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8031">
                          <w:marLeft w:val="0"/>
                          <w:marRight w:val="0"/>
                          <w:marTop w:val="0"/>
                          <w:marBottom w:val="0"/>
                          <w:divBdr>
                            <w:top w:val="none" w:sz="0" w:space="0" w:color="auto"/>
                            <w:left w:val="none" w:sz="0" w:space="0" w:color="auto"/>
                            <w:bottom w:val="none" w:sz="0" w:space="0" w:color="auto"/>
                            <w:right w:val="none" w:sz="0" w:space="0" w:color="auto"/>
                          </w:divBdr>
                          <w:divsChild>
                            <w:div w:id="186332206">
                              <w:marLeft w:val="0"/>
                              <w:marRight w:val="0"/>
                              <w:marTop w:val="0"/>
                              <w:marBottom w:val="0"/>
                              <w:divBdr>
                                <w:top w:val="none" w:sz="0" w:space="0" w:color="auto"/>
                                <w:left w:val="none" w:sz="0" w:space="0" w:color="auto"/>
                                <w:bottom w:val="none" w:sz="0" w:space="0" w:color="auto"/>
                                <w:right w:val="none" w:sz="0" w:space="0" w:color="auto"/>
                              </w:divBdr>
                            </w:div>
                          </w:divsChild>
                        </w:div>
                        <w:div w:id="1470050825">
                          <w:marLeft w:val="0"/>
                          <w:marRight w:val="0"/>
                          <w:marTop w:val="0"/>
                          <w:marBottom w:val="0"/>
                          <w:divBdr>
                            <w:top w:val="none" w:sz="0" w:space="0" w:color="auto"/>
                            <w:left w:val="none" w:sz="0" w:space="0" w:color="auto"/>
                            <w:bottom w:val="none" w:sz="0" w:space="0" w:color="auto"/>
                            <w:right w:val="none" w:sz="0" w:space="0" w:color="auto"/>
                          </w:divBdr>
                          <w:divsChild>
                            <w:div w:id="680280284">
                              <w:marLeft w:val="0"/>
                              <w:marRight w:val="0"/>
                              <w:marTop w:val="0"/>
                              <w:marBottom w:val="0"/>
                              <w:divBdr>
                                <w:top w:val="none" w:sz="0" w:space="0" w:color="auto"/>
                                <w:left w:val="none" w:sz="0" w:space="0" w:color="auto"/>
                                <w:bottom w:val="none" w:sz="0" w:space="0" w:color="auto"/>
                                <w:right w:val="none" w:sz="0" w:space="0" w:color="auto"/>
                              </w:divBdr>
                            </w:div>
                          </w:divsChild>
                        </w:div>
                        <w:div w:id="1475368145">
                          <w:marLeft w:val="0"/>
                          <w:marRight w:val="0"/>
                          <w:marTop w:val="0"/>
                          <w:marBottom w:val="0"/>
                          <w:divBdr>
                            <w:top w:val="none" w:sz="0" w:space="0" w:color="auto"/>
                            <w:left w:val="none" w:sz="0" w:space="0" w:color="auto"/>
                            <w:bottom w:val="none" w:sz="0" w:space="0" w:color="auto"/>
                            <w:right w:val="none" w:sz="0" w:space="0" w:color="auto"/>
                          </w:divBdr>
                          <w:divsChild>
                            <w:div w:id="1385368469">
                              <w:marLeft w:val="0"/>
                              <w:marRight w:val="0"/>
                              <w:marTop w:val="0"/>
                              <w:marBottom w:val="0"/>
                              <w:divBdr>
                                <w:top w:val="none" w:sz="0" w:space="0" w:color="auto"/>
                                <w:left w:val="none" w:sz="0" w:space="0" w:color="auto"/>
                                <w:bottom w:val="none" w:sz="0" w:space="0" w:color="auto"/>
                                <w:right w:val="none" w:sz="0" w:space="0" w:color="auto"/>
                              </w:divBdr>
                            </w:div>
                          </w:divsChild>
                        </w:div>
                        <w:div w:id="1597401743">
                          <w:marLeft w:val="0"/>
                          <w:marRight w:val="0"/>
                          <w:marTop w:val="0"/>
                          <w:marBottom w:val="0"/>
                          <w:divBdr>
                            <w:top w:val="none" w:sz="0" w:space="0" w:color="auto"/>
                            <w:left w:val="none" w:sz="0" w:space="0" w:color="auto"/>
                            <w:bottom w:val="none" w:sz="0" w:space="0" w:color="auto"/>
                            <w:right w:val="none" w:sz="0" w:space="0" w:color="auto"/>
                          </w:divBdr>
                          <w:divsChild>
                            <w:div w:id="398284712">
                              <w:marLeft w:val="0"/>
                              <w:marRight w:val="0"/>
                              <w:marTop w:val="0"/>
                              <w:marBottom w:val="0"/>
                              <w:divBdr>
                                <w:top w:val="none" w:sz="0" w:space="0" w:color="auto"/>
                                <w:left w:val="none" w:sz="0" w:space="0" w:color="auto"/>
                                <w:bottom w:val="none" w:sz="0" w:space="0" w:color="auto"/>
                                <w:right w:val="none" w:sz="0" w:space="0" w:color="auto"/>
                              </w:divBdr>
                            </w:div>
                          </w:divsChild>
                        </w:div>
                        <w:div w:id="1615940899">
                          <w:marLeft w:val="0"/>
                          <w:marRight w:val="0"/>
                          <w:marTop w:val="0"/>
                          <w:marBottom w:val="0"/>
                          <w:divBdr>
                            <w:top w:val="none" w:sz="0" w:space="0" w:color="auto"/>
                            <w:left w:val="none" w:sz="0" w:space="0" w:color="auto"/>
                            <w:bottom w:val="none" w:sz="0" w:space="0" w:color="auto"/>
                            <w:right w:val="none" w:sz="0" w:space="0" w:color="auto"/>
                          </w:divBdr>
                          <w:divsChild>
                            <w:div w:id="1880162530">
                              <w:marLeft w:val="0"/>
                              <w:marRight w:val="0"/>
                              <w:marTop w:val="0"/>
                              <w:marBottom w:val="0"/>
                              <w:divBdr>
                                <w:top w:val="none" w:sz="0" w:space="0" w:color="auto"/>
                                <w:left w:val="none" w:sz="0" w:space="0" w:color="auto"/>
                                <w:bottom w:val="none" w:sz="0" w:space="0" w:color="auto"/>
                                <w:right w:val="none" w:sz="0" w:space="0" w:color="auto"/>
                              </w:divBdr>
                              <w:divsChild>
                                <w:div w:id="38352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8534">
                          <w:marLeft w:val="0"/>
                          <w:marRight w:val="0"/>
                          <w:marTop w:val="0"/>
                          <w:marBottom w:val="0"/>
                          <w:divBdr>
                            <w:top w:val="none" w:sz="0" w:space="0" w:color="auto"/>
                            <w:left w:val="none" w:sz="0" w:space="0" w:color="auto"/>
                            <w:bottom w:val="none" w:sz="0" w:space="0" w:color="auto"/>
                            <w:right w:val="none" w:sz="0" w:space="0" w:color="auto"/>
                          </w:divBdr>
                          <w:divsChild>
                            <w:div w:id="1020199962">
                              <w:marLeft w:val="0"/>
                              <w:marRight w:val="0"/>
                              <w:marTop w:val="0"/>
                              <w:marBottom w:val="0"/>
                              <w:divBdr>
                                <w:top w:val="none" w:sz="0" w:space="0" w:color="auto"/>
                                <w:left w:val="none" w:sz="0" w:space="0" w:color="auto"/>
                                <w:bottom w:val="none" w:sz="0" w:space="0" w:color="auto"/>
                                <w:right w:val="none" w:sz="0" w:space="0" w:color="auto"/>
                              </w:divBdr>
                              <w:divsChild>
                                <w:div w:id="12098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46540">
                          <w:marLeft w:val="0"/>
                          <w:marRight w:val="0"/>
                          <w:marTop w:val="0"/>
                          <w:marBottom w:val="0"/>
                          <w:divBdr>
                            <w:top w:val="none" w:sz="0" w:space="0" w:color="auto"/>
                            <w:left w:val="none" w:sz="0" w:space="0" w:color="auto"/>
                            <w:bottom w:val="none" w:sz="0" w:space="0" w:color="auto"/>
                            <w:right w:val="none" w:sz="0" w:space="0" w:color="auto"/>
                          </w:divBdr>
                          <w:divsChild>
                            <w:div w:id="870337297">
                              <w:marLeft w:val="0"/>
                              <w:marRight w:val="0"/>
                              <w:marTop w:val="0"/>
                              <w:marBottom w:val="0"/>
                              <w:divBdr>
                                <w:top w:val="none" w:sz="0" w:space="0" w:color="auto"/>
                                <w:left w:val="none" w:sz="0" w:space="0" w:color="auto"/>
                                <w:bottom w:val="none" w:sz="0" w:space="0" w:color="auto"/>
                                <w:right w:val="none" w:sz="0" w:space="0" w:color="auto"/>
                              </w:divBdr>
                              <w:divsChild>
                                <w:div w:id="58511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07330">
                          <w:marLeft w:val="0"/>
                          <w:marRight w:val="0"/>
                          <w:marTop w:val="0"/>
                          <w:marBottom w:val="0"/>
                          <w:divBdr>
                            <w:top w:val="none" w:sz="0" w:space="0" w:color="auto"/>
                            <w:left w:val="none" w:sz="0" w:space="0" w:color="auto"/>
                            <w:bottom w:val="none" w:sz="0" w:space="0" w:color="auto"/>
                            <w:right w:val="none" w:sz="0" w:space="0" w:color="auto"/>
                          </w:divBdr>
                          <w:divsChild>
                            <w:div w:id="1911505230">
                              <w:marLeft w:val="0"/>
                              <w:marRight w:val="0"/>
                              <w:marTop w:val="0"/>
                              <w:marBottom w:val="0"/>
                              <w:divBdr>
                                <w:top w:val="none" w:sz="0" w:space="0" w:color="auto"/>
                                <w:left w:val="none" w:sz="0" w:space="0" w:color="auto"/>
                                <w:bottom w:val="none" w:sz="0" w:space="0" w:color="auto"/>
                                <w:right w:val="none" w:sz="0" w:space="0" w:color="auto"/>
                              </w:divBdr>
                              <w:divsChild>
                                <w:div w:id="131926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73753">
                          <w:marLeft w:val="0"/>
                          <w:marRight w:val="0"/>
                          <w:marTop w:val="0"/>
                          <w:marBottom w:val="0"/>
                          <w:divBdr>
                            <w:top w:val="none" w:sz="0" w:space="0" w:color="auto"/>
                            <w:left w:val="none" w:sz="0" w:space="0" w:color="auto"/>
                            <w:bottom w:val="none" w:sz="0" w:space="0" w:color="auto"/>
                            <w:right w:val="none" w:sz="0" w:space="0" w:color="auto"/>
                          </w:divBdr>
                          <w:divsChild>
                            <w:div w:id="1650354426">
                              <w:marLeft w:val="0"/>
                              <w:marRight w:val="0"/>
                              <w:marTop w:val="0"/>
                              <w:marBottom w:val="0"/>
                              <w:divBdr>
                                <w:top w:val="none" w:sz="0" w:space="0" w:color="auto"/>
                                <w:left w:val="none" w:sz="0" w:space="0" w:color="auto"/>
                                <w:bottom w:val="none" w:sz="0" w:space="0" w:color="auto"/>
                                <w:right w:val="none" w:sz="0" w:space="0" w:color="auto"/>
                              </w:divBdr>
                              <w:divsChild>
                                <w:div w:id="747921547">
                                  <w:marLeft w:val="0"/>
                                  <w:marRight w:val="0"/>
                                  <w:marTop w:val="0"/>
                                  <w:marBottom w:val="0"/>
                                  <w:divBdr>
                                    <w:top w:val="none" w:sz="0" w:space="0" w:color="auto"/>
                                    <w:left w:val="none" w:sz="0" w:space="0" w:color="auto"/>
                                    <w:bottom w:val="none" w:sz="0" w:space="0" w:color="auto"/>
                                    <w:right w:val="none" w:sz="0" w:space="0" w:color="auto"/>
                                  </w:divBdr>
                                  <w:divsChild>
                                    <w:div w:id="210418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551645">
                          <w:marLeft w:val="0"/>
                          <w:marRight w:val="0"/>
                          <w:marTop w:val="0"/>
                          <w:marBottom w:val="0"/>
                          <w:divBdr>
                            <w:top w:val="none" w:sz="0" w:space="0" w:color="auto"/>
                            <w:left w:val="none" w:sz="0" w:space="0" w:color="auto"/>
                            <w:bottom w:val="none" w:sz="0" w:space="0" w:color="auto"/>
                            <w:right w:val="none" w:sz="0" w:space="0" w:color="auto"/>
                          </w:divBdr>
                          <w:divsChild>
                            <w:div w:id="821502067">
                              <w:marLeft w:val="0"/>
                              <w:marRight w:val="0"/>
                              <w:marTop w:val="0"/>
                              <w:marBottom w:val="0"/>
                              <w:divBdr>
                                <w:top w:val="none" w:sz="0" w:space="0" w:color="auto"/>
                                <w:left w:val="none" w:sz="0" w:space="0" w:color="auto"/>
                                <w:bottom w:val="none" w:sz="0" w:space="0" w:color="auto"/>
                                <w:right w:val="none" w:sz="0" w:space="0" w:color="auto"/>
                              </w:divBdr>
                              <w:divsChild>
                                <w:div w:id="2119133433">
                                  <w:marLeft w:val="0"/>
                                  <w:marRight w:val="0"/>
                                  <w:marTop w:val="0"/>
                                  <w:marBottom w:val="0"/>
                                  <w:divBdr>
                                    <w:top w:val="none" w:sz="0" w:space="0" w:color="auto"/>
                                    <w:left w:val="none" w:sz="0" w:space="0" w:color="auto"/>
                                    <w:bottom w:val="none" w:sz="0" w:space="0" w:color="auto"/>
                                    <w:right w:val="none" w:sz="0" w:space="0" w:color="auto"/>
                                  </w:divBdr>
                                  <w:divsChild>
                                    <w:div w:id="16519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633029">
                          <w:marLeft w:val="0"/>
                          <w:marRight w:val="0"/>
                          <w:marTop w:val="0"/>
                          <w:marBottom w:val="0"/>
                          <w:divBdr>
                            <w:top w:val="none" w:sz="0" w:space="0" w:color="auto"/>
                            <w:left w:val="none" w:sz="0" w:space="0" w:color="auto"/>
                            <w:bottom w:val="none" w:sz="0" w:space="0" w:color="auto"/>
                            <w:right w:val="none" w:sz="0" w:space="0" w:color="auto"/>
                          </w:divBdr>
                          <w:divsChild>
                            <w:div w:id="2131315226">
                              <w:marLeft w:val="0"/>
                              <w:marRight w:val="0"/>
                              <w:marTop w:val="0"/>
                              <w:marBottom w:val="0"/>
                              <w:divBdr>
                                <w:top w:val="none" w:sz="0" w:space="0" w:color="auto"/>
                                <w:left w:val="none" w:sz="0" w:space="0" w:color="auto"/>
                                <w:bottom w:val="none" w:sz="0" w:space="0" w:color="auto"/>
                                <w:right w:val="none" w:sz="0" w:space="0" w:color="auto"/>
                              </w:divBdr>
                              <w:divsChild>
                                <w:div w:id="1365181240">
                                  <w:marLeft w:val="0"/>
                                  <w:marRight w:val="0"/>
                                  <w:marTop w:val="0"/>
                                  <w:marBottom w:val="0"/>
                                  <w:divBdr>
                                    <w:top w:val="none" w:sz="0" w:space="0" w:color="auto"/>
                                    <w:left w:val="none" w:sz="0" w:space="0" w:color="auto"/>
                                    <w:bottom w:val="none" w:sz="0" w:space="0" w:color="auto"/>
                                    <w:right w:val="none" w:sz="0" w:space="0" w:color="auto"/>
                                  </w:divBdr>
                                  <w:divsChild>
                                    <w:div w:id="213451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20020">
                          <w:marLeft w:val="0"/>
                          <w:marRight w:val="0"/>
                          <w:marTop w:val="0"/>
                          <w:marBottom w:val="0"/>
                          <w:divBdr>
                            <w:top w:val="none" w:sz="0" w:space="0" w:color="auto"/>
                            <w:left w:val="none" w:sz="0" w:space="0" w:color="auto"/>
                            <w:bottom w:val="none" w:sz="0" w:space="0" w:color="auto"/>
                            <w:right w:val="none" w:sz="0" w:space="0" w:color="auto"/>
                          </w:divBdr>
                          <w:divsChild>
                            <w:div w:id="616716554">
                              <w:marLeft w:val="0"/>
                              <w:marRight w:val="0"/>
                              <w:marTop w:val="0"/>
                              <w:marBottom w:val="0"/>
                              <w:divBdr>
                                <w:top w:val="none" w:sz="0" w:space="0" w:color="auto"/>
                                <w:left w:val="none" w:sz="0" w:space="0" w:color="auto"/>
                                <w:bottom w:val="none" w:sz="0" w:space="0" w:color="auto"/>
                                <w:right w:val="none" w:sz="0" w:space="0" w:color="auto"/>
                              </w:divBdr>
                              <w:divsChild>
                                <w:div w:id="172710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457880">
                          <w:marLeft w:val="0"/>
                          <w:marRight w:val="0"/>
                          <w:marTop w:val="0"/>
                          <w:marBottom w:val="0"/>
                          <w:divBdr>
                            <w:top w:val="none" w:sz="0" w:space="0" w:color="auto"/>
                            <w:left w:val="none" w:sz="0" w:space="0" w:color="auto"/>
                            <w:bottom w:val="none" w:sz="0" w:space="0" w:color="auto"/>
                            <w:right w:val="none" w:sz="0" w:space="0" w:color="auto"/>
                          </w:divBdr>
                          <w:divsChild>
                            <w:div w:id="478614786">
                              <w:marLeft w:val="0"/>
                              <w:marRight w:val="0"/>
                              <w:marTop w:val="0"/>
                              <w:marBottom w:val="0"/>
                              <w:divBdr>
                                <w:top w:val="none" w:sz="0" w:space="0" w:color="auto"/>
                                <w:left w:val="none" w:sz="0" w:space="0" w:color="auto"/>
                                <w:bottom w:val="none" w:sz="0" w:space="0" w:color="auto"/>
                                <w:right w:val="none" w:sz="0" w:space="0" w:color="auto"/>
                              </w:divBdr>
                            </w:div>
                          </w:divsChild>
                        </w:div>
                        <w:div w:id="2053380722">
                          <w:marLeft w:val="0"/>
                          <w:marRight w:val="0"/>
                          <w:marTop w:val="0"/>
                          <w:marBottom w:val="0"/>
                          <w:divBdr>
                            <w:top w:val="none" w:sz="0" w:space="0" w:color="auto"/>
                            <w:left w:val="none" w:sz="0" w:space="0" w:color="auto"/>
                            <w:bottom w:val="none" w:sz="0" w:space="0" w:color="auto"/>
                            <w:right w:val="none" w:sz="0" w:space="0" w:color="auto"/>
                          </w:divBdr>
                          <w:divsChild>
                            <w:div w:id="274485647">
                              <w:marLeft w:val="0"/>
                              <w:marRight w:val="0"/>
                              <w:marTop w:val="0"/>
                              <w:marBottom w:val="0"/>
                              <w:divBdr>
                                <w:top w:val="none" w:sz="0" w:space="0" w:color="auto"/>
                                <w:left w:val="none" w:sz="0" w:space="0" w:color="auto"/>
                                <w:bottom w:val="none" w:sz="0" w:space="0" w:color="auto"/>
                                <w:right w:val="none" w:sz="0" w:space="0" w:color="auto"/>
                              </w:divBdr>
                            </w:div>
                          </w:divsChild>
                        </w:div>
                        <w:div w:id="2082822312">
                          <w:marLeft w:val="0"/>
                          <w:marRight w:val="0"/>
                          <w:marTop w:val="0"/>
                          <w:marBottom w:val="0"/>
                          <w:divBdr>
                            <w:top w:val="none" w:sz="0" w:space="0" w:color="auto"/>
                            <w:left w:val="none" w:sz="0" w:space="0" w:color="auto"/>
                            <w:bottom w:val="none" w:sz="0" w:space="0" w:color="auto"/>
                            <w:right w:val="none" w:sz="0" w:space="0" w:color="auto"/>
                          </w:divBdr>
                          <w:divsChild>
                            <w:div w:id="200377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076004">
          <w:marLeft w:val="0"/>
          <w:marRight w:val="0"/>
          <w:marTop w:val="0"/>
          <w:marBottom w:val="0"/>
          <w:divBdr>
            <w:top w:val="none" w:sz="0" w:space="0" w:color="auto"/>
            <w:left w:val="none" w:sz="0" w:space="0" w:color="auto"/>
            <w:bottom w:val="none" w:sz="0" w:space="0" w:color="auto"/>
            <w:right w:val="none" w:sz="0" w:space="0" w:color="auto"/>
          </w:divBdr>
        </w:div>
      </w:divsChild>
    </w:div>
    <w:div w:id="1628464990">
      <w:bodyDiv w:val="1"/>
      <w:marLeft w:val="0"/>
      <w:marRight w:val="0"/>
      <w:marTop w:val="0"/>
      <w:marBottom w:val="0"/>
      <w:divBdr>
        <w:top w:val="none" w:sz="0" w:space="0" w:color="auto"/>
        <w:left w:val="none" w:sz="0" w:space="0" w:color="auto"/>
        <w:bottom w:val="none" w:sz="0" w:space="0" w:color="auto"/>
        <w:right w:val="none" w:sz="0" w:space="0" w:color="auto"/>
      </w:divBdr>
    </w:div>
    <w:div w:id="1683120647">
      <w:bodyDiv w:val="1"/>
      <w:marLeft w:val="0"/>
      <w:marRight w:val="0"/>
      <w:marTop w:val="0"/>
      <w:marBottom w:val="0"/>
      <w:divBdr>
        <w:top w:val="none" w:sz="0" w:space="0" w:color="auto"/>
        <w:left w:val="none" w:sz="0" w:space="0" w:color="auto"/>
        <w:bottom w:val="none" w:sz="0" w:space="0" w:color="auto"/>
        <w:right w:val="none" w:sz="0" w:space="0" w:color="auto"/>
      </w:divBdr>
    </w:div>
    <w:div w:id="1684626241">
      <w:bodyDiv w:val="1"/>
      <w:marLeft w:val="0"/>
      <w:marRight w:val="0"/>
      <w:marTop w:val="0"/>
      <w:marBottom w:val="0"/>
      <w:divBdr>
        <w:top w:val="none" w:sz="0" w:space="0" w:color="auto"/>
        <w:left w:val="none" w:sz="0" w:space="0" w:color="auto"/>
        <w:bottom w:val="none" w:sz="0" w:space="0" w:color="auto"/>
        <w:right w:val="none" w:sz="0" w:space="0" w:color="auto"/>
      </w:divBdr>
    </w:div>
    <w:div w:id="1715423054">
      <w:bodyDiv w:val="1"/>
      <w:marLeft w:val="0"/>
      <w:marRight w:val="0"/>
      <w:marTop w:val="0"/>
      <w:marBottom w:val="0"/>
      <w:divBdr>
        <w:top w:val="none" w:sz="0" w:space="0" w:color="auto"/>
        <w:left w:val="none" w:sz="0" w:space="0" w:color="auto"/>
        <w:bottom w:val="none" w:sz="0" w:space="0" w:color="auto"/>
        <w:right w:val="none" w:sz="0" w:space="0" w:color="auto"/>
      </w:divBdr>
    </w:div>
    <w:div w:id="1715540817">
      <w:bodyDiv w:val="1"/>
      <w:marLeft w:val="0"/>
      <w:marRight w:val="0"/>
      <w:marTop w:val="0"/>
      <w:marBottom w:val="0"/>
      <w:divBdr>
        <w:top w:val="none" w:sz="0" w:space="0" w:color="auto"/>
        <w:left w:val="none" w:sz="0" w:space="0" w:color="auto"/>
        <w:bottom w:val="none" w:sz="0" w:space="0" w:color="auto"/>
        <w:right w:val="none" w:sz="0" w:space="0" w:color="auto"/>
      </w:divBdr>
    </w:div>
    <w:div w:id="1729256798">
      <w:bodyDiv w:val="1"/>
      <w:marLeft w:val="0"/>
      <w:marRight w:val="0"/>
      <w:marTop w:val="0"/>
      <w:marBottom w:val="0"/>
      <w:divBdr>
        <w:top w:val="none" w:sz="0" w:space="0" w:color="auto"/>
        <w:left w:val="none" w:sz="0" w:space="0" w:color="auto"/>
        <w:bottom w:val="none" w:sz="0" w:space="0" w:color="auto"/>
        <w:right w:val="none" w:sz="0" w:space="0" w:color="auto"/>
      </w:divBdr>
    </w:div>
    <w:div w:id="1778258155">
      <w:bodyDiv w:val="1"/>
      <w:marLeft w:val="0"/>
      <w:marRight w:val="0"/>
      <w:marTop w:val="0"/>
      <w:marBottom w:val="0"/>
      <w:divBdr>
        <w:top w:val="none" w:sz="0" w:space="0" w:color="auto"/>
        <w:left w:val="none" w:sz="0" w:space="0" w:color="auto"/>
        <w:bottom w:val="none" w:sz="0" w:space="0" w:color="auto"/>
        <w:right w:val="none" w:sz="0" w:space="0" w:color="auto"/>
      </w:divBdr>
    </w:div>
    <w:div w:id="1860268972">
      <w:bodyDiv w:val="1"/>
      <w:marLeft w:val="0"/>
      <w:marRight w:val="0"/>
      <w:marTop w:val="0"/>
      <w:marBottom w:val="0"/>
      <w:divBdr>
        <w:top w:val="none" w:sz="0" w:space="0" w:color="auto"/>
        <w:left w:val="none" w:sz="0" w:space="0" w:color="auto"/>
        <w:bottom w:val="none" w:sz="0" w:space="0" w:color="auto"/>
        <w:right w:val="none" w:sz="0" w:space="0" w:color="auto"/>
      </w:divBdr>
    </w:div>
    <w:div w:id="1888907934">
      <w:bodyDiv w:val="1"/>
      <w:marLeft w:val="0"/>
      <w:marRight w:val="0"/>
      <w:marTop w:val="0"/>
      <w:marBottom w:val="0"/>
      <w:divBdr>
        <w:top w:val="none" w:sz="0" w:space="0" w:color="auto"/>
        <w:left w:val="none" w:sz="0" w:space="0" w:color="auto"/>
        <w:bottom w:val="none" w:sz="0" w:space="0" w:color="auto"/>
        <w:right w:val="none" w:sz="0" w:space="0" w:color="auto"/>
      </w:divBdr>
    </w:div>
    <w:div w:id="1897617011">
      <w:bodyDiv w:val="1"/>
      <w:marLeft w:val="0"/>
      <w:marRight w:val="0"/>
      <w:marTop w:val="0"/>
      <w:marBottom w:val="0"/>
      <w:divBdr>
        <w:top w:val="none" w:sz="0" w:space="0" w:color="auto"/>
        <w:left w:val="none" w:sz="0" w:space="0" w:color="auto"/>
        <w:bottom w:val="none" w:sz="0" w:space="0" w:color="auto"/>
        <w:right w:val="none" w:sz="0" w:space="0" w:color="auto"/>
      </w:divBdr>
    </w:div>
    <w:div w:id="1964579051">
      <w:bodyDiv w:val="1"/>
      <w:marLeft w:val="0"/>
      <w:marRight w:val="0"/>
      <w:marTop w:val="0"/>
      <w:marBottom w:val="0"/>
      <w:divBdr>
        <w:top w:val="none" w:sz="0" w:space="0" w:color="auto"/>
        <w:left w:val="none" w:sz="0" w:space="0" w:color="auto"/>
        <w:bottom w:val="none" w:sz="0" w:space="0" w:color="auto"/>
        <w:right w:val="none" w:sz="0" w:space="0" w:color="auto"/>
      </w:divBdr>
    </w:div>
    <w:div w:id="1971130100">
      <w:bodyDiv w:val="1"/>
      <w:marLeft w:val="0"/>
      <w:marRight w:val="0"/>
      <w:marTop w:val="0"/>
      <w:marBottom w:val="0"/>
      <w:divBdr>
        <w:top w:val="none" w:sz="0" w:space="0" w:color="auto"/>
        <w:left w:val="none" w:sz="0" w:space="0" w:color="auto"/>
        <w:bottom w:val="none" w:sz="0" w:space="0" w:color="auto"/>
        <w:right w:val="none" w:sz="0" w:space="0" w:color="auto"/>
      </w:divBdr>
    </w:div>
    <w:div w:id="1981617600">
      <w:bodyDiv w:val="1"/>
      <w:marLeft w:val="0"/>
      <w:marRight w:val="0"/>
      <w:marTop w:val="0"/>
      <w:marBottom w:val="0"/>
      <w:divBdr>
        <w:top w:val="none" w:sz="0" w:space="0" w:color="auto"/>
        <w:left w:val="none" w:sz="0" w:space="0" w:color="auto"/>
        <w:bottom w:val="none" w:sz="0" w:space="0" w:color="auto"/>
        <w:right w:val="none" w:sz="0" w:space="0" w:color="auto"/>
      </w:divBdr>
    </w:div>
    <w:div w:id="1990864344">
      <w:bodyDiv w:val="1"/>
      <w:marLeft w:val="0"/>
      <w:marRight w:val="0"/>
      <w:marTop w:val="0"/>
      <w:marBottom w:val="0"/>
      <w:divBdr>
        <w:top w:val="none" w:sz="0" w:space="0" w:color="auto"/>
        <w:left w:val="none" w:sz="0" w:space="0" w:color="auto"/>
        <w:bottom w:val="none" w:sz="0" w:space="0" w:color="auto"/>
        <w:right w:val="none" w:sz="0" w:space="0" w:color="auto"/>
      </w:divBdr>
    </w:div>
    <w:div w:id="2011909481">
      <w:bodyDiv w:val="1"/>
      <w:marLeft w:val="0"/>
      <w:marRight w:val="0"/>
      <w:marTop w:val="0"/>
      <w:marBottom w:val="0"/>
      <w:divBdr>
        <w:top w:val="none" w:sz="0" w:space="0" w:color="auto"/>
        <w:left w:val="none" w:sz="0" w:space="0" w:color="auto"/>
        <w:bottom w:val="none" w:sz="0" w:space="0" w:color="auto"/>
        <w:right w:val="none" w:sz="0" w:space="0" w:color="auto"/>
      </w:divBdr>
    </w:div>
    <w:div w:id="2033459212">
      <w:bodyDiv w:val="1"/>
      <w:marLeft w:val="0"/>
      <w:marRight w:val="0"/>
      <w:marTop w:val="0"/>
      <w:marBottom w:val="0"/>
      <w:divBdr>
        <w:top w:val="none" w:sz="0" w:space="0" w:color="auto"/>
        <w:left w:val="none" w:sz="0" w:space="0" w:color="auto"/>
        <w:bottom w:val="none" w:sz="0" w:space="0" w:color="auto"/>
        <w:right w:val="none" w:sz="0" w:space="0" w:color="auto"/>
      </w:divBdr>
    </w:div>
    <w:div w:id="2062167608">
      <w:bodyDiv w:val="1"/>
      <w:marLeft w:val="0"/>
      <w:marRight w:val="0"/>
      <w:marTop w:val="0"/>
      <w:marBottom w:val="0"/>
      <w:divBdr>
        <w:top w:val="none" w:sz="0" w:space="0" w:color="auto"/>
        <w:left w:val="none" w:sz="0" w:space="0" w:color="auto"/>
        <w:bottom w:val="none" w:sz="0" w:space="0" w:color="auto"/>
        <w:right w:val="none" w:sz="0" w:space="0" w:color="auto"/>
      </w:divBdr>
    </w:div>
    <w:div w:id="2069651096">
      <w:bodyDiv w:val="1"/>
      <w:marLeft w:val="0"/>
      <w:marRight w:val="0"/>
      <w:marTop w:val="0"/>
      <w:marBottom w:val="0"/>
      <w:divBdr>
        <w:top w:val="none" w:sz="0" w:space="0" w:color="auto"/>
        <w:left w:val="none" w:sz="0" w:space="0" w:color="auto"/>
        <w:bottom w:val="none" w:sz="0" w:space="0" w:color="auto"/>
        <w:right w:val="none" w:sz="0" w:space="0" w:color="auto"/>
      </w:divBdr>
    </w:div>
    <w:div w:id="2080050412">
      <w:bodyDiv w:val="1"/>
      <w:marLeft w:val="0"/>
      <w:marRight w:val="0"/>
      <w:marTop w:val="0"/>
      <w:marBottom w:val="0"/>
      <w:divBdr>
        <w:top w:val="none" w:sz="0" w:space="0" w:color="auto"/>
        <w:left w:val="none" w:sz="0" w:space="0" w:color="auto"/>
        <w:bottom w:val="none" w:sz="0" w:space="0" w:color="auto"/>
        <w:right w:val="none" w:sz="0" w:space="0" w:color="auto"/>
      </w:divBdr>
    </w:div>
    <w:div w:id="2114469227">
      <w:bodyDiv w:val="1"/>
      <w:marLeft w:val="0"/>
      <w:marRight w:val="0"/>
      <w:marTop w:val="0"/>
      <w:marBottom w:val="0"/>
      <w:divBdr>
        <w:top w:val="none" w:sz="0" w:space="0" w:color="auto"/>
        <w:left w:val="none" w:sz="0" w:space="0" w:color="auto"/>
        <w:bottom w:val="none" w:sz="0" w:space="0" w:color="auto"/>
        <w:right w:val="none" w:sz="0" w:space="0" w:color="auto"/>
      </w:divBdr>
    </w:div>
    <w:div w:id="211466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med.farrag@cu.edu.eg" TargetMode="External"/><Relationship Id="rId13" Type="http://schemas.openxmlformats.org/officeDocument/2006/relationships/image" Target="media/image3.png"/><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hyperlink" Target="mailto:ahmedm.kamel@pharma.cu.edu.eg" TargetMode="External"/><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 dockstate="right" visibility="0" width="350" row="3">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01727666-B024-45C2-984D-0F6B496649BB}">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F294B716-1E2C-4DD5-BE19-3252087E591E}">
  <we:reference id="wa200001361" version="2.129.3.0" store="en-US" storeType="OMEX"/>
  <we:alternateReferences>
    <we:reference id="WA200001361" version="2.129.3.0" store="" storeType="OMEX"/>
  </we:alternateReferences>
  <we:properties>
    <we:property name="paperpal-document-id" value="&quot;027230bd-7c75-4125-80e5-9fad13adf88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AED73-0EF7-4E1E-8F65-92E884C22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1257</TotalTime>
  <Pages>22</Pages>
  <Words>17978</Words>
  <Characters>102480</Characters>
  <Application>Microsoft Office Word</Application>
  <DocSecurity>0</DocSecurity>
  <Lines>854</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120218</CharactersWithSpaces>
  <SharedDoc>false</SharedDoc>
  <HLinks>
    <vt:vector size="54" baseType="variant">
      <vt:variant>
        <vt:i4>1376311</vt:i4>
      </vt:variant>
      <vt:variant>
        <vt:i4>50</vt:i4>
      </vt:variant>
      <vt:variant>
        <vt:i4>0</vt:i4>
      </vt:variant>
      <vt:variant>
        <vt:i4>5</vt:i4>
      </vt:variant>
      <vt:variant>
        <vt:lpwstr/>
      </vt:variant>
      <vt:variant>
        <vt:lpwstr>_Toc156601006</vt:lpwstr>
      </vt:variant>
      <vt:variant>
        <vt:i4>1376311</vt:i4>
      </vt:variant>
      <vt:variant>
        <vt:i4>44</vt:i4>
      </vt:variant>
      <vt:variant>
        <vt:i4>0</vt:i4>
      </vt:variant>
      <vt:variant>
        <vt:i4>5</vt:i4>
      </vt:variant>
      <vt:variant>
        <vt:lpwstr/>
      </vt:variant>
      <vt:variant>
        <vt:lpwstr>_Toc156601005</vt:lpwstr>
      </vt:variant>
      <vt:variant>
        <vt:i4>1376311</vt:i4>
      </vt:variant>
      <vt:variant>
        <vt:i4>38</vt:i4>
      </vt:variant>
      <vt:variant>
        <vt:i4>0</vt:i4>
      </vt:variant>
      <vt:variant>
        <vt:i4>5</vt:i4>
      </vt:variant>
      <vt:variant>
        <vt:lpwstr/>
      </vt:variant>
      <vt:variant>
        <vt:lpwstr>_Toc156601004</vt:lpwstr>
      </vt:variant>
      <vt:variant>
        <vt:i4>1376311</vt:i4>
      </vt:variant>
      <vt:variant>
        <vt:i4>32</vt:i4>
      </vt:variant>
      <vt:variant>
        <vt:i4>0</vt:i4>
      </vt:variant>
      <vt:variant>
        <vt:i4>5</vt:i4>
      </vt:variant>
      <vt:variant>
        <vt:lpwstr/>
      </vt:variant>
      <vt:variant>
        <vt:lpwstr>_Toc156601003</vt:lpwstr>
      </vt:variant>
      <vt:variant>
        <vt:i4>1376311</vt:i4>
      </vt:variant>
      <vt:variant>
        <vt:i4>26</vt:i4>
      </vt:variant>
      <vt:variant>
        <vt:i4>0</vt:i4>
      </vt:variant>
      <vt:variant>
        <vt:i4>5</vt:i4>
      </vt:variant>
      <vt:variant>
        <vt:lpwstr/>
      </vt:variant>
      <vt:variant>
        <vt:lpwstr>_Toc156601002</vt:lpwstr>
      </vt:variant>
      <vt:variant>
        <vt:i4>1376311</vt:i4>
      </vt:variant>
      <vt:variant>
        <vt:i4>20</vt:i4>
      </vt:variant>
      <vt:variant>
        <vt:i4>0</vt:i4>
      </vt:variant>
      <vt:variant>
        <vt:i4>5</vt:i4>
      </vt:variant>
      <vt:variant>
        <vt:lpwstr/>
      </vt:variant>
      <vt:variant>
        <vt:lpwstr>_Toc156601001</vt:lpwstr>
      </vt:variant>
      <vt:variant>
        <vt:i4>1376311</vt:i4>
      </vt:variant>
      <vt:variant>
        <vt:i4>14</vt:i4>
      </vt:variant>
      <vt:variant>
        <vt:i4>0</vt:i4>
      </vt:variant>
      <vt:variant>
        <vt:i4>5</vt:i4>
      </vt:variant>
      <vt:variant>
        <vt:lpwstr/>
      </vt:variant>
      <vt:variant>
        <vt:lpwstr>_Toc156601000</vt:lpwstr>
      </vt:variant>
      <vt:variant>
        <vt:i4>1900606</vt:i4>
      </vt:variant>
      <vt:variant>
        <vt:i4>8</vt:i4>
      </vt:variant>
      <vt:variant>
        <vt:i4>0</vt:i4>
      </vt:variant>
      <vt:variant>
        <vt:i4>5</vt:i4>
      </vt:variant>
      <vt:variant>
        <vt:lpwstr/>
      </vt:variant>
      <vt:variant>
        <vt:lpwstr>_Toc156600999</vt:lpwstr>
      </vt:variant>
      <vt:variant>
        <vt:i4>1900606</vt:i4>
      </vt:variant>
      <vt:variant>
        <vt:i4>2</vt:i4>
      </vt:variant>
      <vt:variant>
        <vt:i4>0</vt:i4>
      </vt:variant>
      <vt:variant>
        <vt:i4>5</vt:i4>
      </vt:variant>
      <vt:variant>
        <vt:lpwstr/>
      </vt:variant>
      <vt:variant>
        <vt:lpwstr>_Toc156600998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O'Connor</dc:creator>
  <cp:keywords/>
  <dc:description/>
  <cp:lastModifiedBy>Ahmed Nabil Ahmed Mohamed Farrag</cp:lastModifiedBy>
  <cp:revision>27</cp:revision>
  <dcterms:created xsi:type="dcterms:W3CDTF">2024-01-30T07:19:00Z</dcterms:created>
  <dcterms:modified xsi:type="dcterms:W3CDTF">2024-12-20T01:01:00Z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Document_1">
    <vt:lpwstr>True</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6th/7th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12th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http://www.zotero.org/styles/metabolism</vt:lpwstr>
  </property>
  <property fmtid="{D5CDD505-2E9C-101B-9397-08002B2CF9AE}" pid="16" name="Mendeley Recent Style Name 6_1">
    <vt:lpwstr>Metabolism</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698903dd-92fb-334c-bc5e-576baf6f86b3</vt:lpwstr>
  </property>
  <property fmtid="{D5CDD505-2E9C-101B-9397-08002B2CF9AE}" pid="24" name="Mendeley Citation Style_1">
    <vt:lpwstr>http://www.zotero.org/styles/metabolism</vt:lpwstr>
  </property>
</Properties>
</file>