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0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Fig.1:</w:t>
      </w:r>
      <w:r>
        <w:rPr>
          <w:rFonts w:hint="default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Identification of DEGs, SMGs and DEMs. </w:t>
      </w:r>
    </w:p>
    <w:p w14:paraId="307D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Volcano map of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Heat map of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GO enrichment analysis showing the CC, BP, and MF involved in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Pie chart showing the distribution of seven mutation types as well as mutation frequencies in 78 SMGs.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GO enrichment analysis showing the CC, BP, and MF involved in SMGs.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SMGs.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Levels of KEGG pathway activation in SMGs analyzed by OncoboxPD.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Volcano map of DEMs.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Heat map of DEMs.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DEMs.</w:t>
      </w:r>
    </w:p>
    <w:p w14:paraId="57FB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Identification of differential microbiomes. </w:t>
      </w:r>
    </w:p>
    <w:p w14:paraId="40B9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Intratumoural microbiome abundance at the phylum level.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Intratumoural microbiome abundance at the family level.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Intratumoural microbiome abundance at the genus level.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Branching plots showing abundance of differential microorganisms.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LDA scores for differential microorganisms.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Five differential microbiomes at the genus level.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KEGG enrichment analysis showing the signaling pathways involved in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differential microbiomes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Driving colony prediction. Red: only in cancer, Green: only in control, Blue: in both.</w:t>
      </w:r>
    </w:p>
    <w:p w14:paraId="2178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Somatic mutation analysis. a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Somatic mutations in BLCA patients in the TCGA-BLCA dataset and WES sequencing data.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Mutation frequency and type in BLCA patients in WES sequencing data (upper) and TCGA-BLCA (lower).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Amplification (upper) and deletion (lower) of CNVs.</w:t>
      </w:r>
    </w:p>
    <w:p w14:paraId="591C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Identification and function analysis of candidate genes. </w:t>
      </w:r>
    </w:p>
    <w:p w14:paraId="1BCD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Identification of candidate genes.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b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GO enrichment analysis showing the CC, BP, and MF involved in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candidate genes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candidate genes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Expression analysis of seven differentially expressed candidate genes with prognostic value between groups in transcriptome sequencing data, TCGA-BLCA, and GSE13507.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ROC curve for the seven genes screened for five biomarkers with AUCs &gt; 0.7.</w:t>
      </w:r>
    </w:p>
    <w:p w14:paraId="69D1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Identification of key genes, metabolites and microbiomes. 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Three key genes from key gene 1 and key gene 2.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A total of 90 key metabolites from key metabolite 1 and key metabolite 2.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Two key microbiomes from key microbiome 1 and key microbiome 2.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Heatmap showing relevance of key genes, metabolites, and key microbiomes.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Interactive network diagram of key genes, metabolites, and key microbiomes.</w:t>
      </w:r>
    </w:p>
    <w:p w14:paraId="54764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Cluster analysis. </w:t>
      </w:r>
    </w:p>
    <w:p w14:paraId="110E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a, 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Consensus clustering to two BLCA clusters.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k =2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 and cutoff = 0.44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c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Volcano map of inter-cluster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Heat map of inter-cluster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GO enrichment analysis showing the CC, BP, and MF involved in inter-cluster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inter-cluster DEGs.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Association networks between microbial communities in different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Volcano map of inter-cluster differential metabolites.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Heat map of inter-cluster differential metabolites.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KEGG enrichment analysis showing the signaling pathways involved in inter-cluster differential metabolites.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GSVA results for two clusters.</w:t>
      </w:r>
    </w:p>
    <w:p w14:paraId="6686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Tumour immune microenvironment in different clusters. </w:t>
      </w:r>
    </w:p>
    <w:p w14:paraId="4274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Differences of pathways in the tumour immune microenvironment between cluster 1 and cluster 2.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Pathway scores between cluster 1 and cluster 2.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Abundance of immune cells.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Differences in immune cell infiltration between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cluster 1 and cluster 2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Correlation of key genes with immune cells.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Differences in the expression of immune checkpoint genes between samples of different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Differences in the activity of circulatory pathways of cancer immunity between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TIDE score of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cluster 1 and cluster 2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Correlations showing the relationship of key genes to stromal score, immune score and ESTIMATE score.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j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Association of immunotherapy, key genes and key metabolites.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 Correlation network of key microorganisms with MHC molecules, immunostimulators, and immunoinhibitors.</w:t>
      </w:r>
    </w:p>
    <w:p w14:paraId="1F242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Gene mutations in clusters of BLCA. </w:t>
      </w:r>
    </w:p>
    <w:p w14:paraId="611D9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Mutational landscape of top 20 most commonly mutated genes in different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Variant classification, variant type, and base mutations among different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Mutational differences in typical oncogenic pathways between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Agents were available in the CTRP, GDSC, and PRISM datasets.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Correlation between key genes and 63 chemotherapeutic agents.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Correlation analysis among key genes, targeted agents, classical therapeutic pathways, and pathways.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Differences in the expression of three key genes between clusters.</w:t>
      </w:r>
    </w:p>
    <w:p w14:paraId="7928A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</w:pPr>
    </w:p>
    <w:p w14:paraId="43B6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Expression of key genes. </w:t>
      </w:r>
    </w:p>
    <w:p w14:paraId="1361E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Correlation of key genes with clinical characteristics.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b-d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KEGG enrichment analysis showing the signaling pathways involved in three key genes. Three key genes were AHNAK (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), CSPG4 (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), and NCAM1 (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).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Molecular structure of maltotriose.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Molecular docking of key genes (AHNAK, CSPG4, and NCAM1) and maltotriose.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Expression of individual key genes in pan-cancer data.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h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Expression levels of key genes (AHNAK, CSPG4, and NCAM1) in different tissues.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Expression of key genes (AHNAK, CSPG4, and NCAM1) at the protein level in cancer and normal samples.</w:t>
      </w:r>
    </w:p>
    <w:p w14:paraId="5C562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Fig.1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Nine cell types at single-cell dataset.</w:t>
      </w:r>
    </w:p>
    <w:p w14:paraId="4178D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Fig.1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Single-cell analysis. </w:t>
      </w:r>
    </w:p>
    <w:p w14:paraId="581CA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UMAP of cell types after annotation in all samples, cancer samples and normal samples, respectively.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Distribution of key genes across cell types.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c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UMAP map of fibroblasts.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d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PPI network of top 10 specific highly expressed genes in fibroblasts.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e </w:t>
      </w:r>
      <w:r>
        <w:rPr>
          <w:rFonts w:hint="default" w:ascii="Times New Roman" w:hAnsi="Times New Roman" w:cs="Times New Roman"/>
          <w:sz w:val="22"/>
          <w:szCs w:val="22"/>
          <w:lang w:val="en-US" w:eastAsia="zh-CN"/>
        </w:rPr>
        <w:t xml:space="preserve">KEGG enrichment analysis showing the signaling pathways involved in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cell types.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Key cells annotated to five subtypes.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and enrichment pathways of marker genes in various subtypes of key cells.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of key genes in each key cell subtype.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Pseudo-time analysis of key cells.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j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of key genes in key cell differentiation trajectories in different time stages.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k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Coregulator modules and their representative transcription factors and binding motifs for each key cell subtype.</w:t>
      </w:r>
    </w:p>
    <w:p w14:paraId="7B26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Fig.1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Directed network diagrams between transcription factors and key genes.</w:t>
      </w:r>
    </w:p>
    <w:p w14:paraId="1A6AC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iCAFs.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matCAFs.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c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myCAFs.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d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tCAFs.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e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vCAFs.</w:t>
      </w:r>
    </w:p>
    <w:p w14:paraId="4E341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Fig.1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Analysis of cellular malignancy. </w:t>
      </w:r>
    </w:p>
    <w:p w14:paraId="1FC80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UMAP for downscaling cluster analysis of epithelial cells.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CNV analysis of various subclusters of epithelial cells.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 c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Distribution of high malignancy, middle malignancy and low malignancy.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CNV scores of cell subclusters.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Pseudo-time analysis of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>epithelial cells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of key genes during different pseudo-time and subcluster differentiation of cells with different degrees of malignancy.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analysis of key genes in subclusters of cells with different degrees of malignancy.</w:t>
      </w:r>
    </w:p>
    <w:p w14:paraId="2C49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Supplementary Figure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s:</w:t>
      </w:r>
    </w:p>
    <w:p w14:paraId="40216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1: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Analysis of sequencing data.</w:t>
      </w:r>
    </w:p>
    <w:p w14:paraId="1F2D9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Expression of transcriptome samples. Four samples numbered 36, 37, 38 and 39 were excluded, the upper figure is before exclusion the lower figure is after exclusion.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PCA for two groups of samples from transcriptome sequencing data.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Correlation analysis between samples.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PCA for two groups of samples from metabolome sequencing data.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Sparse curves for intratumoural microbiome sequencing data.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Rank-abundance curves demonstrating the abundance and evenness of the samples.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The species cumulative box plot.</w:t>
      </w:r>
    </w:p>
    <w:p w14:paraId="6526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Microbiological diversity analysis. </w:t>
      </w:r>
    </w:p>
    <w:p w14:paraId="4DFF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Alpha diversity for intratumoural microbial with the Simpson, Shannon, InvSimpon and Pielou indices.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Principal coordinate analysis of Beta diversity in intratumoral microorganisms by Bray-Curtis, Jaccard, Weighted Unifrac, and Unweighted Unifrac distances.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Non-metric MultiDimensional Scaling analysis between the two sample groups.</w:t>
      </w:r>
    </w:p>
    <w:p w14:paraId="04E5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S3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Indicators of drive flora in disease and control groups.</w:t>
      </w:r>
    </w:p>
    <w:p w14:paraId="351E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S4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Kaplan-Meier survival curves showing significant survival differences for 15 genes.</w:t>
      </w:r>
    </w:p>
    <w:p w14:paraId="6744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S5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Correlation analysis. </w:t>
      </w:r>
    </w:p>
    <w:p w14:paraId="1DA3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a, 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Spearman analysis between biomarkers and DEMs for key gene 1 and key metabolite 1.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c, 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Spearman analysis between biomarkers and differential microbes for key gene 2 and key microbiome 1.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e, 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Spearman analysis between DEM and differential microbes for key metabolite 2 and key microbiome 2.</w:t>
      </w:r>
    </w:p>
    <w:p w14:paraId="7CA5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S6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GSEA results with top 20 for two clusters.</w:t>
      </w:r>
    </w:p>
    <w:p w14:paraId="7ABEE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S7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Drug prediction. </w:t>
      </w:r>
    </w:p>
    <w:p w14:paraId="10E8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a-c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Analysis of differences in drug response (AUC values) between clusters in CTRP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), GDSC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 and PRISM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) databases.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d-f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Common chemotherapeutic agents between two clusters: docetaxel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), erlotinib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), and lapatinib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g-j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IC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vertAlign w:val="subscript"/>
          <w:lang w:val="en-US" w:eastAsia="zh-CN"/>
        </w:rPr>
        <w:t>50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differences between FGFR inhibitors and EGFR inhibitors at cluster level. FGFR inhibitors: PD173078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 and AZD4547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). EGFR inhibitors: afatinib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 and gefitinib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j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).</w:t>
      </w:r>
    </w:p>
    <w:p w14:paraId="5D95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S8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Differences in expression of key metabolites between BLCA clusters.</w:t>
      </w:r>
    </w:p>
    <w:p w14:paraId="1F0E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S9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Association analysis of clinical characteristics of key genes. </w:t>
      </w:r>
    </w:p>
    <w:p w14:paraId="1B66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Analysis of AHNAK expression between different clinical subgroups in the TCGA-BLCA dataset.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Analysis of CSPG4 expression between different clinical subgroups in the TCGA-BLCA dataset.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Analysis of NCAM1 expression between different clinical subgroups in the TCGA-BLCA dataset.</w:t>
      </w:r>
    </w:p>
    <w:p w14:paraId="06A7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S10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KM survival curves showing overall survival of patients in high and low expression sets of AHNAK in different clinical subgroups.</w:t>
      </w:r>
    </w:p>
    <w:p w14:paraId="681B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S11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KM survival curves showing overall survival of patients in high and low expression sets of CSPG4 in different clinical subgroups.</w:t>
      </w:r>
    </w:p>
    <w:p w14:paraId="0DA89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S12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KM survival curves showing overall survival of patients in high and low expression sets of NCAM1 in different clinical subgroups.</w:t>
      </w:r>
    </w:p>
    <w:p w14:paraId="65AF0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S13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Boxplots of the expression of each key gene in the pan-cancer data.</w:t>
      </w:r>
    </w:p>
    <w:p w14:paraId="3587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S14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Single-cell analysis. </w:t>
      </w:r>
    </w:p>
    <w:p w14:paraId="621F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 xml:space="preserve">a, 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Quality control of single-cell data.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before,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b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after. </w:t>
      </w:r>
      <w:r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  <w:t>c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highlight w:val="none"/>
          <w:lang w:val="en-US" w:eastAsia="zh-CN"/>
        </w:rPr>
        <w:t xml:space="preserve"> Top 2000 hig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hly variable genes.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d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PCA dimensionality analysis.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32 cell clusters.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Marker genes specifically highly expressed in each cell cluster.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g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Heat map of top 10 marker genes and their enrichment status in each cell type.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h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Downscaling cluster analysis of fibroblasts.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Analysis of the percentage of key cell subtypes.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j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Regulator activity in each key cell subtype.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k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 xml:space="preserve"> Core regulators that regulate downstream functions in each key cell subtype.</w:t>
      </w:r>
    </w:p>
    <w:p w14:paraId="5F134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S15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Cellular communication analysis. </w:t>
      </w:r>
    </w:p>
    <w:p w14:paraId="481C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Cellular communication results in normal samples.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b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Cellular communication results in cancer samples.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c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Heatmap of cell signaling pathway strengths in normal and cancer.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d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  <w:t>Cell signaling pathway flow value distribution.</w:t>
      </w:r>
    </w:p>
    <w:p w14:paraId="064BA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cs="Times New Roman"/>
          <w:b w:val="0"/>
          <w:bCs w:val="0"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Fig.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S16</w:t>
      </w:r>
      <w:r>
        <w:rPr>
          <w:rFonts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spacing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Communication between individual cells in each signaling pathway.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Zjg4M2IyNjAzZDg3MGU1ZjQyNzUzYzE1NTI0YzMifQ=="/>
  </w:docVars>
  <w:rsids>
    <w:rsidRoot w:val="00000000"/>
    <w:rsid w:val="0347652E"/>
    <w:rsid w:val="06AB0AD0"/>
    <w:rsid w:val="06B01600"/>
    <w:rsid w:val="06C62F02"/>
    <w:rsid w:val="07BD76EF"/>
    <w:rsid w:val="083371F0"/>
    <w:rsid w:val="08907C6B"/>
    <w:rsid w:val="09AD3A2F"/>
    <w:rsid w:val="09E813E1"/>
    <w:rsid w:val="0AB923BA"/>
    <w:rsid w:val="0AED1302"/>
    <w:rsid w:val="0B884D3D"/>
    <w:rsid w:val="0C9E46B4"/>
    <w:rsid w:val="0CB70156"/>
    <w:rsid w:val="0D1A5D55"/>
    <w:rsid w:val="0D5F175E"/>
    <w:rsid w:val="0DA017A0"/>
    <w:rsid w:val="0E8A2D19"/>
    <w:rsid w:val="0EE02A09"/>
    <w:rsid w:val="10125D75"/>
    <w:rsid w:val="12862E50"/>
    <w:rsid w:val="139879D4"/>
    <w:rsid w:val="13C34763"/>
    <w:rsid w:val="156C5174"/>
    <w:rsid w:val="164F7106"/>
    <w:rsid w:val="16A053E3"/>
    <w:rsid w:val="16BB65D6"/>
    <w:rsid w:val="17061CA3"/>
    <w:rsid w:val="178D5376"/>
    <w:rsid w:val="17A87B81"/>
    <w:rsid w:val="18822A00"/>
    <w:rsid w:val="1A181002"/>
    <w:rsid w:val="1DF3687A"/>
    <w:rsid w:val="1E723167"/>
    <w:rsid w:val="1EA25BAA"/>
    <w:rsid w:val="208D55C2"/>
    <w:rsid w:val="22431452"/>
    <w:rsid w:val="22B91715"/>
    <w:rsid w:val="22FC5E9C"/>
    <w:rsid w:val="2313325C"/>
    <w:rsid w:val="25056723"/>
    <w:rsid w:val="257F09F3"/>
    <w:rsid w:val="264823C4"/>
    <w:rsid w:val="2661459D"/>
    <w:rsid w:val="26AA00AB"/>
    <w:rsid w:val="26C04E12"/>
    <w:rsid w:val="276764C4"/>
    <w:rsid w:val="283F4177"/>
    <w:rsid w:val="289B0A75"/>
    <w:rsid w:val="29F319B0"/>
    <w:rsid w:val="2C3D219C"/>
    <w:rsid w:val="2C5A3F68"/>
    <w:rsid w:val="300C37CC"/>
    <w:rsid w:val="31F76B91"/>
    <w:rsid w:val="31FC446C"/>
    <w:rsid w:val="32CE4F66"/>
    <w:rsid w:val="336A608E"/>
    <w:rsid w:val="33B9271D"/>
    <w:rsid w:val="363974C6"/>
    <w:rsid w:val="36AC7A6D"/>
    <w:rsid w:val="37953F6D"/>
    <w:rsid w:val="38AE593B"/>
    <w:rsid w:val="3B031229"/>
    <w:rsid w:val="3BDC16AF"/>
    <w:rsid w:val="3C236100"/>
    <w:rsid w:val="3CD07324"/>
    <w:rsid w:val="3DA74B34"/>
    <w:rsid w:val="3E3D20E5"/>
    <w:rsid w:val="3E8F1850"/>
    <w:rsid w:val="3FC14A55"/>
    <w:rsid w:val="407D59F4"/>
    <w:rsid w:val="40925627"/>
    <w:rsid w:val="40F7321A"/>
    <w:rsid w:val="41D86F8B"/>
    <w:rsid w:val="41F01EAA"/>
    <w:rsid w:val="42E131B4"/>
    <w:rsid w:val="44A525FE"/>
    <w:rsid w:val="45CD2875"/>
    <w:rsid w:val="47FF799D"/>
    <w:rsid w:val="490C7DCF"/>
    <w:rsid w:val="4AA15C2A"/>
    <w:rsid w:val="4AB9081E"/>
    <w:rsid w:val="4C341C88"/>
    <w:rsid w:val="4C760D25"/>
    <w:rsid w:val="4D007DBC"/>
    <w:rsid w:val="4E124749"/>
    <w:rsid w:val="4E6A7BE3"/>
    <w:rsid w:val="4F6756AE"/>
    <w:rsid w:val="50832EE6"/>
    <w:rsid w:val="509E63A5"/>
    <w:rsid w:val="518557E7"/>
    <w:rsid w:val="521168D2"/>
    <w:rsid w:val="52165163"/>
    <w:rsid w:val="52F31820"/>
    <w:rsid w:val="533C1422"/>
    <w:rsid w:val="54434879"/>
    <w:rsid w:val="54854942"/>
    <w:rsid w:val="556B1922"/>
    <w:rsid w:val="56BD287A"/>
    <w:rsid w:val="580D6A12"/>
    <w:rsid w:val="585B234B"/>
    <w:rsid w:val="58D33B85"/>
    <w:rsid w:val="59F91E1B"/>
    <w:rsid w:val="5B2D7FCE"/>
    <w:rsid w:val="5B7C52C3"/>
    <w:rsid w:val="5B937C2C"/>
    <w:rsid w:val="5C815690"/>
    <w:rsid w:val="5DD426FD"/>
    <w:rsid w:val="5E512226"/>
    <w:rsid w:val="5EF468E4"/>
    <w:rsid w:val="5FEF49B4"/>
    <w:rsid w:val="61202383"/>
    <w:rsid w:val="635E7798"/>
    <w:rsid w:val="63D95CD7"/>
    <w:rsid w:val="64E6236A"/>
    <w:rsid w:val="665B30FC"/>
    <w:rsid w:val="67214A8B"/>
    <w:rsid w:val="67515045"/>
    <w:rsid w:val="67D27EAC"/>
    <w:rsid w:val="67EE3F36"/>
    <w:rsid w:val="690E0C53"/>
    <w:rsid w:val="69466C5F"/>
    <w:rsid w:val="69F252CB"/>
    <w:rsid w:val="6B8A6D77"/>
    <w:rsid w:val="6BC81008"/>
    <w:rsid w:val="6D5179F9"/>
    <w:rsid w:val="6DF74501"/>
    <w:rsid w:val="6FD1766A"/>
    <w:rsid w:val="721F0751"/>
    <w:rsid w:val="72B62797"/>
    <w:rsid w:val="73383726"/>
    <w:rsid w:val="748659BF"/>
    <w:rsid w:val="77361C9C"/>
    <w:rsid w:val="785C5DE4"/>
    <w:rsid w:val="789D458E"/>
    <w:rsid w:val="78C25FA8"/>
    <w:rsid w:val="78C95383"/>
    <w:rsid w:val="78D115A9"/>
    <w:rsid w:val="7A5474DE"/>
    <w:rsid w:val="7BD760F8"/>
    <w:rsid w:val="7D476622"/>
    <w:rsid w:val="7DD345AE"/>
    <w:rsid w:val="7F4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1517</Words>
  <Characters>8565</Characters>
  <Lines>0</Lines>
  <Paragraphs>0</Paragraphs>
  <TotalTime>0</TotalTime>
  <ScaleCrop>false</ScaleCrop>
  <LinksUpToDate>false</LinksUpToDate>
  <CharactersWithSpaces>10052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2024-08-26T06:08:00Z</dcterms:created>
  <dc:creator>pc</dc:creator>
  <cp:lastModifiedBy>Gavin</cp:lastModifiedBy>
  <dcterms:modified xsi:type="dcterms:W3CDTF">2024-11-13T19:26:28Z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9F5AB52D80F94FC0B3B75EA0C9F4671B_12</vt:lpwstr>
  </property>
</Properties>
</file>