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BF07" w14:textId="77777777" w:rsidR="00A7136E" w:rsidRPr="00A7136E" w:rsidRDefault="00A7136E" w:rsidP="00A7136E">
      <w:pPr>
        <w:pStyle w:val="Ttulo1"/>
        <w:rPr>
          <w:b/>
          <w:bCs/>
          <w:lang w:val="en-GB"/>
        </w:rPr>
      </w:pPr>
      <w:r w:rsidRPr="00A7136E">
        <w:rPr>
          <w:b/>
          <w:bCs/>
          <w:lang w:val="en-GB"/>
        </w:rPr>
        <w:t>Appendix 1</w:t>
      </w:r>
    </w:p>
    <w:p w14:paraId="33C42C16" w14:textId="77777777" w:rsidR="00A7136E" w:rsidRPr="007E0C72" w:rsidRDefault="00A7136E" w:rsidP="00A7136E">
      <w:pPr>
        <w:rPr>
          <w:rFonts w:cs="Times New Roman"/>
          <w:szCs w:val="24"/>
          <w:lang w:val="en-GB"/>
        </w:rPr>
      </w:pPr>
      <w:r w:rsidRPr="007E0C72">
        <w:rPr>
          <w:rFonts w:cs="Times New Roman"/>
          <w:szCs w:val="24"/>
          <w:lang w:val="en-GB"/>
        </w:rPr>
        <w:t xml:space="preserve">A total of 195 publications were excluded for focusing on risk factors related to SU/PSU/SA rather than the determinants of ESO. </w:t>
      </w:r>
      <w:r w:rsidRPr="007E0C72">
        <w:rPr>
          <w:rFonts w:eastAsia="Times New Roman" w:cs="Times New Roman"/>
          <w:szCs w:val="24"/>
          <w:lang w:val="en-GB"/>
        </w:rPr>
        <w:t>Initially, these studies were categorized according to the phenomenon investigated (SU/PSU/SA) and the target population (children and/or adolescents). Among them, 82 examined PSU, 79 focused on SA, and 41 explored SU.</w:t>
      </w:r>
    </w:p>
    <w:p w14:paraId="07DC18D8" w14:textId="77777777" w:rsidR="00A7136E" w:rsidRPr="007E0C72" w:rsidRDefault="00A7136E" w:rsidP="00A7136E">
      <w:pPr>
        <w:rPr>
          <w:rFonts w:eastAsia="Times New Roman" w:cs="Times New Roman"/>
          <w:i/>
          <w:szCs w:val="24"/>
          <w:lang w:val="en-GB"/>
        </w:rPr>
      </w:pPr>
      <w:r w:rsidRPr="007E0C72">
        <w:rPr>
          <w:rFonts w:cs="Times New Roman"/>
          <w:szCs w:val="24"/>
          <w:lang w:val="en-GB"/>
        </w:rPr>
        <w:t>Figure 3</w:t>
      </w:r>
      <w:r w:rsidRPr="007E0C72">
        <w:rPr>
          <w:rFonts w:cs="Times New Roman"/>
          <w:i/>
          <w:szCs w:val="24"/>
          <w:lang w:val="en-GB"/>
        </w:rPr>
        <w:t xml:space="preserve">. </w:t>
      </w:r>
      <w:r w:rsidRPr="007E0C72">
        <w:rPr>
          <w:rFonts w:eastAsia="Times New Roman" w:cs="Times New Roman"/>
          <w:i/>
          <w:szCs w:val="24"/>
          <w:lang w:val="en-GB"/>
        </w:rPr>
        <w:t>Distribution by phenomena investigated.</w:t>
      </w:r>
    </w:p>
    <w:p w14:paraId="21B1C992" w14:textId="77777777" w:rsidR="00A7136E" w:rsidRPr="007E0C72" w:rsidRDefault="00A7136E" w:rsidP="00A7136E">
      <w:pPr>
        <w:jc w:val="center"/>
        <w:rPr>
          <w:lang w:val="en-GB"/>
        </w:rPr>
      </w:pPr>
      <w:r w:rsidRPr="007E0C72">
        <w:rPr>
          <w:noProof/>
          <w:lang w:val="en-GB"/>
        </w:rPr>
        <w:drawing>
          <wp:inline distT="0" distB="0" distL="0" distR="0" wp14:anchorId="3B453023" wp14:editId="6854875A">
            <wp:extent cx="3296616" cy="1816100"/>
            <wp:effectExtent l="0" t="0" r="0" b="0"/>
            <wp:docPr id="1209145173" name="Imagen 1178978826"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45173" name="Imagen 1178978826" descr="Gráfico&#10;&#10;El contenido generado por IA puede ser incorrecto."/>
                    <pic:cNvPicPr/>
                  </pic:nvPicPr>
                  <pic:blipFill>
                    <a:blip r:embed="rId4" cstate="print">
                      <a:extLst>
                        <a:ext uri="{28A0092B-C50C-407E-A947-70E740481C1C}">
                          <a14:useLocalDpi xmlns:a14="http://schemas.microsoft.com/office/drawing/2010/main" val="0"/>
                        </a:ext>
                      </a:extLst>
                    </a:blip>
                    <a:srcRect t="8683" b="8683"/>
                    <a:stretch>
                      <a:fillRect/>
                    </a:stretch>
                  </pic:blipFill>
                  <pic:spPr>
                    <a:xfrm>
                      <a:off x="0" y="0"/>
                      <a:ext cx="3299750" cy="1817827"/>
                    </a:xfrm>
                    <a:prstGeom prst="rect">
                      <a:avLst/>
                    </a:prstGeom>
                  </pic:spPr>
                </pic:pic>
              </a:graphicData>
            </a:graphic>
          </wp:inline>
        </w:drawing>
      </w:r>
    </w:p>
    <w:p w14:paraId="3C8EBB3C" w14:textId="77777777" w:rsidR="00A7136E" w:rsidRPr="007E0C72" w:rsidRDefault="00A7136E" w:rsidP="00A7136E">
      <w:pPr>
        <w:rPr>
          <w:rFonts w:cs="Times New Roman"/>
          <w:sz w:val="22"/>
          <w:szCs w:val="20"/>
          <w:lang w:val="en-GB"/>
        </w:rPr>
      </w:pPr>
      <w:r>
        <w:rPr>
          <w:rFonts w:cs="Times New Roman"/>
          <w:i/>
          <w:iCs/>
          <w:sz w:val="22"/>
          <w:szCs w:val="20"/>
          <w:lang w:val="en-GB"/>
        </w:rPr>
        <w:t>Note</w:t>
      </w:r>
      <w:r w:rsidRPr="007E0C72">
        <w:rPr>
          <w:rFonts w:cs="Times New Roman"/>
          <w:i/>
          <w:iCs/>
          <w:sz w:val="22"/>
          <w:szCs w:val="20"/>
          <w:lang w:val="en-GB"/>
        </w:rPr>
        <w:t xml:space="preserve">: </w:t>
      </w:r>
      <w:r w:rsidRPr="007E0C72">
        <w:rPr>
          <w:rFonts w:cs="Times New Roman"/>
          <w:sz w:val="22"/>
          <w:szCs w:val="20"/>
          <w:lang w:val="en-GB"/>
        </w:rPr>
        <w:t>Chart showing the distribution of the 195 excluded studies based on the specific phenomena investigated (PSU, SA, and SU).</w:t>
      </w:r>
    </w:p>
    <w:p w14:paraId="4AB1B46E" w14:textId="77777777" w:rsidR="00A7136E" w:rsidRPr="007E0C72" w:rsidRDefault="00A7136E" w:rsidP="00A7136E">
      <w:pPr>
        <w:rPr>
          <w:lang w:val="en-GB"/>
        </w:rPr>
      </w:pPr>
      <w:r w:rsidRPr="007E0C72">
        <w:rPr>
          <w:rFonts w:cs="Times New Roman"/>
          <w:szCs w:val="24"/>
          <w:lang w:val="en-GB"/>
        </w:rPr>
        <w:t>In terms of the populations studied, 144 publications focused on adolescents (up to 16 years old), while 64 publications addressed children (between 6 to 12 years old). It should be noted that publications can be found that address both populations.</w:t>
      </w:r>
    </w:p>
    <w:p w14:paraId="1E63AC51" w14:textId="77777777" w:rsidR="00A7136E" w:rsidRPr="007E0C72" w:rsidRDefault="00A7136E" w:rsidP="00A7136E">
      <w:pPr>
        <w:rPr>
          <w:rFonts w:eastAsia="Times New Roman" w:cs="Times New Roman"/>
          <w:i/>
          <w:szCs w:val="24"/>
          <w:lang w:val="en-GB"/>
        </w:rPr>
      </w:pPr>
      <w:r w:rsidRPr="007E0C72">
        <w:rPr>
          <w:rFonts w:cs="Times New Roman"/>
          <w:szCs w:val="24"/>
          <w:lang w:val="en-GB"/>
        </w:rPr>
        <w:t>Figure</w:t>
      </w:r>
      <w:r w:rsidRPr="007E0C72">
        <w:rPr>
          <w:rFonts w:cs="Times New Roman"/>
          <w:color w:val="FF0000"/>
          <w:szCs w:val="24"/>
          <w:lang w:val="en-GB"/>
        </w:rPr>
        <w:t xml:space="preserve"> </w:t>
      </w:r>
      <w:r w:rsidRPr="007E0C72">
        <w:rPr>
          <w:rFonts w:cs="Times New Roman"/>
          <w:szCs w:val="24"/>
          <w:lang w:val="en-GB"/>
        </w:rPr>
        <w:t xml:space="preserve">4. </w:t>
      </w:r>
      <w:r w:rsidRPr="007E0C72">
        <w:rPr>
          <w:rFonts w:eastAsia="Times New Roman" w:cs="Times New Roman"/>
          <w:i/>
          <w:szCs w:val="24"/>
          <w:lang w:val="en-GB"/>
        </w:rPr>
        <w:t>Distribution by age group.</w:t>
      </w:r>
    </w:p>
    <w:p w14:paraId="70D6566C" w14:textId="77777777" w:rsidR="00A7136E" w:rsidRPr="007E0C72" w:rsidRDefault="00A7136E" w:rsidP="00A7136E">
      <w:pPr>
        <w:jc w:val="center"/>
        <w:rPr>
          <w:lang w:val="en-GB"/>
        </w:rPr>
      </w:pPr>
      <w:r w:rsidRPr="007E0C72">
        <w:rPr>
          <w:noProof/>
          <w:lang w:val="en-GB"/>
        </w:rPr>
        <w:drawing>
          <wp:inline distT="0" distB="0" distL="0" distR="0" wp14:anchorId="0DD98355" wp14:editId="6C8FFC1D">
            <wp:extent cx="3119913" cy="2079820"/>
            <wp:effectExtent l="0" t="0" r="4445" b="0"/>
            <wp:docPr id="1050674606" name="Picture 1" descr="A graph of age grou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44131" name="Picture 1" descr="A graph of age group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7553" cy="2091579"/>
                    </a:xfrm>
                    <a:prstGeom prst="rect">
                      <a:avLst/>
                    </a:prstGeom>
                  </pic:spPr>
                </pic:pic>
              </a:graphicData>
            </a:graphic>
          </wp:inline>
        </w:drawing>
      </w:r>
    </w:p>
    <w:p w14:paraId="69BE5382" w14:textId="77777777" w:rsidR="00A7136E" w:rsidRPr="007E0C72" w:rsidRDefault="00A7136E" w:rsidP="00A7136E">
      <w:pPr>
        <w:rPr>
          <w:rFonts w:eastAsia="Times New Roman" w:cs="Times New Roman"/>
          <w:sz w:val="22"/>
          <w:lang w:val="en-GB"/>
        </w:rPr>
      </w:pPr>
      <w:r>
        <w:rPr>
          <w:rFonts w:cs="Times New Roman"/>
          <w:i/>
          <w:iCs/>
          <w:sz w:val="22"/>
          <w:szCs w:val="20"/>
          <w:lang w:val="en-GB"/>
        </w:rPr>
        <w:t>Note</w:t>
      </w:r>
      <w:r w:rsidRPr="007E0C72">
        <w:rPr>
          <w:rFonts w:cs="Times New Roman"/>
          <w:i/>
          <w:iCs/>
          <w:sz w:val="22"/>
          <w:szCs w:val="20"/>
          <w:lang w:val="en-GB"/>
        </w:rPr>
        <w:t>:</w:t>
      </w:r>
      <w:r w:rsidRPr="007E0C72">
        <w:rPr>
          <w:rFonts w:eastAsiaTheme="minorEastAsia"/>
          <w:sz w:val="22"/>
          <w:szCs w:val="20"/>
          <w:lang w:val="en-GB"/>
        </w:rPr>
        <w:t xml:space="preserve"> </w:t>
      </w:r>
      <w:r w:rsidRPr="007E0C72">
        <w:rPr>
          <w:rFonts w:eastAsia="Times New Roman" w:cs="Times New Roman"/>
          <w:sz w:val="22"/>
          <w:szCs w:val="20"/>
          <w:lang w:val="en-GB"/>
        </w:rPr>
        <w:t>Chart showing the distribution of the 195 excluded studies based on the target population (children vs. adolescents).</w:t>
      </w:r>
    </w:p>
    <w:p w14:paraId="4596A02E" w14:textId="77777777" w:rsidR="00A7136E" w:rsidRPr="007E0C72" w:rsidRDefault="00A7136E" w:rsidP="00A7136E">
      <w:pPr>
        <w:rPr>
          <w:rFonts w:eastAsia="Times New Roman" w:cs="Times New Roman"/>
          <w:szCs w:val="24"/>
          <w:lang w:val="en-GB"/>
        </w:rPr>
      </w:pPr>
      <w:r w:rsidRPr="007E0C72">
        <w:rPr>
          <w:rFonts w:eastAsia="Times New Roman" w:cs="Times New Roman"/>
          <w:szCs w:val="24"/>
          <w:lang w:val="en-GB"/>
        </w:rPr>
        <w:t xml:space="preserve">Regarding the identified risk factors for SU/PSU/SA, they can be grouped into five main categories: Parental and family-related factors; Psychological and emotional factors; </w:t>
      </w:r>
      <w:r>
        <w:rPr>
          <w:rFonts w:eastAsia="Times New Roman" w:cs="Times New Roman"/>
          <w:szCs w:val="24"/>
          <w:lang w:val="en-GB"/>
        </w:rPr>
        <w:t>Behaviour</w:t>
      </w:r>
      <w:r w:rsidRPr="007E0C72">
        <w:rPr>
          <w:rFonts w:eastAsia="Times New Roman" w:cs="Times New Roman"/>
          <w:szCs w:val="24"/>
          <w:lang w:val="en-GB"/>
        </w:rPr>
        <w:t xml:space="preserve">al and motivational factors; Environmental and contextual factors; Demographic factors. It should be noted that smartphone ownership is identified as a risk factor for SU/PSU/SA and classified under the </w:t>
      </w:r>
      <w:r w:rsidRPr="007E0C72">
        <w:rPr>
          <w:rFonts w:eastAsia="Times New Roman" w:cs="Times New Roman"/>
          <w:i/>
          <w:iCs/>
          <w:szCs w:val="24"/>
          <w:lang w:val="en-GB"/>
        </w:rPr>
        <w:t xml:space="preserve">Parental and family-related factors </w:t>
      </w:r>
      <w:r w:rsidRPr="007E0C72">
        <w:rPr>
          <w:rFonts w:eastAsia="Times New Roman" w:cs="Times New Roman"/>
          <w:szCs w:val="24"/>
          <w:lang w:val="en-GB"/>
        </w:rPr>
        <w:lastRenderedPageBreak/>
        <w:t>category,</w:t>
      </w:r>
      <w:r w:rsidRPr="007E0C72">
        <w:rPr>
          <w:lang w:val="en-GB"/>
        </w:rPr>
        <w:t xml:space="preserve"> </w:t>
      </w:r>
      <w:r w:rsidRPr="007E0C72">
        <w:rPr>
          <w:rFonts w:eastAsia="Times New Roman" w:cs="Times New Roman"/>
          <w:szCs w:val="24"/>
          <w:lang w:val="en-GB"/>
        </w:rPr>
        <w:t>as the decision to provide a smartphone typically lies with the parents or caregivers. This distribution is summarized in Figure 5.</w:t>
      </w:r>
    </w:p>
    <w:p w14:paraId="3E8BEB83" w14:textId="77777777" w:rsidR="00A7136E" w:rsidRPr="007E0C72" w:rsidRDefault="00A7136E" w:rsidP="00A7136E">
      <w:pPr>
        <w:rPr>
          <w:rFonts w:eastAsia="Times New Roman" w:cs="Times New Roman"/>
          <w:i/>
          <w:szCs w:val="24"/>
          <w:lang w:val="en-GB"/>
        </w:rPr>
      </w:pPr>
      <w:r w:rsidRPr="007E0C72">
        <w:rPr>
          <w:rFonts w:eastAsia="Times New Roman" w:cs="Times New Roman"/>
          <w:szCs w:val="24"/>
          <w:lang w:val="en-GB"/>
        </w:rPr>
        <w:t xml:space="preserve">Figure 5. </w:t>
      </w:r>
      <w:r w:rsidRPr="007E0C72">
        <w:rPr>
          <w:rFonts w:eastAsia="Times New Roman" w:cs="Times New Roman"/>
          <w:i/>
          <w:szCs w:val="24"/>
          <w:lang w:val="en-GB"/>
        </w:rPr>
        <w:t>Number and distribution of publications across research categories.</w:t>
      </w:r>
    </w:p>
    <w:p w14:paraId="18D6E286" w14:textId="77777777" w:rsidR="00A7136E" w:rsidRPr="005C486A" w:rsidRDefault="00A7136E" w:rsidP="00A7136E">
      <w:pPr>
        <w:jc w:val="center"/>
        <w:rPr>
          <w:noProof/>
          <w:lang w:val="en-US"/>
        </w:rPr>
      </w:pPr>
    </w:p>
    <w:p w14:paraId="06BCF1AB" w14:textId="77777777" w:rsidR="00A7136E" w:rsidRPr="007E0C72" w:rsidRDefault="00A7136E" w:rsidP="00A7136E">
      <w:pPr>
        <w:jc w:val="center"/>
        <w:rPr>
          <w:lang w:val="en-GB"/>
        </w:rPr>
      </w:pPr>
      <w:r>
        <w:rPr>
          <w:noProof/>
        </w:rPr>
        <w:drawing>
          <wp:inline distT="0" distB="0" distL="0" distR="0" wp14:anchorId="6AC7D321" wp14:editId="0EFB76BA">
            <wp:extent cx="4078605" cy="2293504"/>
            <wp:effectExtent l="0" t="0" r="0" b="0"/>
            <wp:docPr id="601426498" name="Imagen 33"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salid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643"/>
                    <a:stretch/>
                  </pic:blipFill>
                  <pic:spPr bwMode="auto">
                    <a:xfrm>
                      <a:off x="0" y="0"/>
                      <a:ext cx="4087874" cy="2298716"/>
                    </a:xfrm>
                    <a:prstGeom prst="rect">
                      <a:avLst/>
                    </a:prstGeom>
                    <a:noFill/>
                    <a:ln>
                      <a:noFill/>
                    </a:ln>
                    <a:extLst>
                      <a:ext uri="{53640926-AAD7-44D8-BBD7-CCE9431645EC}">
                        <a14:shadowObscured xmlns:a14="http://schemas.microsoft.com/office/drawing/2010/main"/>
                      </a:ext>
                    </a:extLst>
                  </pic:spPr>
                </pic:pic>
              </a:graphicData>
            </a:graphic>
          </wp:inline>
        </w:drawing>
      </w:r>
    </w:p>
    <w:p w14:paraId="198FEF6F" w14:textId="77777777" w:rsidR="00A7136E" w:rsidRPr="007E0C72" w:rsidRDefault="00A7136E" w:rsidP="00A7136E">
      <w:pPr>
        <w:rPr>
          <w:rFonts w:eastAsia="Times New Roman" w:cs="Times New Roman"/>
          <w:sz w:val="22"/>
          <w:lang w:val="en-GB"/>
        </w:rPr>
      </w:pPr>
      <w:r>
        <w:rPr>
          <w:rFonts w:cs="Times New Roman"/>
          <w:i/>
          <w:iCs/>
          <w:sz w:val="22"/>
          <w:szCs w:val="20"/>
          <w:lang w:val="en-GB"/>
        </w:rPr>
        <w:t>Note</w:t>
      </w:r>
      <w:r w:rsidRPr="007E0C72">
        <w:rPr>
          <w:rFonts w:cs="Times New Roman"/>
          <w:i/>
          <w:iCs/>
          <w:sz w:val="22"/>
          <w:szCs w:val="20"/>
          <w:lang w:val="en-GB"/>
        </w:rPr>
        <w:t>:</w:t>
      </w:r>
      <w:r w:rsidRPr="007E0C72">
        <w:rPr>
          <w:rFonts w:eastAsiaTheme="minorEastAsia"/>
          <w:sz w:val="22"/>
          <w:szCs w:val="20"/>
          <w:lang w:val="en-GB"/>
        </w:rPr>
        <w:t xml:space="preserve"> </w:t>
      </w:r>
      <w:r w:rsidRPr="007E0C72">
        <w:rPr>
          <w:rFonts w:eastAsia="Times New Roman" w:cs="Times New Roman"/>
          <w:sz w:val="22"/>
          <w:szCs w:val="20"/>
          <w:lang w:val="en-GB"/>
        </w:rPr>
        <w:t>Chart showing the categories used to classify the risk factors for SU/PSU/SA identified in the excluded studies.</w:t>
      </w:r>
    </w:p>
    <w:p w14:paraId="41E145A6" w14:textId="77777777" w:rsidR="00A7136E" w:rsidRPr="007E0C72" w:rsidRDefault="00A7136E" w:rsidP="00A7136E">
      <w:pPr>
        <w:rPr>
          <w:rFonts w:eastAsia="Times New Roman" w:cs="Times New Roman"/>
          <w:szCs w:val="24"/>
          <w:lang w:val="en-GB"/>
        </w:rPr>
      </w:pPr>
      <w:r w:rsidRPr="007E0C72">
        <w:rPr>
          <w:rFonts w:cs="Times New Roman"/>
          <w:szCs w:val="24"/>
          <w:lang w:val="en-GB"/>
        </w:rPr>
        <w:t xml:space="preserve">Among the identified risk factors, </w:t>
      </w:r>
      <w:r w:rsidRPr="007E0C72">
        <w:rPr>
          <w:rFonts w:cs="Times New Roman"/>
          <w:i/>
          <w:iCs/>
          <w:szCs w:val="24"/>
          <w:lang w:val="en-GB"/>
        </w:rPr>
        <w:t>parental and family-related</w:t>
      </w:r>
      <w:r w:rsidRPr="007E0C72">
        <w:rPr>
          <w:rFonts w:cs="Times New Roman"/>
          <w:szCs w:val="24"/>
          <w:lang w:val="en-GB"/>
        </w:rPr>
        <w:t xml:space="preserve"> factors emerged as the most frequently discussed category, appearing in 86 publications. These studies explored variables such as parenting style, parental SU/PSU/SA, parental control, parental mediation, parental phubbing, parental motives, parental smartphone knowledge, parent-child communication and relationship, parental support, parental views, parental resilience, parental intention, </w:t>
      </w:r>
      <w:r w:rsidRPr="007E0C72">
        <w:rPr>
          <w:rFonts w:eastAsia="Times New Roman" w:cs="Times New Roman"/>
          <w:szCs w:val="24"/>
          <w:lang w:val="en-GB"/>
        </w:rPr>
        <w:t>parental tobacco and alcohol consumption, parental qualification, and the family environment. Smartphone ownership by the child, which was identified as a risk factor in 5 publications and attributed to this category. Additionally, broader family dynamics such as isolation from family and family resilience were also considered. Other less frequently mentioned factors (2 or fewer) related to this category included isolation from family, and trust.</w:t>
      </w:r>
    </w:p>
    <w:p w14:paraId="7A39C05A" w14:textId="77777777" w:rsidR="00A7136E" w:rsidRPr="007E0C72" w:rsidRDefault="00A7136E" w:rsidP="00A7136E">
      <w:pPr>
        <w:spacing w:before="240" w:after="240"/>
        <w:rPr>
          <w:rFonts w:eastAsia="Times New Roman" w:cs="Times New Roman"/>
          <w:szCs w:val="24"/>
          <w:lang w:val="en-GB"/>
        </w:rPr>
      </w:pPr>
      <w:r w:rsidRPr="007E0C72">
        <w:rPr>
          <w:rFonts w:eastAsia="Times New Roman" w:cs="Times New Roman"/>
          <w:i/>
          <w:iCs/>
          <w:szCs w:val="24"/>
          <w:lang w:val="en-GB"/>
        </w:rPr>
        <w:t>Psychological and emotional</w:t>
      </w:r>
      <w:r w:rsidRPr="007E0C72">
        <w:rPr>
          <w:rFonts w:eastAsia="Times New Roman" w:cs="Times New Roman"/>
          <w:szCs w:val="24"/>
          <w:lang w:val="en-GB"/>
        </w:rPr>
        <w:t xml:space="preserve"> factors for SU/PSU/SA were widely addressed in the literature, appearing in 80 publications. These factors included self-control (13), adverse childhood experiences (ACEs) (12), loneliness (11), and depression (7). Emotional traits such as self-esteem (7), peer pressure (7), </w:t>
      </w:r>
      <w:proofErr w:type="spellStart"/>
      <w:r w:rsidRPr="007E0C72">
        <w:rPr>
          <w:rFonts w:eastAsia="Times New Roman" w:cs="Times New Roman"/>
          <w:szCs w:val="24"/>
          <w:lang w:val="en-GB"/>
        </w:rPr>
        <w:t>FoMO</w:t>
      </w:r>
      <w:proofErr w:type="spellEnd"/>
      <w:r w:rsidRPr="007E0C72">
        <w:rPr>
          <w:rFonts w:eastAsia="Times New Roman" w:cs="Times New Roman"/>
          <w:szCs w:val="24"/>
          <w:lang w:val="en-GB"/>
        </w:rPr>
        <w:t xml:space="preserve"> (fear of missing out) (6), and social anxiety (4) were also prominent. Broader psychological constructs, including general psychological factors (6), well-being (4), and personality traits (4), further highlighted the intricate emotional and mental health dimensions. Additionally, specific issues related to emotional regulation, such as alexithymia (3), anxiety (3), and stress (3), were noted as relevant influences. Other less frequently mentioned factors (2 or fewer) related to this category included impulsivity, neurobiological traits, ADHD, aggression, mood changes due to the inability to use digital devices, grit, resilience, academic helplessness, gratitude, meaning in life, and body image.</w:t>
      </w:r>
    </w:p>
    <w:p w14:paraId="14952EBD" w14:textId="77777777" w:rsidR="00A7136E" w:rsidRPr="007E0C72" w:rsidRDefault="00A7136E" w:rsidP="00A7136E">
      <w:pPr>
        <w:spacing w:before="240" w:after="240"/>
        <w:rPr>
          <w:rFonts w:eastAsia="Times New Roman" w:cs="Times New Roman"/>
          <w:b/>
          <w:bCs/>
          <w:szCs w:val="24"/>
          <w:lang w:val="en-GB"/>
        </w:rPr>
      </w:pPr>
      <w:r w:rsidRPr="007E0C72">
        <w:rPr>
          <w:rFonts w:eastAsia="Times New Roman" w:cs="Times New Roman"/>
          <w:szCs w:val="24"/>
          <w:lang w:val="en-GB"/>
        </w:rPr>
        <w:lastRenderedPageBreak/>
        <w:t xml:space="preserve">Studies addressing </w:t>
      </w:r>
      <w:r w:rsidRPr="007E0C72">
        <w:rPr>
          <w:rFonts w:eastAsia="Times New Roman" w:cs="Times New Roman"/>
          <w:i/>
          <w:iCs/>
          <w:szCs w:val="24"/>
          <w:lang w:val="en-GB"/>
        </w:rPr>
        <w:t>behavioural patterns and motivations</w:t>
      </w:r>
      <w:r w:rsidRPr="007E0C72">
        <w:rPr>
          <w:rFonts w:eastAsia="Times New Roman" w:cs="Times New Roman"/>
          <w:szCs w:val="24"/>
          <w:lang w:val="en-GB"/>
        </w:rPr>
        <w:t xml:space="preserve"> highlighted factors that directly influence SU/PSU/SA. This category was addressed in 43 publications. Usage time (17) was a frequently studied variable, often linked to habitual behaviours. Use motivations (6) were explored as key drivers for SU/PSU/SA and other related issues such as digital addiction, problematic Internet use, or excessive screen time. Broader psychosocial traits (9), which encompass social and psychological behaviours, were also considered. Additionally, sleep problems (3) and diet (3) emerged as behavioural factors, reflecting how lifestyle habits and routines intersect with SU patterns. Other less frequently mentioned factors (2 or fewer) related to this category included sensation seeking, mindfulness traits, peer support, peer victimization, bullying victimization, extracurricular activities, leisure activities, playing games, watching videos, use before bedtime, learning apps, book reading, and lack of outdoor play.</w:t>
      </w:r>
    </w:p>
    <w:p w14:paraId="3A2ECDD2" w14:textId="77777777" w:rsidR="00A7136E" w:rsidRPr="007E0C72" w:rsidRDefault="00A7136E" w:rsidP="00A7136E">
      <w:pPr>
        <w:spacing w:before="240" w:after="240"/>
        <w:rPr>
          <w:rFonts w:eastAsia="Times New Roman" w:cs="Times New Roman"/>
          <w:szCs w:val="24"/>
          <w:lang w:val="en-GB"/>
        </w:rPr>
      </w:pPr>
      <w:r w:rsidRPr="007E0C72">
        <w:rPr>
          <w:rFonts w:eastAsia="Times New Roman" w:cs="Times New Roman"/>
          <w:i/>
          <w:iCs/>
          <w:szCs w:val="24"/>
          <w:lang w:val="en-GB"/>
        </w:rPr>
        <w:t>Environmental and contextual</w:t>
      </w:r>
      <w:r w:rsidRPr="007E0C72">
        <w:rPr>
          <w:rFonts w:eastAsia="Times New Roman" w:cs="Times New Roman"/>
          <w:szCs w:val="24"/>
          <w:lang w:val="en-GB"/>
        </w:rPr>
        <w:t xml:space="preserve"> influences were another prominent area of focus, addressed in 32 publications. The COVID-19 pandemic (10) was identified as a significant situational factor, illustrating how global crises can accelerate SU and its problematic/addictive use. Social and environmental factors such as neighbourhood (3) and academic achievement (3) were also highlighted. Furthermore, socioeconomic status (SES) (5) emerged as a contextual determinant of SU/PSU/SA. Other less frequently mentioned factors (2 or fewer) related to this category included school climate, school type, peer phubbing, academic burnout, academic motivation, narrowing of interests, cumulative ecological risk, health literacy, subjective economic level, and perceived usefulness.</w:t>
      </w:r>
    </w:p>
    <w:p w14:paraId="309ABDDE" w14:textId="77777777" w:rsidR="00A7136E" w:rsidRPr="007E0C72" w:rsidRDefault="00A7136E" w:rsidP="00A7136E">
      <w:pPr>
        <w:spacing w:before="240" w:after="240"/>
        <w:rPr>
          <w:rFonts w:eastAsia="Times New Roman" w:cs="Times New Roman"/>
          <w:szCs w:val="24"/>
          <w:lang w:val="en-GB"/>
        </w:rPr>
      </w:pPr>
      <w:r w:rsidRPr="007E0C72">
        <w:rPr>
          <w:rFonts w:eastAsia="Times New Roman" w:cs="Times New Roman"/>
          <w:i/>
          <w:iCs/>
          <w:szCs w:val="24"/>
          <w:lang w:val="en-GB"/>
        </w:rPr>
        <w:t>Demographic</w:t>
      </w:r>
      <w:r w:rsidRPr="007E0C72">
        <w:rPr>
          <w:rFonts w:eastAsia="Times New Roman" w:cs="Times New Roman"/>
          <w:szCs w:val="24"/>
          <w:lang w:val="en-GB"/>
        </w:rPr>
        <w:t xml:space="preserve"> variables were frequently examined as risk factors for SU/PSU/SA, with 47 publications addressing this category. Age (30) was the most frequently addressed demographic factor, with some studies specifically analysing age at initial use (5) as a risk factor for SU/PSU/SA, although it should be noted that, among the factors identified in the studies detailed in this section, it may be the most closely related to ESO. Gender (24) also appeared consistently, shedding light on differences in usage patterns. Other less frequently mentioned factors (2 or fewer) related to this category included left-behind minor status, one-child status, and other unspecified demographics.</w:t>
      </w:r>
    </w:p>
    <w:p w14:paraId="3B72B98D" w14:textId="77777777" w:rsidR="00A7136E" w:rsidRPr="007E0C72" w:rsidRDefault="00A7136E" w:rsidP="00A7136E">
      <w:pPr>
        <w:spacing w:before="240" w:after="240"/>
        <w:rPr>
          <w:rFonts w:cs="Times New Roman"/>
          <w:szCs w:val="24"/>
          <w:lang w:val="en-GB"/>
        </w:rPr>
      </w:pPr>
      <w:r w:rsidRPr="007E0C72">
        <w:rPr>
          <w:rFonts w:eastAsia="Times New Roman" w:cs="Times New Roman"/>
          <w:szCs w:val="24"/>
          <w:lang w:val="en-GB"/>
        </w:rPr>
        <w:t>Finally, a total of 9 systematic reviews or meta-analyses were identified among the 195 publications excluded for focusing on risk factors for SU/PSU/SA.</w:t>
      </w:r>
      <w:r w:rsidRPr="007E0C72">
        <w:rPr>
          <w:rFonts w:cs="Times New Roman"/>
          <w:szCs w:val="24"/>
          <w:lang w:val="en-GB"/>
        </w:rPr>
        <w:t xml:space="preserve"> Most of these reviews focused on specific factors or populations, with only 5 addressing risk factors from a general perspective. Fauzi et al. (2019) concentrated on adolescents and SA, while Fischer-Grote et al. (2019) examined PSU in children and adolescents but included only 38 publications from alternative databases, such as Google Scholar and PubMed. Similarly, Çelik &amp; Çelik (2023) conducted a meta-synthesis analysing 258 studies on the antecedents and consequences of digital addiction, providing a broad overview of factors associated with addictive behaviours across different digital platforms. However, their methodological approach differs, as it is a meta-synthesis rather than a systematic review. De Freitas et al. (2021) performed a scoping review analysing 67 publications on the prevalence and associated factors of SA in adolescents, with a strong geographical focus on South Korea, which limits the generalizability of their findings to other cultural contexts. On the other hand, Khan et al.  (2021) conducted a literature review combined </w:t>
      </w:r>
      <w:r w:rsidRPr="007E0C72">
        <w:rPr>
          <w:rFonts w:cs="Times New Roman"/>
          <w:szCs w:val="24"/>
          <w:lang w:val="en-GB"/>
        </w:rPr>
        <w:lastRenderedPageBreak/>
        <w:t>with a conceptual model, identifying influential factors and adverse effects of SA in children, with particular emphasis on parental influence, peer pressure, and emotional consequences such as anxiety and depression.</w:t>
      </w:r>
    </w:p>
    <w:p w14:paraId="0B6CFE37" w14:textId="77777777" w:rsidR="00841BBD" w:rsidRDefault="00841BBD"/>
    <w:sectPr w:rsidR="00841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6E"/>
    <w:rsid w:val="00841BBD"/>
    <w:rsid w:val="00A278BC"/>
    <w:rsid w:val="00A7136E"/>
    <w:rsid w:val="00AA03F8"/>
    <w:rsid w:val="00D70B6C"/>
    <w:rsid w:val="00DC7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C109"/>
  <w15:chartTrackingRefBased/>
  <w15:docId w15:val="{32B57A52-56A3-44A5-877B-ED49AA66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6E"/>
    <w:pPr>
      <w:jc w:val="both"/>
    </w:pPr>
    <w:rPr>
      <w:rFonts w:ascii="Times New Roman" w:hAnsi="Times New Roman"/>
      <w:sz w:val="24"/>
    </w:rPr>
  </w:style>
  <w:style w:type="paragraph" w:styleId="Ttulo1">
    <w:name w:val="heading 1"/>
    <w:basedOn w:val="Normal"/>
    <w:next w:val="Normal"/>
    <w:link w:val="Ttulo1Car"/>
    <w:uiPriority w:val="9"/>
    <w:qFormat/>
    <w:rsid w:val="00A7136E"/>
    <w:pPr>
      <w:keepNext/>
      <w:keepLines/>
      <w:spacing w:before="360" w:after="80"/>
      <w:jc w:val="left"/>
      <w:outlineLvl w:val="0"/>
    </w:pPr>
    <w:rPr>
      <w:rFonts w:eastAsiaTheme="majorEastAsia" w:cstheme="majorBidi"/>
      <w:szCs w:val="40"/>
    </w:rPr>
  </w:style>
  <w:style w:type="paragraph" w:styleId="Ttulo2">
    <w:name w:val="heading 2"/>
    <w:basedOn w:val="Normal"/>
    <w:next w:val="Normal"/>
    <w:link w:val="Ttulo2Car"/>
    <w:uiPriority w:val="9"/>
    <w:semiHidden/>
    <w:unhideWhenUsed/>
    <w:qFormat/>
    <w:rsid w:val="00A7136E"/>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36E"/>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36E"/>
    <w:pPr>
      <w:keepNext/>
      <w:keepLines/>
      <w:spacing w:before="80" w:after="40"/>
      <w:jc w:val="left"/>
      <w:outlineLvl w:val="3"/>
    </w:pPr>
    <w:rPr>
      <w:rFonts w:asciiTheme="minorHAnsi" w:eastAsiaTheme="majorEastAsia" w:hAnsiTheme="minorHAnsi" w:cstheme="majorBidi"/>
      <w:i/>
      <w:iCs/>
      <w:color w:val="0F4761" w:themeColor="accent1" w:themeShade="BF"/>
      <w:sz w:val="22"/>
    </w:rPr>
  </w:style>
  <w:style w:type="paragraph" w:styleId="Ttulo5">
    <w:name w:val="heading 5"/>
    <w:basedOn w:val="Normal"/>
    <w:next w:val="Normal"/>
    <w:link w:val="Ttulo5Car"/>
    <w:uiPriority w:val="9"/>
    <w:semiHidden/>
    <w:unhideWhenUsed/>
    <w:qFormat/>
    <w:rsid w:val="00A7136E"/>
    <w:pPr>
      <w:keepNext/>
      <w:keepLines/>
      <w:spacing w:before="80" w:after="40"/>
      <w:jc w:val="left"/>
      <w:outlineLvl w:val="4"/>
    </w:pPr>
    <w:rPr>
      <w:rFonts w:asciiTheme="minorHAnsi" w:eastAsiaTheme="majorEastAsia" w:hAnsiTheme="minorHAnsi" w:cstheme="majorBidi"/>
      <w:color w:val="0F4761" w:themeColor="accent1" w:themeShade="BF"/>
      <w:sz w:val="22"/>
    </w:rPr>
  </w:style>
  <w:style w:type="paragraph" w:styleId="Ttulo6">
    <w:name w:val="heading 6"/>
    <w:basedOn w:val="Normal"/>
    <w:next w:val="Normal"/>
    <w:link w:val="Ttulo6Car"/>
    <w:uiPriority w:val="9"/>
    <w:semiHidden/>
    <w:unhideWhenUsed/>
    <w:qFormat/>
    <w:rsid w:val="00A7136E"/>
    <w:pPr>
      <w:keepNext/>
      <w:keepLines/>
      <w:spacing w:before="40" w:after="0"/>
      <w:jc w:val="left"/>
      <w:outlineLvl w:val="5"/>
    </w:pPr>
    <w:rPr>
      <w:rFonts w:asciiTheme="minorHAnsi" w:eastAsiaTheme="majorEastAsia" w:hAnsiTheme="minorHAnsi" w:cstheme="majorBidi"/>
      <w:i/>
      <w:iCs/>
      <w:color w:val="595959" w:themeColor="text1" w:themeTint="A6"/>
      <w:sz w:val="22"/>
    </w:rPr>
  </w:style>
  <w:style w:type="paragraph" w:styleId="Ttulo7">
    <w:name w:val="heading 7"/>
    <w:basedOn w:val="Normal"/>
    <w:next w:val="Normal"/>
    <w:link w:val="Ttulo7Car"/>
    <w:uiPriority w:val="9"/>
    <w:semiHidden/>
    <w:unhideWhenUsed/>
    <w:qFormat/>
    <w:rsid w:val="00A7136E"/>
    <w:pPr>
      <w:keepNext/>
      <w:keepLines/>
      <w:spacing w:before="40" w:after="0"/>
      <w:jc w:val="left"/>
      <w:outlineLvl w:val="6"/>
    </w:pPr>
    <w:rPr>
      <w:rFonts w:asciiTheme="minorHAnsi" w:eastAsiaTheme="majorEastAsia" w:hAnsiTheme="minorHAnsi" w:cstheme="majorBidi"/>
      <w:color w:val="595959" w:themeColor="text1" w:themeTint="A6"/>
      <w:sz w:val="22"/>
    </w:rPr>
  </w:style>
  <w:style w:type="paragraph" w:styleId="Ttulo8">
    <w:name w:val="heading 8"/>
    <w:basedOn w:val="Normal"/>
    <w:next w:val="Normal"/>
    <w:link w:val="Ttulo8Car"/>
    <w:uiPriority w:val="9"/>
    <w:semiHidden/>
    <w:unhideWhenUsed/>
    <w:qFormat/>
    <w:rsid w:val="00A7136E"/>
    <w:pPr>
      <w:keepNext/>
      <w:keepLines/>
      <w:spacing w:after="0"/>
      <w:jc w:val="left"/>
      <w:outlineLvl w:val="7"/>
    </w:pPr>
    <w:rPr>
      <w:rFonts w:asciiTheme="minorHAnsi" w:eastAsiaTheme="majorEastAsia" w:hAnsiTheme="minorHAnsi" w:cstheme="majorBidi"/>
      <w:i/>
      <w:iCs/>
      <w:color w:val="272727" w:themeColor="text1" w:themeTint="D8"/>
      <w:sz w:val="22"/>
    </w:rPr>
  </w:style>
  <w:style w:type="paragraph" w:styleId="Ttulo9">
    <w:name w:val="heading 9"/>
    <w:basedOn w:val="Normal"/>
    <w:next w:val="Normal"/>
    <w:link w:val="Ttulo9Car"/>
    <w:uiPriority w:val="9"/>
    <w:semiHidden/>
    <w:unhideWhenUsed/>
    <w:qFormat/>
    <w:rsid w:val="00A7136E"/>
    <w:pPr>
      <w:keepNext/>
      <w:keepLines/>
      <w:spacing w:after="0"/>
      <w:jc w:val="left"/>
      <w:outlineLvl w:val="8"/>
    </w:pPr>
    <w:rPr>
      <w:rFonts w:asciiTheme="minorHAnsi" w:eastAsiaTheme="majorEastAsia" w:hAnsiTheme="minorHAnsi" w:cstheme="majorBidi"/>
      <w:color w:val="272727" w:themeColor="text1" w:themeTint="D8"/>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36E"/>
    <w:rPr>
      <w:rFonts w:ascii="Times New Roman" w:eastAsiaTheme="majorEastAsia" w:hAnsi="Times New Roman" w:cstheme="majorBidi"/>
      <w:sz w:val="24"/>
      <w:szCs w:val="40"/>
    </w:rPr>
  </w:style>
  <w:style w:type="character" w:customStyle="1" w:styleId="Ttulo2Car">
    <w:name w:val="Título 2 Car"/>
    <w:basedOn w:val="Fuentedeprrafopredeter"/>
    <w:link w:val="Ttulo2"/>
    <w:uiPriority w:val="9"/>
    <w:semiHidden/>
    <w:rsid w:val="00A713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13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13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13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13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13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13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136E"/>
    <w:rPr>
      <w:rFonts w:eastAsiaTheme="majorEastAsia" w:cstheme="majorBidi"/>
      <w:color w:val="272727" w:themeColor="text1" w:themeTint="D8"/>
    </w:rPr>
  </w:style>
  <w:style w:type="paragraph" w:styleId="Ttulo">
    <w:name w:val="Title"/>
    <w:basedOn w:val="Normal"/>
    <w:next w:val="Normal"/>
    <w:link w:val="TtuloCar"/>
    <w:uiPriority w:val="10"/>
    <w:qFormat/>
    <w:rsid w:val="00A7136E"/>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3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136E"/>
    <w:pPr>
      <w:numPr>
        <w:ilvl w:val="1"/>
      </w:numPr>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3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136E"/>
    <w:pPr>
      <w:spacing w:before="160"/>
      <w:jc w:val="center"/>
    </w:pPr>
    <w:rPr>
      <w:rFonts w:asciiTheme="minorHAnsi" w:hAnsiTheme="minorHAnsi"/>
      <w:i/>
      <w:iCs/>
      <w:color w:val="404040" w:themeColor="text1" w:themeTint="BF"/>
      <w:sz w:val="22"/>
    </w:rPr>
  </w:style>
  <w:style w:type="character" w:customStyle="1" w:styleId="CitaCar">
    <w:name w:val="Cita Car"/>
    <w:basedOn w:val="Fuentedeprrafopredeter"/>
    <w:link w:val="Cita"/>
    <w:uiPriority w:val="29"/>
    <w:rsid w:val="00A7136E"/>
    <w:rPr>
      <w:i/>
      <w:iCs/>
      <w:color w:val="404040" w:themeColor="text1" w:themeTint="BF"/>
    </w:rPr>
  </w:style>
  <w:style w:type="paragraph" w:styleId="Prrafodelista">
    <w:name w:val="List Paragraph"/>
    <w:basedOn w:val="Normal"/>
    <w:uiPriority w:val="34"/>
    <w:qFormat/>
    <w:rsid w:val="00A7136E"/>
    <w:pPr>
      <w:ind w:left="720"/>
      <w:contextualSpacing/>
      <w:jc w:val="left"/>
    </w:pPr>
    <w:rPr>
      <w:rFonts w:asciiTheme="minorHAnsi" w:hAnsiTheme="minorHAnsi"/>
      <w:sz w:val="22"/>
    </w:rPr>
  </w:style>
  <w:style w:type="character" w:styleId="nfasisintenso">
    <w:name w:val="Intense Emphasis"/>
    <w:basedOn w:val="Fuentedeprrafopredeter"/>
    <w:uiPriority w:val="21"/>
    <w:qFormat/>
    <w:rsid w:val="00A7136E"/>
    <w:rPr>
      <w:i/>
      <w:iCs/>
      <w:color w:val="0F4761" w:themeColor="accent1" w:themeShade="BF"/>
    </w:rPr>
  </w:style>
  <w:style w:type="paragraph" w:styleId="Citadestacada">
    <w:name w:val="Intense Quote"/>
    <w:basedOn w:val="Normal"/>
    <w:next w:val="Normal"/>
    <w:link w:val="CitadestacadaCar"/>
    <w:uiPriority w:val="30"/>
    <w:qFormat/>
    <w:rsid w:val="00A7136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rPr>
  </w:style>
  <w:style w:type="character" w:customStyle="1" w:styleId="CitadestacadaCar">
    <w:name w:val="Cita destacada Car"/>
    <w:basedOn w:val="Fuentedeprrafopredeter"/>
    <w:link w:val="Citadestacada"/>
    <w:uiPriority w:val="30"/>
    <w:rsid w:val="00A7136E"/>
    <w:rPr>
      <w:i/>
      <w:iCs/>
      <w:color w:val="0F4761" w:themeColor="accent1" w:themeShade="BF"/>
    </w:rPr>
  </w:style>
  <w:style w:type="character" w:styleId="Referenciaintensa">
    <w:name w:val="Intense Reference"/>
    <w:basedOn w:val="Fuentedeprrafopredeter"/>
    <w:uiPriority w:val="32"/>
    <w:qFormat/>
    <w:rsid w:val="00A71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6356</Characters>
  <Application>Microsoft Office Word</Application>
  <DocSecurity>0</DocSecurity>
  <Lines>181</Lines>
  <Paragraphs>121</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Casanovas Combalia , Xavier</dc:creator>
  <cp:keywords/>
  <dc:description/>
  <cp:lastModifiedBy>Casanovas Combalia , Xavier</cp:lastModifiedBy>
  <cp:revision>1</cp:revision>
  <dcterms:created xsi:type="dcterms:W3CDTF">2025-03-28T11:51:00Z</dcterms:created>
  <dcterms:modified xsi:type="dcterms:W3CDTF">2025-03-28T11:52:00Z</dcterms:modified>
</cp:coreProperties>
</file>