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A30" w:rsidRDefault="00CF6A30" w:rsidP="00E22879">
      <w:pPr>
        <w:pStyle w:val="Default"/>
        <w:spacing w:line="480" w:lineRule="auto"/>
        <w:jc w:val="both"/>
        <w:rPr>
          <w:rFonts w:hint="eastAsia"/>
          <w:b/>
          <w:bCs/>
        </w:rPr>
      </w:pPr>
      <w:r>
        <w:rPr>
          <w:rFonts w:hint="eastAsia"/>
        </w:rPr>
        <w:t>S</w:t>
      </w:r>
      <w:r>
        <w:t>upplement</w:t>
      </w:r>
      <w:r>
        <w:rPr>
          <w:rFonts w:hint="eastAsia"/>
        </w:rPr>
        <w:t>ary</w:t>
      </w:r>
      <w:r>
        <w:t> document for methods</w:t>
      </w:r>
    </w:p>
    <w:p w:rsidR="009C70F4" w:rsidRPr="00E22879" w:rsidRDefault="009C70F4" w:rsidP="00E22879">
      <w:pPr>
        <w:pStyle w:val="Default"/>
        <w:spacing w:line="480" w:lineRule="auto"/>
        <w:jc w:val="both"/>
      </w:pPr>
      <w:r w:rsidRPr="00E22879">
        <w:rPr>
          <w:b/>
          <w:bCs/>
        </w:rPr>
        <w:t xml:space="preserve">Preparation of </w:t>
      </w:r>
      <w:proofErr w:type="spellStart"/>
      <w:r w:rsidRPr="00E22879">
        <w:rPr>
          <w:b/>
          <w:bCs/>
        </w:rPr>
        <w:t>protoscoleces</w:t>
      </w:r>
      <w:proofErr w:type="spellEnd"/>
    </w:p>
    <w:p w:rsidR="009C70F4" w:rsidRPr="00E22879" w:rsidRDefault="009C70F4" w:rsidP="00E22879">
      <w:pPr>
        <w:pStyle w:val="Default"/>
        <w:spacing w:line="480" w:lineRule="auto"/>
        <w:jc w:val="both"/>
        <w:rPr>
          <w:color w:val="auto"/>
        </w:rPr>
      </w:pPr>
      <w:r w:rsidRPr="00E22879">
        <w:rPr>
          <w:color w:val="auto"/>
        </w:rPr>
        <w:t xml:space="preserve">To isolate the </w:t>
      </w:r>
      <w:proofErr w:type="spellStart"/>
      <w:r w:rsidRPr="00E22879">
        <w:rPr>
          <w:color w:val="auto"/>
        </w:rPr>
        <w:t>protoscoleces</w:t>
      </w:r>
      <w:proofErr w:type="spellEnd"/>
      <w:r w:rsidRPr="00E22879">
        <w:rPr>
          <w:color w:val="auto"/>
        </w:rPr>
        <w:t>, parasite tissue was first isolated from infected mice and homogenized</w:t>
      </w:r>
      <w:r w:rsidRPr="00E22879">
        <w:rPr>
          <w:color w:val="4F81BD" w:themeColor="accent1"/>
        </w:rPr>
        <w:t xml:space="preserve"> </w:t>
      </w:r>
      <w:r w:rsidRPr="00E22879">
        <w:rPr>
          <w:color w:val="auto"/>
        </w:rPr>
        <w:t>[</w:t>
      </w:r>
      <w:r w:rsidR="00C75A32" w:rsidRPr="00E22879">
        <w:rPr>
          <w:color w:val="212121"/>
          <w:shd w:val="clear" w:color="auto" w:fill="FFFFFF"/>
        </w:rPr>
        <w:t>Jura</w:t>
      </w:r>
      <w:r w:rsidR="00C75A32" w:rsidRPr="00E22879">
        <w:t xml:space="preserve"> et al., 1996</w:t>
      </w:r>
      <w:r w:rsidRPr="00E22879">
        <w:rPr>
          <w:color w:val="auto"/>
        </w:rPr>
        <w:t xml:space="preserve">]. The homogenate was subsequently filtered once through a 150-µm pore size nylon mesh, thus separating the </w:t>
      </w:r>
      <w:proofErr w:type="spellStart"/>
      <w:r w:rsidRPr="00E22879">
        <w:rPr>
          <w:color w:val="auto"/>
        </w:rPr>
        <w:t>protoscoleces</w:t>
      </w:r>
      <w:proofErr w:type="spellEnd"/>
      <w:r w:rsidRPr="00E22879">
        <w:rPr>
          <w:color w:val="auto"/>
        </w:rPr>
        <w:t xml:space="preserve"> from large pieces of </w:t>
      </w:r>
      <w:proofErr w:type="spellStart"/>
      <w:r w:rsidRPr="00E22879">
        <w:rPr>
          <w:color w:val="auto"/>
        </w:rPr>
        <w:t>metacestode</w:t>
      </w:r>
      <w:proofErr w:type="spellEnd"/>
      <w:r w:rsidRPr="00E22879">
        <w:rPr>
          <w:color w:val="auto"/>
        </w:rPr>
        <w:t xml:space="preserve"> tissue. The flow through was filtered through a 50-µm pore size nylon mesh, separating the </w:t>
      </w:r>
      <w:proofErr w:type="spellStart"/>
      <w:r w:rsidRPr="00E22879">
        <w:rPr>
          <w:color w:val="auto"/>
        </w:rPr>
        <w:t>protoscoleces</w:t>
      </w:r>
      <w:proofErr w:type="spellEnd"/>
      <w:r w:rsidRPr="00E22879">
        <w:rPr>
          <w:color w:val="auto"/>
        </w:rPr>
        <w:t xml:space="preserve"> from</w:t>
      </w:r>
      <w:r w:rsidR="00C57F0E" w:rsidRPr="00E22879">
        <w:rPr>
          <w:color w:val="auto"/>
        </w:rPr>
        <w:t xml:space="preserve"> single cells and small cell clumps. They were then washed off the nylon mesh with sterile PBS and manually separated from equal sized vesicles using a pipette tip under a microscope.</w:t>
      </w:r>
    </w:p>
    <w:p w:rsidR="00E376EE" w:rsidRPr="00E22879" w:rsidRDefault="00C57F0E" w:rsidP="00E22879">
      <w:pPr>
        <w:pStyle w:val="Default"/>
        <w:spacing w:line="480" w:lineRule="auto"/>
        <w:jc w:val="both"/>
        <w:rPr>
          <w:b/>
          <w:bCs/>
        </w:rPr>
      </w:pPr>
      <w:proofErr w:type="spellStart"/>
      <w:r w:rsidRPr="00E22879">
        <w:rPr>
          <w:b/>
          <w:bCs/>
          <w:i/>
        </w:rPr>
        <w:t>Echinococcus</w:t>
      </w:r>
      <w:proofErr w:type="spellEnd"/>
      <w:r w:rsidRPr="00E22879">
        <w:rPr>
          <w:b/>
          <w:bCs/>
          <w:i/>
        </w:rPr>
        <w:t xml:space="preserve"> </w:t>
      </w:r>
      <w:proofErr w:type="spellStart"/>
      <w:r w:rsidRPr="00E22879">
        <w:rPr>
          <w:b/>
          <w:bCs/>
          <w:i/>
        </w:rPr>
        <w:t>multilocularis</w:t>
      </w:r>
      <w:proofErr w:type="spellEnd"/>
      <w:r w:rsidRPr="00E22879">
        <w:rPr>
          <w:b/>
          <w:bCs/>
        </w:rPr>
        <w:t xml:space="preserve"> infected mouse model molecular identification</w:t>
      </w:r>
    </w:p>
    <w:p w:rsidR="00E376EE" w:rsidRPr="00E22879" w:rsidRDefault="00C57F0E" w:rsidP="00E22879">
      <w:pPr>
        <w:pStyle w:val="Default"/>
        <w:spacing w:line="480" w:lineRule="auto"/>
        <w:jc w:val="both"/>
        <w:rPr>
          <w:color w:val="auto"/>
        </w:rPr>
      </w:pPr>
      <w:proofErr w:type="spellStart"/>
      <w:r w:rsidRPr="00E22879">
        <w:rPr>
          <w:i/>
          <w:color w:val="auto"/>
        </w:rPr>
        <w:t>Echinococcus</w:t>
      </w:r>
      <w:proofErr w:type="spellEnd"/>
      <w:r w:rsidRPr="00E22879">
        <w:rPr>
          <w:i/>
          <w:color w:val="auto"/>
        </w:rPr>
        <w:t xml:space="preserve"> </w:t>
      </w:r>
      <w:proofErr w:type="spellStart"/>
      <w:r w:rsidRPr="00E22879">
        <w:rPr>
          <w:i/>
          <w:color w:val="auto"/>
        </w:rPr>
        <w:t>multilocularis</w:t>
      </w:r>
      <w:proofErr w:type="spellEnd"/>
      <w:r w:rsidRPr="00E22879">
        <w:rPr>
          <w:color w:val="auto"/>
        </w:rPr>
        <w:t xml:space="preserve"> </w:t>
      </w:r>
      <w:proofErr w:type="spellStart"/>
      <w:r w:rsidRPr="00E22879">
        <w:rPr>
          <w:color w:val="auto"/>
        </w:rPr>
        <w:t>metacestodes</w:t>
      </w:r>
      <w:proofErr w:type="spellEnd"/>
      <w:r w:rsidRPr="00E22879">
        <w:rPr>
          <w:color w:val="auto"/>
        </w:rPr>
        <w:t xml:space="preserve"> DNA was extracted using </w:t>
      </w:r>
      <w:proofErr w:type="spellStart"/>
      <w:r w:rsidR="00867510" w:rsidRPr="00E22879">
        <w:rPr>
          <w:color w:val="auto"/>
        </w:rPr>
        <w:t>DAeasy</w:t>
      </w:r>
      <w:proofErr w:type="spellEnd"/>
      <w:r w:rsidR="00867510" w:rsidRPr="00E22879">
        <w:rPr>
          <w:color w:val="333333"/>
          <w:shd w:val="clear" w:color="auto" w:fill="FFFFFF"/>
        </w:rPr>
        <w:t xml:space="preserve"> ®</w:t>
      </w:r>
      <w:r w:rsidR="00867510" w:rsidRPr="00E22879">
        <w:rPr>
          <w:color w:val="auto"/>
        </w:rPr>
        <w:t xml:space="preserve"> Blood </w:t>
      </w:r>
      <w:r w:rsidR="00867510" w:rsidRPr="00E22879">
        <w:rPr>
          <w:color w:val="auto"/>
        </w:rPr>
        <w:t>﹠</w:t>
      </w:r>
      <w:r w:rsidR="00867510" w:rsidRPr="00E22879">
        <w:rPr>
          <w:color w:val="auto"/>
        </w:rPr>
        <w:t>Tissue kit</w:t>
      </w:r>
      <w:r w:rsidR="00E376EE" w:rsidRPr="00E22879">
        <w:rPr>
          <w:color w:val="auto"/>
        </w:rPr>
        <w:t xml:space="preserve"> (</w:t>
      </w:r>
      <w:proofErr w:type="spellStart"/>
      <w:r w:rsidR="00E376EE" w:rsidRPr="00E22879">
        <w:rPr>
          <w:color w:val="auto"/>
        </w:rPr>
        <w:t>Qiagen</w:t>
      </w:r>
      <w:proofErr w:type="spellEnd"/>
      <w:r w:rsidR="00E376EE" w:rsidRPr="00E22879">
        <w:rPr>
          <w:color w:val="auto"/>
        </w:rPr>
        <w:t xml:space="preserve">, </w:t>
      </w:r>
      <w:r w:rsidR="00867510" w:rsidRPr="00E22879">
        <w:rPr>
          <w:color w:val="auto"/>
        </w:rPr>
        <w:t>69504</w:t>
      </w:r>
      <w:r w:rsidR="00E376EE" w:rsidRPr="00E22879">
        <w:rPr>
          <w:color w:val="auto"/>
        </w:rPr>
        <w:t xml:space="preserve">). Molecular identification was undertaken by </w:t>
      </w:r>
      <w:r w:rsidRPr="00E22879">
        <w:rPr>
          <w:color w:val="auto"/>
        </w:rPr>
        <w:t>PCR-amplifying the complete fragments of the mitochondrial (</w:t>
      </w:r>
      <w:proofErr w:type="spellStart"/>
      <w:r w:rsidRPr="00E22879">
        <w:rPr>
          <w:color w:val="auto"/>
        </w:rPr>
        <w:t>mt</w:t>
      </w:r>
      <w:proofErr w:type="spellEnd"/>
      <w:r w:rsidRPr="00E22879">
        <w:rPr>
          <w:color w:val="auto"/>
        </w:rPr>
        <w:t xml:space="preserve">) </w:t>
      </w:r>
      <w:proofErr w:type="spellStart"/>
      <w:r w:rsidRPr="00E22879">
        <w:rPr>
          <w:color w:val="auto"/>
        </w:rPr>
        <w:t>cytochrome</w:t>
      </w:r>
      <w:proofErr w:type="spellEnd"/>
      <w:r w:rsidRPr="00E22879">
        <w:rPr>
          <w:color w:val="auto"/>
        </w:rPr>
        <w:t xml:space="preserve"> c </w:t>
      </w:r>
      <w:proofErr w:type="spellStart"/>
      <w:r w:rsidRPr="00E22879">
        <w:rPr>
          <w:color w:val="auto"/>
        </w:rPr>
        <w:t>oridase</w:t>
      </w:r>
      <w:proofErr w:type="spellEnd"/>
      <w:r w:rsidRPr="00E22879">
        <w:rPr>
          <w:color w:val="auto"/>
        </w:rPr>
        <w:t xml:space="preserve"> subunit 1 (</w:t>
      </w:r>
      <w:r w:rsidRPr="00E22879">
        <w:rPr>
          <w:i/>
          <w:color w:val="auto"/>
        </w:rPr>
        <w:t>cox</w:t>
      </w:r>
      <w:r w:rsidRPr="00E22879">
        <w:rPr>
          <w:color w:val="auto"/>
        </w:rPr>
        <w:t xml:space="preserve">1) gene and NADH </w:t>
      </w:r>
      <w:proofErr w:type="spellStart"/>
      <w:r w:rsidRPr="00E22879">
        <w:rPr>
          <w:color w:val="auto"/>
        </w:rPr>
        <w:t>dehydrogenase</w:t>
      </w:r>
      <w:proofErr w:type="spellEnd"/>
      <w:r w:rsidRPr="00E22879">
        <w:rPr>
          <w:color w:val="auto"/>
        </w:rPr>
        <w:t xml:space="preserve"> subunit 1 (</w:t>
      </w:r>
      <w:r w:rsidRPr="00E22879">
        <w:rPr>
          <w:i/>
          <w:color w:val="auto"/>
        </w:rPr>
        <w:t>nad</w:t>
      </w:r>
      <w:r w:rsidRPr="00E22879">
        <w:rPr>
          <w:color w:val="auto"/>
        </w:rPr>
        <w:t>1) gene. The primers</w:t>
      </w:r>
      <w:r w:rsidR="00B65B45" w:rsidRPr="00E22879">
        <w:rPr>
          <w:color w:val="auto"/>
        </w:rPr>
        <w:t xml:space="preserve"> </w:t>
      </w:r>
      <w:r w:rsidR="00E376EE" w:rsidRPr="00E22879">
        <w:rPr>
          <w:color w:val="auto"/>
        </w:rPr>
        <w:t xml:space="preserve">were designed </w:t>
      </w:r>
      <w:r w:rsidR="00B65B45" w:rsidRPr="00E22879">
        <w:rPr>
          <w:color w:val="auto"/>
        </w:rPr>
        <w:t>[</w:t>
      </w:r>
      <w:r w:rsidR="00B65B45" w:rsidRPr="00E22879">
        <w:rPr>
          <w:color w:val="212121"/>
          <w:shd w:val="clear" w:color="auto" w:fill="FFFFFF"/>
        </w:rPr>
        <w:t>Li et al, 2018</w:t>
      </w:r>
      <w:r w:rsidR="00B65B45" w:rsidRPr="00E22879">
        <w:rPr>
          <w:color w:val="auto"/>
        </w:rPr>
        <w:t>]</w:t>
      </w:r>
      <w:r w:rsidR="00023142" w:rsidRPr="00E22879">
        <w:rPr>
          <w:color w:val="auto"/>
        </w:rPr>
        <w:t xml:space="preserve"> </w:t>
      </w:r>
      <w:r w:rsidR="00E376EE" w:rsidRPr="00E22879">
        <w:rPr>
          <w:color w:val="auto"/>
        </w:rPr>
        <w:t xml:space="preserve">based on the multiple sequence alignment of </w:t>
      </w:r>
      <w:r w:rsidR="00C010A7" w:rsidRPr="00E22879">
        <w:rPr>
          <w:i/>
          <w:color w:val="auto"/>
        </w:rPr>
        <w:t xml:space="preserve">E. </w:t>
      </w:r>
      <w:proofErr w:type="spellStart"/>
      <w:r w:rsidR="00C010A7" w:rsidRPr="00E22879">
        <w:rPr>
          <w:i/>
          <w:color w:val="auto"/>
        </w:rPr>
        <w:t>multilocularis</w:t>
      </w:r>
      <w:proofErr w:type="spellEnd"/>
      <w:r w:rsidR="00E376EE" w:rsidRPr="00E22879">
        <w:rPr>
          <w:color w:val="auto"/>
        </w:rPr>
        <w:t xml:space="preserve"> </w:t>
      </w:r>
      <w:r w:rsidRPr="00E22879">
        <w:rPr>
          <w:color w:val="auto"/>
        </w:rPr>
        <w:t xml:space="preserve">(its intermediate hosts include rodents) complete </w:t>
      </w:r>
      <w:proofErr w:type="spellStart"/>
      <w:r w:rsidRPr="00E22879">
        <w:rPr>
          <w:color w:val="auto"/>
        </w:rPr>
        <w:t>mt</w:t>
      </w:r>
      <w:proofErr w:type="spellEnd"/>
      <w:r w:rsidRPr="00E22879">
        <w:rPr>
          <w:color w:val="auto"/>
        </w:rPr>
        <w:t xml:space="preserve"> genomes </w:t>
      </w:r>
      <w:r w:rsidR="00E15D88" w:rsidRPr="00E22879">
        <w:rPr>
          <w:color w:val="auto"/>
        </w:rPr>
        <w:t>[</w:t>
      </w:r>
      <w:r w:rsidRPr="00E22879">
        <w:rPr>
          <w:color w:val="auto"/>
        </w:rPr>
        <w:t>NC_000928</w:t>
      </w:r>
      <w:r w:rsidR="00EB756D" w:rsidRPr="00E22879">
        <w:rPr>
          <w:color w:val="auto"/>
        </w:rPr>
        <w:t xml:space="preserve">, </w:t>
      </w:r>
      <w:proofErr w:type="spellStart"/>
      <w:r w:rsidR="00EB756D" w:rsidRPr="00E22879">
        <w:rPr>
          <w:color w:val="212121"/>
          <w:shd w:val="clear" w:color="auto" w:fill="FFFFFF"/>
        </w:rPr>
        <w:t>Nakao</w:t>
      </w:r>
      <w:proofErr w:type="spellEnd"/>
      <w:r w:rsidR="00EB756D" w:rsidRPr="00E22879">
        <w:rPr>
          <w:color w:val="212121"/>
          <w:shd w:val="clear" w:color="auto" w:fill="FFFFFF"/>
        </w:rPr>
        <w:t xml:space="preserve"> et al., 2002</w:t>
      </w:r>
      <w:r w:rsidR="00E15D88" w:rsidRPr="00E22879">
        <w:rPr>
          <w:color w:val="auto"/>
        </w:rPr>
        <w:t>]</w:t>
      </w:r>
      <w:r w:rsidRPr="00E22879">
        <w:rPr>
          <w:color w:val="auto"/>
        </w:rPr>
        <w:t xml:space="preserve"> deposited in the National Center for Biotechnology Information (NCBI) </w:t>
      </w:r>
      <w:proofErr w:type="spellStart"/>
      <w:r w:rsidRPr="00E22879">
        <w:rPr>
          <w:color w:val="auto"/>
        </w:rPr>
        <w:t>GenBank</w:t>
      </w:r>
      <w:proofErr w:type="spellEnd"/>
      <w:r w:rsidRPr="00E22879">
        <w:rPr>
          <w:color w:val="auto"/>
        </w:rPr>
        <w:t xml:space="preserve"> (</w:t>
      </w:r>
      <w:r w:rsidRPr="00E22879">
        <w:rPr>
          <w:i/>
          <w:color w:val="auto"/>
        </w:rPr>
        <w:t>nad</w:t>
      </w:r>
      <w:r w:rsidRPr="00E22879">
        <w:rPr>
          <w:color w:val="auto"/>
        </w:rPr>
        <w:t xml:space="preserve">1-F: 5’-GAGTTTGCGTCTCGATGATAGG’-3, </w:t>
      </w:r>
      <w:r w:rsidRPr="00E22879">
        <w:rPr>
          <w:i/>
          <w:color w:val="auto"/>
        </w:rPr>
        <w:t>nad</w:t>
      </w:r>
      <w:r w:rsidRPr="00E22879">
        <w:rPr>
          <w:color w:val="auto"/>
        </w:rPr>
        <w:t xml:space="preserve">1-R: 5’-TCCCCAAAACCCACATTCTAC-3’; </w:t>
      </w:r>
      <w:r w:rsidRPr="00E22879">
        <w:rPr>
          <w:i/>
          <w:color w:val="auto"/>
        </w:rPr>
        <w:t>cox</w:t>
      </w:r>
      <w:r w:rsidRPr="00E22879">
        <w:rPr>
          <w:color w:val="auto"/>
        </w:rPr>
        <w:t xml:space="preserve">1-F: 5’-AGGTTTGACTTTCTCTTTGGTT-3’, </w:t>
      </w:r>
      <w:r w:rsidRPr="00E22879">
        <w:rPr>
          <w:i/>
          <w:color w:val="auto"/>
        </w:rPr>
        <w:t>cox</w:t>
      </w:r>
      <w:r w:rsidRPr="00E22879">
        <w:rPr>
          <w:color w:val="auto"/>
        </w:rPr>
        <w:t>1-R:</w:t>
      </w:r>
      <w:r w:rsidR="005769B2" w:rsidRPr="00E22879">
        <w:rPr>
          <w:color w:val="auto"/>
        </w:rPr>
        <w:t xml:space="preserve"> </w:t>
      </w:r>
      <w:r w:rsidRPr="00E22879">
        <w:rPr>
          <w:color w:val="auto"/>
        </w:rPr>
        <w:t xml:space="preserve">5’-CCAACAAATCCAAATAAACGG-3’). PCR products were purified directly from an </w:t>
      </w:r>
      <w:proofErr w:type="spellStart"/>
      <w:r w:rsidRPr="00E22879">
        <w:rPr>
          <w:color w:val="auto"/>
        </w:rPr>
        <w:t>agarose</w:t>
      </w:r>
      <w:proofErr w:type="spellEnd"/>
      <w:r w:rsidRPr="00E22879">
        <w:rPr>
          <w:color w:val="auto"/>
        </w:rPr>
        <w:t xml:space="preserve"> gel (1%) using an </w:t>
      </w:r>
      <w:proofErr w:type="spellStart"/>
      <w:r w:rsidRPr="00E22879">
        <w:rPr>
          <w:color w:val="auto"/>
        </w:rPr>
        <w:t>AxyPrep</w:t>
      </w:r>
      <w:proofErr w:type="spellEnd"/>
      <w:r w:rsidRPr="00E22879">
        <w:rPr>
          <w:color w:val="auto"/>
        </w:rPr>
        <w:t xml:space="preserve">™ DNA Gel Extraction kit (AXVGEN, </w:t>
      </w:r>
      <w:r w:rsidR="00272FEC" w:rsidRPr="00E22879">
        <w:rPr>
          <w:color w:val="auto"/>
        </w:rPr>
        <w:lastRenderedPageBreak/>
        <w:t>AP-GX-250G) and then sent to a commercial company (</w:t>
      </w:r>
      <w:proofErr w:type="spellStart"/>
      <w:r w:rsidR="00272FEC" w:rsidRPr="00E22879">
        <w:rPr>
          <w:color w:val="auto"/>
        </w:rPr>
        <w:t>TsingKe</w:t>
      </w:r>
      <w:proofErr w:type="spellEnd"/>
      <w:r w:rsidR="00272FEC" w:rsidRPr="00E22879">
        <w:rPr>
          <w:color w:val="auto"/>
        </w:rPr>
        <w:t xml:space="preserve"> Biotech, Xi’an, China) for sequencing. The sequences were submitted to NCBI </w:t>
      </w:r>
      <w:proofErr w:type="spellStart"/>
      <w:r w:rsidR="00272FEC" w:rsidRPr="00E22879">
        <w:rPr>
          <w:color w:val="auto"/>
        </w:rPr>
        <w:t>GenBank</w:t>
      </w:r>
      <w:proofErr w:type="spellEnd"/>
      <w:r w:rsidR="00272FEC" w:rsidRPr="00E22879">
        <w:rPr>
          <w:color w:val="auto"/>
        </w:rPr>
        <w:t xml:space="preserve">, to search for homologous sequences using Basic Local Alignment Search Tools (BLAST), and then deposited in NCBI </w:t>
      </w:r>
      <w:proofErr w:type="spellStart"/>
      <w:r w:rsidR="00272FEC" w:rsidRPr="00E22879">
        <w:rPr>
          <w:color w:val="auto"/>
        </w:rPr>
        <w:t>GenBank</w:t>
      </w:r>
      <w:proofErr w:type="spellEnd"/>
      <w:r w:rsidR="00272FEC" w:rsidRPr="00E22879">
        <w:rPr>
          <w:color w:val="auto"/>
        </w:rPr>
        <w:t>.</w:t>
      </w:r>
    </w:p>
    <w:p w:rsidR="009C70F4" w:rsidRPr="00F776F7" w:rsidRDefault="00A03DFE" w:rsidP="00C75A3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03DF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3118693" cy="2494305"/>
            <wp:effectExtent l="0" t="0" r="5507" b="0"/>
            <wp:docPr id="1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118693" cy="2494305"/>
                      <a:chOff x="1678291" y="954450"/>
                      <a:chExt cx="3118693" cy="2494305"/>
                    </a:xfrm>
                  </a:grpSpPr>
                  <a:grpSp>
                    <a:nvGrpSpPr>
                      <a:cNvPr id="29" name="组合 28"/>
                      <a:cNvGrpSpPr/>
                    </a:nvGrpSpPr>
                    <a:grpSpPr>
                      <a:xfrm>
                        <a:off x="1678291" y="954450"/>
                        <a:ext cx="3118693" cy="2494305"/>
                        <a:chOff x="1549192" y="954440"/>
                        <a:chExt cx="2878792" cy="2494305"/>
                      </a:xfrm>
                    </a:grpSpPr>
                    <a:pic>
                      <a:nvPicPr>
                        <a:cNvPr id="1026" name="Picture 2" descr="C:\Users\Administrator\Desktop\2020文章1\2020-09-24 18 时 00 分COX1 NAD1.tif"/>
                        <a:cNvPicPr>
                          <a:picLocks noChangeAspect="1" noChangeArrowheads="1"/>
                        </a:cNvPicPr>
                      </a:nvPicPr>
                      <a:blipFill>
                        <a:blip r:embed="rId6" cstate="print"/>
                        <a:srcRect l="25408" t="37378" r="48775" b="35630"/>
                        <a:stretch>
                          <a:fillRect/>
                        </a:stretch>
                      </a:blipFill>
                      <a:spPr bwMode="auto">
                        <a:xfrm>
                          <a:off x="2123728" y="1268760"/>
                          <a:ext cx="2304256" cy="18002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cxnSp>
                      <a:nvCxnSpPr>
                        <a:cNvPr id="7" name="直接连接符 6"/>
                        <a:cNvCxnSpPr/>
                      </a:nvCxnSpPr>
                      <a:spPr>
                        <a:xfrm flipH="1">
                          <a:off x="2051720" y="1844824"/>
                          <a:ext cx="28803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8" name="TextBox 7"/>
                        <a:cNvSpPr txBox="1"/>
                      </a:nvSpPr>
                      <a:spPr>
                        <a:xfrm>
                          <a:off x="1549192" y="1685568"/>
                          <a:ext cx="507831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2000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9" name="TextBox 8"/>
                        <a:cNvSpPr txBox="1"/>
                      </a:nvSpPr>
                      <a:spPr>
                        <a:xfrm>
                          <a:off x="1662660" y="1371248"/>
                          <a:ext cx="34802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err="1" smtClean="0"/>
                              <a:t>bp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0" name="TextBox 9"/>
                        <a:cNvSpPr txBox="1"/>
                      </a:nvSpPr>
                      <a:spPr>
                        <a:xfrm>
                          <a:off x="1554145" y="1912640"/>
                          <a:ext cx="507831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1000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11" name="直接连接符 10"/>
                        <a:cNvCxnSpPr/>
                      </a:nvCxnSpPr>
                      <a:spPr>
                        <a:xfrm flipH="1">
                          <a:off x="2055912" y="2091328"/>
                          <a:ext cx="28803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2" name="TextBox 11"/>
                        <a:cNvSpPr txBox="1"/>
                      </a:nvSpPr>
                      <a:spPr>
                        <a:xfrm>
                          <a:off x="1639104" y="2174384"/>
                          <a:ext cx="423489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500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13" name="直接连接符 12"/>
                        <a:cNvCxnSpPr/>
                      </a:nvCxnSpPr>
                      <a:spPr>
                        <a:xfrm flipH="1">
                          <a:off x="2064671" y="2353072"/>
                          <a:ext cx="28803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4" name="TextBox 13"/>
                        <a:cNvSpPr txBox="1"/>
                      </a:nvSpPr>
                      <a:spPr>
                        <a:xfrm>
                          <a:off x="1619672" y="2636912"/>
                          <a:ext cx="423489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100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15" name="直接连接符 14"/>
                        <a:cNvCxnSpPr/>
                      </a:nvCxnSpPr>
                      <a:spPr>
                        <a:xfrm flipH="1">
                          <a:off x="2045239" y="2815600"/>
                          <a:ext cx="28803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6" name="TextBox 15"/>
                        <a:cNvSpPr txBox="1"/>
                      </a:nvSpPr>
                      <a:spPr>
                        <a:xfrm>
                          <a:off x="2328704" y="954440"/>
                          <a:ext cx="315471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M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7" name="TextBox 16"/>
                        <a:cNvSpPr txBox="1"/>
                      </a:nvSpPr>
                      <a:spPr>
                        <a:xfrm>
                          <a:off x="2771799" y="954440"/>
                          <a:ext cx="248885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S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8" name="TextBox 17"/>
                        <a:cNvSpPr txBox="1"/>
                      </a:nvSpPr>
                      <a:spPr>
                        <a:xfrm>
                          <a:off x="3131841" y="954440"/>
                          <a:ext cx="479717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Con.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9" name="TextBox 18"/>
                        <a:cNvSpPr txBox="1"/>
                      </a:nvSpPr>
                      <a:spPr>
                        <a:xfrm>
                          <a:off x="3635896" y="954440"/>
                          <a:ext cx="248885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S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0" name="TextBox 19"/>
                        <a:cNvSpPr txBox="1"/>
                      </a:nvSpPr>
                      <a:spPr>
                        <a:xfrm>
                          <a:off x="3930783" y="954440"/>
                          <a:ext cx="479717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Con.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4" name="TextBox 23"/>
                        <a:cNvSpPr txBox="1"/>
                      </a:nvSpPr>
                      <a:spPr>
                        <a:xfrm>
                          <a:off x="2385472" y="3140968"/>
                          <a:ext cx="25480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1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5" name="TextBox 24"/>
                        <a:cNvSpPr txBox="1"/>
                      </a:nvSpPr>
                      <a:spPr>
                        <a:xfrm>
                          <a:off x="2828567" y="3140968"/>
                          <a:ext cx="25480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2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6" name="TextBox 25"/>
                        <a:cNvSpPr txBox="1"/>
                      </a:nvSpPr>
                      <a:spPr>
                        <a:xfrm>
                          <a:off x="3264807" y="3140968"/>
                          <a:ext cx="25480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3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7" name="TextBox 26"/>
                        <a:cNvSpPr txBox="1"/>
                      </a:nvSpPr>
                      <a:spPr>
                        <a:xfrm>
                          <a:off x="3707903" y="3140968"/>
                          <a:ext cx="25480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4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8" name="TextBox 27"/>
                        <a:cNvSpPr txBox="1"/>
                      </a:nvSpPr>
                      <a:spPr>
                        <a:xfrm>
                          <a:off x="4094231" y="3140968"/>
                          <a:ext cx="25480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b="1" dirty="0" smtClean="0"/>
                              <a:t>5</a:t>
                            </a:r>
                            <a:endParaRPr lang="zh-CN" altLang="en-US" sz="1400" b="1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C75A32" w:rsidRPr="00F776F7" w:rsidRDefault="00F776F7" w:rsidP="00E22879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 w:rsidRPr="00624CDB"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624CDB">
        <w:rPr>
          <w:rFonts w:ascii="Times New Roman" w:hAnsi="Times New Roman" w:cs="Times New Roman" w:hint="eastAsia"/>
          <w:b/>
          <w:sz w:val="24"/>
          <w:szCs w:val="24"/>
        </w:rPr>
        <w:t xml:space="preserve"> 1.</w:t>
      </w:r>
      <w:proofErr w:type="gramEnd"/>
      <w:r w:rsidR="00624CD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PCR amplified </w:t>
      </w:r>
      <w:r w:rsidR="005A7045" w:rsidRPr="00624CDB">
        <w:rPr>
          <w:rFonts w:ascii="Times New Roman" w:hAnsi="Times New Roman" w:cs="Times New Roman"/>
          <w:i/>
          <w:kern w:val="0"/>
          <w:sz w:val="24"/>
          <w:szCs w:val="24"/>
        </w:rPr>
        <w:t>cox</w:t>
      </w:r>
      <w:r w:rsidR="005A7045" w:rsidRPr="00624CDB">
        <w:rPr>
          <w:rFonts w:ascii="Times New Roman" w:hAnsi="Times New Roman" w:cs="Times New Roman"/>
          <w:kern w:val="0"/>
          <w:sz w:val="24"/>
          <w:szCs w:val="24"/>
        </w:rPr>
        <w:t>1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5A7045">
        <w:rPr>
          <w:rFonts w:ascii="Times New Roman" w:hAnsi="Times New Roman" w:cs="Times New Roman" w:hint="eastAsia"/>
          <w:kern w:val="0"/>
          <w:sz w:val="24"/>
          <w:szCs w:val="24"/>
        </w:rPr>
        <w:t>lane 2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>) and</w:t>
      </w:r>
      <w:r w:rsidR="005A7045" w:rsidRPr="005A7045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="005A7045" w:rsidRPr="00624CDB">
        <w:rPr>
          <w:rFonts w:ascii="Times New Roman" w:hAnsi="Times New Roman" w:cs="Times New Roman"/>
          <w:i/>
          <w:kern w:val="0"/>
          <w:sz w:val="24"/>
          <w:szCs w:val="24"/>
        </w:rPr>
        <w:t>nad</w:t>
      </w:r>
      <w:r w:rsidR="005A7045" w:rsidRPr="00624CDB">
        <w:rPr>
          <w:rFonts w:ascii="Times New Roman" w:hAnsi="Times New Roman" w:cs="Times New Roman"/>
          <w:kern w:val="0"/>
          <w:sz w:val="24"/>
          <w:szCs w:val="24"/>
        </w:rPr>
        <w:t>1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5A7045">
        <w:rPr>
          <w:rFonts w:ascii="Times New Roman" w:hAnsi="Times New Roman" w:cs="Times New Roman" w:hint="eastAsia"/>
          <w:kern w:val="0"/>
          <w:sz w:val="24"/>
          <w:szCs w:val="24"/>
        </w:rPr>
        <w:t>lane 4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) fragments examined in 1% (w/v) </w:t>
      </w:r>
      <w:proofErr w:type="spellStart"/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>agarose</w:t>
      </w:r>
      <w:proofErr w:type="spellEnd"/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 gels stained with </w:t>
      </w:r>
      <w:proofErr w:type="spellStart"/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>ethidium</w:t>
      </w:r>
      <w:proofErr w:type="spellEnd"/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 bromide: Lane </w:t>
      </w:r>
      <w:r w:rsidR="0079526D"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 xml:space="preserve">, DL2000 molecular marker; Lane </w:t>
      </w:r>
      <w:r w:rsidR="0079526D">
        <w:rPr>
          <w:rFonts w:ascii="Times New Roman" w:hAnsi="Times New Roman" w:cs="Times New Roman" w:hint="eastAsia"/>
          <w:kern w:val="0"/>
          <w:sz w:val="24"/>
          <w:szCs w:val="24"/>
        </w:rPr>
        <w:t>2 and 4</w:t>
      </w:r>
      <w:r w:rsidR="009C70F4" w:rsidRPr="00624CDB">
        <w:rPr>
          <w:rFonts w:ascii="Times New Roman" w:hAnsi="Times New Roman" w:cs="Times New Roman"/>
          <w:kern w:val="0"/>
          <w:sz w:val="24"/>
          <w:szCs w:val="24"/>
        </w:rPr>
        <w:t>,</w:t>
      </w:r>
      <w:r w:rsidR="0079526D" w:rsidRPr="005769B2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="0079526D" w:rsidRPr="005769B2">
        <w:rPr>
          <w:rFonts w:ascii="Times New Roman" w:hAnsi="Times New Roman" w:cs="Times New Roman"/>
          <w:i/>
          <w:kern w:val="0"/>
          <w:sz w:val="24"/>
          <w:szCs w:val="24"/>
        </w:rPr>
        <w:t>E</w:t>
      </w:r>
      <w:r w:rsidR="005769B2" w:rsidRPr="005769B2">
        <w:rPr>
          <w:rFonts w:ascii="Times New Roman" w:hAnsi="Times New Roman" w:cs="Times New Roman" w:hint="eastAsia"/>
          <w:i/>
          <w:kern w:val="0"/>
          <w:sz w:val="24"/>
          <w:szCs w:val="24"/>
        </w:rPr>
        <w:t>chinococcus</w:t>
      </w:r>
      <w:proofErr w:type="spellEnd"/>
      <w:r w:rsidR="0079526D" w:rsidRPr="005769B2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="0079526D" w:rsidRPr="005769B2">
        <w:rPr>
          <w:rFonts w:ascii="Times New Roman" w:hAnsi="Times New Roman" w:cs="Times New Roman"/>
          <w:i/>
          <w:kern w:val="0"/>
          <w:sz w:val="24"/>
          <w:szCs w:val="24"/>
        </w:rPr>
        <w:t>multilocularis</w:t>
      </w:r>
      <w:proofErr w:type="spellEnd"/>
      <w:r w:rsidR="0079526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79526D">
        <w:rPr>
          <w:rFonts w:ascii="Times New Roman" w:hAnsi="Times New Roman" w:cs="Times New Roman"/>
          <w:kern w:val="0"/>
          <w:sz w:val="24"/>
          <w:szCs w:val="24"/>
        </w:rPr>
        <w:t>metacestodes</w:t>
      </w:r>
      <w:proofErr w:type="spellEnd"/>
      <w:r w:rsidR="0079526D">
        <w:rPr>
          <w:rFonts w:ascii="Times New Roman" w:hAnsi="Times New Roman" w:cs="Times New Roman" w:hint="eastAsia"/>
          <w:kern w:val="0"/>
          <w:sz w:val="24"/>
          <w:szCs w:val="24"/>
        </w:rPr>
        <w:t>, Lane 3 and 5, Controls.</w:t>
      </w:r>
      <w:r w:rsidR="00F16251" w:rsidRPr="00624CD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C75A32" w:rsidRPr="00793D2E" w:rsidRDefault="00C75A32" w:rsidP="00E22879">
      <w:pPr>
        <w:pStyle w:val="EndNoteCategoryHead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D2E">
        <w:rPr>
          <w:rFonts w:ascii="Times New Roman" w:hAnsi="Times New Roman" w:cs="Times New Roman"/>
          <w:sz w:val="24"/>
          <w:szCs w:val="24"/>
        </w:rPr>
        <w:t>R</w:t>
      </w:r>
      <w:r w:rsidRPr="00793D2E">
        <w:rPr>
          <w:rFonts w:ascii="Times New Roman" w:hAnsi="Times New Roman" w:cs="Times New Roman" w:hint="eastAsia"/>
          <w:sz w:val="24"/>
          <w:szCs w:val="24"/>
        </w:rPr>
        <w:t>EFERENCES</w:t>
      </w:r>
    </w:p>
    <w:p w:rsidR="007B001A" w:rsidRDefault="00F776F7" w:rsidP="00E228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Jura, H., Bader, A., Hartmann, M., </w:t>
      </w:r>
      <w:proofErr w:type="spellStart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Maschek</w:t>
      </w:r>
      <w:proofErr w:type="spellEnd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H., &amp; </w:t>
      </w:r>
      <w:proofErr w:type="spellStart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Frosch</w:t>
      </w:r>
      <w:proofErr w:type="spellEnd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 M. (1996).</w:t>
      </w:r>
      <w:proofErr w:type="gramEnd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proofErr w:type="gramStart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Hepatic tissue culture model for study of host-parasite interactions in alveolar </w:t>
      </w:r>
      <w:proofErr w:type="spellStart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echinococcosis</w:t>
      </w:r>
      <w:proofErr w:type="spellEnd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  <w:proofErr w:type="gramEnd"/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624CDB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Infec</w:t>
      </w:r>
      <w:proofErr w:type="spellEnd"/>
      <w:r w:rsidRPr="00624CDB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624CDB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immu</w:t>
      </w:r>
      <w:r w:rsidR="00C75A32" w:rsidRPr="00624CDB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n</w:t>
      </w:r>
      <w:proofErr w:type="spellEnd"/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 w:rsidRPr="00624CDB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64</w:t>
      </w:r>
      <w:r w:rsidRPr="00624CD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(9), 3484–3490. https://doi.org/10.1128/IAI.64.9.3484-3490.1996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.</w:t>
      </w:r>
      <w:r w:rsidRPr="00624CDB" w:rsidDel="00F776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5D88" w:rsidRPr="00E15D88" w:rsidRDefault="00E15D88" w:rsidP="00E22879">
      <w:pPr>
        <w:spacing w:line="48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Li, L., Chen, B., Yan, H., Zhao, Y., Lou, Z., Li, J., Fu, B., Zhu, X., McManus, D. P., Dai, J., &amp; </w:t>
      </w:r>
      <w:proofErr w:type="spellStart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Jia</w:t>
      </w:r>
      <w:proofErr w:type="spellEnd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W. (2018). </w:t>
      </w:r>
      <w:proofErr w:type="gramStart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Three-dimensional </w:t>
      </w:r>
      <w:proofErr w:type="spellStart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hepatocyte</w:t>
      </w:r>
      <w:proofErr w:type="spellEnd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culture system for the study of </w:t>
      </w:r>
      <w:proofErr w:type="spellStart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Echinococcus</w:t>
      </w:r>
      <w:proofErr w:type="spellEnd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multilocularis</w:t>
      </w:r>
      <w:proofErr w:type="spellEnd"/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larval development.</w:t>
      </w:r>
      <w:proofErr w:type="gramEnd"/>
      <w:r w:rsidR="005769B2">
        <w:rPr>
          <w:rFonts w:ascii="Times New Roman" w:hAnsi="Times New Roman" w:cs="Times New Roman" w:hint="eastAsia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PLoS</w:t>
      </w:r>
      <w:proofErr w:type="spellEnd"/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5769B2">
        <w:rPr>
          <w:rFonts w:ascii="Times New Roman" w:hAnsi="Times New Roman" w:cs="Times New Roman" w:hint="eastAsia"/>
          <w:i/>
          <w:color w:val="212121"/>
          <w:sz w:val="24"/>
          <w:szCs w:val="24"/>
          <w:shd w:val="clear" w:color="auto" w:fill="FFFFFF"/>
        </w:rPr>
        <w:t>N</w:t>
      </w:r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egl</w:t>
      </w:r>
      <w:proofErr w:type="spellEnd"/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5769B2">
        <w:rPr>
          <w:rFonts w:ascii="Times New Roman" w:hAnsi="Times New Roman" w:cs="Times New Roman" w:hint="eastAsia"/>
          <w:i/>
          <w:color w:val="212121"/>
          <w:sz w:val="24"/>
          <w:szCs w:val="24"/>
          <w:shd w:val="clear" w:color="auto" w:fill="FFFFFF"/>
        </w:rPr>
        <w:t>T</w:t>
      </w:r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rop</w:t>
      </w:r>
      <w:proofErr w:type="spellEnd"/>
      <w:r w:rsidR="005769B2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5769B2">
        <w:rPr>
          <w:rFonts w:ascii="Times New Roman" w:hAnsi="Times New Roman" w:cs="Times New Roman" w:hint="eastAsia"/>
          <w:i/>
          <w:color w:val="212121"/>
          <w:sz w:val="24"/>
          <w:szCs w:val="24"/>
          <w:shd w:val="clear" w:color="auto" w:fill="FFFFFF"/>
        </w:rPr>
        <w:t>D</w:t>
      </w:r>
      <w:r w:rsidRPr="00E15D88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is</w:t>
      </w:r>
      <w:proofErr w:type="spellEnd"/>
      <w:r w:rsidR="005769B2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12</w:t>
      </w:r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(3), </w:t>
      </w:r>
      <w:r w:rsidRPr="00E15D8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lastRenderedPageBreak/>
        <w:t>e0006309. https://doi.org/10.1371/journal.pntd.0006309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.</w:t>
      </w:r>
    </w:p>
    <w:p w:rsidR="00EB756D" w:rsidRPr="00EB756D" w:rsidRDefault="00EB756D" w:rsidP="002659E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Nakao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M., Yokoyama, N., </w:t>
      </w:r>
      <w:proofErr w:type="spell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Sako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Y., </w:t>
      </w:r>
      <w:proofErr w:type="spell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Fukunaga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 M., &amp; Ito, A. (2002).</w:t>
      </w:r>
      <w:proofErr w:type="gram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The complete mitochondrial DNA sequence of the </w:t>
      </w:r>
      <w:proofErr w:type="spell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cestode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Echinococcus</w:t>
      </w:r>
      <w:proofErr w:type="spellEnd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BA612B" w:rsidRPr="00BA612B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multilocularis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(</w:t>
      </w:r>
      <w:proofErr w:type="spell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Cyclophyllidea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: </w:t>
      </w:r>
      <w:proofErr w:type="spellStart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Taeniidae</w:t>
      </w:r>
      <w:proofErr w:type="spellEnd"/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).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 w:rsidRPr="00EB756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Mitochondrion</w:t>
      </w:r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 w:rsidRPr="00EB756D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1</w:t>
      </w:r>
      <w:r w:rsidRPr="00EB756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(6), 497–509. https://doi.org/10.1016/s1567-7249(02)00040-5</w:t>
      </w:r>
      <w:r w:rsidR="005769B2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.</w:t>
      </w:r>
    </w:p>
    <w:sectPr w:rsidR="00EB756D" w:rsidRPr="00EB756D" w:rsidSect="007B0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DAF" w:rsidRDefault="009F4DAF" w:rsidP="00A07014">
      <w:r>
        <w:separator/>
      </w:r>
    </w:p>
  </w:endnote>
  <w:endnote w:type="continuationSeparator" w:id="0">
    <w:p w:rsidR="009F4DAF" w:rsidRDefault="009F4DAF" w:rsidP="00A070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DAF" w:rsidRDefault="009F4DAF" w:rsidP="00A07014">
      <w:r>
        <w:separator/>
      </w:r>
    </w:p>
  </w:footnote>
  <w:footnote w:type="continuationSeparator" w:id="0">
    <w:p w:rsidR="009F4DAF" w:rsidRDefault="009F4DAF" w:rsidP="00A070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70F4"/>
    <w:rsid w:val="00013DEA"/>
    <w:rsid w:val="0002275B"/>
    <w:rsid w:val="00023142"/>
    <w:rsid w:val="00053569"/>
    <w:rsid w:val="000735F7"/>
    <w:rsid w:val="000775E8"/>
    <w:rsid w:val="000904CE"/>
    <w:rsid w:val="000D5BBD"/>
    <w:rsid w:val="000D6EF8"/>
    <w:rsid w:val="00192960"/>
    <w:rsid w:val="001A33FF"/>
    <w:rsid w:val="001D1ACA"/>
    <w:rsid w:val="002659E9"/>
    <w:rsid w:val="002729EC"/>
    <w:rsid w:val="00272FEC"/>
    <w:rsid w:val="002910F5"/>
    <w:rsid w:val="002C50DB"/>
    <w:rsid w:val="002D350B"/>
    <w:rsid w:val="00302B8B"/>
    <w:rsid w:val="00302D3A"/>
    <w:rsid w:val="00330CA3"/>
    <w:rsid w:val="003330A1"/>
    <w:rsid w:val="00351778"/>
    <w:rsid w:val="00352632"/>
    <w:rsid w:val="003A27FB"/>
    <w:rsid w:val="003C0537"/>
    <w:rsid w:val="00433FF6"/>
    <w:rsid w:val="004B36B3"/>
    <w:rsid w:val="004F09E7"/>
    <w:rsid w:val="00514DEC"/>
    <w:rsid w:val="00520BF1"/>
    <w:rsid w:val="005769B2"/>
    <w:rsid w:val="005A14A6"/>
    <w:rsid w:val="005A7045"/>
    <w:rsid w:val="00624CDB"/>
    <w:rsid w:val="006714E5"/>
    <w:rsid w:val="00696515"/>
    <w:rsid w:val="00736DB8"/>
    <w:rsid w:val="00743DB8"/>
    <w:rsid w:val="0079526D"/>
    <w:rsid w:val="007B001A"/>
    <w:rsid w:val="007F1178"/>
    <w:rsid w:val="007F7936"/>
    <w:rsid w:val="00852DC7"/>
    <w:rsid w:val="00853C81"/>
    <w:rsid w:val="0085494A"/>
    <w:rsid w:val="00867510"/>
    <w:rsid w:val="008850CF"/>
    <w:rsid w:val="008B7AAE"/>
    <w:rsid w:val="009454BD"/>
    <w:rsid w:val="00946378"/>
    <w:rsid w:val="00970F98"/>
    <w:rsid w:val="00992E42"/>
    <w:rsid w:val="00997429"/>
    <w:rsid w:val="009A738C"/>
    <w:rsid w:val="009C70F4"/>
    <w:rsid w:val="009C768A"/>
    <w:rsid w:val="009E5B5F"/>
    <w:rsid w:val="009F4DAF"/>
    <w:rsid w:val="00A03DFE"/>
    <w:rsid w:val="00A03F7F"/>
    <w:rsid w:val="00A07014"/>
    <w:rsid w:val="00A127FF"/>
    <w:rsid w:val="00A31EFD"/>
    <w:rsid w:val="00AA344F"/>
    <w:rsid w:val="00AB12C3"/>
    <w:rsid w:val="00B1249B"/>
    <w:rsid w:val="00B6263F"/>
    <w:rsid w:val="00B65B45"/>
    <w:rsid w:val="00B72F28"/>
    <w:rsid w:val="00BA612B"/>
    <w:rsid w:val="00BD7DE8"/>
    <w:rsid w:val="00BF6C33"/>
    <w:rsid w:val="00C010A7"/>
    <w:rsid w:val="00C50114"/>
    <w:rsid w:val="00C54980"/>
    <w:rsid w:val="00C57F0E"/>
    <w:rsid w:val="00C75A32"/>
    <w:rsid w:val="00CF6A30"/>
    <w:rsid w:val="00DA0FBA"/>
    <w:rsid w:val="00DE0FFE"/>
    <w:rsid w:val="00E0189E"/>
    <w:rsid w:val="00E0465D"/>
    <w:rsid w:val="00E05140"/>
    <w:rsid w:val="00E15D88"/>
    <w:rsid w:val="00E17670"/>
    <w:rsid w:val="00E22879"/>
    <w:rsid w:val="00E25D05"/>
    <w:rsid w:val="00E376EE"/>
    <w:rsid w:val="00E757B8"/>
    <w:rsid w:val="00E95E24"/>
    <w:rsid w:val="00EB756D"/>
    <w:rsid w:val="00F16251"/>
    <w:rsid w:val="00F164AE"/>
    <w:rsid w:val="00F26169"/>
    <w:rsid w:val="00F56903"/>
    <w:rsid w:val="00F623A3"/>
    <w:rsid w:val="00F776F7"/>
    <w:rsid w:val="00FE5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70F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9C70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70F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07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0701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07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07014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E5B5F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E5B5F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E5B5F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E5B5F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E5B5F"/>
    <w:rPr>
      <w:b/>
      <w:bCs/>
    </w:rPr>
  </w:style>
  <w:style w:type="paragraph" w:customStyle="1" w:styleId="EndNoteCategoryHeading">
    <w:name w:val="EndNote Category Heading"/>
    <w:basedOn w:val="a"/>
    <w:link w:val="EndNoteCategoryHeadingChar"/>
    <w:rsid w:val="00C75A32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C75A32"/>
    <w:rPr>
      <w:b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3450</TotalTime>
  <Pages>3</Pages>
  <Words>431</Words>
  <Characters>2463</Characters>
  <Application>Microsoft Office Word</Application>
  <DocSecurity>0</DocSecurity>
  <Lines>20</Lines>
  <Paragraphs>5</Paragraphs>
  <ScaleCrop>false</ScaleCrop>
  <Company>Microsoft</Company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66</cp:revision>
  <dcterms:created xsi:type="dcterms:W3CDTF">2019-09-20T08:31:00Z</dcterms:created>
  <dcterms:modified xsi:type="dcterms:W3CDTF">2021-04-09T09:37:00Z</dcterms:modified>
</cp:coreProperties>
</file>