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26C8D" w:rsidRPr="00857CDA" w:rsidRDefault="00CA7B8A" w:rsidP="004421C8">
      <w:pPr>
        <w:autoSpaceDE w:val="0"/>
        <w:autoSpaceDN w:val="0"/>
        <w:adjustRightInd w:val="0"/>
        <w:snapToGrid w:val="0"/>
        <w:spacing w:line="480" w:lineRule="auto"/>
        <w:ind w:firstLineChars="118" w:firstLine="248"/>
        <w:rPr>
          <w:rFonts w:ascii="Arial" w:eastAsia="宋体" w:hAnsi="Arial" w:cs="Arial"/>
          <w:kern w:val="0"/>
          <w:sz w:val="24"/>
          <w:szCs w:val="24"/>
        </w:rPr>
      </w:pPr>
      <w:r w:rsidRPr="00857CDA">
        <w:rPr>
          <w:rFonts w:ascii="Arial" w:hAnsi="Arial" w:cs="Arial"/>
          <w:noProof/>
        </w:rPr>
        <w:drawing>
          <wp:inline distT="0" distB="0" distL="0" distR="0">
            <wp:extent cx="5120640" cy="5047224"/>
            <wp:effectExtent l="0" t="0" r="3810" b="1270"/>
            <wp:docPr id="3982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8" b="22715"/>
                    <a:stretch/>
                  </pic:blipFill>
                  <pic:spPr bwMode="auto">
                    <a:xfrm>
                      <a:off x="0" y="0"/>
                      <a:ext cx="5128725" cy="505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4421C8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b/>
          <w:bCs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Supplemental Fi</w:t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g.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1 Induction of ALI by intranasal instillation of LPS. </w:t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a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Survival curve following intranasal instillation of LPS with 10mg/kg or 20mg/kg (n = 10 per group). </w:t>
      </w:r>
      <w:proofErr w:type="spellStart"/>
      <w:proofErr w:type="gramStart"/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b,c</w:t>
      </w:r>
      <w:proofErr w:type="spellEnd"/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Representative H&amp;E were shown (scale bar: 20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μm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) and the lung injury score was determined by examining 15 sections/lung/mice (n = 5 per group). </w:t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d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The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lung W/D ratio was assessed (n = 5 per group). Significance was determined by the 1-way ANOVA with Tukey’s 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>post-hoc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multiple comparisons test, and survival analysis was performed using the log-rank (Mantel-Cox) test. ALI: acute lung injury; LPS, lipopolysaccharide; H&amp;E, Hematoxylin and eosin; W/D, wet-to-dry.</w:t>
      </w:r>
    </w:p>
    <w:p w:rsidR="00426C8D" w:rsidRPr="00857CDA" w:rsidRDefault="00CA7B8A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r w:rsidRPr="00857CDA">
        <w:rPr>
          <w:rFonts w:ascii="Arial" w:hAnsi="Arial" w:cs="Arial"/>
          <w:noProof/>
        </w:rPr>
        <w:lastRenderedPageBreak/>
        <w:drawing>
          <wp:inline distT="0" distB="0" distL="0" distR="0">
            <wp:extent cx="5271715" cy="6795178"/>
            <wp:effectExtent l="0" t="0" r="5715" b="5715"/>
            <wp:docPr id="7868990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" b="3258"/>
                    <a:stretch/>
                  </pic:blipFill>
                  <pic:spPr bwMode="auto">
                    <a:xfrm>
                      <a:off x="0" y="0"/>
                      <a:ext cx="5279749" cy="68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7A2E2F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b/>
          <w:bCs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2 c-</w:t>
      </w:r>
      <w:proofErr w:type="gramStart"/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Fos</w:t>
      </w:r>
      <w:proofErr w:type="gramEnd"/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expression in brain after ALI and retrograde PRV-531 tracing from the lung.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a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Representative images of c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>-Fos expression in brain areas displaying increases in c-Fos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perscript"/>
        </w:rPr>
        <w:t>+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cells following PBS or LPS intranasal instillation, scale bar: 100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μm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b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Quantification of c-Fos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perscript"/>
        </w:rPr>
        <w:t>+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neurons in each of the presented brain regions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=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5 per group).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c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Representative image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lastRenderedPageBreak/>
        <w:t xml:space="preserve">of the lung tissue expressing PRV (green). Scale bar:  50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μm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d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-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g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Selected regions in brain and spinal cord that were labeled by PRV. </w:t>
      </w:r>
      <w:bookmarkStart w:id="0" w:name="OLE_LINK60"/>
      <w:r w:rsidR="00426C8D" w:rsidRPr="00857CDA">
        <w:rPr>
          <w:rFonts w:ascii="Arial" w:eastAsia="宋体" w:hAnsi="Arial" w:cs="Arial"/>
          <w:kern w:val="0"/>
          <w:sz w:val="24"/>
          <w:szCs w:val="24"/>
        </w:rPr>
        <w:t>Scale bars: 1</w:t>
      </w:r>
      <w:bookmarkStart w:id="1" w:name="OLE_LINK47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mm</w:t>
      </w:r>
      <w:bookmarkEnd w:id="1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(left), 50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μm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(right).</w:t>
      </w:r>
      <w:bookmarkEnd w:id="0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Significance was determined by the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Student’s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426C8D" w:rsidRPr="00857CDA">
        <w:rPr>
          <w:rFonts w:ascii="Arial" w:eastAsia="宋体" w:hAnsi="Arial" w:cs="Arial"/>
          <w:i/>
          <w:kern w:val="0"/>
          <w:sz w:val="24"/>
          <w:szCs w:val="24"/>
        </w:rPr>
        <w:t>t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-test.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dBNST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dorsal bed nucleus of stria terminalis;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vBNST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ventral bed nucleus of stria terminals; PVT, paraventricular nucleus of thalamus;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CeA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central amygdaloid nucleus; LC, locus coeruleus; VLM, ventrolateral medulla; LPS, lipopolysaccharide; PRV, pseudo-rabies virus; NTS, nucleus tractus solitarius; RVL,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rostroventrolateral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reticular nucleus; Amb,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ambiguus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nucleus; Bar, Barrington’s nucleus;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PTSh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lateral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paragigantocellular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nucleus.  </w:t>
      </w:r>
    </w:p>
    <w:p w:rsidR="00426C8D" w:rsidRPr="00857CDA" w:rsidRDefault="00426C8D" w:rsidP="004421C8">
      <w:pPr>
        <w:widowControl/>
        <w:jc w:val="left"/>
        <w:rPr>
          <w:rFonts w:ascii="Arial" w:eastAsia="宋体" w:hAnsi="Arial" w:cs="Arial"/>
          <w:kern w:val="0"/>
          <w:sz w:val="24"/>
          <w:szCs w:val="24"/>
        </w:rPr>
        <w:sectPr w:rsidR="00426C8D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26C8D" w:rsidRPr="00857CDA" w:rsidRDefault="00426C8D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r w:rsidRPr="00857CDA">
        <w:rPr>
          <w:rFonts w:ascii="Arial" w:eastAsia="宋体" w:hAnsi="Arial" w:cs="Arial"/>
          <w:noProof/>
          <w:kern w:val="0"/>
          <w:sz w:val="24"/>
          <w:szCs w:val="24"/>
        </w:rPr>
        <w:lastRenderedPageBreak/>
        <w:drawing>
          <wp:inline distT="0" distB="0" distL="0" distR="0" wp14:anchorId="5F76979E" wp14:editId="63A3648F">
            <wp:extent cx="5268581" cy="1590357"/>
            <wp:effectExtent l="0" t="0" r="8890" b="0"/>
            <wp:docPr id="17199655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65524" name="图片 1719965524"/>
                    <pic:cNvPicPr/>
                  </pic:nvPicPr>
                  <pic:blipFill rotWithShape="1">
                    <a:blip r:embed="rId8"/>
                    <a:srcRect t="5598" b="73505"/>
                    <a:stretch/>
                  </pic:blipFill>
                  <pic:spPr bwMode="auto">
                    <a:xfrm>
                      <a:off x="0" y="0"/>
                      <a:ext cx="5280198" cy="159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3 CRH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  <w:vertAlign w:val="superscript"/>
        </w:rPr>
        <w:t xml:space="preserve">PVN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neurons expressing DREADD are activated after CNO injection. 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Representative images showing staining of c-Fos (green) and </w:t>
      </w:r>
      <w:proofErr w:type="spellStart"/>
      <w:r w:rsidRPr="00857CDA">
        <w:rPr>
          <w:rFonts w:ascii="Arial" w:eastAsia="宋体" w:hAnsi="Arial" w:cs="Arial"/>
          <w:kern w:val="0"/>
          <w:sz w:val="24"/>
          <w:szCs w:val="24"/>
        </w:rPr>
        <w:t>mCherry</w:t>
      </w:r>
      <w:proofErr w:type="spellEnd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(red) in the PVN 90 min after intraperitoneal injection of CNO in mice injected with AAV expressing a Cre-dependent activating DREADD construct. Scale bar: </w:t>
      </w:r>
      <w:bookmarkStart w:id="2" w:name="_Hlk184840454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50 </w:t>
      </w:r>
      <w:proofErr w:type="spellStart"/>
      <w:r w:rsidRPr="00857CDA">
        <w:rPr>
          <w:rFonts w:ascii="Arial" w:eastAsia="宋体" w:hAnsi="Arial" w:cs="Arial"/>
          <w:kern w:val="0"/>
          <w:sz w:val="24"/>
          <w:szCs w:val="24"/>
        </w:rPr>
        <w:t>μm</w:t>
      </w:r>
      <w:bookmarkEnd w:id="2"/>
      <w:proofErr w:type="spellEnd"/>
      <w:r w:rsidRPr="00857CDA">
        <w:rPr>
          <w:rFonts w:ascii="Arial" w:eastAsia="宋体" w:hAnsi="Arial" w:cs="Arial"/>
          <w:kern w:val="0"/>
          <w:sz w:val="24"/>
          <w:szCs w:val="24"/>
        </w:rPr>
        <w:t>. CNO, clozapine-N-oxide; CRH, corticotropin-releasing hormone; PVN, paraventricular nucleus.</w:t>
      </w:r>
    </w:p>
    <w:p w:rsidR="00426C8D" w:rsidRPr="00857CDA" w:rsidRDefault="00426C8D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  <w:sectPr w:rsidR="00426C8D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26C8D" w:rsidRPr="00857CDA" w:rsidRDefault="00941417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noProof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17255" cy="5055907"/>
            <wp:effectExtent l="0" t="0" r="7620" b="0"/>
            <wp:docPr id="503951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2" b="17573"/>
                    <a:stretch/>
                  </pic:blipFill>
                  <pic:spPr bwMode="auto">
                    <a:xfrm>
                      <a:off x="0" y="0"/>
                      <a:ext cx="4717415" cy="50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7A2E2F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4 CRH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  <w:vertAlign w:val="superscript"/>
        </w:rPr>
        <w:t>PVN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neurons activation attenuates CLP-induced ALI and improves survival rate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a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Representative images of c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>-Fos expression in brain areas displaying increases in several c-Fos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perscript"/>
        </w:rPr>
        <w:t>+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cells for CLP vs. sham, scale bar = 100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μm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b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Quantification of c-Fos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perscript"/>
        </w:rPr>
        <w:t>+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neurons in each of the presented brain regions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=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4 per group).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c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Representative images of c-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Fos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expression in the PVN after CLP at 3h, scale bar: 50μm.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d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Survival curve of control and hM3Dq (expressing excitatory DREADD) mice received CNO from day 1 to day 5 following CLP or Sham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=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8 per group). 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e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-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f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Lungs were removed at 24 h after CLP and stained with H&amp;E. Representative H&amp;E are shown (scale bar: 50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μm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) and the lung injury score was determined by examining 15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lastRenderedPageBreak/>
        <w:t>sections/lung/mice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=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5 per group). 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g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BCA detected total protein in the BALF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= 6 per group). 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h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-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j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The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number of CD45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perscript"/>
        </w:rPr>
        <w:t>+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leukocytes (</w:t>
      </w:r>
      <w:r w:rsidR="0077567E" w:rsidRPr="00857CDA">
        <w:rPr>
          <w:rFonts w:ascii="Arial" w:eastAsia="宋体" w:hAnsi="Arial" w:cs="Arial"/>
          <w:kern w:val="0"/>
          <w:sz w:val="24"/>
          <w:szCs w:val="24"/>
        </w:rPr>
        <w:t>h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>), neutrophils (</w:t>
      </w:r>
      <w:proofErr w:type="spellStart"/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i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>) and macrophages (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j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>) in BALF of CLP mice was counted by flow cytometry analysis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=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6 per group). Significance was determined by the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Student’s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426C8D" w:rsidRPr="00857CDA">
        <w:rPr>
          <w:rFonts w:ascii="Arial" w:eastAsia="宋体" w:hAnsi="Arial" w:cs="Arial"/>
          <w:i/>
          <w:kern w:val="0"/>
          <w:sz w:val="24"/>
          <w:szCs w:val="24"/>
        </w:rPr>
        <w:t>t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-test and 1-way ANOVA with Tukey’s 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>post-hoc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multiple comparisons test, and survival analysis was performed using Log-rank (Mantel-Cox) test. CLP, cecal ligation and puncture; ALI, acute lung injury; CRH, corticotropin-releasing hormone;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dBNST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dorsal bed nucleus of stria terminalis;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vBNST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ventral bed nucleus of stria terminalis; PVN, hypothalamic paraventricular nucleus; PVT, paraventricular nucleus of thalamus; </w:t>
      </w:r>
      <w:proofErr w:type="spell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CeA</w:t>
      </w:r>
      <w:proofErr w:type="spell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>, central amygdaloid nucleus; LC, locus coeruleus; VLM, ventrolateral medulla; H&amp;E, Hematoxylin and eosin.</w:t>
      </w:r>
    </w:p>
    <w:p w:rsidR="00426C8D" w:rsidRPr="00857CDA" w:rsidRDefault="00426C8D" w:rsidP="004421C8">
      <w:pPr>
        <w:widowControl/>
        <w:jc w:val="left"/>
        <w:rPr>
          <w:rFonts w:ascii="Arial" w:eastAsia="宋体" w:hAnsi="Arial" w:cs="Arial"/>
          <w:noProof/>
          <w:kern w:val="0"/>
          <w:sz w:val="24"/>
          <w:szCs w:val="24"/>
        </w:rPr>
      </w:pPr>
      <w:r w:rsidRPr="00857CDA">
        <w:rPr>
          <w:rFonts w:ascii="Arial" w:eastAsia="宋体" w:hAnsi="Arial" w:cs="Arial"/>
          <w:noProof/>
          <w:kern w:val="0"/>
          <w:sz w:val="24"/>
          <w:szCs w:val="24"/>
        </w:rPr>
        <w:br w:type="page"/>
      </w:r>
    </w:p>
    <w:p w:rsidR="00426C8D" w:rsidRPr="00857CDA" w:rsidRDefault="001D6417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2584" cy="2000922"/>
            <wp:effectExtent l="0" t="0" r="4445" b="0"/>
            <wp:docPr id="5160970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3" b="64654"/>
                    <a:stretch/>
                  </pic:blipFill>
                  <pic:spPr bwMode="auto">
                    <a:xfrm>
                      <a:off x="0" y="0"/>
                      <a:ext cx="5274310" cy="200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7A2E2F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b/>
          <w:bCs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5 CRH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  <w:vertAlign w:val="superscript"/>
        </w:rPr>
        <w:t>PVN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neurons barely influence macrophage infiltration during ALI.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a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Gating strategy for neutrophils and macrophages counts in BALF.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b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The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number of BALF macrophages in PBS-treated mice, LPS-treated control mice, and LPS-treated hM3Dq mice at 8 h and 4 8h (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 xml:space="preserve">n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= 8 per group). Significance was determined by 1-way ANOVA with Tukey’s </w:t>
      </w:r>
      <w:r w:rsidR="00426C8D"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>post-hoc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multiple comparisons test. ALI, acute lung injury; BALF, bronchoalveolar lavage fluid; LPS, lipopolysaccharide; CRH, corticotropin-releasing hormone; PVN, paraventricular nucleus.</w:t>
      </w:r>
    </w:p>
    <w:p w:rsidR="00426C8D" w:rsidRPr="00857CDA" w:rsidRDefault="00426C8D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  <w:sectPr w:rsidR="00426C8D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26C8D" w:rsidRPr="00857CDA" w:rsidRDefault="00426C8D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r w:rsidRPr="00857CDA">
        <w:rPr>
          <w:rFonts w:ascii="Arial" w:eastAsia="宋体" w:hAnsi="Arial" w:cs="Arial"/>
          <w:noProof/>
          <w:kern w:val="0"/>
          <w:sz w:val="24"/>
          <w:szCs w:val="24"/>
        </w:rPr>
        <w:lastRenderedPageBreak/>
        <w:drawing>
          <wp:inline distT="0" distB="0" distL="0" distR="0" wp14:anchorId="1E9ACD94" wp14:editId="33CD74FE">
            <wp:extent cx="5254489" cy="2979420"/>
            <wp:effectExtent l="0" t="0" r="3810" b="0"/>
            <wp:docPr id="20542993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99361" name="图片 2054299361"/>
                    <pic:cNvPicPr/>
                  </pic:nvPicPr>
                  <pic:blipFill rotWithShape="1">
                    <a:blip r:embed="rId11"/>
                    <a:srcRect t="4421" b="56323"/>
                    <a:stretch/>
                  </pic:blipFill>
                  <pic:spPr bwMode="auto">
                    <a:xfrm>
                      <a:off x="0" y="0"/>
                      <a:ext cx="5272204" cy="298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7A2E2F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b/>
          <w:bCs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6 Lung RNA sequencing of control mice and hM3Dq mice treated with LPS.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>Bar graph of top 15 KEGG pathway enrichment analysis in lung RNA-seq between control mice and hM3Dq mice treated with LPS. LPS, lipopolysaccharide.</w:t>
      </w:r>
    </w:p>
    <w:p w:rsidR="00426C8D" w:rsidRPr="00857CDA" w:rsidRDefault="00426C8D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  <w:sectPr w:rsidR="00426C8D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26C8D" w:rsidRPr="00857CDA" w:rsidRDefault="00426C8D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b/>
          <w:bCs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 wp14:anchorId="6C0E0006" wp14:editId="7023D885">
            <wp:extent cx="5270567" cy="2138363"/>
            <wp:effectExtent l="0" t="0" r="6350" b="0"/>
            <wp:docPr id="1690243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243580" name="图片 1690243580"/>
                    <pic:cNvPicPr/>
                  </pic:nvPicPr>
                  <pic:blipFill rotWithShape="1">
                    <a:blip r:embed="rId12"/>
                    <a:srcRect t="6085" b="65826"/>
                    <a:stretch/>
                  </pic:blipFill>
                  <pic:spPr bwMode="auto">
                    <a:xfrm>
                      <a:off x="0" y="0"/>
                      <a:ext cx="5299069" cy="214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7A2E2F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7 </w:t>
      </w:r>
      <w:bookmarkStart w:id="3" w:name="_Hlk187065620"/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Plasma corticosterone levels</w:t>
      </w:r>
      <w:bookmarkEnd w:id="3"/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after PVN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  <w:vertAlign w:val="superscript"/>
        </w:rPr>
        <w:t>CRH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 neurons activation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. Plasma corticosterone levels at 4h after intraperitoneal CNO injection (n = 6 per group) in hM3Dq mice. Significance was determined by the </w:t>
      </w:r>
      <w:proofErr w:type="gramStart"/>
      <w:r w:rsidR="00426C8D" w:rsidRPr="00857CDA">
        <w:rPr>
          <w:rFonts w:ascii="Arial" w:eastAsia="宋体" w:hAnsi="Arial" w:cs="Arial"/>
          <w:kern w:val="0"/>
          <w:sz w:val="24"/>
          <w:szCs w:val="24"/>
        </w:rPr>
        <w:t>Student’s</w:t>
      </w:r>
      <w:proofErr w:type="gramEnd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t-test. CNO, clozapine-N-oxide.</w:t>
      </w:r>
    </w:p>
    <w:p w:rsidR="00426C8D" w:rsidRPr="00857CDA" w:rsidRDefault="00426C8D" w:rsidP="004421C8">
      <w:pPr>
        <w:rPr>
          <w:rFonts w:ascii="Arial" w:eastAsia="宋体" w:hAnsi="Arial" w:cs="Arial"/>
          <w:sz w:val="24"/>
          <w:szCs w:val="24"/>
        </w:rPr>
        <w:sectPr w:rsidR="00426C8D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26C8D" w:rsidRPr="00857CDA" w:rsidRDefault="00494159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b/>
          <w:bCs/>
          <w:kern w:val="0"/>
          <w:sz w:val="24"/>
          <w:szCs w:val="24"/>
        </w:rPr>
      </w:pPr>
      <w:r w:rsidRPr="00857CDA">
        <w:rPr>
          <w:rFonts w:ascii="Arial" w:hAnsi="Arial" w:cs="Arial"/>
          <w:noProof/>
        </w:rPr>
        <w:lastRenderedPageBreak/>
        <w:drawing>
          <wp:inline distT="0" distB="0" distL="0" distR="0">
            <wp:extent cx="5271104" cy="4138654"/>
            <wp:effectExtent l="0" t="0" r="6350" b="0"/>
            <wp:docPr id="5003868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8" b="37552"/>
                    <a:stretch/>
                  </pic:blipFill>
                  <pic:spPr bwMode="auto">
                    <a:xfrm>
                      <a:off x="0" y="0"/>
                      <a:ext cx="5275225" cy="41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C8D" w:rsidRPr="00857CDA" w:rsidRDefault="007A2E2F" w:rsidP="004421C8">
      <w:pPr>
        <w:autoSpaceDE w:val="0"/>
        <w:autoSpaceDN w:val="0"/>
        <w:adjustRightInd w:val="0"/>
        <w:snapToGrid w:val="0"/>
        <w:spacing w:line="480" w:lineRule="auto"/>
        <w:rPr>
          <w:rFonts w:ascii="Arial" w:eastAsia="宋体" w:hAnsi="Arial" w:cs="Arial"/>
          <w:kern w:val="0"/>
          <w:sz w:val="24"/>
          <w:szCs w:val="24"/>
        </w:rPr>
      </w:pPr>
      <w:bookmarkStart w:id="4" w:name="OLE_LINK64"/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8 Public single-cell sequencing from the lung of CLP mice demonstrates the expression of adrenergic receptors in different types of cells.</w:t>
      </w:r>
      <w:bookmarkEnd w:id="4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a</w:t>
      </w:r>
      <w:r w:rsidR="00426C8D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-</w:t>
      </w:r>
      <w:r w:rsidR="0077567E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f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Violin plot showing the expression of α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1A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-AR </w:t>
      </w:r>
      <w:r w:rsidRPr="00857CDA">
        <w:rPr>
          <w:rFonts w:ascii="Arial" w:eastAsia="宋体" w:hAnsi="Arial" w:cs="Arial"/>
          <w:kern w:val="0"/>
          <w:sz w:val="24"/>
          <w:szCs w:val="24"/>
        </w:rPr>
        <w:t>(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a)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>, α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1B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-AR </w:t>
      </w:r>
      <w:r w:rsidRPr="00857CDA">
        <w:rPr>
          <w:rFonts w:ascii="Arial" w:eastAsia="宋体" w:hAnsi="Arial" w:cs="Arial"/>
          <w:kern w:val="0"/>
          <w:sz w:val="24"/>
          <w:szCs w:val="24"/>
        </w:rPr>
        <w:t>(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b)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>, α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2A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-AR </w:t>
      </w:r>
      <w:r w:rsidRPr="00857CDA">
        <w:rPr>
          <w:rFonts w:ascii="Arial" w:eastAsia="宋体" w:hAnsi="Arial" w:cs="Arial"/>
          <w:kern w:val="0"/>
          <w:sz w:val="24"/>
          <w:szCs w:val="24"/>
        </w:rPr>
        <w:t>(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c)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>, α</w:t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1D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-AR </w:t>
      </w:r>
      <w:r w:rsidRPr="00857CDA">
        <w:rPr>
          <w:rFonts w:ascii="Arial" w:eastAsia="宋体" w:hAnsi="Arial" w:cs="Arial"/>
          <w:kern w:val="0"/>
          <w:sz w:val="24"/>
          <w:szCs w:val="24"/>
        </w:rPr>
        <w:t>(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d)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, </w:t>
      </w:r>
      <w:bookmarkStart w:id="5" w:name="_Hlk182410555"/>
      <w:bookmarkStart w:id="6" w:name="_Hlk182410588"/>
      <w:r w:rsidR="00426C8D" w:rsidRPr="00857CDA">
        <w:rPr>
          <w:rFonts w:ascii="Arial" w:eastAsia="宋体" w:hAnsi="Arial" w:cs="Arial"/>
          <w:kern w:val="0"/>
          <w:sz w:val="24"/>
          <w:szCs w:val="24"/>
        </w:rPr>
        <w:sym w:font="Symbol" w:char="F062"/>
      </w:r>
      <w:bookmarkEnd w:id="5"/>
      <w:r w:rsidR="00426C8D"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1</w:t>
      </w:r>
      <w:bookmarkEnd w:id="6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-AR </w:t>
      </w:r>
      <w:r w:rsidRPr="00857CDA">
        <w:rPr>
          <w:rFonts w:ascii="Arial" w:eastAsia="宋体" w:hAnsi="Arial" w:cs="Arial"/>
          <w:kern w:val="0"/>
          <w:sz w:val="24"/>
          <w:szCs w:val="24"/>
        </w:rPr>
        <w:t>(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e)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and </w:t>
      </w:r>
      <w:bookmarkStart w:id="7" w:name="_Hlk182410616"/>
      <w:r w:rsidR="00426C8D" w:rsidRPr="00857CDA">
        <w:rPr>
          <w:rFonts w:ascii="Arial" w:eastAsia="宋体" w:hAnsi="Arial" w:cs="Arial"/>
          <w:kern w:val="0"/>
          <w:sz w:val="24"/>
          <w:szCs w:val="24"/>
        </w:rPr>
        <w:sym w:font="Symbol" w:char="F062"/>
      </w:r>
      <w:r w:rsidR="00426C8D"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3</w:t>
      </w:r>
      <w:bookmarkEnd w:id="7"/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-AR </w:t>
      </w:r>
      <w:r w:rsidRPr="00857CDA">
        <w:rPr>
          <w:rFonts w:ascii="Arial" w:eastAsia="宋体" w:hAnsi="Arial" w:cs="Arial"/>
          <w:kern w:val="0"/>
          <w:sz w:val="24"/>
          <w:szCs w:val="24"/>
        </w:rPr>
        <w:t>(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f)</w:t>
      </w:r>
      <w:r w:rsidR="00426C8D" w:rsidRPr="00857CDA">
        <w:rPr>
          <w:rFonts w:ascii="Arial" w:eastAsia="宋体" w:hAnsi="Arial" w:cs="Arial"/>
          <w:kern w:val="0"/>
          <w:sz w:val="24"/>
          <w:szCs w:val="24"/>
        </w:rPr>
        <w:t xml:space="preserve"> in each cell type from public data (GSE207651). CLP, cecal ligation and puncture.</w:t>
      </w:r>
    </w:p>
    <w:p w:rsidR="00426C8D" w:rsidRPr="00857CDA" w:rsidRDefault="00426C8D" w:rsidP="00494159">
      <w:pPr>
        <w:widowControl/>
        <w:jc w:val="left"/>
        <w:rPr>
          <w:rFonts w:ascii="Arial" w:eastAsia="宋体" w:hAnsi="Arial" w:cs="Arial"/>
          <w:b/>
          <w:bCs/>
          <w:kern w:val="0"/>
          <w:sz w:val="24"/>
          <w:szCs w:val="24"/>
        </w:rPr>
        <w:sectPr w:rsidR="00426C8D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br w:type="page"/>
      </w:r>
      <w:r w:rsidR="00494159" w:rsidRPr="00857CDA">
        <w:rPr>
          <w:rFonts w:ascii="Arial" w:hAnsi="Arial" w:cs="Arial"/>
          <w:noProof/>
        </w:rPr>
        <w:lastRenderedPageBreak/>
        <w:drawing>
          <wp:inline distT="0" distB="0" distL="0" distR="0">
            <wp:extent cx="5271715" cy="2864686"/>
            <wp:effectExtent l="0" t="0" r="5715" b="0"/>
            <wp:docPr id="1326084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6" b="55336"/>
                    <a:stretch/>
                  </pic:blipFill>
                  <pic:spPr bwMode="auto">
                    <a:xfrm>
                      <a:off x="0" y="0"/>
                      <a:ext cx="5288522" cy="28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 xml:space="preserve">Supplemental Fig. 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9 The effect of NE on the functions of neutrophils through β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  <w:vertAlign w:val="subscript"/>
        </w:rPr>
        <w:t>2</w:t>
      </w:r>
      <w:r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-AR.</w:t>
      </w:r>
      <w:r w:rsidR="007A2E2F" w:rsidRPr="00857CDA">
        <w:rPr>
          <w:rFonts w:ascii="Arial" w:eastAsia="宋体" w:hAnsi="Arial" w:cs="Arial"/>
          <w:kern w:val="0"/>
          <w:sz w:val="24"/>
          <w:szCs w:val="24"/>
        </w:rPr>
        <w:t xml:space="preserve"> </w:t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a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Flow cytometry analysis of the purity of neutrophils sorted from mice bone marrow. (</w:t>
      </w:r>
      <w:r w:rsidR="0077567E" w:rsidRPr="00857CDA">
        <w:rPr>
          <w:rFonts w:ascii="Arial" w:eastAsia="宋体" w:hAnsi="Arial" w:cs="Arial"/>
          <w:kern w:val="0"/>
          <w:sz w:val="24"/>
          <w:szCs w:val="24"/>
        </w:rPr>
        <w:t>b</w:t>
      </w:r>
      <w:r w:rsidRPr="00857CDA">
        <w:rPr>
          <w:rFonts w:ascii="Arial" w:eastAsia="宋体" w:hAnsi="Arial" w:cs="Arial"/>
          <w:kern w:val="0"/>
          <w:sz w:val="24"/>
          <w:szCs w:val="24"/>
        </w:rPr>
        <w:t>-</w:t>
      </w:r>
      <w:r w:rsidR="0077567E" w:rsidRPr="00857CDA">
        <w:rPr>
          <w:rFonts w:ascii="Arial" w:eastAsia="宋体" w:hAnsi="Arial" w:cs="Arial"/>
          <w:kern w:val="0"/>
          <w:sz w:val="24"/>
          <w:szCs w:val="24"/>
        </w:rPr>
        <w:t>c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) BMNs were pretreated with NE (1 </w:t>
      </w:r>
      <w:proofErr w:type="spellStart"/>
      <w:r w:rsidRPr="00857CDA">
        <w:rPr>
          <w:rFonts w:ascii="Arial" w:eastAsia="宋体" w:hAnsi="Arial" w:cs="Arial"/>
          <w:kern w:val="0"/>
          <w:sz w:val="24"/>
          <w:szCs w:val="24"/>
        </w:rPr>
        <w:t>μmol</w:t>
      </w:r>
      <w:proofErr w:type="spellEnd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/ml) and </w:t>
      </w:r>
      <w:proofErr w:type="spellStart"/>
      <w:r w:rsidRPr="00857CDA">
        <w:rPr>
          <w:rFonts w:ascii="Arial" w:eastAsia="宋体" w:hAnsi="Arial" w:cs="Arial"/>
          <w:kern w:val="0"/>
          <w:sz w:val="24"/>
          <w:szCs w:val="24"/>
        </w:rPr>
        <w:t>butoxamine</w:t>
      </w:r>
      <w:proofErr w:type="spellEnd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(selective β</w:t>
      </w:r>
      <w:r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2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-AR antagonist, 1 and 10 </w:t>
      </w:r>
      <w:proofErr w:type="spellStart"/>
      <w:r w:rsidRPr="00857CDA">
        <w:rPr>
          <w:rFonts w:ascii="Arial" w:eastAsia="宋体" w:hAnsi="Arial" w:cs="Arial"/>
          <w:kern w:val="0"/>
          <w:sz w:val="24"/>
          <w:szCs w:val="24"/>
        </w:rPr>
        <w:t>μmol</w:t>
      </w:r>
      <w:proofErr w:type="spellEnd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/ml). The samples were analyzed for </w:t>
      </w:r>
      <w:bookmarkStart w:id="8" w:name="OLE_LINK107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phagocytosis </w:t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b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and ROS gene</w:t>
      </w:r>
      <w:bookmarkEnd w:id="8"/>
      <w:r w:rsidRPr="00857CDA">
        <w:rPr>
          <w:rFonts w:ascii="Arial" w:eastAsia="宋体" w:hAnsi="Arial" w:cs="Arial"/>
          <w:kern w:val="0"/>
          <w:sz w:val="24"/>
          <w:szCs w:val="24"/>
        </w:rPr>
        <w:t xml:space="preserve">ration </w:t>
      </w:r>
      <w:r w:rsidR="007A2E2F" w:rsidRPr="00857CDA">
        <w:rPr>
          <w:rFonts w:ascii="Arial" w:eastAsia="宋体" w:hAnsi="Arial" w:cs="Arial"/>
          <w:b/>
          <w:bCs/>
          <w:kern w:val="0"/>
          <w:sz w:val="24"/>
          <w:szCs w:val="24"/>
        </w:rPr>
        <w:t>c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(n = 6 per group). Significance was determined by 1-way ANOVA followed by Tukey’s </w:t>
      </w:r>
      <w:r w:rsidRPr="00857CDA">
        <w:rPr>
          <w:rFonts w:ascii="Arial" w:eastAsia="宋体" w:hAnsi="Arial" w:cs="Arial"/>
          <w:i/>
          <w:iCs/>
          <w:kern w:val="0"/>
          <w:sz w:val="24"/>
          <w:szCs w:val="24"/>
        </w:rPr>
        <w:t>post-hoc</w:t>
      </w:r>
      <w:r w:rsidRPr="00857CDA">
        <w:rPr>
          <w:rFonts w:ascii="Arial" w:eastAsia="宋体" w:hAnsi="Arial" w:cs="Arial"/>
          <w:kern w:val="0"/>
          <w:sz w:val="24"/>
          <w:szCs w:val="24"/>
        </w:rPr>
        <w:t xml:space="preserve"> multiple comparisons test. BMNs, bone marrow-derived neutrophils; NE, norepinephrine; β</w:t>
      </w:r>
      <w:r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2</w:t>
      </w:r>
      <w:r w:rsidRPr="00857CDA">
        <w:rPr>
          <w:rFonts w:ascii="Arial" w:eastAsia="宋体" w:hAnsi="Arial" w:cs="Arial"/>
          <w:kern w:val="0"/>
          <w:sz w:val="24"/>
          <w:szCs w:val="24"/>
        </w:rPr>
        <w:t>-AR, β</w:t>
      </w:r>
      <w:r w:rsidRPr="00857CDA">
        <w:rPr>
          <w:rFonts w:ascii="Arial" w:eastAsia="宋体" w:hAnsi="Arial" w:cs="Arial"/>
          <w:kern w:val="0"/>
          <w:sz w:val="24"/>
          <w:szCs w:val="24"/>
          <w:vertAlign w:val="subscript"/>
        </w:rPr>
        <w:t>2</w:t>
      </w:r>
      <w:r w:rsidRPr="00857CDA">
        <w:rPr>
          <w:rFonts w:ascii="Arial" w:eastAsia="宋体" w:hAnsi="Arial" w:cs="Arial"/>
          <w:kern w:val="0"/>
          <w:sz w:val="24"/>
          <w:szCs w:val="24"/>
        </w:rPr>
        <w:t>-adrenoceptor receptor</w:t>
      </w:r>
    </w:p>
    <w:p w:rsidR="00426C8D" w:rsidRPr="00857CDA" w:rsidRDefault="000F7D60" w:rsidP="004421C8">
      <w:pPr>
        <w:widowControl/>
        <w:jc w:val="left"/>
        <w:rPr>
          <w:rFonts w:ascii="Arial" w:eastAsia="宋体" w:hAnsi="Arial" w:cs="Arial"/>
          <w:b/>
          <w:bCs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sz w:val="24"/>
          <w:szCs w:val="24"/>
        </w:rPr>
        <w:lastRenderedPageBreak/>
        <w:t>Supplementary Table 1</w:t>
      </w:r>
      <w:r w:rsidR="00426C8D" w:rsidRPr="00857CDA">
        <w:rPr>
          <w:rFonts w:ascii="Arial" w:eastAsia="宋体" w:hAnsi="Arial" w:cs="Arial"/>
          <w:b/>
          <w:bCs/>
          <w:sz w:val="24"/>
          <w:szCs w:val="24"/>
        </w:rPr>
        <w:t>. Primer sequences used in quantitative PCR</w:t>
      </w:r>
    </w:p>
    <w:tbl>
      <w:tblPr>
        <w:tblStyle w:val="41"/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3362"/>
        <w:gridCol w:w="4434"/>
      </w:tblGrid>
      <w:tr w:rsidR="00426C8D" w:rsidRPr="00857CDA" w:rsidTr="00F534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196B24"/>
              <w:bottom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Arial" w:eastAsia="宋体" w:hAnsi="Arial" w:cs="Arial"/>
                <w:b w:val="0"/>
                <w:bCs w:val="0"/>
                <w:color w:val="CA806E"/>
                <w:szCs w:val="21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Cs w:val="21"/>
              </w:rPr>
              <w:t>Gene</w:t>
            </w:r>
          </w:p>
        </w:tc>
        <w:tc>
          <w:tcPr>
            <w:tcW w:w="3362" w:type="dxa"/>
            <w:tcBorders>
              <w:top w:val="single" w:sz="12" w:space="0" w:color="196B24"/>
              <w:bottom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b w:val="0"/>
                <w:bCs w:val="0"/>
                <w:color w:val="CA806E"/>
                <w:szCs w:val="21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Cs w:val="21"/>
              </w:rPr>
              <w:t>Sence (5’-3’)</w:t>
            </w:r>
          </w:p>
        </w:tc>
        <w:tc>
          <w:tcPr>
            <w:tcW w:w="4434" w:type="dxa"/>
            <w:tcBorders>
              <w:top w:val="single" w:sz="12" w:space="0" w:color="196B24"/>
              <w:bottom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b w:val="0"/>
                <w:bCs w:val="0"/>
                <w:color w:val="CA806E"/>
                <w:szCs w:val="21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Cs w:val="21"/>
              </w:rPr>
              <w:t>Antisense (5’-3’)</w:t>
            </w:r>
          </w:p>
        </w:tc>
      </w:tr>
      <w:tr w:rsidR="00426C8D" w:rsidRPr="00857CDA" w:rsidTr="00F53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  <w:t>Il6</w:t>
            </w:r>
          </w:p>
        </w:tc>
        <w:tc>
          <w:tcPr>
            <w:tcW w:w="3362" w:type="dxa"/>
            <w:tcBorders>
              <w:top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CTGCAAGAGACTTCCATCCAG</w:t>
            </w:r>
          </w:p>
        </w:tc>
        <w:tc>
          <w:tcPr>
            <w:tcW w:w="4434" w:type="dxa"/>
            <w:tcBorders>
              <w:top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AGTGGTATAGACAGGTCTGTTGG</w:t>
            </w:r>
          </w:p>
        </w:tc>
      </w:tr>
      <w:tr w:rsidR="00426C8D" w:rsidRPr="00857CDA" w:rsidTr="00F5345B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  <w:t>Il1b</w:t>
            </w:r>
          </w:p>
        </w:tc>
        <w:tc>
          <w:tcPr>
            <w:tcW w:w="3362" w:type="dxa"/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TGGATGCTCTCATCAGGACAG</w:t>
            </w:r>
          </w:p>
        </w:tc>
        <w:tc>
          <w:tcPr>
            <w:tcW w:w="4434" w:type="dxa"/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GAAATGCCACCTTTTGACAGTG</w:t>
            </w:r>
          </w:p>
        </w:tc>
      </w:tr>
      <w:tr w:rsidR="00426C8D" w:rsidRPr="00857CDA" w:rsidTr="00F53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  <w:t>Tnf</w:t>
            </w:r>
            <w:proofErr w:type="spellEnd"/>
          </w:p>
        </w:tc>
        <w:tc>
          <w:tcPr>
            <w:tcW w:w="3362" w:type="dxa"/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AGGCGGTGCCTATGTCTCAG</w:t>
            </w:r>
          </w:p>
        </w:tc>
        <w:tc>
          <w:tcPr>
            <w:tcW w:w="4434" w:type="dxa"/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GCTCCTCCACTTGGTGGTTT</w:t>
            </w:r>
          </w:p>
        </w:tc>
      </w:tr>
      <w:tr w:rsidR="00426C8D" w:rsidRPr="00857CDA" w:rsidTr="00F5345B">
        <w:trPr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i/>
                <w:iCs/>
                <w:szCs w:val="21"/>
              </w:rPr>
              <w:t>Gapdh</w:t>
            </w:r>
            <w:proofErr w:type="spellEnd"/>
          </w:p>
        </w:tc>
        <w:tc>
          <w:tcPr>
            <w:tcW w:w="3362" w:type="dxa"/>
            <w:tcBorders>
              <w:bottom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TGGTCCTCAGTGCCCAAG</w:t>
            </w:r>
          </w:p>
        </w:tc>
        <w:tc>
          <w:tcPr>
            <w:tcW w:w="4434" w:type="dxa"/>
            <w:tcBorders>
              <w:bottom w:val="single" w:sz="8" w:space="0" w:color="196B24"/>
            </w:tcBorders>
            <w:vAlign w:val="center"/>
            <w:hideMark/>
          </w:tcPr>
          <w:p w:rsidR="00426C8D" w:rsidRPr="00857CDA" w:rsidRDefault="00426C8D" w:rsidP="004421C8">
            <w:pPr>
              <w:adjustRightInd w:val="0"/>
              <w:snapToGrid w:val="0"/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Cs w:val="21"/>
              </w:rPr>
            </w:pPr>
            <w:r w:rsidRPr="00857CDA">
              <w:rPr>
                <w:rFonts w:ascii="Arial" w:eastAsia="宋体" w:hAnsi="Arial" w:cs="Arial"/>
                <w:szCs w:val="21"/>
              </w:rPr>
              <w:t>CTGCCCAGAACATCATCCCT</w:t>
            </w:r>
          </w:p>
        </w:tc>
      </w:tr>
    </w:tbl>
    <w:p w:rsidR="00857CDA" w:rsidRPr="00857CDA" w:rsidRDefault="00857CDA" w:rsidP="004421C8">
      <w:pPr>
        <w:rPr>
          <w:rFonts w:ascii="Arial" w:eastAsia="宋体" w:hAnsi="Arial" w:cs="Arial"/>
          <w:sz w:val="24"/>
          <w:szCs w:val="24"/>
        </w:rPr>
        <w:sectPr w:rsidR="00857CDA" w:rsidRPr="00857CDA" w:rsidSect="004421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57CDA" w:rsidRPr="00857CDA" w:rsidRDefault="00857CDA" w:rsidP="00857CDA">
      <w:pPr>
        <w:suppressLineNumbers/>
        <w:adjustRightInd w:val="0"/>
        <w:snapToGrid w:val="0"/>
        <w:spacing w:line="240" w:lineRule="atLeast"/>
        <w:rPr>
          <w:rFonts w:ascii="Arial" w:eastAsia="宋体" w:hAnsi="Arial" w:cs="Arial"/>
          <w:b/>
          <w:bCs/>
          <w:sz w:val="24"/>
          <w:szCs w:val="24"/>
        </w:rPr>
      </w:pPr>
      <w:r w:rsidRPr="00857CDA">
        <w:rPr>
          <w:rFonts w:ascii="Arial" w:eastAsia="宋体" w:hAnsi="Arial" w:cs="Arial"/>
          <w:b/>
          <w:bCs/>
          <w:sz w:val="24"/>
          <w:szCs w:val="24"/>
        </w:rPr>
        <w:lastRenderedPageBreak/>
        <w:t>Supplementary Table2. Key resources table</w:t>
      </w: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4304"/>
        <w:gridCol w:w="928"/>
        <w:gridCol w:w="928"/>
        <w:gridCol w:w="2146"/>
      </w:tblGrid>
      <w:tr w:rsidR="00857CDA" w:rsidRPr="00857CDA" w:rsidTr="008C03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bookmarkStart w:id="9" w:name="_Hlk185194306"/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Reagent or resource</w:t>
            </w:r>
          </w:p>
        </w:tc>
        <w:tc>
          <w:tcPr>
            <w:tcW w:w="0" w:type="auto"/>
            <w:gridSpan w:val="2"/>
            <w:tcBorders>
              <w:top w:val="single" w:sz="12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Source</w:t>
            </w:r>
          </w:p>
        </w:tc>
        <w:tc>
          <w:tcPr>
            <w:tcW w:w="0" w:type="auto"/>
            <w:tcBorders>
              <w:top w:val="single" w:sz="12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Identifier</w:t>
            </w:r>
          </w:p>
        </w:tc>
      </w:tr>
      <w:bookmarkEnd w:id="9"/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Antibodies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color w:val="CA806E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color w:val="CA806E"/>
                <w:sz w:val="16"/>
                <w:szCs w:val="16"/>
              </w:rPr>
            </w:pP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FcBlock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 (anti-CD16/32)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BD Biosciences</w:t>
            </w:r>
          </w:p>
        </w:tc>
        <w:tc>
          <w:tcPr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553141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APC-Cy7 Anti-mice CD45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(clone 30-F11)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BD Biosciences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557659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FITC Anti-mice CD11b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(clone M1/70)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BD Biosciences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557396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PE-Cy7 Anti-mice Ly-6G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(clone 1A8)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BD Biosciences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560601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BV421 Anti-mice F4/80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(clone T45-2342)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BD Biosciences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565411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Rabbit anti-c-Fos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Abcam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ab190289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Rabbit anti-CRF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Abcam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ab272391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Mice anti-c-Fos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Abcam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ab302667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Rabbit anti-BETA2-AR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Abcam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ab182136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Rabbit anti-CitH3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Abcam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ab5103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Rat anti-Ly6G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127601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Mice anti-TH antibody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Santa Cruz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sc-7847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Rabbit anti-MPO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Abcam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ab208670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β-Arrestin2(C16D9)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Rabbit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mAb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CST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3857S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IκB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α(44D4) Rabbit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mAb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CST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4812S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Phospho-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IκB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α(Ser32)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Rabbit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mAb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CST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2859S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NF-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κB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 p65 Rabbit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mAb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CST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8242S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Phospho-NF-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κB</w:t>
            </w:r>
            <w:proofErr w:type="spellEnd"/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p65(Ser536) Rabbit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mAb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CST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3033S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β-Actin(13E5) Rabbit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mAb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CST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4970S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Alexa488 Goat anti-Rabbit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A-11008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Alexa594 Goat anti-Mice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A-11005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Alexa594 Goat anti-Rat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A-11007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Biotin Goat anti-Rat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31830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Biotin Goat anti-Rabbit</w:t>
            </w:r>
          </w:p>
        </w:tc>
        <w:tc>
          <w:tcPr>
            <w:tcW w:w="0" w:type="auto"/>
            <w:gridSpan w:val="2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31822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Virus strains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color w:val="CA806E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color w:val="CA806E"/>
                <w:sz w:val="16"/>
                <w:szCs w:val="16"/>
              </w:rPr>
            </w:pP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AAV2/9-Ef1α-DIO-hM3Dq-mcherry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BrainVTA</w:t>
            </w:r>
            <w:proofErr w:type="spellEnd"/>
          </w:p>
        </w:tc>
        <w:tc>
          <w:tcPr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PT-0042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AAV2/9-Ef1α-DIO-hM4Di- -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mCherry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BrainVTA</w:t>
            </w:r>
            <w:proofErr w:type="spellEnd"/>
          </w:p>
        </w:tc>
        <w:tc>
          <w:tcPr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PT-0043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AAV2/9-Ef1α-DIO-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mCherry</w:t>
            </w:r>
            <w:proofErr w:type="spellEnd"/>
          </w:p>
        </w:tc>
        <w:tc>
          <w:tcPr>
            <w:tcW w:w="0" w:type="auto"/>
            <w:gridSpan w:val="2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BrainVTA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PT-0013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Chemicals, peptides, and recombinant proteins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E. coli LPS O55:B5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Sigma-Aldrich</w:t>
            </w:r>
          </w:p>
        </w:tc>
        <w:tc>
          <w:tcPr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L2880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DAPI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SouthernBiotech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0100-20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RBC lysis buffer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eBioscience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00-4333-57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SYBR qPCR </w:t>
            </w: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SuperMix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oncoprotein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E301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CNO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Sigma-Aldrich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C0832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TRlzol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15596026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BSA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Servicebio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GC305006-100 g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L-Ascorbic acid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bookmarkStart w:id="10" w:name="_Hlk164018648"/>
            <w:r w:rsidRPr="00857CDA">
              <w:rPr>
                <w:rFonts w:ascii="Arial" w:eastAsia="宋体" w:hAnsi="Arial" w:cs="Arial"/>
                <w:sz w:val="16"/>
                <w:szCs w:val="16"/>
              </w:rPr>
              <w:t>Sigma-Aldrich</w:t>
            </w:r>
            <w:bookmarkEnd w:id="10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A4403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6-OHDA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Sigma-Aldrich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H4381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DCFH</w:t>
            </w:r>
            <w:r w:rsidRPr="00857CDA">
              <w:rPr>
                <w:rFonts w:ascii="Arial" w:eastAsia="宋体" w:hAnsi="Arial" w:cs="Arial"/>
                <w:sz w:val="16"/>
                <w:szCs w:val="16"/>
              </w:rPr>
              <w:t>-</w:t>
            </w: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DA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Thermo</w:t>
            </w:r>
            <w:proofErr w:type="spellEnd"/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 Fisher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88-5930-74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Norepinephrine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Selleck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S9507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Butoxamine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Sigma-Aldrich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B1385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ICI-118551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MCE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Cat#HY-13951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Salbutamol</w:t>
            </w:r>
          </w:p>
        </w:tc>
        <w:tc>
          <w:tcPr>
            <w:tcW w:w="0" w:type="auto"/>
            <w:gridSpan w:val="2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Selleck</w:t>
            </w:r>
          </w:p>
        </w:tc>
        <w:tc>
          <w:tcPr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S5494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  <w:bottom w:val="single" w:sz="8" w:space="0" w:color="176522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Critical commercial assays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76522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196B24"/>
              <w:bottom w:val="single" w:sz="8" w:space="0" w:color="176522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76522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Mice corticosterone</w:t>
            </w:r>
          </w:p>
        </w:tc>
        <w:tc>
          <w:tcPr>
            <w:tcW w:w="0" w:type="auto"/>
            <w:gridSpan w:val="2"/>
            <w:tcBorders>
              <w:top w:val="single" w:sz="8" w:space="0" w:color="176522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ARBOR ASSAYS</w:t>
            </w:r>
          </w:p>
        </w:tc>
        <w:tc>
          <w:tcPr>
            <w:tcW w:w="0" w:type="auto"/>
            <w:tcBorders>
              <w:top w:val="single" w:sz="8" w:space="0" w:color="176522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K014-H1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Mice norepinephrine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bookmarkStart w:id="11" w:name="_Hlk164324168"/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Abnova</w:t>
            </w:r>
            <w:bookmarkEnd w:id="11"/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KA1877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Mouse TNF-alpha</w:t>
            </w:r>
          </w:p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Quantikine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 ELISA Kit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R&amp;D Systems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MTA00B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MojoSort</w:t>
            </w: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  <w:vertAlign w:val="superscript"/>
              </w:rPr>
              <w:t>TM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 Mice Neutrophil Isolation Kit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480058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Phagocytosis Assay Kit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Cayman Chemical</w:t>
            </w:r>
          </w:p>
        </w:tc>
        <w:tc>
          <w:tcPr>
            <w:tcW w:w="0" w:type="auto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500290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RevertAid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 first-strand complementary DNA (cDNA) synthesis kits</w:t>
            </w:r>
          </w:p>
        </w:tc>
        <w:tc>
          <w:tcPr>
            <w:tcW w:w="0" w:type="auto"/>
            <w:gridSpan w:val="2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TIANGEN</w:t>
            </w:r>
          </w:p>
        </w:tc>
        <w:tc>
          <w:tcPr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KR123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Experimental models: Organisms/strains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C57BL/6J mice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The Jackson Laboratory</w:t>
            </w:r>
          </w:p>
        </w:tc>
        <w:tc>
          <w:tcPr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JAX: 000664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CRH-IRES-Cre</w:t>
            </w:r>
          </w:p>
        </w:tc>
        <w:tc>
          <w:tcPr>
            <w:tcW w:w="0" w:type="auto"/>
            <w:gridSpan w:val="2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The Jackson Laboratory</w:t>
            </w:r>
          </w:p>
        </w:tc>
        <w:tc>
          <w:tcPr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JAX: 12704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Software and algorithms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FlowJo</w:t>
            </w:r>
            <w:proofErr w:type="spellEnd"/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 xml:space="preserve"> software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 xml:space="preserve">BD </w:t>
            </w: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BioSciences</w:t>
            </w:r>
            <w:proofErr w:type="spellEnd"/>
          </w:p>
        </w:tc>
        <w:tc>
          <w:tcPr>
            <w:tcW w:w="0" w:type="auto"/>
            <w:tcBorders>
              <w:top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https://www.flowjo.com/</w:t>
            </w: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GraphPad Prism</w:t>
            </w:r>
          </w:p>
        </w:tc>
        <w:tc>
          <w:tcPr>
            <w:tcW w:w="0" w:type="auto"/>
            <w:gridSpan w:val="2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Dotmatics</w:t>
            </w:r>
            <w:proofErr w:type="spellEnd"/>
          </w:p>
        </w:tc>
        <w:tc>
          <w:tcPr>
            <w:tcW w:w="0" w:type="auto"/>
            <w:tcBorders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https://www.graphpad.com/</w:t>
            </w:r>
          </w:p>
        </w:tc>
      </w:tr>
      <w:tr w:rsidR="00857CDA" w:rsidRPr="00857CDA" w:rsidTr="008C0350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color w:val="CA806E"/>
                <w:sz w:val="16"/>
                <w:szCs w:val="16"/>
              </w:rPr>
              <w:t>Other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</w:p>
        </w:tc>
      </w:tr>
      <w:tr w:rsidR="00857CDA" w:rsidRPr="00857CDA" w:rsidTr="008C0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b w:val="0"/>
                <w:bCs w:val="0"/>
                <w:sz w:val="16"/>
                <w:szCs w:val="16"/>
              </w:rPr>
              <w:t>Precision Count Beads™</w:t>
            </w:r>
          </w:p>
        </w:tc>
        <w:tc>
          <w:tcPr>
            <w:tcW w:w="0" w:type="auto"/>
            <w:gridSpan w:val="2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proofErr w:type="spellStart"/>
            <w:r w:rsidRPr="00857CDA">
              <w:rPr>
                <w:rFonts w:ascii="Arial" w:eastAsia="宋体" w:hAnsi="Arial" w:cs="Arial"/>
                <w:sz w:val="16"/>
                <w:szCs w:val="16"/>
              </w:rPr>
              <w:t>BioLegend</w:t>
            </w:r>
            <w:proofErr w:type="spellEnd"/>
          </w:p>
        </w:tc>
        <w:tc>
          <w:tcPr>
            <w:tcW w:w="0" w:type="auto"/>
            <w:tcBorders>
              <w:top w:val="single" w:sz="8" w:space="0" w:color="196B24"/>
              <w:bottom w:val="single" w:sz="8" w:space="0" w:color="196B24"/>
            </w:tcBorders>
            <w:vAlign w:val="center"/>
            <w:hideMark/>
          </w:tcPr>
          <w:p w:rsidR="00857CDA" w:rsidRPr="00857CDA" w:rsidRDefault="00857CDA" w:rsidP="008C0350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宋体" w:hAnsi="Arial" w:cs="Arial"/>
                <w:sz w:val="16"/>
                <w:szCs w:val="16"/>
              </w:rPr>
            </w:pPr>
            <w:r w:rsidRPr="00857CDA">
              <w:rPr>
                <w:rFonts w:ascii="Arial" w:eastAsia="宋体" w:hAnsi="Arial" w:cs="Arial"/>
                <w:sz w:val="16"/>
                <w:szCs w:val="16"/>
              </w:rPr>
              <w:t>Cat# 424902</w:t>
            </w:r>
          </w:p>
        </w:tc>
      </w:tr>
    </w:tbl>
    <w:p w:rsidR="00857CDA" w:rsidRPr="00857CDA" w:rsidRDefault="00857CDA" w:rsidP="00857CDA">
      <w:pPr>
        <w:spacing w:line="240" w:lineRule="atLeast"/>
        <w:rPr>
          <w:rFonts w:ascii="Arial" w:hAnsi="Arial" w:cs="Arial"/>
          <w:sz w:val="16"/>
          <w:szCs w:val="18"/>
        </w:rPr>
      </w:pPr>
    </w:p>
    <w:sectPr w:rsidR="00857CDA" w:rsidRPr="00857CDA" w:rsidSect="004421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C7977" w:rsidRDefault="005C7977" w:rsidP="00466722">
      <w:pPr>
        <w:rPr>
          <w:rFonts w:hint="eastAsia"/>
        </w:rPr>
      </w:pPr>
      <w:r>
        <w:separator/>
      </w:r>
    </w:p>
  </w:endnote>
  <w:endnote w:type="continuationSeparator" w:id="0">
    <w:p w:rsidR="005C7977" w:rsidRDefault="005C7977" w:rsidP="004667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C7977" w:rsidRDefault="005C7977" w:rsidP="00466722">
      <w:pPr>
        <w:rPr>
          <w:rFonts w:hint="eastAsia"/>
        </w:rPr>
      </w:pPr>
      <w:r>
        <w:separator/>
      </w:r>
    </w:p>
  </w:footnote>
  <w:footnote w:type="continuationSeparator" w:id="0">
    <w:p w:rsidR="005C7977" w:rsidRDefault="005C7977" w:rsidP="0046672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munication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exzxxw03rff5pefx0kvd0theetf9a0dpe2z&quot;&gt;My EndNote Library&lt;record-ids&gt;&lt;item&gt;19&lt;/item&gt;&lt;item&gt;21&lt;/item&gt;&lt;/record-ids&gt;&lt;/item&gt;&lt;/Libraries&gt;"/>
  </w:docVars>
  <w:rsids>
    <w:rsidRoot w:val="00977B74"/>
    <w:rsid w:val="000A5B3B"/>
    <w:rsid w:val="000F7D60"/>
    <w:rsid w:val="001D6417"/>
    <w:rsid w:val="003F695E"/>
    <w:rsid w:val="00426C8D"/>
    <w:rsid w:val="004421C8"/>
    <w:rsid w:val="00466722"/>
    <w:rsid w:val="00485273"/>
    <w:rsid w:val="00494159"/>
    <w:rsid w:val="0056458F"/>
    <w:rsid w:val="005C7977"/>
    <w:rsid w:val="006064F1"/>
    <w:rsid w:val="006A12EA"/>
    <w:rsid w:val="00742E08"/>
    <w:rsid w:val="0077567E"/>
    <w:rsid w:val="007A2E2F"/>
    <w:rsid w:val="007C5D69"/>
    <w:rsid w:val="00842B33"/>
    <w:rsid w:val="00857CDA"/>
    <w:rsid w:val="00861777"/>
    <w:rsid w:val="008C5D6F"/>
    <w:rsid w:val="00941417"/>
    <w:rsid w:val="00977B74"/>
    <w:rsid w:val="009B56F0"/>
    <w:rsid w:val="00CA7B8A"/>
    <w:rsid w:val="00E3113B"/>
    <w:rsid w:val="00F76161"/>
    <w:rsid w:val="00F87F0C"/>
    <w:rsid w:val="00FB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chartTrackingRefBased/>
  <w15:docId w15:val="{3E3BBBF2-61ED-438E-B857-C4D83D50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7B7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B7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B7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B7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B7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B7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B7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B7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7B7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77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77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77B7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77B7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77B7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77B7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77B7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77B7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77B7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77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7B7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77B7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7B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77B7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7B7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7B7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7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77B7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7B74"/>
    <w:rPr>
      <w:b/>
      <w:bCs/>
      <w:smallCaps/>
      <w:color w:val="0F4761" w:themeColor="accent1" w:themeShade="BF"/>
      <w:spacing w:val="5"/>
    </w:rPr>
  </w:style>
  <w:style w:type="paragraph" w:customStyle="1" w:styleId="EndNoteBibliography">
    <w:name w:val="EndNote Bibliography"/>
    <w:basedOn w:val="a"/>
    <w:link w:val="EndNoteBibliography0"/>
    <w:rsid w:val="00426C8D"/>
    <w:rPr>
      <w:rFonts w:ascii="等线" w:eastAsia="等线" w:hAnsi="等线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26C8D"/>
    <w:rPr>
      <w:rFonts w:ascii="等线" w:eastAsia="等线" w:hAnsi="等线" w:cs="Calibri"/>
      <w:noProof/>
      <w:sz w:val="20"/>
    </w:rPr>
  </w:style>
  <w:style w:type="table" w:styleId="41">
    <w:name w:val="Plain Table 4"/>
    <w:basedOn w:val="a1"/>
    <w:uiPriority w:val="44"/>
    <w:rsid w:val="00426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e">
    <w:name w:val="line number"/>
    <w:basedOn w:val="a0"/>
    <w:uiPriority w:val="99"/>
    <w:semiHidden/>
    <w:unhideWhenUsed/>
    <w:rsid w:val="00426C8D"/>
  </w:style>
  <w:style w:type="paragraph" w:customStyle="1" w:styleId="EndNoteBibliographyTitle">
    <w:name w:val="EndNote Bibliography Title"/>
    <w:basedOn w:val="a"/>
    <w:link w:val="EndNoteBibliographyTitle0"/>
    <w:rsid w:val="00426C8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26C8D"/>
    <w:rPr>
      <w:rFonts w:ascii="等线" w:eastAsia="等线" w:hAnsi="等线"/>
      <w:noProof/>
      <w:sz w:val="20"/>
    </w:rPr>
  </w:style>
  <w:style w:type="paragraph" w:styleId="af">
    <w:name w:val="header"/>
    <w:basedOn w:val="a"/>
    <w:link w:val="af0"/>
    <w:uiPriority w:val="99"/>
    <w:unhideWhenUsed/>
    <w:rsid w:val="0046672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66722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667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667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13</Pages>
  <Words>1265</Words>
  <Characters>7354</Characters>
  <Application>Microsoft Office Word</Application>
  <DocSecurity>0</DocSecurity>
  <Lines>133</Lines>
  <Paragraphs>25</Paragraphs>
  <ScaleCrop>false</ScaleCrop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Liu</dc:creator>
  <cp:keywords/>
  <dc:description/>
  <cp:lastModifiedBy>Tao Liu</cp:lastModifiedBy>
  <cp:revision>9</cp:revision>
  <dcterms:created xsi:type="dcterms:W3CDTF">2025-01-21T02:13:00Z</dcterms:created>
  <dcterms:modified xsi:type="dcterms:W3CDTF">2025-01-23T13:11:00Z</dcterms:modified>
</cp:coreProperties>
</file>