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30BE" w14:textId="202EF511" w:rsidR="009F71BD" w:rsidRPr="00BC60CE" w:rsidRDefault="00BC60CE" w:rsidP="0020403E">
      <w:pPr>
        <w:spacing w:after="0"/>
        <w:jc w:val="both"/>
        <w:rPr>
          <w:rFonts w:ascii="Times New Roman" w:hAnsi="Times New Roman" w:cs="Times New Roman"/>
          <w:b/>
          <w:sz w:val="20"/>
          <w:szCs w:val="20"/>
          <w:lang w:val="en-US"/>
        </w:rPr>
      </w:pPr>
      <w:r w:rsidRPr="00BC60CE">
        <w:rPr>
          <w:rFonts w:ascii="Times New Roman" w:hAnsi="Times New Roman" w:cs="Times New Roman"/>
          <w:b/>
          <w:sz w:val="20"/>
          <w:szCs w:val="20"/>
          <w:lang w:val="en-US"/>
        </w:rPr>
        <w:t xml:space="preserve">Title: </w:t>
      </w:r>
      <w:r w:rsidR="009F71BD" w:rsidRPr="00BC60CE">
        <w:rPr>
          <w:rFonts w:ascii="Times New Roman" w:hAnsi="Times New Roman" w:cs="Times New Roman"/>
          <w:b/>
          <w:sz w:val="20"/>
          <w:szCs w:val="20"/>
          <w:lang w:val="en-US"/>
        </w:rPr>
        <w:t>The Role of General Practitioners in Transitioning Adolescents with Chronic Conditions to Adult Health Car</w:t>
      </w:r>
      <w:r w:rsidR="00621BA6">
        <w:rPr>
          <w:rFonts w:ascii="Times New Roman" w:hAnsi="Times New Roman" w:cs="Times New Roman"/>
          <w:b/>
          <w:sz w:val="20"/>
          <w:szCs w:val="20"/>
          <w:lang w:val="en-US"/>
        </w:rPr>
        <w:t>e</w:t>
      </w:r>
    </w:p>
    <w:p w14:paraId="606FB8E1" w14:textId="203C9001" w:rsidR="00352D8B" w:rsidRPr="00352D8B" w:rsidRDefault="00BC60CE" w:rsidP="00D317F0">
      <w:pPr>
        <w:spacing w:before="240" w:after="0" w:line="240" w:lineRule="auto"/>
        <w:jc w:val="both"/>
        <w:rPr>
          <w:rStyle w:val="lev"/>
          <w:rFonts w:ascii="Times New Roman" w:eastAsia="Times New Roman" w:hAnsi="Times New Roman"/>
          <w:b w:val="0"/>
          <w:bCs w:val="0"/>
          <w:sz w:val="20"/>
          <w:szCs w:val="20"/>
          <w:vertAlign w:val="superscript"/>
          <w:lang w:val="en-US"/>
        </w:rPr>
      </w:pPr>
      <w:r w:rsidRPr="00BC60CE">
        <w:rPr>
          <w:rStyle w:val="lev"/>
          <w:rFonts w:ascii="Times New Roman" w:hAnsi="Times New Roman"/>
          <w:sz w:val="20"/>
          <w:szCs w:val="20"/>
          <w:lang w:val="en-US"/>
        </w:rPr>
        <w:t>Authors list:</w:t>
      </w:r>
      <w:r>
        <w:rPr>
          <w:rFonts w:ascii="Times New Roman" w:eastAsia="Times New Roman" w:hAnsi="Times New Roman"/>
          <w:sz w:val="20"/>
          <w:szCs w:val="20"/>
          <w:lang w:val="en-US"/>
        </w:rPr>
        <w:t xml:space="preserve"> </w:t>
      </w:r>
      <w:r w:rsidR="00352D8B" w:rsidRPr="00352D8B">
        <w:rPr>
          <w:rStyle w:val="lev"/>
          <w:rFonts w:ascii="Times New Roman" w:eastAsia="Times New Roman" w:hAnsi="Times New Roman"/>
          <w:b w:val="0"/>
          <w:bCs w:val="0"/>
          <w:sz w:val="20"/>
          <w:szCs w:val="20"/>
          <w:lang w:val="en-US"/>
        </w:rPr>
        <w:t>Jérémy Puyraimond-Zemmour</w:t>
      </w:r>
      <w:r w:rsidR="00352D8B">
        <w:rPr>
          <w:rStyle w:val="lev"/>
          <w:rFonts w:ascii="Times New Roman" w:eastAsia="Times New Roman" w:hAnsi="Times New Roman"/>
          <w:b w:val="0"/>
          <w:bCs w:val="0"/>
          <w:sz w:val="20"/>
          <w:szCs w:val="20"/>
          <w:vertAlign w:val="superscript"/>
          <w:lang w:val="en-US"/>
        </w:rPr>
        <w:t>1,3</w:t>
      </w:r>
      <w:r w:rsidR="00352D8B" w:rsidRPr="00352D8B">
        <w:rPr>
          <w:rStyle w:val="lev"/>
          <w:rFonts w:ascii="Times New Roman" w:eastAsia="Times New Roman" w:hAnsi="Times New Roman"/>
          <w:b w:val="0"/>
          <w:bCs w:val="0"/>
          <w:sz w:val="20"/>
          <w:szCs w:val="20"/>
          <w:lang w:val="en-US"/>
        </w:rPr>
        <w:t>, Hélène Mellerio</w:t>
      </w:r>
      <w:r w:rsidR="00352D8B">
        <w:rPr>
          <w:rStyle w:val="lev"/>
          <w:rFonts w:ascii="Times New Roman" w:eastAsia="Times New Roman" w:hAnsi="Times New Roman"/>
          <w:b w:val="0"/>
          <w:bCs w:val="0"/>
          <w:sz w:val="20"/>
          <w:szCs w:val="20"/>
          <w:vertAlign w:val="superscript"/>
          <w:lang w:val="en-US"/>
        </w:rPr>
        <w:t>2,3,4</w:t>
      </w:r>
      <w:r w:rsidR="00352D8B">
        <w:rPr>
          <w:rStyle w:val="lev"/>
          <w:rFonts w:ascii="Times New Roman" w:eastAsia="Times New Roman" w:hAnsi="Times New Roman"/>
          <w:b w:val="0"/>
          <w:bCs w:val="0"/>
          <w:sz w:val="20"/>
          <w:szCs w:val="20"/>
          <w:lang w:val="en-US"/>
        </w:rPr>
        <w:t xml:space="preserve">, </w:t>
      </w:r>
      <w:r w:rsidR="00352D8B" w:rsidRPr="00352D8B">
        <w:rPr>
          <w:rStyle w:val="lev"/>
          <w:rFonts w:ascii="Times New Roman" w:eastAsia="Times New Roman" w:hAnsi="Times New Roman"/>
          <w:b w:val="0"/>
          <w:bCs w:val="0"/>
          <w:sz w:val="20"/>
          <w:szCs w:val="20"/>
          <w:lang w:val="en-US"/>
        </w:rPr>
        <w:t>Ulrich Meinzer</w:t>
      </w:r>
      <w:r w:rsidR="00352D8B">
        <w:rPr>
          <w:rStyle w:val="lev"/>
          <w:rFonts w:ascii="Times New Roman" w:eastAsia="Times New Roman" w:hAnsi="Times New Roman"/>
          <w:b w:val="0"/>
          <w:bCs w:val="0"/>
          <w:sz w:val="20"/>
          <w:szCs w:val="20"/>
          <w:vertAlign w:val="superscript"/>
          <w:lang w:val="en-US"/>
        </w:rPr>
        <w:t>5,</w:t>
      </w:r>
      <w:r w:rsidR="004C0036">
        <w:rPr>
          <w:rStyle w:val="lev"/>
          <w:rFonts w:ascii="Times New Roman" w:eastAsia="Times New Roman" w:hAnsi="Times New Roman"/>
          <w:b w:val="0"/>
          <w:bCs w:val="0"/>
          <w:sz w:val="20"/>
          <w:szCs w:val="20"/>
          <w:vertAlign w:val="superscript"/>
          <w:lang w:val="en-US"/>
        </w:rPr>
        <w:t>6</w:t>
      </w:r>
      <w:r w:rsidR="00352D8B" w:rsidRPr="00352D8B">
        <w:rPr>
          <w:rStyle w:val="lev"/>
          <w:rFonts w:ascii="Times New Roman" w:eastAsia="Times New Roman" w:hAnsi="Times New Roman"/>
          <w:b w:val="0"/>
          <w:bCs w:val="0"/>
          <w:sz w:val="20"/>
          <w:szCs w:val="20"/>
          <w:lang w:val="en-US"/>
        </w:rPr>
        <w:t>, Stéphane Auvin</w:t>
      </w:r>
      <w:r w:rsidR="004C0036">
        <w:rPr>
          <w:rStyle w:val="lev"/>
          <w:rFonts w:ascii="Times New Roman" w:eastAsia="Times New Roman" w:hAnsi="Times New Roman"/>
          <w:b w:val="0"/>
          <w:bCs w:val="0"/>
          <w:sz w:val="20"/>
          <w:szCs w:val="20"/>
          <w:vertAlign w:val="superscript"/>
          <w:lang w:val="en-US"/>
        </w:rPr>
        <w:t>7</w:t>
      </w:r>
      <w:r w:rsidR="00352D8B">
        <w:rPr>
          <w:rStyle w:val="lev"/>
          <w:rFonts w:ascii="Times New Roman" w:eastAsia="Times New Roman" w:hAnsi="Times New Roman"/>
          <w:b w:val="0"/>
          <w:bCs w:val="0"/>
          <w:sz w:val="20"/>
          <w:szCs w:val="20"/>
          <w:vertAlign w:val="superscript"/>
          <w:lang w:val="en-US"/>
        </w:rPr>
        <w:t>,</w:t>
      </w:r>
      <w:r w:rsidR="004C0036">
        <w:rPr>
          <w:rStyle w:val="lev"/>
          <w:rFonts w:ascii="Times New Roman" w:eastAsia="Times New Roman" w:hAnsi="Times New Roman"/>
          <w:b w:val="0"/>
          <w:bCs w:val="0"/>
          <w:sz w:val="20"/>
          <w:szCs w:val="20"/>
          <w:vertAlign w:val="superscript"/>
          <w:lang w:val="en-US"/>
        </w:rPr>
        <w:t>8</w:t>
      </w:r>
      <w:r w:rsidR="00352D8B">
        <w:rPr>
          <w:rStyle w:val="lev"/>
          <w:rFonts w:ascii="Times New Roman" w:eastAsia="Times New Roman" w:hAnsi="Times New Roman"/>
          <w:b w:val="0"/>
          <w:bCs w:val="0"/>
          <w:sz w:val="20"/>
          <w:szCs w:val="20"/>
          <w:vertAlign w:val="superscript"/>
          <w:lang w:val="en-US"/>
        </w:rPr>
        <w:t>,</w:t>
      </w:r>
      <w:r w:rsidR="004C0036">
        <w:rPr>
          <w:rStyle w:val="lev"/>
          <w:rFonts w:ascii="Times New Roman" w:eastAsia="Times New Roman" w:hAnsi="Times New Roman"/>
          <w:b w:val="0"/>
          <w:bCs w:val="0"/>
          <w:sz w:val="20"/>
          <w:szCs w:val="20"/>
          <w:vertAlign w:val="superscript"/>
          <w:lang w:val="en-US"/>
        </w:rPr>
        <w:t>9</w:t>
      </w:r>
      <w:r w:rsidR="00352D8B" w:rsidRPr="00352D8B">
        <w:rPr>
          <w:rStyle w:val="lev"/>
          <w:rFonts w:ascii="Times New Roman" w:eastAsia="Times New Roman" w:hAnsi="Times New Roman"/>
          <w:b w:val="0"/>
          <w:bCs w:val="0"/>
          <w:sz w:val="20"/>
          <w:szCs w:val="20"/>
          <w:lang w:val="en-US"/>
        </w:rPr>
        <w:t>, Elise Bismuth</w:t>
      </w:r>
      <w:r w:rsidR="00352D8B">
        <w:rPr>
          <w:rStyle w:val="lev"/>
          <w:rFonts w:ascii="Times New Roman" w:eastAsia="Times New Roman" w:hAnsi="Times New Roman"/>
          <w:b w:val="0"/>
          <w:bCs w:val="0"/>
          <w:sz w:val="20"/>
          <w:szCs w:val="20"/>
          <w:vertAlign w:val="superscript"/>
          <w:lang w:val="en-US"/>
        </w:rPr>
        <w:t>1</w:t>
      </w:r>
      <w:r w:rsidR="004C0036">
        <w:rPr>
          <w:rStyle w:val="lev"/>
          <w:rFonts w:ascii="Times New Roman" w:eastAsia="Times New Roman" w:hAnsi="Times New Roman"/>
          <w:b w:val="0"/>
          <w:bCs w:val="0"/>
          <w:sz w:val="20"/>
          <w:szCs w:val="20"/>
          <w:vertAlign w:val="superscript"/>
          <w:lang w:val="en-US"/>
        </w:rPr>
        <w:t>4</w:t>
      </w:r>
      <w:r w:rsidR="00352D8B" w:rsidRPr="00352D8B">
        <w:rPr>
          <w:rStyle w:val="lev"/>
          <w:rFonts w:ascii="Times New Roman" w:eastAsia="Times New Roman" w:hAnsi="Times New Roman"/>
          <w:b w:val="0"/>
          <w:bCs w:val="0"/>
          <w:sz w:val="20"/>
          <w:szCs w:val="20"/>
          <w:lang w:val="en-US"/>
        </w:rPr>
        <w:t>, Laurent Holvoet</w:t>
      </w:r>
      <w:r w:rsidR="00352D8B">
        <w:rPr>
          <w:rStyle w:val="lev"/>
          <w:rFonts w:ascii="Times New Roman" w:eastAsia="Times New Roman" w:hAnsi="Times New Roman"/>
          <w:b w:val="0"/>
          <w:bCs w:val="0"/>
          <w:sz w:val="20"/>
          <w:szCs w:val="20"/>
          <w:vertAlign w:val="superscript"/>
          <w:lang w:val="en-US"/>
        </w:rPr>
        <w:t>1</w:t>
      </w:r>
      <w:r w:rsidR="004C0036">
        <w:rPr>
          <w:rStyle w:val="lev"/>
          <w:rFonts w:ascii="Times New Roman" w:eastAsia="Times New Roman" w:hAnsi="Times New Roman"/>
          <w:b w:val="0"/>
          <w:bCs w:val="0"/>
          <w:sz w:val="20"/>
          <w:szCs w:val="20"/>
          <w:vertAlign w:val="superscript"/>
          <w:lang w:val="en-US"/>
        </w:rPr>
        <w:t>0</w:t>
      </w:r>
      <w:r w:rsidR="00352D8B" w:rsidRPr="00352D8B">
        <w:rPr>
          <w:rStyle w:val="lev"/>
          <w:rFonts w:ascii="Times New Roman" w:eastAsia="Times New Roman" w:hAnsi="Times New Roman"/>
          <w:b w:val="0"/>
          <w:bCs w:val="0"/>
          <w:sz w:val="20"/>
          <w:szCs w:val="20"/>
          <w:lang w:val="en-US"/>
        </w:rPr>
        <w:t>, Bérengère Koehl</w:t>
      </w:r>
      <w:r w:rsidR="00352D8B">
        <w:rPr>
          <w:rStyle w:val="lev"/>
          <w:rFonts w:ascii="Times New Roman" w:eastAsia="Times New Roman" w:hAnsi="Times New Roman"/>
          <w:b w:val="0"/>
          <w:bCs w:val="0"/>
          <w:sz w:val="20"/>
          <w:szCs w:val="20"/>
          <w:vertAlign w:val="superscript"/>
          <w:lang w:val="en-US"/>
        </w:rPr>
        <w:t>1</w:t>
      </w:r>
      <w:r w:rsidR="004C0036">
        <w:rPr>
          <w:rStyle w:val="lev"/>
          <w:rFonts w:ascii="Times New Roman" w:eastAsia="Times New Roman" w:hAnsi="Times New Roman"/>
          <w:b w:val="0"/>
          <w:bCs w:val="0"/>
          <w:sz w:val="20"/>
          <w:szCs w:val="20"/>
          <w:vertAlign w:val="superscript"/>
          <w:lang w:val="en-US"/>
        </w:rPr>
        <w:t>0</w:t>
      </w:r>
      <w:r w:rsidR="00352D8B">
        <w:rPr>
          <w:rStyle w:val="lev"/>
          <w:rFonts w:ascii="Times New Roman" w:eastAsia="Times New Roman" w:hAnsi="Times New Roman"/>
          <w:b w:val="0"/>
          <w:bCs w:val="0"/>
          <w:sz w:val="20"/>
          <w:szCs w:val="20"/>
          <w:vertAlign w:val="superscript"/>
          <w:lang w:val="en-US"/>
        </w:rPr>
        <w:t>,1</w:t>
      </w:r>
      <w:r w:rsidR="004C0036">
        <w:rPr>
          <w:rStyle w:val="lev"/>
          <w:rFonts w:ascii="Times New Roman" w:eastAsia="Times New Roman" w:hAnsi="Times New Roman"/>
          <w:b w:val="0"/>
          <w:bCs w:val="0"/>
          <w:sz w:val="20"/>
          <w:szCs w:val="20"/>
          <w:vertAlign w:val="superscript"/>
          <w:lang w:val="en-US"/>
        </w:rPr>
        <w:t>1</w:t>
      </w:r>
      <w:r w:rsidR="00352D8B" w:rsidRPr="00352D8B">
        <w:rPr>
          <w:rStyle w:val="lev"/>
          <w:rFonts w:ascii="Times New Roman" w:eastAsia="Times New Roman" w:hAnsi="Times New Roman"/>
          <w:b w:val="0"/>
          <w:bCs w:val="0"/>
          <w:sz w:val="20"/>
          <w:szCs w:val="20"/>
          <w:lang w:val="en-US"/>
        </w:rPr>
        <w:t>, Christine Martinez-Vinson</w:t>
      </w:r>
      <w:r w:rsidR="00352D8B">
        <w:rPr>
          <w:rStyle w:val="lev"/>
          <w:rFonts w:ascii="Times New Roman" w:eastAsia="Times New Roman" w:hAnsi="Times New Roman"/>
          <w:b w:val="0"/>
          <w:bCs w:val="0"/>
          <w:sz w:val="20"/>
          <w:szCs w:val="20"/>
          <w:vertAlign w:val="superscript"/>
          <w:lang w:val="en-US"/>
        </w:rPr>
        <w:t>1</w:t>
      </w:r>
      <w:r w:rsidR="004C0036">
        <w:rPr>
          <w:rStyle w:val="lev"/>
          <w:rFonts w:ascii="Times New Roman" w:eastAsia="Times New Roman" w:hAnsi="Times New Roman"/>
          <w:b w:val="0"/>
          <w:bCs w:val="0"/>
          <w:sz w:val="20"/>
          <w:szCs w:val="20"/>
          <w:vertAlign w:val="superscript"/>
          <w:lang w:val="en-US"/>
        </w:rPr>
        <w:t>3</w:t>
      </w:r>
      <w:r w:rsidR="00352D8B" w:rsidRPr="00352D8B">
        <w:rPr>
          <w:rStyle w:val="lev"/>
          <w:rFonts w:ascii="Times New Roman" w:eastAsia="Times New Roman" w:hAnsi="Times New Roman"/>
          <w:b w:val="0"/>
          <w:bCs w:val="0"/>
          <w:sz w:val="20"/>
          <w:szCs w:val="20"/>
          <w:lang w:val="en-US"/>
        </w:rPr>
        <w:t>, Philippe Zerr</w:t>
      </w:r>
      <w:r w:rsidR="00352D8B">
        <w:rPr>
          <w:rStyle w:val="lev"/>
          <w:rFonts w:ascii="Times New Roman" w:eastAsia="Times New Roman" w:hAnsi="Times New Roman"/>
          <w:b w:val="0"/>
          <w:bCs w:val="0"/>
          <w:sz w:val="20"/>
          <w:szCs w:val="20"/>
          <w:vertAlign w:val="superscript"/>
          <w:lang w:val="en-US"/>
        </w:rPr>
        <w:t>1</w:t>
      </w:r>
      <w:r w:rsidR="004C0036">
        <w:rPr>
          <w:rStyle w:val="lev"/>
          <w:rFonts w:ascii="Times New Roman" w:eastAsia="Times New Roman" w:hAnsi="Times New Roman"/>
          <w:b w:val="0"/>
          <w:bCs w:val="0"/>
          <w:sz w:val="20"/>
          <w:szCs w:val="20"/>
          <w:vertAlign w:val="superscript"/>
          <w:lang w:val="en-US"/>
        </w:rPr>
        <w:t>2</w:t>
      </w:r>
      <w:r w:rsidR="00352D8B" w:rsidRPr="00352D8B">
        <w:rPr>
          <w:rStyle w:val="lev"/>
          <w:rFonts w:ascii="Times New Roman" w:eastAsia="Times New Roman" w:hAnsi="Times New Roman"/>
          <w:b w:val="0"/>
          <w:bCs w:val="0"/>
          <w:sz w:val="20"/>
          <w:szCs w:val="20"/>
          <w:lang w:val="en-US"/>
        </w:rPr>
        <w:t>, Paul Jacquin</w:t>
      </w:r>
      <w:r w:rsidR="00352D8B">
        <w:rPr>
          <w:rStyle w:val="lev"/>
          <w:rFonts w:ascii="Times New Roman" w:eastAsia="Times New Roman" w:hAnsi="Times New Roman"/>
          <w:b w:val="0"/>
          <w:bCs w:val="0"/>
          <w:sz w:val="20"/>
          <w:szCs w:val="20"/>
          <w:vertAlign w:val="superscript"/>
          <w:lang w:val="en-US"/>
        </w:rPr>
        <w:t>3,4</w:t>
      </w:r>
    </w:p>
    <w:p w14:paraId="754E2FC5" w14:textId="6D0DD8C8" w:rsidR="00BC60CE" w:rsidRPr="00BC60CE" w:rsidRDefault="00BC60CE" w:rsidP="00BE6764">
      <w:pPr>
        <w:spacing w:before="240" w:after="0" w:line="240" w:lineRule="auto"/>
        <w:jc w:val="both"/>
        <w:rPr>
          <w:rFonts w:ascii="Times New Roman" w:eastAsia="Times New Roman" w:hAnsi="Times New Roman"/>
          <w:sz w:val="20"/>
          <w:szCs w:val="20"/>
          <w:lang w:val="en-US"/>
        </w:rPr>
      </w:pPr>
      <w:r w:rsidRPr="00BC60CE">
        <w:rPr>
          <w:rStyle w:val="lev"/>
          <w:rFonts w:ascii="Times New Roman" w:hAnsi="Times New Roman"/>
          <w:sz w:val="20"/>
          <w:szCs w:val="20"/>
          <w:lang w:val="en-US"/>
        </w:rPr>
        <w:t>Affiliations of the authors:</w:t>
      </w:r>
    </w:p>
    <w:p w14:paraId="032B2439" w14:textId="3F6E37AF" w:rsidR="00BE6764" w:rsidRPr="00EA4867" w:rsidRDefault="00BE6764" w:rsidP="00BE6764">
      <w:pPr>
        <w:spacing w:after="0"/>
        <w:jc w:val="both"/>
        <w:rPr>
          <w:rFonts w:ascii="Times New Roman" w:hAnsi="Times New Roman" w:cs="Times New Roman"/>
          <w:bCs/>
          <w:sz w:val="20"/>
          <w:szCs w:val="20"/>
          <w:lang w:val="en-US"/>
        </w:rPr>
      </w:pPr>
      <w:r w:rsidRPr="00EA4867">
        <w:rPr>
          <w:rFonts w:ascii="Times New Roman" w:hAnsi="Times New Roman" w:cs="Times New Roman"/>
          <w:bCs/>
          <w:sz w:val="20"/>
          <w:szCs w:val="20"/>
          <w:lang w:val="en-US"/>
        </w:rPr>
        <w:t xml:space="preserve">1 </w:t>
      </w:r>
      <w:r w:rsidR="004C0036" w:rsidRPr="004C0036">
        <w:rPr>
          <w:rFonts w:ascii="Times New Roman" w:hAnsi="Times New Roman" w:cs="Times New Roman"/>
          <w:bCs/>
          <w:sz w:val="20"/>
          <w:szCs w:val="20"/>
          <w:lang w:val="en-US"/>
        </w:rPr>
        <w:t>Faculty of Medicine, University of Paris, France</w:t>
      </w:r>
      <w:r w:rsidR="006B5890">
        <w:rPr>
          <w:rFonts w:ascii="Times New Roman" w:hAnsi="Times New Roman" w:cs="Times New Roman"/>
          <w:bCs/>
          <w:sz w:val="20"/>
          <w:szCs w:val="20"/>
          <w:lang w:val="en-US"/>
        </w:rPr>
        <w:t>.</w:t>
      </w:r>
    </w:p>
    <w:p w14:paraId="291955B5" w14:textId="493BCAB0" w:rsidR="00BE6764" w:rsidRPr="002E73A5" w:rsidRDefault="00BE6764" w:rsidP="00BE6764">
      <w:pPr>
        <w:spacing w:after="0"/>
        <w:jc w:val="both"/>
        <w:rPr>
          <w:rFonts w:ascii="Times New Roman" w:hAnsi="Times New Roman" w:cs="Times New Roman"/>
          <w:bCs/>
          <w:sz w:val="20"/>
          <w:szCs w:val="20"/>
          <w:lang w:val="en-US"/>
        </w:rPr>
      </w:pPr>
      <w:r w:rsidRPr="002E73A5">
        <w:rPr>
          <w:rFonts w:ascii="Times New Roman" w:hAnsi="Times New Roman" w:cs="Times New Roman"/>
          <w:bCs/>
          <w:sz w:val="20"/>
          <w:szCs w:val="20"/>
          <w:lang w:val="en-US"/>
        </w:rPr>
        <w:t xml:space="preserve">2 INSERM UMR-1123 ECEVE, </w:t>
      </w:r>
      <w:r w:rsidR="004C0036" w:rsidRPr="002E73A5">
        <w:rPr>
          <w:rFonts w:ascii="Times New Roman" w:hAnsi="Times New Roman" w:cs="Times New Roman"/>
          <w:bCs/>
          <w:sz w:val="20"/>
          <w:szCs w:val="20"/>
          <w:lang w:val="en-US"/>
        </w:rPr>
        <w:t>Paris Cité University, Paris, France.</w:t>
      </w:r>
    </w:p>
    <w:p w14:paraId="4BF9C0AB" w14:textId="4D2D98E9" w:rsidR="00BE6764" w:rsidRPr="004C0036" w:rsidRDefault="00BE6764" w:rsidP="00BE6764">
      <w:pPr>
        <w:spacing w:after="0"/>
        <w:jc w:val="both"/>
        <w:rPr>
          <w:rFonts w:ascii="Times New Roman" w:hAnsi="Times New Roman" w:cs="Times New Roman"/>
          <w:bCs/>
          <w:sz w:val="20"/>
          <w:szCs w:val="20"/>
          <w:lang w:val="en-US"/>
        </w:rPr>
      </w:pPr>
      <w:r w:rsidRPr="004C0036">
        <w:rPr>
          <w:rFonts w:ascii="Times New Roman" w:hAnsi="Times New Roman" w:cs="Times New Roman"/>
          <w:bCs/>
          <w:sz w:val="20"/>
          <w:szCs w:val="20"/>
          <w:lang w:val="en-US"/>
        </w:rPr>
        <w:t>3 AD'venir, Adolescent Medicine Unit, Robert Debre Hospital, AP-HP, Paris, France.</w:t>
      </w:r>
    </w:p>
    <w:p w14:paraId="47614EA4" w14:textId="77777777" w:rsidR="00BE6764" w:rsidRPr="00BE6764" w:rsidRDefault="00BE6764" w:rsidP="00BE6764">
      <w:pPr>
        <w:spacing w:after="0"/>
        <w:jc w:val="both"/>
        <w:rPr>
          <w:rFonts w:ascii="Times New Roman" w:hAnsi="Times New Roman" w:cs="Times New Roman"/>
          <w:bCs/>
          <w:sz w:val="20"/>
          <w:szCs w:val="20"/>
          <w:lang w:val="en-US"/>
        </w:rPr>
      </w:pPr>
      <w:r w:rsidRPr="00BE6764">
        <w:rPr>
          <w:rFonts w:ascii="Times New Roman" w:hAnsi="Times New Roman" w:cs="Times New Roman"/>
          <w:bCs/>
          <w:sz w:val="20"/>
          <w:szCs w:val="20"/>
          <w:lang w:val="en-US"/>
        </w:rPr>
        <w:t>4 French Clinical Research Group in Adolescent Medicine and Health, 97 bd de Port-Royal, 75014, Paris, France.</w:t>
      </w:r>
    </w:p>
    <w:p w14:paraId="7B12C058" w14:textId="3A9369DE" w:rsidR="00BE6764" w:rsidRPr="00BE6764" w:rsidRDefault="00BE6764" w:rsidP="00BE6764">
      <w:pPr>
        <w:spacing w:after="0"/>
        <w:jc w:val="both"/>
        <w:rPr>
          <w:rFonts w:ascii="Times New Roman" w:hAnsi="Times New Roman" w:cs="Times New Roman"/>
          <w:bCs/>
          <w:sz w:val="20"/>
          <w:szCs w:val="20"/>
          <w:lang w:val="en-US"/>
        </w:rPr>
      </w:pPr>
      <w:r w:rsidRPr="00BE6764">
        <w:rPr>
          <w:rFonts w:ascii="Times New Roman" w:hAnsi="Times New Roman" w:cs="Times New Roman"/>
          <w:bCs/>
          <w:sz w:val="20"/>
          <w:szCs w:val="20"/>
          <w:lang w:val="en-US"/>
        </w:rPr>
        <w:t>5 Department of General Paediatrics, Paediatric Internal Medicine, Rheumatology and Infectious Diseases, National Reference Centre for Rare Paediatric Inflammatory Rheumatisms and Systemic Autoimmune diseases (RAISE), Robert Debre Hospital, AP-HP, F-75019 Paris, France.</w:t>
      </w:r>
    </w:p>
    <w:p w14:paraId="0C640572" w14:textId="44BE7C3B" w:rsidR="00BE6764" w:rsidRPr="004C0036" w:rsidRDefault="004C0036" w:rsidP="00BE6764">
      <w:pPr>
        <w:spacing w:after="0"/>
        <w:jc w:val="both"/>
        <w:rPr>
          <w:rFonts w:ascii="Times New Roman" w:hAnsi="Times New Roman" w:cs="Times New Roman"/>
          <w:bCs/>
          <w:sz w:val="20"/>
          <w:szCs w:val="20"/>
          <w:lang w:val="en-US"/>
        </w:rPr>
      </w:pPr>
      <w:r w:rsidRPr="004C0036">
        <w:rPr>
          <w:rFonts w:ascii="Times New Roman" w:hAnsi="Times New Roman" w:cs="Times New Roman"/>
          <w:bCs/>
          <w:sz w:val="20"/>
          <w:szCs w:val="20"/>
          <w:lang w:val="en-US"/>
        </w:rPr>
        <w:t>6</w:t>
      </w:r>
      <w:r w:rsidR="00BE6764" w:rsidRPr="004C0036">
        <w:rPr>
          <w:rFonts w:ascii="Times New Roman" w:hAnsi="Times New Roman" w:cs="Times New Roman"/>
          <w:bCs/>
          <w:sz w:val="20"/>
          <w:szCs w:val="20"/>
          <w:lang w:val="en-US"/>
        </w:rPr>
        <w:t xml:space="preserve"> </w:t>
      </w:r>
      <w:r w:rsidRPr="004C0036">
        <w:rPr>
          <w:rFonts w:ascii="Times New Roman" w:hAnsi="Times New Roman" w:cs="Times New Roman"/>
          <w:bCs/>
          <w:sz w:val="20"/>
          <w:szCs w:val="20"/>
          <w:lang w:val="en-US"/>
        </w:rPr>
        <w:t>Paris Cité University</w:t>
      </w:r>
      <w:r w:rsidR="00BE6764" w:rsidRPr="004C0036">
        <w:rPr>
          <w:rFonts w:ascii="Times New Roman" w:hAnsi="Times New Roman" w:cs="Times New Roman"/>
          <w:bCs/>
          <w:sz w:val="20"/>
          <w:szCs w:val="20"/>
          <w:lang w:val="en-US"/>
        </w:rPr>
        <w:t xml:space="preserve">, INSERM, </w:t>
      </w:r>
      <w:r w:rsidRPr="004C0036">
        <w:rPr>
          <w:rFonts w:ascii="Times New Roman" w:hAnsi="Times New Roman" w:cs="Times New Roman"/>
          <w:bCs/>
          <w:sz w:val="20"/>
          <w:szCs w:val="20"/>
          <w:lang w:val="en-US"/>
        </w:rPr>
        <w:t>Research Center on Inflammation</w:t>
      </w:r>
      <w:r w:rsidR="00BE6764" w:rsidRPr="004C0036">
        <w:rPr>
          <w:rFonts w:ascii="Times New Roman" w:hAnsi="Times New Roman" w:cs="Times New Roman"/>
          <w:bCs/>
          <w:sz w:val="20"/>
          <w:szCs w:val="20"/>
          <w:lang w:val="en-US"/>
        </w:rPr>
        <w:t>, UMR 1149, F-75018, Paris, France</w:t>
      </w:r>
    </w:p>
    <w:p w14:paraId="7431AC3F" w14:textId="6790CBAE" w:rsidR="00BE6764" w:rsidRPr="00BE6764" w:rsidRDefault="004C0036" w:rsidP="00BE6764">
      <w:p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7</w:t>
      </w:r>
      <w:r w:rsidR="00BE6764" w:rsidRPr="00BE6764">
        <w:rPr>
          <w:rFonts w:ascii="Times New Roman" w:hAnsi="Times New Roman" w:cs="Times New Roman"/>
          <w:bCs/>
          <w:sz w:val="20"/>
          <w:szCs w:val="20"/>
          <w:lang w:val="en-US"/>
        </w:rPr>
        <w:t xml:space="preserve"> Department of Pediatric Neurology, CRMR Epilepsies Rares, Robert Debre Hospital, AP-HP, Paris, France.</w:t>
      </w:r>
    </w:p>
    <w:p w14:paraId="30A9D1D1" w14:textId="49B6B035" w:rsidR="00BE6764" w:rsidRPr="004C0036" w:rsidRDefault="004C0036" w:rsidP="00BE6764">
      <w:p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8</w:t>
      </w:r>
      <w:r w:rsidR="00BE6764" w:rsidRPr="004C0036">
        <w:rPr>
          <w:rFonts w:ascii="Times New Roman" w:hAnsi="Times New Roman" w:cs="Times New Roman"/>
          <w:bCs/>
          <w:sz w:val="20"/>
          <w:szCs w:val="20"/>
          <w:lang w:val="en-US"/>
        </w:rPr>
        <w:t xml:space="preserve"> INSERM UMR-1141 NeuroDiderot, </w:t>
      </w:r>
      <w:r w:rsidRPr="004C0036">
        <w:rPr>
          <w:rFonts w:ascii="Times New Roman" w:hAnsi="Times New Roman" w:cs="Times New Roman"/>
          <w:bCs/>
          <w:sz w:val="20"/>
          <w:szCs w:val="20"/>
          <w:lang w:val="en-US"/>
        </w:rPr>
        <w:t>University of Paris</w:t>
      </w:r>
      <w:r w:rsidR="00BE6764" w:rsidRPr="004C0036">
        <w:rPr>
          <w:rFonts w:ascii="Times New Roman" w:hAnsi="Times New Roman" w:cs="Times New Roman"/>
          <w:bCs/>
          <w:sz w:val="20"/>
          <w:szCs w:val="20"/>
          <w:lang w:val="en-US"/>
        </w:rPr>
        <w:t>, France.</w:t>
      </w:r>
    </w:p>
    <w:p w14:paraId="7DE30C2C" w14:textId="17C85416" w:rsidR="00BE6764" w:rsidRPr="004C0036" w:rsidRDefault="004C0036" w:rsidP="00BE6764">
      <w:pPr>
        <w:spacing w:after="0"/>
        <w:jc w:val="both"/>
        <w:rPr>
          <w:rFonts w:ascii="Times New Roman" w:hAnsi="Times New Roman" w:cs="Times New Roman"/>
          <w:bCs/>
          <w:sz w:val="20"/>
          <w:szCs w:val="20"/>
          <w:lang w:val="en-US"/>
        </w:rPr>
      </w:pPr>
      <w:r w:rsidRPr="004C0036">
        <w:rPr>
          <w:rFonts w:ascii="Times New Roman" w:hAnsi="Times New Roman" w:cs="Times New Roman"/>
          <w:bCs/>
          <w:sz w:val="20"/>
          <w:szCs w:val="20"/>
          <w:lang w:val="en-US"/>
        </w:rPr>
        <w:t>9</w:t>
      </w:r>
      <w:r w:rsidR="00BE6764" w:rsidRPr="004C0036">
        <w:rPr>
          <w:rFonts w:ascii="Times New Roman" w:hAnsi="Times New Roman" w:cs="Times New Roman"/>
          <w:bCs/>
          <w:sz w:val="20"/>
          <w:szCs w:val="20"/>
          <w:lang w:val="en-US"/>
        </w:rPr>
        <w:t xml:space="preserve"> </w:t>
      </w:r>
      <w:r w:rsidRPr="004C0036">
        <w:rPr>
          <w:rFonts w:ascii="Times New Roman" w:hAnsi="Times New Roman" w:cs="Times New Roman"/>
          <w:bCs/>
          <w:sz w:val="20"/>
          <w:szCs w:val="20"/>
          <w:lang w:val="en-US"/>
        </w:rPr>
        <w:t>University Institute of France, Paris, France.</w:t>
      </w:r>
    </w:p>
    <w:p w14:paraId="0A56FE9B" w14:textId="15E32CD6" w:rsidR="00BE6764" w:rsidRPr="00BE6764" w:rsidRDefault="00BE6764" w:rsidP="00BE6764">
      <w:pPr>
        <w:spacing w:after="0"/>
        <w:jc w:val="both"/>
        <w:rPr>
          <w:rFonts w:ascii="Times New Roman" w:hAnsi="Times New Roman" w:cs="Times New Roman"/>
          <w:bCs/>
          <w:sz w:val="20"/>
          <w:szCs w:val="20"/>
          <w:lang w:val="en-US"/>
        </w:rPr>
      </w:pPr>
      <w:r w:rsidRPr="00BE6764">
        <w:rPr>
          <w:rFonts w:ascii="Times New Roman" w:hAnsi="Times New Roman" w:cs="Times New Roman"/>
          <w:bCs/>
          <w:sz w:val="20"/>
          <w:szCs w:val="20"/>
          <w:lang w:val="en-US"/>
        </w:rPr>
        <w:t>1</w:t>
      </w:r>
      <w:r w:rsidR="004C0036">
        <w:rPr>
          <w:rFonts w:ascii="Times New Roman" w:hAnsi="Times New Roman" w:cs="Times New Roman"/>
          <w:bCs/>
          <w:sz w:val="20"/>
          <w:szCs w:val="20"/>
          <w:lang w:val="en-US"/>
        </w:rPr>
        <w:t>0</w:t>
      </w:r>
      <w:r w:rsidRPr="00BE6764">
        <w:rPr>
          <w:rFonts w:ascii="Times New Roman" w:hAnsi="Times New Roman" w:cs="Times New Roman"/>
          <w:bCs/>
          <w:sz w:val="20"/>
          <w:szCs w:val="20"/>
          <w:lang w:val="en-US"/>
        </w:rPr>
        <w:t xml:space="preserve"> Referral Center for Sickle Cell Disease, Hematology Unit, Robert Debre Hospital, AP-HP, Paris, France.</w:t>
      </w:r>
    </w:p>
    <w:p w14:paraId="46723548" w14:textId="182F9E15" w:rsidR="00BE6764" w:rsidRPr="004C0036" w:rsidRDefault="00BE6764" w:rsidP="00BE6764">
      <w:pPr>
        <w:spacing w:after="0"/>
        <w:jc w:val="both"/>
        <w:rPr>
          <w:rFonts w:ascii="Times New Roman" w:hAnsi="Times New Roman" w:cs="Times New Roman"/>
          <w:bCs/>
          <w:sz w:val="20"/>
          <w:szCs w:val="20"/>
          <w:lang w:val="en-US"/>
        </w:rPr>
      </w:pPr>
      <w:r w:rsidRPr="004C0036">
        <w:rPr>
          <w:rFonts w:ascii="Times New Roman" w:hAnsi="Times New Roman" w:cs="Times New Roman"/>
          <w:bCs/>
          <w:sz w:val="20"/>
          <w:szCs w:val="20"/>
          <w:lang w:val="en-US"/>
        </w:rPr>
        <w:t>1</w:t>
      </w:r>
      <w:r w:rsidR="004C0036">
        <w:rPr>
          <w:rFonts w:ascii="Times New Roman" w:hAnsi="Times New Roman" w:cs="Times New Roman"/>
          <w:bCs/>
          <w:sz w:val="20"/>
          <w:szCs w:val="20"/>
          <w:lang w:val="en-US"/>
        </w:rPr>
        <w:t>1</w:t>
      </w:r>
      <w:r w:rsidRPr="004C0036">
        <w:rPr>
          <w:rFonts w:ascii="Times New Roman" w:hAnsi="Times New Roman" w:cs="Times New Roman"/>
          <w:bCs/>
          <w:sz w:val="20"/>
          <w:szCs w:val="20"/>
          <w:lang w:val="en-US"/>
        </w:rPr>
        <w:t xml:space="preserve"> INSERM UMR-1134, </w:t>
      </w:r>
      <w:r w:rsidR="004C0036" w:rsidRPr="004C0036">
        <w:rPr>
          <w:rFonts w:ascii="Times New Roman" w:hAnsi="Times New Roman" w:cs="Times New Roman"/>
          <w:bCs/>
          <w:sz w:val="20"/>
          <w:szCs w:val="20"/>
          <w:lang w:val="en-US"/>
        </w:rPr>
        <w:t>Integrated Biology of the Red Blood Cell, University of Paris, France.</w:t>
      </w:r>
    </w:p>
    <w:p w14:paraId="2672F51B" w14:textId="07E20716" w:rsidR="00BE6764" w:rsidRPr="00BE6764" w:rsidRDefault="00BE6764" w:rsidP="00BE6764">
      <w:pPr>
        <w:spacing w:after="0"/>
        <w:jc w:val="both"/>
        <w:rPr>
          <w:rFonts w:ascii="Times New Roman" w:hAnsi="Times New Roman" w:cs="Times New Roman"/>
          <w:bCs/>
          <w:sz w:val="20"/>
          <w:szCs w:val="20"/>
          <w:lang w:val="en-US"/>
        </w:rPr>
      </w:pPr>
      <w:r w:rsidRPr="00BE6764">
        <w:rPr>
          <w:rFonts w:ascii="Times New Roman" w:hAnsi="Times New Roman" w:cs="Times New Roman"/>
          <w:bCs/>
          <w:sz w:val="20"/>
          <w:szCs w:val="20"/>
          <w:lang w:val="en-US"/>
        </w:rPr>
        <w:t>1</w:t>
      </w:r>
      <w:r w:rsidR="004C0036">
        <w:rPr>
          <w:rFonts w:ascii="Times New Roman" w:hAnsi="Times New Roman" w:cs="Times New Roman"/>
          <w:bCs/>
          <w:sz w:val="20"/>
          <w:szCs w:val="20"/>
          <w:lang w:val="en-US"/>
        </w:rPr>
        <w:t>2</w:t>
      </w:r>
      <w:r w:rsidRPr="00BE6764">
        <w:rPr>
          <w:rFonts w:ascii="Times New Roman" w:hAnsi="Times New Roman" w:cs="Times New Roman"/>
          <w:bCs/>
          <w:sz w:val="20"/>
          <w:szCs w:val="20"/>
          <w:lang w:val="en-US"/>
        </w:rPr>
        <w:t xml:space="preserve"> Department of General Medicine, </w:t>
      </w:r>
      <w:r w:rsidR="004C0036" w:rsidRPr="004C0036">
        <w:rPr>
          <w:rFonts w:ascii="Times New Roman" w:hAnsi="Times New Roman" w:cs="Times New Roman"/>
          <w:bCs/>
          <w:sz w:val="20"/>
          <w:szCs w:val="20"/>
          <w:lang w:val="en-US"/>
        </w:rPr>
        <w:t>University of Paris</w:t>
      </w:r>
      <w:r w:rsidRPr="00BE6764">
        <w:rPr>
          <w:rFonts w:ascii="Times New Roman" w:hAnsi="Times New Roman" w:cs="Times New Roman"/>
          <w:bCs/>
          <w:sz w:val="20"/>
          <w:szCs w:val="20"/>
          <w:lang w:val="en-US"/>
        </w:rPr>
        <w:t>, France.</w:t>
      </w:r>
    </w:p>
    <w:p w14:paraId="2331E081" w14:textId="16098AB0" w:rsidR="00BE6764" w:rsidRPr="00BE6764" w:rsidRDefault="00BE6764" w:rsidP="00BE6764">
      <w:pPr>
        <w:spacing w:after="0"/>
        <w:jc w:val="both"/>
        <w:rPr>
          <w:rFonts w:ascii="Times New Roman" w:hAnsi="Times New Roman" w:cs="Times New Roman"/>
          <w:bCs/>
          <w:sz w:val="20"/>
          <w:szCs w:val="20"/>
          <w:lang w:val="en-US"/>
        </w:rPr>
      </w:pPr>
      <w:r w:rsidRPr="00BE6764">
        <w:rPr>
          <w:rFonts w:ascii="Times New Roman" w:hAnsi="Times New Roman" w:cs="Times New Roman"/>
          <w:bCs/>
          <w:sz w:val="20"/>
          <w:szCs w:val="20"/>
          <w:lang w:val="en-US"/>
        </w:rPr>
        <w:t>1</w:t>
      </w:r>
      <w:r w:rsidR="004C0036">
        <w:rPr>
          <w:rFonts w:ascii="Times New Roman" w:hAnsi="Times New Roman" w:cs="Times New Roman"/>
          <w:bCs/>
          <w:sz w:val="20"/>
          <w:szCs w:val="20"/>
          <w:lang w:val="en-US"/>
        </w:rPr>
        <w:t>3</w:t>
      </w:r>
      <w:r w:rsidRPr="00BE6764">
        <w:rPr>
          <w:rFonts w:ascii="Times New Roman" w:hAnsi="Times New Roman" w:cs="Times New Roman"/>
          <w:bCs/>
          <w:sz w:val="20"/>
          <w:szCs w:val="20"/>
          <w:lang w:val="en-US"/>
        </w:rPr>
        <w:t xml:space="preserve"> Department of Pediatric Gastroenterology and Nutrition, Robert Debre Hospital, AP-HP, Paris, France.</w:t>
      </w:r>
    </w:p>
    <w:p w14:paraId="79EC1A6C" w14:textId="7591466E" w:rsidR="00BE6764" w:rsidRPr="00E37F42" w:rsidRDefault="004C0036" w:rsidP="00BE6764">
      <w:p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14</w:t>
      </w:r>
      <w:r w:rsidR="00BE6764" w:rsidRPr="00BE6764">
        <w:rPr>
          <w:rFonts w:ascii="Times New Roman" w:hAnsi="Times New Roman" w:cs="Times New Roman"/>
          <w:bCs/>
          <w:sz w:val="20"/>
          <w:szCs w:val="20"/>
          <w:lang w:val="en-US"/>
        </w:rPr>
        <w:t xml:space="preserve"> Department of Pediatric Endocrinology and Diabetology, Robert Debre Hospital, AP-HP, Paris, France.</w:t>
      </w:r>
    </w:p>
    <w:p w14:paraId="29F4A705" w14:textId="01B8D2C9" w:rsidR="00BC60CE" w:rsidRPr="00BC60CE" w:rsidRDefault="00BC60CE" w:rsidP="00343B55">
      <w:pPr>
        <w:spacing w:before="240" w:after="0" w:line="240" w:lineRule="auto"/>
        <w:jc w:val="both"/>
        <w:rPr>
          <w:rFonts w:ascii="Times New Roman" w:eastAsia="Times New Roman" w:hAnsi="Times New Roman"/>
          <w:b/>
          <w:sz w:val="20"/>
          <w:szCs w:val="20"/>
        </w:rPr>
      </w:pPr>
      <w:r w:rsidRPr="00BC60CE">
        <w:rPr>
          <w:rFonts w:ascii="Times New Roman" w:eastAsia="Times New Roman" w:hAnsi="Times New Roman"/>
          <w:b/>
          <w:sz w:val="20"/>
          <w:szCs w:val="20"/>
        </w:rPr>
        <w:t>Corresponding author</w:t>
      </w:r>
      <w:r w:rsidR="00746F1C" w:rsidRPr="00BC60CE">
        <w:rPr>
          <w:rFonts w:ascii="Times New Roman" w:hAnsi="Times New Roman" w:cs="Times New Roman"/>
          <w:b/>
          <w:sz w:val="20"/>
          <w:szCs w:val="20"/>
        </w:rPr>
        <w:t>:</w:t>
      </w:r>
      <w:r w:rsidR="00857407">
        <w:rPr>
          <w:rFonts w:ascii="Times New Roman" w:hAnsi="Times New Roman" w:cs="Times New Roman"/>
          <w:bCs/>
          <w:sz w:val="20"/>
          <w:szCs w:val="20"/>
        </w:rPr>
        <w:t xml:space="preserve"> </w:t>
      </w:r>
      <w:r w:rsidR="00746F1C" w:rsidRPr="00746F1C">
        <w:rPr>
          <w:rFonts w:ascii="Times New Roman" w:hAnsi="Times New Roman" w:cs="Times New Roman"/>
          <w:bCs/>
          <w:sz w:val="20"/>
          <w:szCs w:val="20"/>
        </w:rPr>
        <w:t>Jérémy Puyraimond-Zemmour, Service d'Unité Médecine de l'Adolescent, 48 boulevard Sérurier, 75019 Paris, France, Tel: +33 (6) 88 84 92 95, e-mail: jeremy.puyraimondzemmour@aphp.fr</w:t>
      </w:r>
    </w:p>
    <w:p w14:paraId="794C77F9" w14:textId="1A57736D" w:rsidR="00BC60CE" w:rsidRPr="00001DD8" w:rsidRDefault="00BC60CE" w:rsidP="00343B55">
      <w:pPr>
        <w:spacing w:before="240" w:after="0" w:line="240" w:lineRule="auto"/>
        <w:jc w:val="both"/>
        <w:rPr>
          <w:rFonts w:ascii="Times New Roman" w:hAnsi="Times New Roman"/>
          <w:b/>
          <w:sz w:val="20"/>
          <w:szCs w:val="20"/>
          <w:lang w:val="en-US"/>
        </w:rPr>
      </w:pPr>
      <w:r w:rsidRPr="00001DD8">
        <w:rPr>
          <w:rFonts w:ascii="Times New Roman" w:hAnsi="Times New Roman"/>
          <w:b/>
          <w:sz w:val="20"/>
          <w:szCs w:val="20"/>
          <w:lang w:val="en-US"/>
        </w:rPr>
        <w:t>Abstract:</w:t>
      </w:r>
    </w:p>
    <w:p w14:paraId="0BFFEDFB" w14:textId="04DCDB89" w:rsidR="009C39D6" w:rsidRPr="009C39D6" w:rsidRDefault="009C39D6" w:rsidP="009C39D6">
      <w:pPr>
        <w:spacing w:after="0"/>
        <w:jc w:val="both"/>
        <w:rPr>
          <w:rFonts w:ascii="Times New Roman" w:hAnsi="Times New Roman" w:cs="Times New Roman"/>
          <w:bCs/>
          <w:sz w:val="20"/>
          <w:szCs w:val="20"/>
          <w:lang w:val="en-US"/>
        </w:rPr>
      </w:pPr>
      <w:r w:rsidRPr="009C39D6">
        <w:rPr>
          <w:rFonts w:ascii="Times New Roman" w:hAnsi="Times New Roman" w:cs="Times New Roman"/>
          <w:bCs/>
          <w:sz w:val="20"/>
          <w:szCs w:val="20"/>
          <w:u w:val="single"/>
          <w:lang w:val="en-US"/>
        </w:rPr>
        <w:t>Background</w:t>
      </w:r>
      <w:r w:rsidRPr="009C39D6">
        <w:rPr>
          <w:rFonts w:ascii="Times New Roman" w:hAnsi="Times New Roman" w:cs="Times New Roman"/>
          <w:bCs/>
          <w:sz w:val="20"/>
          <w:szCs w:val="20"/>
          <w:lang w:val="en-US"/>
        </w:rPr>
        <w:t>: General practitioners (GPs) play a key role in ensuring continuity of care for adolescents and young adults (AYAs) with chronic conditions (CCs). However, their involvement during</w:t>
      </w:r>
      <w:r w:rsidR="00812A8B">
        <w:rPr>
          <w:rFonts w:ascii="Times New Roman" w:hAnsi="Times New Roman" w:cs="Times New Roman"/>
          <w:bCs/>
          <w:sz w:val="20"/>
          <w:szCs w:val="20"/>
          <w:lang w:val="en-US"/>
        </w:rPr>
        <w:t xml:space="preserve"> the</w:t>
      </w:r>
      <w:r w:rsidRPr="009C39D6">
        <w:rPr>
          <w:rFonts w:ascii="Times New Roman" w:hAnsi="Times New Roman" w:cs="Times New Roman"/>
          <w:bCs/>
          <w:sz w:val="20"/>
          <w:szCs w:val="20"/>
          <w:lang w:val="en-US"/>
        </w:rPr>
        <w:t xml:space="preserve"> transition from pediatric to adult care remains limited, contributing to unsuccessful transitions.</w:t>
      </w:r>
    </w:p>
    <w:p w14:paraId="74596F47" w14:textId="77777777" w:rsidR="009C39D6" w:rsidRPr="009C39D6" w:rsidRDefault="009C39D6" w:rsidP="009C39D6">
      <w:pPr>
        <w:spacing w:after="0"/>
        <w:jc w:val="both"/>
        <w:rPr>
          <w:rFonts w:ascii="Times New Roman" w:hAnsi="Times New Roman" w:cs="Times New Roman"/>
          <w:bCs/>
          <w:sz w:val="20"/>
          <w:szCs w:val="20"/>
          <w:lang w:val="en-US"/>
        </w:rPr>
      </w:pPr>
      <w:r w:rsidRPr="009C39D6">
        <w:rPr>
          <w:rFonts w:ascii="Times New Roman" w:hAnsi="Times New Roman" w:cs="Times New Roman"/>
          <w:bCs/>
          <w:sz w:val="20"/>
          <w:szCs w:val="20"/>
          <w:u w:val="single"/>
          <w:lang w:val="en-US"/>
        </w:rPr>
        <w:t>Purpose</w:t>
      </w:r>
      <w:r w:rsidRPr="009C39D6">
        <w:rPr>
          <w:rFonts w:ascii="Times New Roman" w:hAnsi="Times New Roman" w:cs="Times New Roman"/>
          <w:bCs/>
          <w:sz w:val="20"/>
          <w:szCs w:val="20"/>
          <w:lang w:val="en-US"/>
        </w:rPr>
        <w:t>: To explore the role of GPs during transition by analyzing their involvement in the care of various CCs.</w:t>
      </w:r>
    </w:p>
    <w:p w14:paraId="260EE05E" w14:textId="19B0C07A" w:rsidR="009C39D6" w:rsidRPr="009C39D6" w:rsidRDefault="009C39D6" w:rsidP="009C39D6">
      <w:pPr>
        <w:spacing w:after="0"/>
        <w:jc w:val="both"/>
        <w:rPr>
          <w:rFonts w:ascii="Times New Roman" w:hAnsi="Times New Roman" w:cs="Times New Roman"/>
          <w:bCs/>
          <w:sz w:val="20"/>
          <w:szCs w:val="20"/>
          <w:lang w:val="en-US"/>
        </w:rPr>
      </w:pPr>
      <w:r w:rsidRPr="009C39D6">
        <w:rPr>
          <w:rFonts w:ascii="Times New Roman" w:hAnsi="Times New Roman" w:cs="Times New Roman"/>
          <w:bCs/>
          <w:sz w:val="20"/>
          <w:szCs w:val="20"/>
          <w:u w:val="single"/>
          <w:lang w:val="en-US"/>
        </w:rPr>
        <w:t>Methods</w:t>
      </w:r>
      <w:r w:rsidRPr="009C39D6">
        <w:rPr>
          <w:rFonts w:ascii="Times New Roman" w:hAnsi="Times New Roman" w:cs="Times New Roman"/>
          <w:bCs/>
          <w:sz w:val="20"/>
          <w:szCs w:val="20"/>
          <w:lang w:val="en-US"/>
        </w:rPr>
        <w:t xml:space="preserve">: A study involving GPs of 112 AYAs treated in a children’s hospital in Paris for CCs (diabetes mellitus, inflammatory bowel disease, epilepsy, sickle cell disease), transferred to adult care between 2017 and 2018. The study consisted of two parts: 1) </w:t>
      </w:r>
      <w:r w:rsidRPr="009C39D6">
        <w:rPr>
          <w:rFonts w:ascii="Times New Roman" w:hAnsi="Times New Roman" w:cs="Times New Roman"/>
          <w:bCs/>
          <w:sz w:val="20"/>
          <w:szCs w:val="20"/>
          <w:highlight w:val="yellow"/>
          <w:lang w:val="en-US"/>
        </w:rPr>
        <w:t xml:space="preserve">Quantitative analysis combining retrospective data from Electronic Health Records (pathology, comorbidities, social history) </w:t>
      </w:r>
      <w:r w:rsidR="00812A8B">
        <w:rPr>
          <w:rFonts w:ascii="Times New Roman" w:hAnsi="Times New Roman" w:cs="Times New Roman"/>
          <w:bCs/>
          <w:sz w:val="20"/>
          <w:szCs w:val="20"/>
          <w:highlight w:val="yellow"/>
          <w:lang w:val="en-US"/>
        </w:rPr>
        <w:t>and</w:t>
      </w:r>
      <w:r w:rsidRPr="009C39D6">
        <w:rPr>
          <w:rFonts w:ascii="Times New Roman" w:hAnsi="Times New Roman" w:cs="Times New Roman"/>
          <w:bCs/>
          <w:sz w:val="20"/>
          <w:szCs w:val="20"/>
          <w:highlight w:val="yellow"/>
          <w:lang w:val="en-US"/>
        </w:rPr>
        <w:t xml:space="preserve"> a phone survey of GPs (role in transition, factors facilitating their involvement)</w:t>
      </w:r>
      <w:r w:rsidRPr="009C39D6">
        <w:rPr>
          <w:rFonts w:ascii="Times New Roman" w:hAnsi="Times New Roman" w:cs="Times New Roman"/>
          <w:bCs/>
          <w:sz w:val="20"/>
          <w:szCs w:val="20"/>
          <w:lang w:val="en-US"/>
        </w:rPr>
        <w:t>; 2) Qualitative analysis (longer surveys with 27 GPs) exploring their experiences and expectations in communicating with hospitals about transition.</w:t>
      </w:r>
    </w:p>
    <w:p w14:paraId="23C24D71" w14:textId="26F1E1A3" w:rsidR="009C39D6" w:rsidRPr="009C39D6" w:rsidRDefault="009C39D6" w:rsidP="009C39D6">
      <w:pPr>
        <w:spacing w:after="0"/>
        <w:jc w:val="both"/>
        <w:rPr>
          <w:rFonts w:ascii="Times New Roman" w:hAnsi="Times New Roman" w:cs="Times New Roman"/>
          <w:bCs/>
          <w:sz w:val="20"/>
          <w:szCs w:val="20"/>
          <w:lang w:val="en-US"/>
        </w:rPr>
      </w:pPr>
      <w:r w:rsidRPr="009C39D6">
        <w:rPr>
          <w:rFonts w:ascii="Times New Roman" w:hAnsi="Times New Roman" w:cs="Times New Roman"/>
          <w:bCs/>
          <w:sz w:val="20"/>
          <w:szCs w:val="20"/>
          <w:u w:val="single"/>
          <w:lang w:val="en-US"/>
        </w:rPr>
        <w:t>Results</w:t>
      </w:r>
      <w:r w:rsidRPr="009C39D6">
        <w:rPr>
          <w:rFonts w:ascii="Times New Roman" w:hAnsi="Times New Roman" w:cs="Times New Roman"/>
          <w:bCs/>
          <w:sz w:val="20"/>
          <w:szCs w:val="20"/>
          <w:lang w:val="en-US"/>
        </w:rPr>
        <w:t xml:space="preserve">: Fifty percent of AYAs were registered with a GP during </w:t>
      </w:r>
      <w:r w:rsidR="00812A8B">
        <w:rPr>
          <w:rFonts w:ascii="Times New Roman" w:hAnsi="Times New Roman" w:cs="Times New Roman"/>
          <w:bCs/>
          <w:sz w:val="20"/>
          <w:szCs w:val="20"/>
          <w:lang w:val="en-US"/>
        </w:rPr>
        <w:t xml:space="preserve">the </w:t>
      </w:r>
      <w:r w:rsidRPr="009C39D6">
        <w:rPr>
          <w:rFonts w:ascii="Times New Roman" w:hAnsi="Times New Roman" w:cs="Times New Roman"/>
          <w:bCs/>
          <w:sz w:val="20"/>
          <w:szCs w:val="20"/>
          <w:lang w:val="en-US"/>
        </w:rPr>
        <w:t>transition, and fewer than 20% of GPs were involved in the care of their CC. GPs were more involved in cases of CC instability. According to GPs, their roles included identifying care disruptions, referring to adult services, facilitating coordination, ensuring continuity of care, providing primary care services, and offering psychological support.</w:t>
      </w:r>
    </w:p>
    <w:p w14:paraId="2F491C45" w14:textId="4BBC6819" w:rsidR="009C39D6" w:rsidRDefault="009C39D6" w:rsidP="00343B55">
      <w:pPr>
        <w:spacing w:after="240"/>
        <w:jc w:val="both"/>
        <w:rPr>
          <w:rFonts w:ascii="Times New Roman" w:hAnsi="Times New Roman" w:cs="Times New Roman"/>
          <w:bCs/>
          <w:sz w:val="20"/>
          <w:szCs w:val="20"/>
          <w:lang w:val="en-US"/>
        </w:rPr>
      </w:pPr>
      <w:r w:rsidRPr="009C39D6">
        <w:rPr>
          <w:rFonts w:ascii="Times New Roman" w:hAnsi="Times New Roman" w:cs="Times New Roman"/>
          <w:bCs/>
          <w:sz w:val="20"/>
          <w:szCs w:val="20"/>
          <w:u w:val="single"/>
          <w:lang w:val="en-US"/>
        </w:rPr>
        <w:t>Conclusion</w:t>
      </w:r>
      <w:r w:rsidRPr="009C39D6">
        <w:rPr>
          <w:rFonts w:ascii="Times New Roman" w:hAnsi="Times New Roman" w:cs="Times New Roman"/>
          <w:bCs/>
          <w:sz w:val="20"/>
          <w:szCs w:val="20"/>
          <w:lang w:val="en-US"/>
        </w:rPr>
        <w:t xml:space="preserve">: </w:t>
      </w:r>
      <w:r w:rsidRPr="009C39D6">
        <w:rPr>
          <w:rFonts w:ascii="Times New Roman" w:hAnsi="Times New Roman" w:cs="Times New Roman"/>
          <w:bCs/>
          <w:sz w:val="20"/>
          <w:szCs w:val="20"/>
          <w:highlight w:val="yellow"/>
          <w:lang w:val="en-US"/>
        </w:rPr>
        <w:t xml:space="preserve">Few GPs were involved during </w:t>
      </w:r>
      <w:r w:rsidR="00812A8B">
        <w:rPr>
          <w:rFonts w:ascii="Times New Roman" w:hAnsi="Times New Roman" w:cs="Times New Roman"/>
          <w:bCs/>
          <w:sz w:val="20"/>
          <w:szCs w:val="20"/>
          <w:highlight w:val="yellow"/>
          <w:lang w:val="en-US"/>
        </w:rPr>
        <w:t xml:space="preserve">the </w:t>
      </w:r>
      <w:r w:rsidRPr="009C39D6">
        <w:rPr>
          <w:rFonts w:ascii="Times New Roman" w:hAnsi="Times New Roman" w:cs="Times New Roman"/>
          <w:bCs/>
          <w:sz w:val="20"/>
          <w:szCs w:val="20"/>
          <w:highlight w:val="yellow"/>
          <w:lang w:val="en-US"/>
        </w:rPr>
        <w:t>transition; however, most considered their involvement essential for its success. To improve transitional care, it is crucial to inform and actively involve GPs.</w:t>
      </w:r>
      <w:r w:rsidRPr="009C39D6">
        <w:rPr>
          <w:rFonts w:ascii="Times New Roman" w:hAnsi="Times New Roman" w:cs="Times New Roman"/>
          <w:bCs/>
          <w:sz w:val="20"/>
          <w:szCs w:val="20"/>
          <w:lang w:val="en-US"/>
        </w:rPr>
        <w:t xml:space="preserve"> These results suggest the need to improve cooperation between hospitals and GPs</w:t>
      </w:r>
      <w:r w:rsidR="008731E2">
        <w:rPr>
          <w:rFonts w:ascii="Times New Roman" w:hAnsi="Times New Roman" w:cs="Times New Roman"/>
          <w:bCs/>
          <w:sz w:val="20"/>
          <w:szCs w:val="20"/>
          <w:lang w:val="en-US"/>
        </w:rPr>
        <w:t>.</w:t>
      </w:r>
    </w:p>
    <w:p w14:paraId="1E6C795D" w14:textId="77777777" w:rsidR="00F34418" w:rsidRPr="00343B55" w:rsidRDefault="00F34418" w:rsidP="00F34418">
      <w:pPr>
        <w:spacing w:before="240" w:after="0" w:line="240" w:lineRule="auto"/>
        <w:jc w:val="both"/>
        <w:rPr>
          <w:rFonts w:ascii="Times New Roman" w:eastAsia="Times New Roman" w:hAnsi="Times New Roman"/>
          <w:sz w:val="20"/>
          <w:szCs w:val="20"/>
          <w:lang w:val="en-US"/>
        </w:rPr>
      </w:pPr>
      <w:r w:rsidRPr="00343B55">
        <w:rPr>
          <w:rStyle w:val="lev"/>
          <w:rFonts w:ascii="Times New Roman" w:eastAsia="Times New Roman" w:hAnsi="Times New Roman"/>
          <w:sz w:val="20"/>
          <w:szCs w:val="20"/>
          <w:lang w:val="en-US"/>
        </w:rPr>
        <w:t>What is known</w:t>
      </w:r>
      <w:r w:rsidRPr="00343B55">
        <w:rPr>
          <w:rFonts w:ascii="Times New Roman" w:eastAsia="Times New Roman" w:hAnsi="Times New Roman"/>
          <w:sz w:val="20"/>
          <w:szCs w:val="20"/>
          <w:lang w:val="en-US"/>
        </w:rPr>
        <w:t>:</w:t>
      </w:r>
    </w:p>
    <w:p w14:paraId="4278A48D" w14:textId="77777777" w:rsidR="00F34418" w:rsidRPr="00343B55" w:rsidRDefault="00F34418" w:rsidP="00F34418">
      <w:pPr>
        <w:pStyle w:val="Paragraphedeliste"/>
        <w:numPr>
          <w:ilvl w:val="0"/>
          <w:numId w:val="4"/>
        </w:numPr>
        <w:spacing w:after="0" w:line="240" w:lineRule="auto"/>
        <w:jc w:val="both"/>
        <w:rPr>
          <w:rFonts w:ascii="Times New Roman" w:hAnsi="Times New Roman"/>
          <w:sz w:val="20"/>
          <w:szCs w:val="20"/>
          <w:lang w:val="en-US"/>
        </w:rPr>
      </w:pPr>
      <w:r w:rsidRPr="00343B55">
        <w:rPr>
          <w:rFonts w:ascii="Times New Roman" w:hAnsi="Times New Roman"/>
          <w:sz w:val="20"/>
          <w:szCs w:val="20"/>
          <w:lang w:val="en-US"/>
        </w:rPr>
        <w:t xml:space="preserve">General practitioners (GPs) have the potential to play a pivotal role in </w:t>
      </w:r>
      <w:r>
        <w:rPr>
          <w:rFonts w:ascii="Times New Roman" w:hAnsi="Times New Roman"/>
          <w:sz w:val="20"/>
          <w:szCs w:val="20"/>
          <w:lang w:val="en-US"/>
        </w:rPr>
        <w:t xml:space="preserve">the </w:t>
      </w:r>
      <w:r w:rsidRPr="00343B55">
        <w:rPr>
          <w:rFonts w:ascii="Times New Roman" w:hAnsi="Times New Roman"/>
          <w:sz w:val="20"/>
          <w:szCs w:val="20"/>
          <w:lang w:val="en-US"/>
        </w:rPr>
        <w:t>transition</w:t>
      </w:r>
      <w:r>
        <w:rPr>
          <w:rFonts w:ascii="Times New Roman" w:hAnsi="Times New Roman"/>
          <w:sz w:val="20"/>
          <w:szCs w:val="20"/>
          <w:lang w:val="en-US"/>
        </w:rPr>
        <w:t xml:space="preserve"> of</w:t>
      </w:r>
      <w:r w:rsidRPr="00343B55">
        <w:rPr>
          <w:rFonts w:ascii="Times New Roman" w:hAnsi="Times New Roman"/>
          <w:sz w:val="20"/>
          <w:szCs w:val="20"/>
          <w:lang w:val="en-US"/>
        </w:rPr>
        <w:t xml:space="preserve"> adolescents and young adults (AYAs) with chronic conditions (CCs) to adult healthcare systems.</w:t>
      </w:r>
    </w:p>
    <w:p w14:paraId="294D7ECE" w14:textId="77777777" w:rsidR="00F34418" w:rsidRPr="00343B55" w:rsidRDefault="00F34418" w:rsidP="00F34418">
      <w:pPr>
        <w:pStyle w:val="Paragraphedeliste"/>
        <w:numPr>
          <w:ilvl w:val="0"/>
          <w:numId w:val="4"/>
        </w:numPr>
        <w:spacing w:after="0" w:line="240" w:lineRule="auto"/>
        <w:jc w:val="both"/>
        <w:rPr>
          <w:rFonts w:ascii="Times New Roman" w:hAnsi="Times New Roman"/>
          <w:sz w:val="20"/>
          <w:szCs w:val="20"/>
          <w:lang w:val="en-US"/>
        </w:rPr>
      </w:pPr>
      <w:r>
        <w:rPr>
          <w:rFonts w:ascii="Times New Roman" w:hAnsi="Times New Roman"/>
          <w:sz w:val="20"/>
          <w:szCs w:val="20"/>
          <w:lang w:val="en-US"/>
        </w:rPr>
        <w:t>Despite this potential</w:t>
      </w:r>
      <w:r w:rsidRPr="00343B55">
        <w:rPr>
          <w:rFonts w:ascii="Times New Roman" w:hAnsi="Times New Roman"/>
          <w:sz w:val="20"/>
          <w:szCs w:val="20"/>
          <w:lang w:val="en-US"/>
        </w:rPr>
        <w:t xml:space="preserve">, GPs are </w:t>
      </w:r>
      <w:r>
        <w:rPr>
          <w:rFonts w:ascii="Times New Roman" w:hAnsi="Times New Roman"/>
          <w:sz w:val="20"/>
          <w:szCs w:val="20"/>
          <w:lang w:val="en-US"/>
        </w:rPr>
        <w:t>rarely</w:t>
      </w:r>
      <w:r w:rsidRPr="00343B55">
        <w:rPr>
          <w:rFonts w:ascii="Times New Roman" w:hAnsi="Times New Roman"/>
          <w:sz w:val="20"/>
          <w:szCs w:val="20"/>
          <w:lang w:val="en-US"/>
        </w:rPr>
        <w:t xml:space="preserve"> involved in the transition process, </w:t>
      </w:r>
      <w:r>
        <w:rPr>
          <w:rFonts w:ascii="Times New Roman" w:hAnsi="Times New Roman"/>
          <w:sz w:val="20"/>
          <w:szCs w:val="20"/>
          <w:lang w:val="en-US"/>
        </w:rPr>
        <w:t>leading</w:t>
      </w:r>
      <w:r w:rsidRPr="00343B55">
        <w:rPr>
          <w:rFonts w:ascii="Times New Roman" w:hAnsi="Times New Roman"/>
          <w:sz w:val="20"/>
          <w:szCs w:val="20"/>
          <w:lang w:val="en-US"/>
        </w:rPr>
        <w:t xml:space="preserve"> to unsuccessful transitions, </w:t>
      </w:r>
      <w:r>
        <w:rPr>
          <w:rFonts w:ascii="Times New Roman" w:hAnsi="Times New Roman"/>
          <w:sz w:val="20"/>
          <w:szCs w:val="20"/>
          <w:lang w:val="en-US"/>
        </w:rPr>
        <w:t>characterized</w:t>
      </w:r>
      <w:r w:rsidRPr="00343B55">
        <w:rPr>
          <w:rFonts w:ascii="Times New Roman" w:hAnsi="Times New Roman"/>
          <w:sz w:val="20"/>
          <w:szCs w:val="20"/>
          <w:lang w:val="en-US"/>
        </w:rPr>
        <w:t xml:space="preserve"> </w:t>
      </w:r>
      <w:r>
        <w:rPr>
          <w:rFonts w:ascii="Times New Roman" w:hAnsi="Times New Roman"/>
          <w:sz w:val="20"/>
          <w:szCs w:val="20"/>
          <w:lang w:val="en-US"/>
        </w:rPr>
        <w:t>by</w:t>
      </w:r>
      <w:r w:rsidRPr="00343B55">
        <w:rPr>
          <w:rFonts w:ascii="Times New Roman" w:hAnsi="Times New Roman"/>
          <w:sz w:val="20"/>
          <w:szCs w:val="20"/>
          <w:lang w:val="en-US"/>
        </w:rPr>
        <w:t xml:space="preserve"> loss of follow-up and increased morbidity and mortality.</w:t>
      </w:r>
    </w:p>
    <w:p w14:paraId="1D06668D" w14:textId="77777777" w:rsidR="00F34418" w:rsidRPr="00343B55" w:rsidRDefault="00F34418" w:rsidP="00F34418">
      <w:pPr>
        <w:spacing w:after="0" w:line="240" w:lineRule="auto"/>
        <w:jc w:val="both"/>
        <w:rPr>
          <w:rFonts w:ascii="Times New Roman" w:eastAsia="Times New Roman" w:hAnsi="Times New Roman"/>
          <w:sz w:val="20"/>
          <w:szCs w:val="20"/>
          <w:lang w:val="en-US"/>
        </w:rPr>
      </w:pPr>
      <w:r w:rsidRPr="00343B55">
        <w:rPr>
          <w:rStyle w:val="lev"/>
          <w:rFonts w:ascii="Times New Roman" w:eastAsia="Times New Roman" w:hAnsi="Times New Roman"/>
          <w:sz w:val="20"/>
          <w:szCs w:val="20"/>
          <w:lang w:val="en-US"/>
        </w:rPr>
        <w:t>What is new</w:t>
      </w:r>
      <w:r w:rsidRPr="00343B55">
        <w:rPr>
          <w:rFonts w:ascii="Times New Roman" w:eastAsia="Times New Roman" w:hAnsi="Times New Roman"/>
          <w:sz w:val="20"/>
          <w:szCs w:val="20"/>
          <w:lang w:val="en-US"/>
        </w:rPr>
        <w:t>:</w:t>
      </w:r>
    </w:p>
    <w:p w14:paraId="1998EE2A" w14:textId="77777777" w:rsidR="00F34418" w:rsidRDefault="00F34418" w:rsidP="00F34418">
      <w:pPr>
        <w:pStyle w:val="Paragraphedeliste"/>
        <w:numPr>
          <w:ilvl w:val="0"/>
          <w:numId w:val="5"/>
        </w:numPr>
        <w:spacing w:after="0" w:line="240" w:lineRule="auto"/>
        <w:jc w:val="both"/>
        <w:rPr>
          <w:rFonts w:ascii="Times New Roman" w:eastAsia="Times New Roman" w:hAnsi="Times New Roman"/>
          <w:sz w:val="20"/>
          <w:szCs w:val="20"/>
          <w:lang w:val="en-US"/>
        </w:rPr>
      </w:pPr>
      <w:r w:rsidRPr="00343B55">
        <w:rPr>
          <w:rFonts w:ascii="Times New Roman" w:eastAsia="Times New Roman" w:hAnsi="Times New Roman"/>
          <w:sz w:val="20"/>
          <w:szCs w:val="20"/>
          <w:lang w:val="en-US"/>
        </w:rPr>
        <w:t>Few AYAs had their GP involved in managing their CC during the transition period</w:t>
      </w:r>
      <w:r>
        <w:rPr>
          <w:rFonts w:ascii="Times New Roman" w:eastAsia="Times New Roman" w:hAnsi="Times New Roman"/>
          <w:sz w:val="20"/>
          <w:szCs w:val="20"/>
          <w:lang w:val="en-US"/>
        </w:rPr>
        <w:t>.</w:t>
      </w:r>
      <w:r w:rsidRPr="00343B55">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 xml:space="preserve">However, such </w:t>
      </w:r>
      <w:r w:rsidRPr="00343B55">
        <w:rPr>
          <w:rFonts w:ascii="Times New Roman" w:eastAsia="Times New Roman" w:hAnsi="Times New Roman"/>
          <w:sz w:val="20"/>
          <w:szCs w:val="20"/>
          <w:lang w:val="en-US"/>
        </w:rPr>
        <w:t xml:space="preserve">involvements </w:t>
      </w:r>
      <w:r>
        <w:rPr>
          <w:rFonts w:ascii="Times New Roman" w:eastAsia="Times New Roman" w:hAnsi="Times New Roman"/>
          <w:sz w:val="20"/>
          <w:szCs w:val="20"/>
          <w:lang w:val="en-US"/>
        </w:rPr>
        <w:t>were</w:t>
      </w:r>
      <w:r w:rsidRPr="00343B55">
        <w:rPr>
          <w:rFonts w:ascii="Times New Roman" w:eastAsia="Times New Roman" w:hAnsi="Times New Roman"/>
          <w:sz w:val="20"/>
          <w:szCs w:val="20"/>
          <w:lang w:val="en-US"/>
        </w:rPr>
        <w:t xml:space="preserve"> more common </w:t>
      </w:r>
      <w:r>
        <w:rPr>
          <w:rFonts w:ascii="Times New Roman" w:eastAsia="Times New Roman" w:hAnsi="Times New Roman"/>
          <w:sz w:val="20"/>
          <w:szCs w:val="20"/>
          <w:lang w:val="en-US"/>
        </w:rPr>
        <w:t xml:space="preserve">during periods </w:t>
      </w:r>
      <w:r w:rsidRPr="00343B55">
        <w:rPr>
          <w:rFonts w:ascii="Times New Roman" w:eastAsia="Times New Roman" w:hAnsi="Times New Roman"/>
          <w:sz w:val="20"/>
          <w:szCs w:val="20"/>
          <w:lang w:val="en-US"/>
        </w:rPr>
        <w:t>of CC instability, highlighting GPs' capacity to address critical care needs.</w:t>
      </w:r>
    </w:p>
    <w:p w14:paraId="1AF58AEA" w14:textId="77777777" w:rsidR="00F34418" w:rsidRPr="00343B55" w:rsidRDefault="00F34418" w:rsidP="00F34418">
      <w:pPr>
        <w:pStyle w:val="Paragraphedeliste"/>
        <w:numPr>
          <w:ilvl w:val="0"/>
          <w:numId w:val="5"/>
        </w:numPr>
        <w:spacing w:after="0" w:line="240" w:lineRule="auto"/>
        <w:jc w:val="both"/>
        <w:rPr>
          <w:rFonts w:ascii="Times New Roman" w:eastAsia="Times New Roman" w:hAnsi="Times New Roman"/>
          <w:sz w:val="20"/>
          <w:szCs w:val="20"/>
          <w:lang w:val="en-US"/>
        </w:rPr>
      </w:pPr>
      <w:r w:rsidRPr="00343B55">
        <w:rPr>
          <w:rFonts w:ascii="Times New Roman" w:eastAsia="Times New Roman" w:hAnsi="Times New Roman"/>
          <w:sz w:val="20"/>
          <w:szCs w:val="20"/>
          <w:lang w:val="en-US"/>
        </w:rPr>
        <w:lastRenderedPageBreak/>
        <w:t>GPs identified their primary roles as coordination</w:t>
      </w:r>
      <w:r>
        <w:rPr>
          <w:rFonts w:ascii="Times New Roman" w:eastAsia="Times New Roman" w:hAnsi="Times New Roman"/>
          <w:sz w:val="20"/>
          <w:szCs w:val="20"/>
          <w:lang w:val="en-US"/>
        </w:rPr>
        <w:t xml:space="preserve"> care</w:t>
      </w:r>
      <w:r w:rsidRPr="00343B55">
        <w:rPr>
          <w:rFonts w:ascii="Times New Roman" w:eastAsia="Times New Roman" w:hAnsi="Times New Roman"/>
          <w:sz w:val="20"/>
          <w:szCs w:val="20"/>
          <w:lang w:val="en-US"/>
        </w:rPr>
        <w:t>, identifying disruptions, and providing psychological and primary care support.</w:t>
      </w:r>
      <w:r>
        <w:rPr>
          <w:rFonts w:ascii="Times New Roman" w:eastAsia="Times New Roman" w:hAnsi="Times New Roman"/>
          <w:sz w:val="20"/>
          <w:szCs w:val="20"/>
          <w:lang w:val="en-US"/>
        </w:rPr>
        <w:t xml:space="preserve"> Nonetheless, they reported</w:t>
      </w:r>
      <w:r w:rsidRPr="00343B55">
        <w:rPr>
          <w:rFonts w:ascii="Times New Roman" w:eastAsia="Times New Roman" w:hAnsi="Times New Roman"/>
          <w:sz w:val="20"/>
          <w:szCs w:val="20"/>
          <w:lang w:val="en-US"/>
        </w:rPr>
        <w:t xml:space="preserve"> significant communication barriers with hospitals.</w:t>
      </w:r>
    </w:p>
    <w:p w14:paraId="58DEFBB0" w14:textId="77777777" w:rsidR="00F34418" w:rsidRPr="004141B4" w:rsidRDefault="00F34418" w:rsidP="00F34418">
      <w:pPr>
        <w:pStyle w:val="Paragraphedeliste"/>
        <w:numPr>
          <w:ilvl w:val="0"/>
          <w:numId w:val="5"/>
        </w:numPr>
        <w:spacing w:after="0" w:line="240" w:lineRule="auto"/>
        <w:jc w:val="both"/>
        <w:rPr>
          <w:rFonts w:ascii="Times New Roman" w:eastAsia="Times New Roman" w:hAnsi="Times New Roman"/>
          <w:sz w:val="20"/>
          <w:szCs w:val="20"/>
          <w:lang w:val="en-US"/>
        </w:rPr>
      </w:pPr>
      <w:r w:rsidRPr="00343B55">
        <w:rPr>
          <w:rFonts w:ascii="Times New Roman" w:eastAsia="Times New Roman" w:hAnsi="Times New Roman"/>
          <w:sz w:val="20"/>
          <w:szCs w:val="20"/>
          <w:lang w:val="en-US"/>
        </w:rPr>
        <w:t xml:space="preserve">Recommendations to enhance GP involvement include </w:t>
      </w:r>
      <w:r>
        <w:rPr>
          <w:rFonts w:ascii="Times New Roman" w:eastAsia="Times New Roman" w:hAnsi="Times New Roman"/>
          <w:sz w:val="20"/>
          <w:szCs w:val="20"/>
          <w:lang w:val="en-US"/>
        </w:rPr>
        <w:t xml:space="preserve">implementing </w:t>
      </w:r>
      <w:r w:rsidRPr="00343B55">
        <w:rPr>
          <w:rFonts w:ascii="Times New Roman" w:eastAsia="Times New Roman" w:hAnsi="Times New Roman"/>
          <w:sz w:val="20"/>
          <w:szCs w:val="20"/>
          <w:lang w:val="en-US"/>
        </w:rPr>
        <w:t>structured protocols, improv</w:t>
      </w:r>
      <w:r>
        <w:rPr>
          <w:rFonts w:ascii="Times New Roman" w:eastAsia="Times New Roman" w:hAnsi="Times New Roman"/>
          <w:sz w:val="20"/>
          <w:szCs w:val="20"/>
          <w:lang w:val="en-US"/>
        </w:rPr>
        <w:t>ing</w:t>
      </w:r>
      <w:r w:rsidRPr="00343B55">
        <w:rPr>
          <w:rFonts w:ascii="Times New Roman" w:eastAsia="Times New Roman" w:hAnsi="Times New Roman"/>
          <w:sz w:val="20"/>
          <w:szCs w:val="20"/>
          <w:lang w:val="en-US"/>
        </w:rPr>
        <w:t xml:space="preserve"> communication pathways</w:t>
      </w:r>
      <w:r>
        <w:rPr>
          <w:rFonts w:ascii="Times New Roman" w:eastAsia="Times New Roman" w:hAnsi="Times New Roman"/>
          <w:sz w:val="20"/>
          <w:szCs w:val="20"/>
          <w:lang w:val="en-US"/>
        </w:rPr>
        <w:t xml:space="preserve"> between primary and secondary care</w:t>
      </w:r>
      <w:r w:rsidRPr="00343B55">
        <w:rPr>
          <w:rFonts w:ascii="Times New Roman" w:eastAsia="Times New Roman" w:hAnsi="Times New Roman"/>
          <w:sz w:val="20"/>
          <w:szCs w:val="20"/>
          <w:lang w:val="en-US"/>
        </w:rPr>
        <w:t xml:space="preserve">, and </w:t>
      </w:r>
      <w:r>
        <w:rPr>
          <w:rFonts w:ascii="Times New Roman" w:eastAsia="Times New Roman" w:hAnsi="Times New Roman"/>
          <w:sz w:val="20"/>
          <w:szCs w:val="20"/>
          <w:lang w:val="en-US"/>
        </w:rPr>
        <w:t xml:space="preserve">providing </w:t>
      </w:r>
      <w:r w:rsidRPr="00343B55">
        <w:rPr>
          <w:rFonts w:ascii="Times New Roman" w:eastAsia="Times New Roman" w:hAnsi="Times New Roman"/>
          <w:sz w:val="20"/>
          <w:szCs w:val="20"/>
          <w:lang w:val="en-US"/>
        </w:rPr>
        <w:t xml:space="preserve">targeted training to strengthen their role in </w:t>
      </w:r>
      <w:r>
        <w:rPr>
          <w:rFonts w:ascii="Times New Roman" w:eastAsia="Times New Roman" w:hAnsi="Times New Roman"/>
          <w:sz w:val="20"/>
          <w:szCs w:val="20"/>
          <w:lang w:val="en-US"/>
        </w:rPr>
        <w:t xml:space="preserve">facilitating successful </w:t>
      </w:r>
      <w:r w:rsidRPr="00343B55">
        <w:rPr>
          <w:rFonts w:ascii="Times New Roman" w:eastAsia="Times New Roman" w:hAnsi="Times New Roman"/>
          <w:sz w:val="20"/>
          <w:szCs w:val="20"/>
          <w:lang w:val="en-US"/>
        </w:rPr>
        <w:t>transition</w:t>
      </w:r>
      <w:r>
        <w:rPr>
          <w:rFonts w:ascii="Times New Roman" w:eastAsia="Times New Roman" w:hAnsi="Times New Roman"/>
          <w:sz w:val="20"/>
          <w:szCs w:val="20"/>
          <w:lang w:val="en-US"/>
        </w:rPr>
        <w:t>s</w:t>
      </w:r>
      <w:r w:rsidRPr="00343B55">
        <w:rPr>
          <w:rFonts w:ascii="Times New Roman" w:eastAsia="Times New Roman" w:hAnsi="Times New Roman"/>
          <w:sz w:val="20"/>
          <w:szCs w:val="20"/>
          <w:lang w:val="en-US"/>
        </w:rPr>
        <w:t>.</w:t>
      </w:r>
    </w:p>
    <w:p w14:paraId="3A663B2E" w14:textId="365E4287" w:rsidR="003B666D" w:rsidRPr="003B666D" w:rsidRDefault="003B666D" w:rsidP="00D317F0">
      <w:pPr>
        <w:spacing w:before="240" w:after="0" w:line="240" w:lineRule="auto"/>
        <w:jc w:val="both"/>
        <w:rPr>
          <w:rFonts w:ascii="Times New Roman" w:hAnsi="Times New Roman"/>
          <w:sz w:val="20"/>
          <w:szCs w:val="20"/>
          <w:lang w:val="en-US" w:eastAsia="fr-FR"/>
        </w:rPr>
      </w:pPr>
      <w:r w:rsidRPr="00857407">
        <w:rPr>
          <w:rFonts w:ascii="Times New Roman" w:hAnsi="Times New Roman" w:cs="Times New Roman"/>
          <w:b/>
          <w:sz w:val="20"/>
          <w:szCs w:val="20"/>
          <w:lang w:val="en-US"/>
        </w:rPr>
        <w:t>Keywords:</w:t>
      </w:r>
      <w:r w:rsidRPr="00FB6CDC">
        <w:rPr>
          <w:rFonts w:ascii="Times New Roman" w:hAnsi="Times New Roman" w:cs="Times New Roman"/>
          <w:bCs/>
          <w:sz w:val="20"/>
          <w:szCs w:val="20"/>
          <w:lang w:val="en-US"/>
        </w:rPr>
        <w:t xml:space="preserve"> Transition to Adult Care, Chronic </w:t>
      </w:r>
      <w:r>
        <w:rPr>
          <w:rFonts w:ascii="Times New Roman" w:hAnsi="Times New Roman" w:cs="Times New Roman"/>
          <w:bCs/>
          <w:sz w:val="20"/>
          <w:szCs w:val="20"/>
          <w:lang w:val="en-US"/>
        </w:rPr>
        <w:t>Condition</w:t>
      </w:r>
      <w:r w:rsidRPr="00FB6CDC">
        <w:rPr>
          <w:rFonts w:ascii="Times New Roman" w:hAnsi="Times New Roman" w:cs="Times New Roman"/>
          <w:bCs/>
          <w:sz w:val="20"/>
          <w:szCs w:val="20"/>
          <w:lang w:val="en-US"/>
        </w:rPr>
        <w:t>, Adolescent</w:t>
      </w:r>
      <w:r>
        <w:rPr>
          <w:rFonts w:ascii="Times New Roman" w:hAnsi="Times New Roman" w:cs="Times New Roman"/>
          <w:bCs/>
          <w:sz w:val="20"/>
          <w:szCs w:val="20"/>
          <w:lang w:val="en-US"/>
        </w:rPr>
        <w:t xml:space="preserve"> Health</w:t>
      </w:r>
      <w:r w:rsidRPr="00FB6CDC">
        <w:rPr>
          <w:rFonts w:ascii="Times New Roman" w:hAnsi="Times New Roman" w:cs="Times New Roman"/>
          <w:bCs/>
          <w:sz w:val="20"/>
          <w:szCs w:val="20"/>
          <w:lang w:val="en-US"/>
        </w:rPr>
        <w:t>, General Practitioner</w:t>
      </w:r>
      <w:r>
        <w:rPr>
          <w:rFonts w:ascii="Times New Roman" w:hAnsi="Times New Roman" w:cs="Times New Roman"/>
          <w:bCs/>
          <w:sz w:val="20"/>
          <w:szCs w:val="20"/>
          <w:lang w:val="en-US"/>
        </w:rPr>
        <w:t>, Care Coordination, Primary Care</w:t>
      </w:r>
    </w:p>
    <w:p w14:paraId="1BE0042E" w14:textId="5B3925A6" w:rsidR="003B666D" w:rsidRPr="00857407" w:rsidRDefault="003B666D" w:rsidP="00D317F0">
      <w:pPr>
        <w:spacing w:before="240" w:after="0" w:line="240" w:lineRule="auto"/>
        <w:jc w:val="both"/>
        <w:rPr>
          <w:rFonts w:ascii="Times New Roman" w:hAnsi="Times New Roman" w:cs="Times New Roman"/>
          <w:b/>
          <w:sz w:val="20"/>
          <w:szCs w:val="20"/>
          <w:lang w:val="en-US"/>
        </w:rPr>
      </w:pPr>
      <w:r w:rsidRPr="00857407">
        <w:rPr>
          <w:rFonts w:ascii="Times New Roman" w:hAnsi="Times New Roman" w:cs="Times New Roman"/>
          <w:b/>
          <w:sz w:val="20"/>
          <w:szCs w:val="20"/>
          <w:lang w:val="en-US"/>
        </w:rPr>
        <w:t>List of Abbreviations:</w:t>
      </w:r>
    </w:p>
    <w:p w14:paraId="7C0D2103" w14:textId="77777777" w:rsidR="003B666D" w:rsidRDefault="003B666D" w:rsidP="003B666D">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AYA: </w:t>
      </w:r>
      <w:r w:rsidRPr="0082696B">
        <w:rPr>
          <w:rFonts w:ascii="Times New Roman" w:hAnsi="Times New Roman" w:cs="Times New Roman"/>
          <w:bCs/>
          <w:sz w:val="20"/>
          <w:szCs w:val="20"/>
          <w:lang w:val="en-US"/>
        </w:rPr>
        <w:t>Adolescent and Young Adult</w:t>
      </w:r>
    </w:p>
    <w:p w14:paraId="1EB87B29" w14:textId="77777777" w:rsidR="003B666D" w:rsidRDefault="003B666D" w:rsidP="003B666D">
      <w:pPr>
        <w:spacing w:after="0" w:line="240" w:lineRule="auto"/>
        <w:jc w:val="both"/>
        <w:rPr>
          <w:rFonts w:ascii="Times New Roman" w:hAnsi="Times New Roman" w:cs="Times New Roman"/>
          <w:bCs/>
          <w:sz w:val="20"/>
          <w:szCs w:val="20"/>
          <w:lang w:val="en-US"/>
        </w:rPr>
      </w:pPr>
      <w:r w:rsidRPr="0082696B">
        <w:rPr>
          <w:rFonts w:ascii="Times New Roman" w:hAnsi="Times New Roman" w:cs="Times New Roman"/>
          <w:bCs/>
          <w:sz w:val="20"/>
          <w:szCs w:val="20"/>
          <w:lang w:val="en-US"/>
        </w:rPr>
        <w:t>A-GP</w:t>
      </w:r>
      <w:r>
        <w:rPr>
          <w:rFonts w:ascii="Times New Roman" w:hAnsi="Times New Roman" w:cs="Times New Roman"/>
          <w:bCs/>
          <w:sz w:val="20"/>
          <w:szCs w:val="20"/>
          <w:lang w:val="en-US"/>
        </w:rPr>
        <w:t xml:space="preserve">: </w:t>
      </w:r>
      <w:r w:rsidRPr="0082696B">
        <w:rPr>
          <w:rFonts w:ascii="Times New Roman" w:hAnsi="Times New Roman" w:cs="Times New Roman"/>
          <w:bCs/>
          <w:sz w:val="20"/>
          <w:szCs w:val="20"/>
          <w:lang w:val="en-US"/>
        </w:rPr>
        <w:t>Attending GP</w:t>
      </w:r>
    </w:p>
    <w:p w14:paraId="26598C2B" w14:textId="77777777" w:rsidR="003B666D" w:rsidRDefault="003B666D" w:rsidP="003B666D">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CC: </w:t>
      </w:r>
      <w:r w:rsidRPr="0082696B">
        <w:rPr>
          <w:rFonts w:ascii="Times New Roman" w:hAnsi="Times New Roman" w:cs="Times New Roman"/>
          <w:bCs/>
          <w:sz w:val="20"/>
          <w:szCs w:val="20"/>
          <w:lang w:val="en-US"/>
        </w:rPr>
        <w:t>Chronic Condition</w:t>
      </w:r>
    </w:p>
    <w:p w14:paraId="546310E8" w14:textId="77777777" w:rsidR="003B666D" w:rsidRDefault="003B666D" w:rsidP="003B666D">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GP: </w:t>
      </w:r>
      <w:r w:rsidRPr="0082696B">
        <w:rPr>
          <w:rFonts w:ascii="Times New Roman" w:hAnsi="Times New Roman" w:cs="Times New Roman"/>
          <w:bCs/>
          <w:sz w:val="20"/>
          <w:szCs w:val="20"/>
          <w:lang w:val="en-US"/>
        </w:rPr>
        <w:t>General practitioner</w:t>
      </w:r>
    </w:p>
    <w:p w14:paraId="04E8F721" w14:textId="77777777" w:rsidR="00D317F0" w:rsidRDefault="003B666D" w:rsidP="00D317F0">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GPOR: </w:t>
      </w:r>
      <w:r w:rsidRPr="0082696B">
        <w:rPr>
          <w:rFonts w:ascii="Times New Roman" w:hAnsi="Times New Roman" w:cs="Times New Roman"/>
          <w:bCs/>
          <w:sz w:val="20"/>
          <w:szCs w:val="20"/>
          <w:lang w:val="en-US"/>
        </w:rPr>
        <w:t>GP of reference</w:t>
      </w:r>
    </w:p>
    <w:p w14:paraId="655AEFBF" w14:textId="4CA584EB" w:rsidR="00D317F0" w:rsidRPr="00D317F0" w:rsidRDefault="00D317F0" w:rsidP="00D317F0">
      <w:pPr>
        <w:spacing w:before="240" w:after="0" w:line="240" w:lineRule="auto"/>
        <w:jc w:val="both"/>
        <w:rPr>
          <w:rFonts w:ascii="Times New Roman" w:hAnsi="Times New Roman" w:cs="Times New Roman"/>
          <w:bCs/>
          <w:sz w:val="20"/>
          <w:szCs w:val="20"/>
          <w:lang w:val="en-US"/>
        </w:rPr>
      </w:pPr>
      <w:r w:rsidRPr="009F5EAF">
        <w:rPr>
          <w:rFonts w:ascii="Times New Roman" w:hAnsi="Times New Roman" w:cs="Times New Roman"/>
          <w:b/>
          <w:sz w:val="20"/>
          <w:szCs w:val="20"/>
          <w:lang w:val="en-US"/>
        </w:rPr>
        <w:t>INTRODUCTION</w:t>
      </w:r>
    </w:p>
    <w:p w14:paraId="6CAC5C7C" w14:textId="2BBE7677" w:rsidR="00D317F0" w:rsidRPr="00515571" w:rsidRDefault="00D317F0" w:rsidP="00D317F0">
      <w:pPr>
        <w:spacing w:after="120"/>
        <w:jc w:val="both"/>
        <w:rPr>
          <w:rFonts w:ascii="Times New Roman" w:hAnsi="Times New Roman" w:cs="Times New Roman"/>
          <w:i/>
          <w:iCs/>
          <w:sz w:val="20"/>
          <w:szCs w:val="20"/>
          <w:lang w:val="en-US"/>
        </w:rPr>
      </w:pPr>
      <w:r w:rsidRPr="007E08C1">
        <w:rPr>
          <w:rFonts w:ascii="Times New Roman" w:hAnsi="Times New Roman" w:cs="Times New Roman"/>
          <w:sz w:val="20"/>
          <w:szCs w:val="20"/>
          <w:lang w:val="en-US"/>
        </w:rPr>
        <w:t>The concept of transition emerged in the 1990s with the improvement in survival of adolescents</w:t>
      </w:r>
      <w:r>
        <w:rPr>
          <w:rFonts w:ascii="Times New Roman" w:hAnsi="Times New Roman" w:cs="Times New Roman"/>
          <w:sz w:val="20"/>
          <w:szCs w:val="20"/>
          <w:lang w:val="en-US"/>
        </w:rPr>
        <w:t xml:space="preserve"> and </w:t>
      </w:r>
      <w:r w:rsidRPr="007E08C1">
        <w:rPr>
          <w:rFonts w:ascii="Times New Roman" w:hAnsi="Times New Roman" w:cs="Times New Roman"/>
          <w:sz w:val="20"/>
          <w:szCs w:val="20"/>
          <w:lang w:val="en-US"/>
        </w:rPr>
        <w:t>young adults (AYA) with chronic</w:t>
      </w:r>
      <w:r>
        <w:rPr>
          <w:rFonts w:ascii="Times New Roman" w:hAnsi="Times New Roman" w:cs="Times New Roman"/>
          <w:sz w:val="20"/>
          <w:szCs w:val="20"/>
          <w:lang w:val="en-US"/>
        </w:rPr>
        <w:t xml:space="preserve"> conditions (CCs)</w:t>
      </w:r>
      <w:r w:rsidRPr="007E08C1">
        <w:rPr>
          <w:rFonts w:ascii="Times New Roman" w:hAnsi="Times New Roman" w:cs="Times New Roman"/>
          <w:sz w:val="20"/>
          <w:szCs w:val="20"/>
          <w:lang w:val="en-US"/>
        </w:rPr>
        <w:t xml:space="preserve">, </w:t>
      </w:r>
      <w:r w:rsidRPr="009F5EAF">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{"citationID":"MkobE8OM","properties":{"formattedCitation":"[1\\uc0\\u8211{}3]","plainCitation":"[1–3]","noteIndex":0},"citationItems":[{"id":303,"uris":["http://zotero.org/users/6853045/items/TBYXS2U9"],"itemData":{"id":303,"type":"article-journal","container-title":"The Journal of adolescent health : official publication of the Society for Adolescent Medicine","DOI":"10.1016/1054-139X(95)00073-2","ISSN":"1054-139X","issue":"1","journalAbbreviation":"J Adolesc Health","language":"eng","note":"publisher-place: United States\nPMID: 7578159","page":"3-5","title":"Transition to adult health care: setting the stage.","volume":"17","author":[{"family":"Blum","given":"R. W."}],"issued":{"date-parts":[["1995",7]]}}},{"id":304,"uris":["http://zotero.org/users/6853045/items/S8QP5VQG"],"itemData":{"id":304,"type":"article-journal","abstract":"OBJECTIVES: To estimate the proportion of children who die with chronic conditions and examine time trends in childhood deaths involving chronic  conditions. DESIGN: Retrospective population-based death cohort study using  linked death certificates and hospital discharge records. SETTING: England,  Scotland and Wales. PARTICIPANTS: All resident children who died aged 1-18 years  between 2001 and 2010. PRIMARY AND SECONDARY OUTCOME MEASURES: The primary  outcome was the proportion of children who died with chronic conditions according  to age group and type of chronic condition. The secondary outcome was trends over  time in mortality rates involving chronic conditions per 100,000 children and  trends in the proportion of children who died with chronic conditions. RESULTS:  65.4% of 23,438 children (95% CI 64.8%, 66.0%) died with chronic conditions,  using information from death certificates. This increased to 70.7% (95% CI 70.1%  to 71.3%) if hospital records up to 1 year before death were also included and  was highest (74.8-79.9% depending on age group) among children aged less than  15 years. Using data from death certificates only led to underascertainment of  all types of chronic conditions apart from cancer/blood conditions.  Neurological/sensory conditions were most common (present in 38.5%). The rate of  children dying with a chronic condition has declined since 2001, whereas the  proportion of deaths affected by chronic conditions remained stable. CONCLUSIONS:  The majority of children who died had a chronic condition. Neurological/sensory  conditions were the most prevalent. Linkage between death certificate and  hospital discharge data avoids some of the under-recording of non-cancer  conditions on death certificates, and provides a low-cost, population-based  method for monitoring chronic conditions in children who die.","container-title":"BMJ open","DOI":"10.1136/bmjopen-2014-005331","ISSN":"2044-6055","issue":"8","journalAbbreviation":"BMJ Open","language":"eng","license":"Published by the BMJ Publishing Group Limited. For permission to use (where not already granted under a licence) please go to  http://group.bmj.com/group/rights-licensing/permissions.","note":"publisher-place: England\nPMID: 25085264 \nPMCID: PMC4127921","page":"e005331","title":"Estimating the prevalence of chronic conditions in children who die in England, Scotland and Wales: a data linkage cohort study.","volume":"4","author":[{"family":"Hardelid","given":"Pia"},{"family":"Dattani","given":"Nirupa"},{"family":"Gilbert","given":"Ruth"}],"issued":{"date-parts":[["2014",8,1]]}}},{"id":305,"uris":["http://zotero.org/users/6853045/items/QMPYYA6C"],"itemData":{"id":305,"type":"article-journal","abstract":"Since the early twentieth century, medical and public health innovations have led to dramatic changes in the epidemiology of health conditions among infants,  children, and youth. Infectious diseases have substantially diminished, and  survival rates for children with cancer, congenital heart disease, leukemia, and  other conditions have greatly improved. However, over the past fifty years  chronic health conditions and disabilities among children and youth have steadily  risen, primarily from four classes of common conditions: asthma, obesity, mental  health conditions, and neurodevelopmental disorders. In this article we describe  the epidemiological shift among infants, children, and youth and examine  sociodemographic and other factors contributing to it. We describe how health  systems are responding by reorganizing and innovating. For children with rare  complex conditions, concentrating subspecialty care at regional centers has been  effective. For the much larger numbers of children with common chronic  conditions, primary care providers have expanded diagnosis, treatment, and  management options in promising ways.","container-title":"Health affairs (Project Hope)","DOI":"10.1377/hlthaff.2014.0832","ISSN":"1544-5208 0278-2715","issue":"12","journalAbbreviation":"Health Aff (Millwood)","language":"eng","license":"Project HOPE—The People-to-People Health Foundation, Inc.","note":"publisher-place: United States\nPMID: 25489027","page":"2099-2105","title":"The rise in chronic conditions among infants, children, and youth can be met with continued health system innovations.","volume":"33","author":[{"family":"Perrin","given":"James M."},{"family":"Anderson","given":"L. Elizabeth"},{"family":"Van Cleave","given":"Jeanne"}],"issued":{"date-parts":[["2014",12]]}}}],"schema":"https://github.com/citation-style-language/schema/raw/master/csl-citation.json"} </w:instrText>
      </w:r>
      <w:r w:rsidRPr="009F5EAF">
        <w:rPr>
          <w:rFonts w:ascii="Times New Roman" w:hAnsi="Times New Roman" w:cs="Times New Roman"/>
          <w:sz w:val="20"/>
          <w:szCs w:val="20"/>
          <w:lang w:val="en-US"/>
        </w:rPr>
        <w:fldChar w:fldCharType="separate"/>
      </w:r>
      <w:r w:rsidRPr="00E31EAD">
        <w:rPr>
          <w:rFonts w:ascii="Times New Roman" w:hAnsi="Times New Roman" w:cs="Times New Roman"/>
          <w:sz w:val="20"/>
          <w:szCs w:val="24"/>
          <w:lang w:val="en-US"/>
        </w:rPr>
        <w:t>[1–3]</w:t>
      </w:r>
      <w:r w:rsidRPr="009F5EAF">
        <w:rPr>
          <w:rFonts w:ascii="Times New Roman" w:hAnsi="Times New Roman" w:cs="Times New Roman"/>
          <w:sz w:val="20"/>
          <w:szCs w:val="20"/>
          <w:lang w:val="en-US"/>
        </w:rPr>
        <w:fldChar w:fldCharType="end"/>
      </w:r>
      <w:r w:rsidRPr="009F5EAF">
        <w:rPr>
          <w:rFonts w:ascii="Times New Roman" w:hAnsi="Times New Roman" w:cs="Times New Roman"/>
          <w:sz w:val="20"/>
          <w:szCs w:val="20"/>
          <w:lang w:val="en-US"/>
        </w:rPr>
        <w:t xml:space="preserve">. Defined as </w:t>
      </w:r>
      <w:bookmarkStart w:id="0" w:name="_Hlk140593901"/>
      <w:r>
        <w:rPr>
          <w:rFonts w:ascii="Times New Roman" w:hAnsi="Times New Roman" w:cs="Times New Roman"/>
          <w:i/>
          <w:iCs/>
          <w:sz w:val="20"/>
          <w:szCs w:val="20"/>
          <w:lang w:val="en-US"/>
        </w:rPr>
        <w:t xml:space="preserve">the </w:t>
      </w:r>
      <w:r w:rsidRPr="009F5EAF">
        <w:rPr>
          <w:rFonts w:ascii="Times New Roman" w:hAnsi="Times New Roman" w:cs="Times New Roman"/>
          <w:i/>
          <w:iCs/>
          <w:sz w:val="20"/>
          <w:szCs w:val="20"/>
          <w:lang w:val="en-US"/>
        </w:rPr>
        <w:t>purposeful</w:t>
      </w:r>
      <w:r>
        <w:rPr>
          <w:rFonts w:ascii="Times New Roman" w:hAnsi="Times New Roman" w:cs="Times New Roman"/>
          <w:i/>
          <w:iCs/>
          <w:sz w:val="20"/>
          <w:szCs w:val="20"/>
          <w:lang w:val="en-US"/>
        </w:rPr>
        <w:t>,</w:t>
      </w:r>
      <w:r w:rsidRPr="009F5EAF">
        <w:rPr>
          <w:rFonts w:ascii="Times New Roman" w:hAnsi="Times New Roman" w:cs="Times New Roman"/>
          <w:i/>
          <w:iCs/>
          <w:sz w:val="20"/>
          <w:szCs w:val="20"/>
          <w:lang w:val="en-US"/>
        </w:rPr>
        <w:t xml:space="preserve"> planned movement of </w:t>
      </w:r>
      <w:bookmarkEnd w:id="0"/>
      <w:r w:rsidRPr="009F5EAF">
        <w:rPr>
          <w:rFonts w:ascii="Times New Roman" w:hAnsi="Times New Roman" w:cs="Times New Roman"/>
          <w:i/>
          <w:iCs/>
          <w:sz w:val="20"/>
          <w:szCs w:val="20"/>
          <w:lang w:val="en-US"/>
        </w:rPr>
        <w:t>AYA with chronic physical and medical conditions from child-centered to adult-orientated health care systems</w:t>
      </w:r>
      <w:r>
        <w:rPr>
          <w:rFonts w:ascii="Times New Roman" w:hAnsi="Times New Roman" w:cs="Times New Roman"/>
          <w:i/>
          <w:iCs/>
          <w:sz w:val="20"/>
          <w:szCs w:val="20"/>
          <w:lang w:val="en-US"/>
        </w:rPr>
        <w:t xml:space="preserve"> […], [it helps meet] </w:t>
      </w:r>
      <w:r w:rsidRPr="00693E62">
        <w:rPr>
          <w:rFonts w:ascii="Times New Roman" w:hAnsi="Times New Roman" w:cs="Times New Roman"/>
          <w:i/>
          <w:iCs/>
          <w:sz w:val="20"/>
          <w:szCs w:val="20"/>
          <w:lang w:val="en-US"/>
        </w:rPr>
        <w:t xml:space="preserve">the medical, psychosocial, and educational/vocational needs </w:t>
      </w:r>
      <w:r>
        <w:rPr>
          <w:rFonts w:ascii="Times New Roman" w:hAnsi="Times New Roman" w:cs="Times New Roman"/>
          <w:i/>
          <w:iCs/>
          <w:sz w:val="20"/>
          <w:szCs w:val="20"/>
          <w:lang w:val="en-US"/>
        </w:rPr>
        <w:t>of adolescents</w:t>
      </w:r>
      <w:r>
        <w:rPr>
          <w:rFonts w:ascii="Times New Roman" w:hAnsi="Times New Roman" w:cs="Times New Roman"/>
          <w:i/>
          <w:iCs/>
          <w:sz w:val="20"/>
          <w:szCs w:val="20"/>
          <w:lang w:val="en-US"/>
        </w:rPr>
        <w:fldChar w:fldCharType="begin"/>
      </w:r>
      <w:r>
        <w:rPr>
          <w:rFonts w:ascii="Times New Roman" w:hAnsi="Times New Roman" w:cs="Times New Roman"/>
          <w:i/>
          <w:iCs/>
          <w:sz w:val="20"/>
          <w:szCs w:val="20"/>
          <w:lang w:val="en-US"/>
        </w:rPr>
        <w:instrText xml:space="preserve"> ADDIN ZOTERO_ITEM CSL_CITATION {"citationID":"A6Y0ICm7","properties":{"formattedCitation":"[4]","plainCitation":"[4]","noteIndex":0},"citationItems":[{"id":306,"uris":["http://zotero.org/users/6853045/items/S2RWB2PW"],"itemData":{"id":306,"type":"article-journal","container-title":"The Journal of adolescent health : official publication of the Society for Adolescent Medicine","DOI":"10.1016/1054-139x(93)90143-d","ISSN":"1054-139X","issue":"7","journalAbbreviation":"J Adolesc Health","language":"eng","note":"publisher-place: United States\nPMID: 8312295","page":"570-576","title":"Transition from child-centered to adult health-care systems for adolescents with chronic conditions. A position paper of the Society for Adolescent Medicine.","volume":"14","author":[{"family":"Blum","given":"R. W."},{"family":"Garell","given":"D."},{"family":"Hodgman","given":"C. H."},{"family":"Jorissen","given":"T. W."},{"family":"Okinow","given":"N. A."},{"family":"Orr","given":"D. P."},{"family":"Slap","given":"G. B."}],"issued":{"date-parts":[["1993",11]]}}}],"schema":"https://github.com/citation-style-language/schema/raw/master/csl-citation.json"} </w:instrText>
      </w:r>
      <w:r>
        <w:rPr>
          <w:rFonts w:ascii="Times New Roman" w:hAnsi="Times New Roman" w:cs="Times New Roman"/>
          <w:i/>
          <w:iCs/>
          <w:sz w:val="20"/>
          <w:szCs w:val="20"/>
          <w:lang w:val="en-US"/>
        </w:rPr>
        <w:fldChar w:fldCharType="separate"/>
      </w:r>
      <w:r w:rsidRPr="00693E62">
        <w:rPr>
          <w:rFonts w:ascii="Times New Roman" w:hAnsi="Times New Roman" w:cs="Times New Roman"/>
          <w:sz w:val="20"/>
          <w:lang w:val="en-US"/>
        </w:rPr>
        <w:t>[4]</w:t>
      </w:r>
      <w:r>
        <w:rPr>
          <w:rFonts w:ascii="Times New Roman" w:hAnsi="Times New Roman" w:cs="Times New Roman"/>
          <w:i/>
          <w:iCs/>
          <w:sz w:val="20"/>
          <w:szCs w:val="20"/>
          <w:lang w:val="en-US"/>
        </w:rPr>
        <w:fldChar w:fldCharType="end"/>
      </w:r>
      <w:r>
        <w:rPr>
          <w:rFonts w:ascii="Times New Roman" w:hAnsi="Times New Roman" w:cs="Times New Roman"/>
          <w:sz w:val="20"/>
          <w:szCs w:val="20"/>
          <w:lang w:val="en-US"/>
        </w:rPr>
        <w:t xml:space="preserve">. </w:t>
      </w:r>
      <w:r w:rsidRPr="004D1C31">
        <w:rPr>
          <w:rFonts w:ascii="Times New Roman" w:hAnsi="Times New Roman" w:cs="Times New Roman"/>
          <w:sz w:val="20"/>
          <w:szCs w:val="20"/>
          <w:lang w:val="en-US"/>
        </w:rPr>
        <w:t>Therefore,</w:t>
      </w:r>
      <w:r>
        <w:rPr>
          <w:rFonts w:ascii="Times New Roman" w:hAnsi="Times New Roman" w:cs="Times New Roman"/>
          <w:sz w:val="20"/>
          <w:szCs w:val="20"/>
          <w:lang w:val="en-US"/>
        </w:rPr>
        <w:t xml:space="preserve"> </w:t>
      </w:r>
      <w:r w:rsidRPr="004D1C31">
        <w:rPr>
          <w:rFonts w:ascii="Times New Roman" w:hAnsi="Times New Roman" w:cs="Times New Roman"/>
          <w:sz w:val="20"/>
          <w:szCs w:val="20"/>
          <w:lang w:val="en-US"/>
        </w:rPr>
        <w:t>transition is not limited to the transfer</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{"citationID":"aswzQgYF","properties":{"formattedCitation":"[5]","plainCitation":"[5]","noteIndex":0},"citationItems":[{"id":307,"uris":["http://zotero.org/users/6853045/items/RHLX9752"],"itemData":{"id":307,"type":"article-journal","abstract":"OBJECTIVE: To determine whether there are differences in health perception and health care use among adolescents with psychosomatic symptoms (PS), with chronic  conditions (CCs), and with both conditions compared with healthy controls.  METHODS: By using the SMASH02 database, 4 groups were created: youths with PS but  no CCs (N = 1010); youths with CCs but no PS (N = 497); youths with both  psychosomatic symptoms and chronic conditions (PSCC, N = 213); and youths with  neither PS nor CC (control, N = 5709). We used χ(2) tests and analysis of  variance to compare each variable between the 4 groups. In a second step, all  health and health care use variables were included in a multinomial regression  analysis controlling for significant (p &lt; .05) background variables and using the  control group as the reference. RESULTS: Overall, PS and PSCC youths were  significantly more likely to rate their health as poor, to be depressed, and to  have consulted several times their primary health care provider or a mental  health professional than their healthy peers. With the exception of being  depressed, PSCC adolescents reported worse health perception and higher health  care use than CC and PS. CONCLUSIONS: Although PS youths do not define PS as a  CC, it should be considered as one. Moreover, having PS represents an additional  burden to chronically ill adolescents. Health professionals dealing with  adolescents must be aware of the deleterious health effects that PS can have on  adolescents and have this diagnosis in mind to better target the treatment and  improve their management.","container-title":"Journal of developmental and behavioral pediatrics : JDBP","DOI":"10.1097/DBP.0b013e3181fa5727","ISSN":"1536-7312 0196-206X","issue":"4","journalAbbreviation":"J Dev Behav Pediatr","language":"eng","note":"publisher-place: United States\nPMID: 21502872","page":"328-331","title":"Extra burden of psychosomatic complaints among adolescents suffering from chronic conditions.","volume":"32","author":[{"family":"Surís","given":"Joan-Carles"},{"family":"Bélanger","given":"Richard E."},{"family":"Ambresin","given":"Anne-Emmanuelle"},{"family":"Chabloz","given":"Jeanne Marie"},{"family":"Michaud","given":"Pierre-André"}],"issued":{"date-parts":[["2011",5]]}}}],"schema":"https://github.com/citation-style-language/schema/raw/master/csl-citation.json"} </w:instrText>
      </w:r>
      <w:r>
        <w:rPr>
          <w:rFonts w:ascii="Times New Roman" w:hAnsi="Times New Roman" w:cs="Times New Roman"/>
          <w:sz w:val="20"/>
          <w:szCs w:val="20"/>
          <w:lang w:val="en-US"/>
        </w:rPr>
        <w:fldChar w:fldCharType="separate"/>
      </w:r>
      <w:r w:rsidRPr="004D1C31">
        <w:rPr>
          <w:rFonts w:ascii="Times New Roman" w:hAnsi="Times New Roman" w:cs="Times New Roman"/>
          <w:sz w:val="20"/>
          <w:lang w:val="en-US"/>
        </w:rPr>
        <w:t>[5]</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Pr="004D1C31">
        <w:rPr>
          <w:rFonts w:ascii="Times New Roman" w:hAnsi="Times New Roman" w:cs="Times New Roman"/>
          <w:sz w:val="20"/>
          <w:szCs w:val="20"/>
          <w:lang w:val="en-US"/>
        </w:rPr>
        <w:t>This delicate period often leads to a loss of follow-up for AYA</w:t>
      </w:r>
      <w:r w:rsidR="00803E67">
        <w:rPr>
          <w:rFonts w:ascii="Times New Roman" w:hAnsi="Times New Roman" w:cs="Times New Roman"/>
          <w:sz w:val="20"/>
          <w:szCs w:val="20"/>
          <w:lang w:val="en-US"/>
        </w:rPr>
        <w:t>s</w:t>
      </w:r>
      <w:r w:rsidRPr="004D1C31">
        <w:rPr>
          <w:rFonts w:ascii="Times New Roman" w:hAnsi="Times New Roman" w:cs="Times New Roman"/>
          <w:sz w:val="20"/>
          <w:szCs w:val="20"/>
          <w:lang w:val="en-US"/>
        </w:rPr>
        <w:t>, who do not re-establish contact with the adult health care system until acute decompensation occurs</w:t>
      </w:r>
      <w:r w:rsidRPr="009F5EAF">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{"citationID":"QXODVdmF","properties":{"formattedCitation":"[6, 7]","plainCitation":"[6, 7]","noteIndex":0},"citationItems":[{"id":308,"uris":["http://zotero.org/users/6853045/items/TJJPALWB"],"itemData":{"id":308,"type":"article-journal","abstract":"PURPOSE: The purpose of this study was to reach an international consensus to determine what key elements should be part of a transition program and what  indicators could be used to assess its success. METHODS: For this purpose, a  Delphi study including an international panel of 37 experts was carried out. The  study consisted of three rounds, with response rates ranging from 86.5% to 95%.  At each round, experts were asked to assess key elements (defined as the most  important elements for the task) and indicators (defined as quantifiable  characteristics). At each round, panelists were contacted via e-mail explaining  them the tasks to be done and giving them the Web link where to complete the  questionnaire. At Round 3, each key element and indicator was assessed as  essential, very important, important, accessory, or unnecessary. A 70% agreement  was used as cutoff. RESULTS: At Round 3, more than 70% of panelists agreed on six  key elements being essential, with one of them (Assuring a good coordination  between pediatric and adult professionals) reaching an almost complete consensus  (97%). Additionally, 11 more obtained more than 70% agreement when combined with  the Very important category. Among indicators, only one (Patient not lost to  follow-up) was considered almost unanimously (91%) as essential by the panelists  and seven others also reached consensus when the Very important category was  included. CONCLUSIONS: Using these results as a framework to develop guidelines  at local, national, and international levels would allow better assessing and  comparing transition programs.","container-title":"The Journal of adolescent health : official publication of the Society for Adolescent Medicine","DOI":"10.1016/j.jadohealth.2015.02.007","ISSN":"1879-1972 1054-139X","issue":"6","journalAbbreviation":"J Adolesc Health","language":"eng","license":"Copyright © 2015 Society for Adolescent Health and Medicine. Published by Elsevier Inc. All rights reserved.","note":"publisher-place: United States\nPMID: 26003575","page":"612-618","title":"Key elements for, and indicators of, a successful transition: an international Delphi study.","volume":"56","author":[{"family":"Suris","given":"Joan-Carles"},{"family":"Akre","given":"Christina"}],"issued":{"date-parts":[["2015",6]]}}},{"id":323,"uris":["http://zotero.org/users/6853045/items/LJ8PQ9TR"],"itemData":{"id":323,"type":"article-journal","abstract":"BACKGROUND: The last 20 years have seen many attempts to improve transition to adult healthcare for adolescents with chronic disease, but there is currently no  established consensus on generic practices. Our goal was to identify relevant and  pragmatic guidelines for transition practice for each step of this process  (before, during and after transfer), applicable to a wide range of chronic  illnesses and health services, via a participatory approach involving all the key  stakeholders. METHODS: We conducted interviews and a literature review to  elaborate a questionnaire for use in an online 2-round Delphi survey. The survey  panel included 36 French health and social professionals from different care  settings, and young adults and parents with an experience of healthcare  transition related to all types of chronic disease. RESULTS: The survey consensus  identified 19 items on feasibility and relevance criteria, which form the  guidelines. It is composed of five practices to be adopted during preparation in  paediatrics, seven practices in the active phase of transition and seven in adult  care. Two guidelines achieved complete consensus: having a longer consultation  for the first appointment with the adult doctor, and keeping the same adult  doctor throughout follow-up. A further 36 items met the criterion of relevance,  but were deemed unfeasible. CONCLUSIONS: Taking into account all stakeholder  views and the real-world applicability of care practices enabled us to elaborate  consensual guidelines whose implementation requires no additional health service  resources.","container-title":"European journal of public health","DOI":"10.1093/eurpub/cky258","ISSN":"1464-360X 1101-1262","issue":"3","journalAbbreviation":"Eur J Public Health","language":"eng","license":"© The Author(s) 2018. Published by Oxford University Press on behalf of the European Public Health Association. All rights reserved.","note":"publisher-place: England\nPMID: 30535247","page":"442-448","title":"Practical generic guidelines for paediatric-to-adult transition for adolescents with chronic disease.","volume":"29","author":[{"family":"Le Roux","given":"Enora"},{"family":"Mellerio","given":"Hélène"},{"family":"Jacquin","given":"Paul"},{"family":"Bourmaud","given":"Aurélie"},{"family":"Guilmin-Crépon","given":"Sophie"},{"family":"Faye","given":"Albert"},{"family":"Matheron","given":"Sophie"},{"family":"Boulkedid","given":"Rym"},{"family":"Alberti","given":"Corinne"}],"issued":{"date-parts":[["2019",6,1]]}}}],"schema":"https://github.com/citation-style-language/schema/raw/master/csl-citation.json"} </w:instrText>
      </w:r>
      <w:r w:rsidRPr="009F5EAF">
        <w:rPr>
          <w:rFonts w:ascii="Times New Roman" w:hAnsi="Times New Roman" w:cs="Times New Roman"/>
          <w:sz w:val="20"/>
          <w:szCs w:val="20"/>
          <w:lang w:val="en-US"/>
        </w:rPr>
        <w:fldChar w:fldCharType="separate"/>
      </w:r>
      <w:r w:rsidRPr="00980FCE">
        <w:rPr>
          <w:rFonts w:ascii="Times New Roman" w:hAnsi="Times New Roman" w:cs="Times New Roman"/>
          <w:sz w:val="20"/>
          <w:lang w:val="en-US"/>
        </w:rPr>
        <w:t>[6, 7]</w:t>
      </w:r>
      <w:r w:rsidRPr="009F5EAF">
        <w:rPr>
          <w:rFonts w:ascii="Times New Roman" w:hAnsi="Times New Roman" w:cs="Times New Roman"/>
          <w:sz w:val="20"/>
          <w:szCs w:val="20"/>
          <w:lang w:val="en-US"/>
        </w:rPr>
        <w:fldChar w:fldCharType="end"/>
      </w:r>
      <w:r w:rsidRPr="009F5EAF">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7E08C1">
        <w:rPr>
          <w:rFonts w:ascii="Times New Roman" w:hAnsi="Times New Roman" w:cs="Times New Roman"/>
          <w:sz w:val="20"/>
          <w:szCs w:val="20"/>
          <w:lang w:val="en-US"/>
        </w:rPr>
        <w:t>These unsuccessful transitions subsequently have repercussions on the morbidity and mortality of these AYA</w:t>
      </w:r>
      <w:r w:rsidR="00C45341">
        <w:rPr>
          <w:rFonts w:ascii="Times New Roman" w:hAnsi="Times New Roman" w:cs="Times New Roman"/>
          <w:sz w:val="20"/>
          <w:szCs w:val="20"/>
          <w:lang w:val="en-US"/>
        </w:rPr>
        <w:t>s</w:t>
      </w:r>
      <w:r w:rsidRPr="009F5EAF">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{"citationID":"1aYw2Ptk","properties":{"formattedCitation":"[8\\uc0\\u8211{}11]","plainCitation":"[8–11]","noteIndex":0},"citationItems":[{"id":309,"uris":["http://zotero.org/users/6853045/items/MUEMKG4F"],"itemData":{"id":309,"type":"article-journal","abstract":"INTRODUCTION: The number of adolescents with a severe chronic disease has increased in high-income countries due to improvements in the prognosis of  childhood-onset chronic conditions. The transition from childhood to adulthood is  a critical period that may be associated with increased mortality and morbidity.  We aimed to estimate the prevalence of adolescents with a long-term disease (LTD)  in France and assess their mortality and hospitalization risks relative to the  general population. MATERIALS AND METHODS: We extracted a population-based cohort  from the French national health insurance database that included 61,119 subjects  who reached 14 years of age between 2005 and 2014. LTDs are diagnosed by  patients' physicians and then confirmed and registered by a physician of the  national health insurance system. We assessed mortality and hospitalizations  using data of patients who were between 14 and 21 years-old. RESULTS: Among  14-year-old adolescents, 3.30% (95% confidence interval: 3.16-3.44) had a LTD.  Their mortality rate between the ages of 14 and 21 years was 20.9/10,000  person-years (13.7-32.1) versus 1.9 (1.5-2.5) for adolescents without a LTD.  Mortality was higher in males than females in youths without a LTD, but not in  those with a LTD. We found a similar pattern for the risk of hospitalization for  an external cause. The five-year probability of hospitalization was 61.8% among  youths with a LTD versus 42.7% for those without. The rate of planned  hospitalizations sharply fell at 19 years-of-age among youths with a LTD, whereas  the rate of unplanned hospitalizations remained stable. CONCLUSION: The 3% of  youths with a LTD have ten-fold higher mortality than those without and a high  risk of hospitalization. The decrease in the rate of planned hospitalizations at  age 19 among youths with a LTD may indicate differences in medical practice after  transfer to adult care or a break in medical care.","container-title":"PloS one","DOI":"10.1371/journal.pone.0193729","ISSN":"1932-6203","issue":"3","journalAbbreviation":"PLoS One","language":"eng","note":"publisher-place: United States\nPMID: 29534076 \nPMCID: PMC5849314","page":"e0193729","title":"Excess mortality and hospitalizations in transitional-age youths with a long-term disease: A national population-based cohort study.","volume":"13","author":[{"family":"Rachas","given":"Antoine"},{"family":"Tuppin","given":"Philippe"},{"family":"Meyer","given":"Laurence"},{"family":"Falissard","given":"Bruno"},{"family":"Faye","given":"Albert"},{"family":"Mahlaoui","given":"Nizar"},{"family":"La Rochebrochard","given":"Elise","non-dropping-particle":"de"},{"family":"Frank","given":"Marie"},{"family":"Durieux","given":"Pierre"},{"family":"Warszawski","given":"Josiane"}],"issued":{"date-parts":[["2018"]]}}},{"id":330,"uris":["http://zotero.org/users/6853045/items/QK4Z2VAQ"],"itemData":{"id":330,"type":"article-journal","abstract":"BACKGROUND: Children with life-limiting conditions receive specialist paediatric care in childhood, but the transition to adult care during adolescence. There are  concerns about transition, including a lack of continuity in care and that it may  lead to increases in emergency hospital visits. METHODS: A retrospective cohort  was constructed from routinely collected primary and hospital care records for  young people aged 12-23 years in England with (i) life-limiting conditions, (ii)  diabetes or (iii) no long-term conditions. Transition point was estimated from  the data and emergency inpatient admissions and Emergency Department visits per  person-year compared for paediatric and adult care using random intercept Poisson  regressions. RESULTS: Young people with life-limiting conditions had 29% (95% CI:  14-46%) more emergency inpatient admissions and 24% (95% CI: 12-38%) more  Emergency Department visits in adult care than in paediatric care. There were no  significant differences associated with the transition for young people in the  diabetes or no long-term conditions groups. CONCLUSIONS: The transition from  paediatric to adult healthcare is associated with an increase in emergency  hospital visits for young people with life-limiting conditions, but not for young  people with diabetes or no long-term conditions. There may be scope to improve  the transition for young people with life-limiting conditions. IMPACT: There is  evidence for increases in emergency hospital visits when young people with  life-limiting conditions transition to adult healthcare. These changes are not  observed for comparator groups - young people with diabetes and young people with  no known long-term conditions, suggesting they are not due to other transitions  happening at similar ages. Greater sensitivity to changes at transition is  achieved through estimation of the transition point from the data, reducing  misclassification bias.","container-title":"Pediatric research","DOI":"10.1038/s41390-022-01975-3","ISSN":"1530-0447 0031-3998","issue":"5","journalAbbreviation":"Pediatr Res","language":"eng","license":"© 2022. The Author(s).","note":"publisher-place: United States\nPMID: 35152268 \nPMCID: PMC9700517","page":"1458-1469","title":"Adult healthcare is associated with more emergency healthcare for young people with life-limiting conditions.","volume":"92","author":[{"family":"Jarvis","given":"Stuart"},{"family":"Flemming","given":"Kate"},{"family":"Richardson","given":"Gerry"},{"family":"Fraser","given":"Lorna"}],"issued":{"date-parts":[["2022",11]]}}},{"id":328,"uris":["http://zotero.org/users/6853045/items/PBFTAWPI"],"itemData":{"id":328,"type":"article-journal","abstract":"OBJECTIVE: Hospital admissions for ambulatory care-sensitive conditions (also called avoidable hospitalizations) are a measure of quality and access to  outpatient care. We determined if young patients with end-stage renal disease  (ESRD) are at increased risk of avoidable hospitalizations. METHODS: A national  organ failure registry was used to identify patients with ESRD onset at &lt;22 years  of age between April 1, 2001, and March 31, 2010, who had received care in an  adult care facility after age 15 years. The cohort was linked to the national  hospitalizations database to identify avoidable hospitalizations relevant for  young patients with ESRD. Patients were followed up until death, loss to  follow-up, or study end. Two groups were studied: (1) patients transferred from  pediatric to adult care; and (2) patients receiving ESRD care exclusively in  adult centers. We determined the association between overall and avoidable  hospitalization rates and both age and transfer status by using Poisson  regression models. RESULTS: Our cohort included 349 patients. Among the 92  (26.4%) patients transferred to adult care during the study period, avoidable  hospitalization rates were highest during the period 3 to &lt;4 years after transfer  (rate ratio: 3.19 [95% confidence interval: 1.42-7.18]) compared with the last  year in pediatric care. Among the 257 (73.6%) patients who received ESRD care  exclusively in adult centers, avoidable hospitalization rates increased with age.  CONCLUSIONS: Among those who were transferred to adult care, avoidable  hospitalization rates increased after transfer. Avoidable hospitalization rates  increased with age in ESRD patients who received care in adult centers. Young  patients with ESRD are at increased risk of avoidable hospitalizations.","container-title":"Pediatrics","DOI":"10.1542/peds.2013-2345","ISSN":"1098-4275 0031-4005","issue":"4","journalAbbreviation":"Pediatrics","language":"eng","note":"publisher-place: United States\nPMID: 24664091","page":"e993-1000","title":"Avoidable hospitalizations in youth with kidney failure after transfer to or with only adult care.","volume":"133","author":[{"family":"Samuel","given":"Susan M."},{"family":"Nettel-Aguirre","given":"Alberto"},{"family":"Soo","given":"Andrea"},{"family":"Hemmelgarn","given":"Brenda"},{"family":"Tonelli","given":"Marcello"},{"family":"Foster","given":"Bethany"}],"issued":{"date-parts":[["2014",4]]}}},{"id":329,"uris":["http://zotero.org/users/6853045/items/Z27BKCAU"],"itemData":{"id":329,"type":"article-journal","abstract":"PURPOSE: In the United States, 21 years is a critical age of legal and social transition, with changes in social programs such as public insurance coverage.  Human immunodeficiency virus (HIV)-infected youth have lower adherence to care  and medications and may be at risk of loss to follow-up (LTFU) at this benchmark  age. We evaluated LTFU after the 22nd birthday for HIV-infected youth engaged in  care. LTFU was defined as having no primary HIV visits in the year after the 22nd  birthday. METHODS: All HIV-infected 21-year-olds engaged in care (2002-2011) at  the HIV Research Network clinics were included. We assessed the proportion LTFU  and used multivariable logistic regression to evaluate demographic and clinical  characteristics associated with LTFU after the 22nd birthday. We compared LTFU at  other age transitions during the adolescent/young adult years. RESULTS: Six  hundred forty-seven 21-year-olds were engaged in care; 91 (19.8%) were LTFU in  the year after turning 22 years. Receiving care at an adult versus pediatric HIV  clinic (adjusted odds ratio [AOR], 2.91; 95% confidence interval [CI],  1.42-5.93), having fewer than four primary HIV visits/year (AOR, 2.72; 95% CI,  1.67-4.42), and antiretroviral therapy prescription (AOR, .50; 95% CI, .41-.60)  were independently associated with LTFU. LTFU was prevalent at each age  transition, with factors associated with LTFU similar to that identified for  21-year-olds. CONCLUSIONS: Although 19.8% of 21-year-olds at the HIV Research  Network sites were LTFU after their 22nd birthday, significant proportions of  youth of all ages were LTFU. Fewer than four primary HIV care visits/year,  receiving care at adult clinics and not prescribed antiretroviral therapy, were  associated with LTFU and may inform targeted interventions to reduce LTFU for  these vulnerable patients.","container-title":"The Journal of adolescent health : official publication of the Society for Adolescent Medicine","DOI":"10.1016/j.jadohealth.2014.11.009","ISSN":"1879-1972 1054-139X","issue":"3","journalAbbreviation":"J Adolesc Health","language":"eng","license":"Copyright © 2015 Society for Adolescent Health and Medicine. All rights reserved.","note":"publisher-place: United States\nPMID: 25703322 \nPMCID: PMC4378241","page":"345-351","title":"Aging and loss to follow-up among youth living with human immunodeficiency virus in the HIV Research Network.","volume":"56","author":[{"family":"Agwu","given":"Allison L."},{"family":"Lee","given":"Lana"},{"family":"Fleishman","given":"John A."},{"family":"Voss","given":"Cindy"},{"family":"Yehia","given":"Baligh R."},{"family":"Althoff","given":"Keri N."},{"family":"Rutstein","given":"Richard"},{"family":"Mathews","given":"W. Christopher"},{"family":"Nijhawan","given":"Ank"},{"family":"Moore","given":"Richard D."},{"family":"Gaur","given":"Aditya H."},{"family":"Gebo","given":"Kelly A."}],"issued":{"date-parts":[["2015",3]]}}}],"schema":"https://github.com/citation-style-language/schema/raw/master/csl-citation.json"} </w:instrText>
      </w:r>
      <w:r w:rsidRPr="009F5EAF">
        <w:rPr>
          <w:rFonts w:ascii="Times New Roman" w:hAnsi="Times New Roman" w:cs="Times New Roman"/>
          <w:sz w:val="20"/>
          <w:szCs w:val="20"/>
          <w:lang w:val="en-US"/>
        </w:rPr>
        <w:fldChar w:fldCharType="separate"/>
      </w:r>
      <w:r w:rsidRPr="004D1C31">
        <w:rPr>
          <w:rFonts w:ascii="Times New Roman" w:hAnsi="Times New Roman" w:cs="Times New Roman"/>
          <w:sz w:val="20"/>
          <w:szCs w:val="24"/>
          <w:lang w:val="en-US"/>
        </w:rPr>
        <w:t>[8–11]</w:t>
      </w:r>
      <w:r w:rsidRPr="009F5EAF">
        <w:rPr>
          <w:rFonts w:ascii="Times New Roman" w:hAnsi="Times New Roman" w:cs="Times New Roman"/>
          <w:sz w:val="20"/>
          <w:szCs w:val="20"/>
          <w:lang w:val="en-US"/>
        </w:rPr>
        <w:fldChar w:fldCharType="end"/>
      </w:r>
      <w:r w:rsidRPr="009F5EAF">
        <w:rPr>
          <w:rFonts w:ascii="Times New Roman" w:hAnsi="Times New Roman" w:cs="Times New Roman"/>
          <w:sz w:val="20"/>
          <w:szCs w:val="20"/>
          <w:lang w:val="en-US"/>
        </w:rPr>
        <w:t>.</w:t>
      </w:r>
    </w:p>
    <w:p w14:paraId="2B64E2AE" w14:textId="281A3701" w:rsidR="00D317F0" w:rsidRDefault="00D317F0" w:rsidP="00D317F0">
      <w:pPr>
        <w:spacing w:after="120"/>
        <w:jc w:val="both"/>
        <w:rPr>
          <w:rFonts w:ascii="Times New Roman" w:hAnsi="Times New Roman" w:cs="Times New Roman"/>
          <w:sz w:val="20"/>
          <w:szCs w:val="20"/>
          <w:lang w:val="en-US"/>
        </w:rPr>
      </w:pPr>
      <w:r w:rsidRPr="00C149AE">
        <w:rPr>
          <w:rFonts w:ascii="Times New Roman" w:hAnsi="Times New Roman" w:cs="Times New Roman"/>
          <w:sz w:val="20"/>
          <w:szCs w:val="20"/>
          <w:lang w:val="en-US"/>
        </w:rPr>
        <w:t xml:space="preserve">Even if primary care physicians can play an important role in the </w:t>
      </w:r>
      <w:r>
        <w:rPr>
          <w:rFonts w:ascii="Times New Roman" w:hAnsi="Times New Roman" w:cs="Times New Roman"/>
          <w:sz w:val="20"/>
          <w:szCs w:val="20"/>
          <w:lang w:val="en-US"/>
        </w:rPr>
        <w:t>health care</w:t>
      </w:r>
      <w:r w:rsidRPr="00C149AE">
        <w:rPr>
          <w:rFonts w:ascii="Times New Roman" w:hAnsi="Times New Roman" w:cs="Times New Roman"/>
          <w:sz w:val="20"/>
          <w:szCs w:val="20"/>
          <w:lang w:val="en-US"/>
        </w:rPr>
        <w:t xml:space="preserve"> of AYA</w:t>
      </w:r>
      <w:r w:rsidR="00682D39">
        <w:rPr>
          <w:rFonts w:ascii="Times New Roman" w:hAnsi="Times New Roman" w:cs="Times New Roman"/>
          <w:sz w:val="20"/>
          <w:szCs w:val="20"/>
          <w:lang w:val="en-US"/>
        </w:rPr>
        <w:t>s</w:t>
      </w:r>
      <w:r w:rsidRPr="00C149AE">
        <w:rPr>
          <w:rFonts w:ascii="Times New Roman" w:hAnsi="Times New Roman" w:cs="Times New Roman"/>
          <w:sz w:val="20"/>
          <w:szCs w:val="20"/>
          <w:lang w:val="en-US"/>
        </w:rPr>
        <w:t>, they are rarely involved during the transition to adulthood, and their role is rarely mentioned in the literature, which focuses merely on specialist-to-specialist transition</w:t>
      </w:r>
      <w:r>
        <w:rPr>
          <w:rFonts w:ascii="Times New Roman" w:hAnsi="Times New Roman" w:cs="Times New Roman"/>
          <w:sz w:val="20"/>
          <w:szCs w:val="20"/>
          <w:lang w:val="en-US"/>
        </w:rPr>
        <w:fldChar w:fldCharType="begin"/>
      </w:r>
      <w:r w:rsidR="00E63083">
        <w:rPr>
          <w:rFonts w:ascii="Times New Roman" w:hAnsi="Times New Roman" w:cs="Times New Roman"/>
          <w:sz w:val="20"/>
          <w:szCs w:val="20"/>
          <w:lang w:val="en-US"/>
        </w:rPr>
        <w:instrText xml:space="preserve"> ADDIN ZOTERO_ITEM CSL_CITATION {"citationID":"K5TSQajD","properties":{"formattedCitation":"[7, 12\\uc0\\u8211{}15]","plainCitation":"[7, 12–15]","noteIndex":0},"citationItems":[{"id":323,"uris":["http://zotero.org/users/6853045/items/LJ8PQ9TR"],"itemData":{"id":323,"type":"article-journal","abstract":"BACKGROUND: The last 20 years have seen many attempts to improve transition to adult healthcare for adolescents with chronic disease, but there is currently no  established consensus on generic practices. Our goal was to identify relevant and  pragmatic guidelines for transition practice for each step of this process  (before, during and after transfer), applicable to a wide range of chronic  illnesses and health services, via a participatory approach involving all the key  stakeholders. METHODS: We conducted interviews and a literature review to  elaborate a questionnaire for use in an online 2-round Delphi survey. The survey  panel included 36 French health and social professionals from different care  settings, and young adults and parents with an experience of healthcare  transition related to all types of chronic disease. RESULTS: The survey consensus  identified 19 items on feasibility and relevance criteria, which form the  guidelines. It is composed of five practices to be adopted during preparation in  paediatrics, seven practices in the active phase of transition and seven in adult  care. Two guidelines achieved complete consensus: having a longer consultation  for the first appointment with the adult doctor, and keeping the same adult  doctor throughout follow-up. A further 36 items met the criterion of relevance,  but were deemed unfeasible. CONCLUSIONS: Taking into account all stakeholder  views and the real-world applicability of care practices enabled us to elaborate  consensual guidelines whose implementation requires no additional health service  resources.","container-title":"European journal of public health","DOI":"10.1093/eurpub/cky258","ISSN":"1464-360X 1101-1262","issue":"3","journalAbbreviation":"Eur J Public Health","language":"eng","license":"© The Author(s) 2018. Published by Oxford University Press on behalf of the European Public Health Association. All rights reserved.","note":"publisher-place: England\nPMID: 30535247","page":"442-448","title":"Practical generic guidelines for paediatric-to-adult transition for adolescents with chronic disease.","volume":"29","author":[{"family":"Le Roux","given":"Enora"},{"family":"Mellerio","given":"Hélène"},{"family":"Jacquin","given":"Paul"},{"family":"Bourmaud","given":"Aurélie"},{"family":"Guilmin-Crépon","given":"Sophie"},{"family":"Faye","given":"Albert"},{"family":"Matheron","given":"Sophie"},{"family":"Boulkedid","given":"Rym"},{"family":"Alberti","given":"Corinne"}],"issued":{"date-parts":[["2019",6,1]]}}},{"id":310,"uris":["http://zotero.org/users/6853045/items/U3W9PJ4W"],"itemData":{"id":310,"type":"article-journal","abstract":"This policy statement represents a consensus on the critical first steps that the medical profession needs to take to realize the vision of a family-centered,  continuous, comprehensive, coordinated, compassionate, and culturally competent  health care system that is as developmentally appropriate as it is technically  sophisticated. The goal of transition in health care for young adults with  special health care needs is to maximize lifelong functioning and potential  through the provision of high-quality, developmentally appropriate health care  services that continue uninterrupted as the individual moves from adolescence to  adulthood. This consensus document has now been approved as policy by the boards  of the American Academy of Pediatrics, the American Academy of Family Physicians,  and the American College of Physicians-American Society of Internal Medicine.","container-title":"Pediatrics","ISSN":"1098-4275 0031-4005","issue":"6 Pt 2","journalAbbreviation":"Pediatrics","language":"eng","note":"publisher-place: United States\nPMID: 12456949","page":"1304-1306","title":"A consensus statement on health care transitions for young adults with special health care needs.","volume":"110","author":[{"family":"Blum","given":"Robert"},{"family":"Hirsch","given":"D."},{"family":"Kastner","given":"T.A."},{"family":"Quint","given":"R.D."},{"family":"Sandler","given":"A.D."},{"family":"Anderson","given":"S.M."}],"issued":{"date-parts":[["2002",12]]}}},{"id":311,"uris":["http://zotero.org/users/6853045/items/FXUJJZ8K"],"itemData":{"id":311,"type":"article-journal","abstract":"Since the US Surgeon General's conference on health care transitions in 1989, transition from pediatric to adult-oriented health care for youth with chronic  conditions continues to develop as an important issue among youth, parents, and  health professionals. Key professional organizations, public agencies, and  disease-specific organizations have promoted research on transition and the  development of transition services. Although there is evidence of the advancement  of the science and practice of transition in the context of subspecialty medical  care, the same may not be true for transition in the context of primary care  practice. Little has been written about the role of the primary care provider in  facilitating transition, and little is published in the medical literature about  how transition occurs in primary care settings.","container-title":"Pediatrics","ISSN":"1098-4275 0031-4005","issue":"6 Pt 2","journalAbbreviation":"Pediatrics","language":"eng","note":"publisher-place: United States\nPMID: 12456951","page":"1315-1321","title":"Transition for youth with chronic conditions: primary care physicians' approaches.","volume":"110","author":[{"family":"Scal","given":"Peter"}],"issued":{"date-parts":[["2002",12]]}}},{"id":334,"uris":["http://zotero.org/users/6853045/items/LHA7E6EM"],"itemData":{"id":334,"type":"article-journal","abstract":"Youth with complex health care needs, defined as those requiring specialized health care and services for physical, developmental, and/or mental health  conditions, are often cared for by paediatricians and paediatric specialists. In  Canada, the age at which provincial/territorial funders mandate the transfer of  paediatric care to adult services varies, ranging between 16 and 19 years. The  current configuration of distinct paediatric and adult care service boundaries is  fragmentary, raising barriers to continuity of care during an already vulnerable  developmental period. For youth, the lack of care integration across sectors can  negatively impact health engagement and jeopardize health outcomes into  adulthood. To address these barriers and improve transition outcomes, paediatric  and adult care providers, as well as family physicians and other community  partners, must collaborate in meaningful ways to develop system-based strategies  that streamline and safeguard care for youth transitioning to adult services  across tertiary, community, and primary care settings. Flexible age cut-offs for  transfer to adult care are recommended, along with considering each youth's  developmental stage and capacity as well as patient and family needs and  circumstances. Specialized training and education in transitional care issues are  needed to build capacity and ensure that health care providers across diverse  disciplines and settings are better equipped to accept and care for young people  with complex health care needs.","container-title":"Paediatrics &amp; child health","DOI":"10.1093/pch/pxac047","ISSN":"1205-7088 1918-1485","issue":"5","journalAbbreviation":"Paediatr Child Health","language":"eng","license":"© Canadian Paediatric Society 2022. Published by Oxford University Press on behalf of the Canadian Paediatric Society. All rights reserved. For permissions,  please e-mail: journals.permissions@oup.com.","note":"publisher-place: England\nPMID: 36016593 \nPMCID: PMC9394635","page":"297-309","title":"A call for action: Recommendations to improve transition to adult care for youth with complex health care needs.","volume":"27","author":[{"family":"Toulany","given":"Alene"},{"family":"Gorter","given":"Jan Willem"},{"family":"Harrison","given":"Megan"}],"issued":{"date-parts":[["2022",9]]}}},{"id":335,"uris":["http://zotero.org/users/6853045/items/72VJEUE9"],"itemData":{"id":335,"type":"article-journal","abstract":"Risk and vulnerability encompass many dimensions of the transition from adolescence to adulthood. Transition from pediatric, parent-supervised health  care to more independent, patient-centered adult health care is no exception. The  tenets and algorithm of the original 2011 clinical report, \"Supporting the Health  Care Transition from Adolescence to Adulthood in the Medical Home,\" are  unchanged. This updated clinical report provides more practice-based quality  improvement guidance on key elements of transition planning, transfer, and  integration into adult care for all youth and young adults. It also includes new  and updated sections on definition and guiding principles, the status of health  care transition preparation among youth, barriers, outcome evidence, recommended  health care transition processes and implementation strategies using quality  improvement methods, special populations, education and training in pediatric  onset conditions, and payment options. The clinical report also includes new  recommendations pertaining to infrastructure, education and training, payment,  and research.","container-title":"Pediatrics","DOI":"10.1542/peds.2018-2587","ISSN":"1098-4275 0031-4005","language":"eng","license":"Copyright © 2018 by the American Academy of Pediatrics.","note":"PMID: 30348754","page":"e20182587","title":"Supporting the Health Care Transition From Adolescence to Adulthood in the Medical Home.","volume":"142(5)","author":[{"family":"White","given":"Patience H."},{"family":"Cooley","given":"W. Carl"}],"issued":{"date-parts":[["2018",11]]}}}],"schema":"https://github.com/citation-style-language/schema/raw/master/csl-citation.json"} </w:instrText>
      </w:r>
      <w:r>
        <w:rPr>
          <w:rFonts w:ascii="Times New Roman" w:hAnsi="Times New Roman" w:cs="Times New Roman"/>
          <w:sz w:val="20"/>
          <w:szCs w:val="20"/>
          <w:lang w:val="en-US"/>
        </w:rPr>
        <w:fldChar w:fldCharType="separate"/>
      </w:r>
      <w:r w:rsidRPr="00980FCE">
        <w:rPr>
          <w:rFonts w:ascii="Times New Roman" w:hAnsi="Times New Roman" w:cs="Times New Roman"/>
          <w:sz w:val="20"/>
          <w:szCs w:val="24"/>
          <w:lang w:val="en-US"/>
        </w:rPr>
        <w:t>[7, 12–15]</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03536C">
        <w:rPr>
          <w:rFonts w:ascii="Times New Roman" w:hAnsi="Times New Roman" w:cs="Times New Roman"/>
          <w:sz w:val="20"/>
          <w:szCs w:val="20"/>
          <w:lang w:val="en-US"/>
        </w:rPr>
        <w:t xml:space="preserve"> </w:t>
      </w:r>
      <w:r w:rsidR="0003536C" w:rsidRPr="00046BC3">
        <w:rPr>
          <w:rFonts w:ascii="Times New Roman" w:hAnsi="Times New Roman" w:cs="Times New Roman"/>
          <w:sz w:val="20"/>
          <w:szCs w:val="20"/>
          <w:highlight w:val="yellow"/>
          <w:lang w:val="en-US"/>
        </w:rPr>
        <w:t>However, a recent British study, which examined more than 400 heterogeneous CCs, unlike our study, which focused on only four, highlighted that AYAs with CCs who consulted their</w:t>
      </w:r>
      <w:r w:rsidR="00046BC3" w:rsidRPr="00046BC3">
        <w:rPr>
          <w:rFonts w:ascii="Times New Roman" w:hAnsi="Times New Roman" w:cs="Times New Roman"/>
          <w:sz w:val="20"/>
          <w:szCs w:val="20"/>
          <w:highlight w:val="yellow"/>
          <w:lang w:val="en-US"/>
        </w:rPr>
        <w:t xml:space="preserve"> general practitioner</w:t>
      </w:r>
      <w:r w:rsidR="0003536C" w:rsidRPr="00046BC3">
        <w:rPr>
          <w:rFonts w:ascii="Times New Roman" w:hAnsi="Times New Roman" w:cs="Times New Roman"/>
          <w:sz w:val="20"/>
          <w:szCs w:val="20"/>
          <w:highlight w:val="yellow"/>
          <w:lang w:val="en-US"/>
        </w:rPr>
        <w:t xml:space="preserve"> </w:t>
      </w:r>
      <w:r w:rsidR="00046BC3" w:rsidRPr="00046BC3">
        <w:rPr>
          <w:rFonts w:ascii="Times New Roman" w:hAnsi="Times New Roman" w:cs="Times New Roman"/>
          <w:sz w:val="20"/>
          <w:szCs w:val="20"/>
          <w:highlight w:val="yellow"/>
          <w:lang w:val="en-US"/>
        </w:rPr>
        <w:t>(</w:t>
      </w:r>
      <w:r w:rsidR="0003536C" w:rsidRPr="00046BC3">
        <w:rPr>
          <w:rFonts w:ascii="Times New Roman" w:hAnsi="Times New Roman" w:cs="Times New Roman"/>
          <w:sz w:val="20"/>
          <w:szCs w:val="20"/>
          <w:highlight w:val="yellow"/>
          <w:lang w:val="en-US"/>
        </w:rPr>
        <w:t>GP</w:t>
      </w:r>
      <w:r w:rsidR="00046BC3" w:rsidRPr="00046BC3">
        <w:rPr>
          <w:rFonts w:ascii="Times New Roman" w:hAnsi="Times New Roman" w:cs="Times New Roman"/>
          <w:sz w:val="20"/>
          <w:szCs w:val="20"/>
          <w:highlight w:val="yellow"/>
          <w:lang w:val="en-US"/>
        </w:rPr>
        <w:t>)</w:t>
      </w:r>
      <w:r w:rsidR="0003536C" w:rsidRPr="00046BC3">
        <w:rPr>
          <w:rFonts w:ascii="Times New Roman" w:hAnsi="Times New Roman" w:cs="Times New Roman"/>
          <w:sz w:val="20"/>
          <w:szCs w:val="20"/>
          <w:highlight w:val="yellow"/>
          <w:lang w:val="en-US"/>
        </w:rPr>
        <w:t xml:space="preserve"> more regularly had fewer emergency hospital admissions and attendances compared to those with less frequent consultations</w:t>
      </w:r>
      <w:r w:rsidR="00046BC3" w:rsidRPr="00046BC3">
        <w:rPr>
          <w:rFonts w:ascii="Times New Roman" w:hAnsi="Times New Roman" w:cs="Times New Roman"/>
          <w:sz w:val="20"/>
          <w:szCs w:val="20"/>
          <w:highlight w:val="yellow"/>
          <w:lang w:val="en-US"/>
        </w:rPr>
        <w:fldChar w:fldCharType="begin"/>
      </w:r>
      <w:r w:rsidR="00046BC3" w:rsidRPr="00046BC3">
        <w:rPr>
          <w:rFonts w:ascii="Times New Roman" w:hAnsi="Times New Roman" w:cs="Times New Roman"/>
          <w:sz w:val="20"/>
          <w:szCs w:val="20"/>
          <w:highlight w:val="yellow"/>
          <w:lang w:val="en-US"/>
        </w:rPr>
        <w:instrText xml:space="preserve"> ADDIN ZOTERO_ITEM CSL_CITATION {"citationID":"X1TQzE7x","properties":{"formattedCitation":"[16]","plainCitation":"[16]","noteIndex":0},"citationItems":[{"id":336,"uris":["http://zotero.org/users/6853045/items/JN4DCGYL"],"itemData":{"id":336,"type":"article-journal","abstract":"BACKGROUND: GPs are rarely actively involved in healthcare provision for children and young people (CYP) with life-limiting conditions (LLCs). This raises problems  when these children develop minor illness or require management of other chronic  diseases. AIM: To investigate the association between GP attendance patterns and  hospital urgent and emergency care use. DESIGN AND SETTING: Retrospective cohort  study using a primary care data source (Clinical Practice Research Datalink) in  England. The cohort numbered 19 888. METHOD: CYP aged 0-25 years with an LLC were  identified using Read codes (primary care) or International Classification of  Diseases 10 (th) Revision (ICD-10) codes (secondary care). Emergency inpatient  admissions and accident and emergency (A&amp;E) attendances were separately analysed  using multivariable, two-level random intercept negative binomial models with key  variables of consistency and regularity of GP attendances. RESULTS: Face-to-face  GP surgery consultations reduced, from a mean of 7.12 per person year in 2000 to  4.43 in 2015. Those consulting the GP less regularly had 15% (95% confidence  interval [CI] = 10% to 20%) more emergency admissions and 5% more A&amp;E visits (95%  CI = 1% to 10%) than those with more regular consultations. CYP who had greater  consistency of GP seen had 10% (95% CI = 6% to 14%) fewer A&amp;E attendances but no  significant difference in emergency inpatient admissions than those with lower  consistency. CONCLUSION: There is an association between GP attendance patterns  and use of urgent secondary care for CYP with LLCs, with less regular GP  attendance associated with higher urgent secondary healthcare use. This is an  important area for further investigation and warrants the attention of  policymakers and GPs, as the number of CYP with LLCs living in the community  rises.","container-title":"The British journal of general practice : the journal of the Royal College of General Practitioners","DOI":"10.3399/bjgp20X708233","ISSN":"1478-5242 0960-1643","issue":"693","journalAbbreviation":"Br J Gen Pract","language":"eng","license":"©The Authors.","note":"publisher-place: England\nPMID: 32041769 \nPMCID: PMC7015164","page":"e221-e229","title":"GPs' role in caring for children and young people with life-limiting conditions: a retrospective cohort study.","volume":"70","author":[{"family":"Jarvis","given":"Stuart"},{"family":"Parslow","given":"Roger C."},{"family":"Hewitt","given":"Catherine"},{"family":"Mitchell","given":"Sarah"},{"family":"Fraser","given":"Lorna K."}],"issued":{"date-parts":[["2020",4]]}}}],"schema":"https://github.com/citation-style-language/schema/raw/master/csl-citation.json"} </w:instrText>
      </w:r>
      <w:r w:rsidR="00046BC3" w:rsidRPr="00046BC3">
        <w:rPr>
          <w:rFonts w:ascii="Times New Roman" w:hAnsi="Times New Roman" w:cs="Times New Roman"/>
          <w:sz w:val="20"/>
          <w:szCs w:val="20"/>
          <w:highlight w:val="yellow"/>
          <w:lang w:val="en-US"/>
        </w:rPr>
        <w:fldChar w:fldCharType="separate"/>
      </w:r>
      <w:r w:rsidR="00046BC3" w:rsidRPr="00046BC3">
        <w:rPr>
          <w:rFonts w:ascii="Times New Roman" w:hAnsi="Times New Roman" w:cs="Times New Roman"/>
          <w:sz w:val="20"/>
          <w:highlight w:val="yellow"/>
          <w:lang w:val="en-US"/>
        </w:rPr>
        <w:t>[16]</w:t>
      </w:r>
      <w:r w:rsidR="00046BC3" w:rsidRPr="00046BC3">
        <w:rPr>
          <w:rFonts w:ascii="Times New Roman" w:hAnsi="Times New Roman" w:cs="Times New Roman"/>
          <w:sz w:val="20"/>
          <w:szCs w:val="20"/>
          <w:highlight w:val="yellow"/>
          <w:lang w:val="en-US"/>
        </w:rPr>
        <w:fldChar w:fldCharType="end"/>
      </w:r>
      <w:r w:rsidR="0003536C" w:rsidRPr="00046BC3">
        <w:rPr>
          <w:rFonts w:ascii="Times New Roman" w:hAnsi="Times New Roman" w:cs="Times New Roman"/>
          <w:sz w:val="20"/>
          <w:szCs w:val="20"/>
          <w:highlight w:val="yellow"/>
          <w:lang w:val="en-US"/>
        </w:rPr>
        <w:t>.</w:t>
      </w:r>
      <w:r w:rsidR="00046BC3" w:rsidRPr="00046BC3">
        <w:rPr>
          <w:rFonts w:ascii="Times New Roman" w:hAnsi="Times New Roman" w:cs="Times New Roman"/>
          <w:sz w:val="20"/>
          <w:szCs w:val="20"/>
          <w:highlight w:val="yellow"/>
          <w:lang w:val="en-US"/>
        </w:rPr>
        <w:t xml:space="preserve"> Nevertheless, l</w:t>
      </w:r>
      <w:r w:rsidR="00DE4159" w:rsidRPr="00046BC3">
        <w:rPr>
          <w:rFonts w:ascii="Times New Roman" w:hAnsi="Times New Roman" w:cs="Times New Roman"/>
          <w:sz w:val="20"/>
          <w:szCs w:val="20"/>
          <w:highlight w:val="yellow"/>
          <w:lang w:val="en-US"/>
        </w:rPr>
        <w:t>imited existing evidence supports the relevance of involving GPs during transition.</w:t>
      </w:r>
      <w:r w:rsidR="00046BC3" w:rsidRPr="00046BC3">
        <w:rPr>
          <w:rFonts w:ascii="Times New Roman" w:hAnsi="Times New Roman" w:cs="Times New Roman"/>
          <w:sz w:val="20"/>
          <w:szCs w:val="20"/>
          <w:highlight w:val="yellow"/>
          <w:lang w:val="en-US"/>
        </w:rPr>
        <w:t xml:space="preserve"> Earlier </w:t>
      </w:r>
      <w:r w:rsidR="000459E4" w:rsidRPr="00046BC3">
        <w:rPr>
          <w:rFonts w:ascii="Times New Roman" w:hAnsi="Times New Roman" w:cs="Times New Roman"/>
          <w:sz w:val="20"/>
          <w:szCs w:val="20"/>
          <w:highlight w:val="yellow"/>
          <w:lang w:val="en-US"/>
        </w:rPr>
        <w:t>studies underscored their role in maintaining continuity of care and providing psychosocial support to adolescents</w:t>
      </w:r>
      <w:r w:rsidR="00BA1739" w:rsidRPr="00046BC3">
        <w:rPr>
          <w:rFonts w:ascii="Times New Roman" w:hAnsi="Times New Roman" w:cs="Times New Roman"/>
          <w:sz w:val="20"/>
          <w:szCs w:val="20"/>
          <w:highlight w:val="yellow"/>
          <w:lang w:val="en-US"/>
        </w:rPr>
        <w:fldChar w:fldCharType="begin"/>
      </w:r>
      <w:r w:rsidR="00BA1739" w:rsidRPr="00046BC3">
        <w:rPr>
          <w:rFonts w:ascii="Times New Roman" w:hAnsi="Times New Roman" w:cs="Times New Roman"/>
          <w:sz w:val="20"/>
          <w:szCs w:val="20"/>
          <w:highlight w:val="yellow"/>
          <w:lang w:val="en-US"/>
        </w:rPr>
        <w:instrText xml:space="preserve"> ADDIN ZOTERO_ITEM CSL_CITATION {"citationID":"521zC7mU","properties":{"formattedCitation":"[13, 17]","plainCitation":"[13, 17]","noteIndex":0},"citationItems":[{"id":311,"uris":["http://zotero.org/users/6853045/items/FXUJJZ8K"],"itemData":{"id":311,"type":"article-journal","abstract":"Since the US Surgeon General's conference on health care transitions in 1989, transition from pediatric to adult-oriented health care for youth with chronic  conditions continues to develop as an important issue among youth, parents, and  health professionals. Key professional organizations, public agencies, and  disease-specific organizations have promoted research on transition and the  development of transition services. Although there is evidence of the advancement  of the science and practice of transition in the context of subspecialty medical  care, the same may not be true for transition in the context of primary care  practice. Little has been written about the role of the primary care provider in  facilitating transition, and little is published in the medical literature about  how transition occurs in primary care settings.","container-title":"Pediatrics","ISSN":"1098-4275 0031-4005","issue":"6 Pt 2","journalAbbreviation":"Pediatrics","language":"eng","note":"publisher-place: United States\nPMID: 12456951","page":"1315-1321","title":"Transition for youth with chronic conditions: primary care physicians' approaches.","volume":"110","author":[{"family":"Scal","given":"Peter"}],"issued":{"date-parts":[["2002",12]]}}},{"id":318,"uris":["http://zotero.org/users/6853045/items/TN7YTAE9"],"itemData":{"id":318,"type":"article-journal","abstract":"BACKGROUND: Adolescents with chronic health conditions and/or disabilities (CHC/D's) often face challenges when transitioning to adult care, which leads to  a higher risk of morbidity and mortality. Although it is recommended that  establishing the medical home and family physician (FP) attachment prior to  transfer will improve health outcomes, there is little evidence or policy  surrounding the role of the FP during this transition. This study explores the  described use of health services by adolescents with CHC/D's, as well as the  adolescent's and caregiver's perceptions of their FP. METHODS: Participants were  recruited from the British Columbia Children's Hospital, Canada and a  multi-method phased approach was used. In Phase 1, 84 adolescent and caregiver  pairs completed questionnaires asking what medical services they accessed for  specific health needs. In Phase 2, another cohort of 21 adolescent and caregiver  pairs completed the same questionnaires and were interviewed regarding their  perception of their FP. RESULTS: 96% (n = 81) of adolescents with CHC/D's in  phase 1 had a FP. Thirty four percent (n = 34) of adolescents had not seen their  FP in the last 6 months. While adolescents with CHC/D mostly accessed their FP  for primary health issues, they frequently also accessed specialists for  prescription refills (50%, n = 51), mental health (29%, n = 30) and sexual health  (16%, n = 16). While most adolescent/caregiver participants reported positive  communication and trust in their FP, some had a poor understanding of the FP's  role in coordinating care. CONCLUSION: As many adolescents with CHC/D may see  their FP infrequently and may not clearly understand their role, opportunities  exist for strengthening primary care home attachment as well as adolescent and  caregiver literacy around the potential contribution of the FP during and after  transfer to adult services. Responsibility for improving care coordination for  this population should be ideally shared between FPs and pediatric specialists.","container-title":"BMC family practice","DOI":"10.1186/s12875-018-0830-6","ISSN":"1471-2296","issue":"1","journalAbbreviation":"BMC Fam Pract","language":"eng","note":"publisher-place: England\nPMID: 30134842 \nPMCID: PMC6106717","page":"140","title":"Perceptions of the family physician from adolescents and their caregivers preparing to transition to adult care.","volume":"19","author":[{"family":"Han","given":"Angela Xiao"},{"family":"Whitehouse","given":"Sandy Rosalie"},{"family":"Tsai","given":"Steve"},{"family":"Hwang","given":"Sandy"},{"family":"Thorne","given":"Sally"}],"issued":{"date-parts":[["2018",8,23]]}}}],"schema":"https://github.com/citation-style-language/schema/raw/master/csl-citation.json"} </w:instrText>
      </w:r>
      <w:r w:rsidR="00BA1739" w:rsidRPr="00046BC3">
        <w:rPr>
          <w:rFonts w:ascii="Times New Roman" w:hAnsi="Times New Roman" w:cs="Times New Roman"/>
          <w:sz w:val="20"/>
          <w:szCs w:val="20"/>
          <w:highlight w:val="yellow"/>
          <w:lang w:val="en-US"/>
        </w:rPr>
        <w:fldChar w:fldCharType="separate"/>
      </w:r>
      <w:r w:rsidR="00BA1739" w:rsidRPr="00046BC3">
        <w:rPr>
          <w:rFonts w:ascii="Times New Roman" w:hAnsi="Times New Roman" w:cs="Times New Roman"/>
          <w:sz w:val="20"/>
          <w:highlight w:val="yellow"/>
          <w:lang w:val="en-US"/>
        </w:rPr>
        <w:t>[13, 17]</w:t>
      </w:r>
      <w:r w:rsidR="00BA1739" w:rsidRPr="00046BC3">
        <w:rPr>
          <w:rFonts w:ascii="Times New Roman" w:hAnsi="Times New Roman" w:cs="Times New Roman"/>
          <w:sz w:val="20"/>
          <w:szCs w:val="20"/>
          <w:highlight w:val="yellow"/>
          <w:lang w:val="en-US"/>
        </w:rPr>
        <w:fldChar w:fldCharType="end"/>
      </w:r>
      <w:r w:rsidR="000459E4" w:rsidRPr="00046BC3">
        <w:rPr>
          <w:rFonts w:ascii="Times New Roman" w:hAnsi="Times New Roman" w:cs="Times New Roman"/>
          <w:sz w:val="20"/>
          <w:szCs w:val="20"/>
          <w:highlight w:val="yellow"/>
          <w:lang w:val="en-US"/>
        </w:rPr>
        <w:t>. More recent research has demonstrated that integrating GPs into transition pathways is both feasible and beneficial, particularly in complex care situations or when access to adult specialists is limited</w:t>
      </w:r>
      <w:r w:rsidR="00BA1739" w:rsidRPr="00046BC3">
        <w:rPr>
          <w:rFonts w:ascii="Times New Roman" w:hAnsi="Times New Roman" w:cs="Times New Roman"/>
          <w:sz w:val="20"/>
          <w:szCs w:val="20"/>
          <w:highlight w:val="yellow"/>
          <w:lang w:val="en-US"/>
        </w:rPr>
        <w:fldChar w:fldCharType="begin"/>
      </w:r>
      <w:r w:rsidR="00BA1739" w:rsidRPr="00046BC3">
        <w:rPr>
          <w:rFonts w:ascii="Times New Roman" w:hAnsi="Times New Roman" w:cs="Times New Roman"/>
          <w:sz w:val="20"/>
          <w:szCs w:val="20"/>
          <w:highlight w:val="yellow"/>
          <w:lang w:val="en-US"/>
        </w:rPr>
        <w:instrText xml:space="preserve"> ADDIN ZOTERO_ITEM CSL_CITATION {"citationID":"CkCn6TOY","properties":{"formattedCitation":"[14, 18]","plainCitation":"[14, 18]","noteIndex":0},"citationItems":[{"id":334,"uris":["http://zotero.org/users/6853045/items/LHA7E6EM"],"itemData":{"id":334,"type":"article-journal","abstract":"Youth with complex health care needs, defined as those requiring specialized health care and services for physical, developmental, and/or mental health  conditions, are often cared for by paediatricians and paediatric specialists. In  Canada, the age at which provincial/territorial funders mandate the transfer of  paediatric care to adult services varies, ranging between 16 and 19 years. The  current configuration of distinct paediatric and adult care service boundaries is  fragmentary, raising barriers to continuity of care during an already vulnerable  developmental period. For youth, the lack of care integration across sectors can  negatively impact health engagement and jeopardize health outcomes into  adulthood. To address these barriers and improve transition outcomes, paediatric  and adult care providers, as well as family physicians and other community  partners, must collaborate in meaningful ways to develop system-based strategies  that streamline and safeguard care for youth transitioning to adult services  across tertiary, community, and primary care settings. Flexible age cut-offs for  transfer to adult care are recommended, along with considering each youth's  developmental stage and capacity as well as patient and family needs and  circumstances. Specialized training and education in transitional care issues are  needed to build capacity and ensure that health care providers across diverse  disciplines and settings are better equipped to accept and care for young people  with complex health care needs.","container-title":"Paediatrics &amp; child health","DOI":"10.1093/pch/pxac047","ISSN":"1205-7088 1918-1485","issue":"5","journalAbbreviation":"Paediatr Child Health","language":"eng","license":"© Canadian Paediatric Society 2022. Published by Oxford University Press on behalf of the Canadian Paediatric Society. All rights reserved. For permissions,  please e-mail: journals.permissions@oup.com.","note":"publisher-place: England\nPMID: 36016593 \nPMCID: PMC9394635","page":"297-309","title":"A call for action: Recommendations to improve transition to adult care for youth with complex health care needs.","volume":"27","author":[{"family":"Toulany","given":"Alene"},{"family":"Gorter","given":"Jan Willem"},{"family":"Harrison","given":"Megan"}],"issued":{"date-parts":[["2022",9]]}}},{"id":319,"uris":["http://zotero.org/users/6853045/items/K4GN7RAE"],"itemData":{"id":319,"type":"article-journal","abstract":"BACKGROUND: During transition from children's to adults' healthcare, young adults with long-term conditions may show delays in psychosocial development compared to  their peers without long-term conditions, and deterioration of their conditions'  medical control. METHODS: This paper integrates the findings, already published  in 10 separate papers, of a 5-year transition research programme. IMPLICATIONS:  There is an important role for funders (commissioners) of adults' services to  fund transitional healthcare, in addition to funders of children's services who  currently take responsibility.It is important that healthcare provider  organisations adopt an organisation-wide approach to implementation to ensure  that good practice is adopted in children's and adults' services, not just  adopted by enthusiasts in some specialties. This includes provision of  'developmentally appropriate healthcare' which recognises the changing  biopsychosocial developmental needs of young people.Three features of  transitional healthcare were associated with improved outcomes: appropriate  parent involvement, promotion of young people's confidence in managing their  health and meeting the adult team before transfer. These should be maintained or  introduced as a priority.Child and adult healthcare providers should routinely  explore with a young person how they approach transition and personalise their  clinical approach thereafter.These implications are relevant for a range of  stakeholders, including funders of transitional healthcare, organisations  providing transitional healthcare and clinical practitioners.","container-title":"Clinical medicine (London, England)","DOI":"10.7861/clinmed.2019-0077","ISSN":"1473-4893 1470-2118","issue":"1","journalAbbreviation":"Clin Med (Lond)","language":"eng","license":"© Royal College of Physicians 2020. All rights reserved.","note":"publisher-place: England\nPMID: 31941736 \nPMCID: PMC6964170","page":"74-80","title":"Facilitating transition of young people with long-term health conditions from children's to adults' healthcare services - implications of a 5-year research  programme.","volume":"20","author":[{"family":"Colver","given":"Allan"},{"family":"Rapley","given":"Tim"},{"family":"Parr","given":"Jeremy R."},{"family":"McConachie","given":"Helen"},{"family":"Dovey-Pearce","given":"Gail"},{"family":"Couteur","given":"Ann Le"},{"family":"McDonagh","given":"Janet E."},{"family":"Bennett","given":"Caroline"},{"family":"Maniatopoulos","given":"Gregory"},{"family":"Pearce","given":"Mark S."},{"family":"Reape","given":"Debbie"},{"family":"Chater","given":"Nichola"},{"family":"Gleeson","given":"Helena"},{"family":"Vale","given":"Luke"}],"issued":{"date-parts":[["2020",1]]}}}],"schema":"https://github.com/citation-style-language/schema/raw/master/csl-citation.json"} </w:instrText>
      </w:r>
      <w:r w:rsidR="00BA1739" w:rsidRPr="00046BC3">
        <w:rPr>
          <w:rFonts w:ascii="Times New Roman" w:hAnsi="Times New Roman" w:cs="Times New Roman"/>
          <w:sz w:val="20"/>
          <w:szCs w:val="20"/>
          <w:highlight w:val="yellow"/>
          <w:lang w:val="en-US"/>
        </w:rPr>
        <w:fldChar w:fldCharType="separate"/>
      </w:r>
      <w:r w:rsidR="00BA1739" w:rsidRPr="00046BC3">
        <w:rPr>
          <w:rFonts w:ascii="Times New Roman" w:hAnsi="Times New Roman" w:cs="Times New Roman"/>
          <w:sz w:val="20"/>
          <w:highlight w:val="yellow"/>
          <w:lang w:val="en-US"/>
        </w:rPr>
        <w:t>[14, 18]</w:t>
      </w:r>
      <w:r w:rsidR="00BA1739" w:rsidRPr="00046BC3">
        <w:rPr>
          <w:rFonts w:ascii="Times New Roman" w:hAnsi="Times New Roman" w:cs="Times New Roman"/>
          <w:sz w:val="20"/>
          <w:szCs w:val="20"/>
          <w:highlight w:val="yellow"/>
          <w:lang w:val="en-US"/>
        </w:rPr>
        <w:fldChar w:fldCharType="end"/>
      </w:r>
      <w:r w:rsidR="000459E4" w:rsidRPr="00046BC3">
        <w:rPr>
          <w:rFonts w:ascii="Times New Roman" w:hAnsi="Times New Roman" w:cs="Times New Roman"/>
          <w:sz w:val="20"/>
          <w:szCs w:val="20"/>
          <w:highlight w:val="yellow"/>
          <w:lang w:val="en-US"/>
        </w:rPr>
        <w:t>.</w:t>
      </w:r>
      <w:r w:rsidR="00046BC3">
        <w:rPr>
          <w:rFonts w:ascii="Times New Roman" w:hAnsi="Times New Roman" w:cs="Times New Roman"/>
          <w:sz w:val="20"/>
          <w:szCs w:val="20"/>
          <w:lang w:val="en-US"/>
        </w:rPr>
        <w:t xml:space="preserve"> </w:t>
      </w:r>
      <w:r w:rsidR="00046BC3" w:rsidRPr="00046BC3">
        <w:rPr>
          <w:rFonts w:ascii="Times New Roman" w:hAnsi="Times New Roman" w:cs="Times New Roman"/>
          <w:sz w:val="20"/>
          <w:szCs w:val="20"/>
          <w:lang w:val="en-US"/>
        </w:rPr>
        <w:t>Similarly,</w:t>
      </w:r>
      <w:r w:rsidR="00046BC3">
        <w:rPr>
          <w:rFonts w:ascii="Times New Roman" w:hAnsi="Times New Roman" w:cs="Times New Roman"/>
          <w:sz w:val="20"/>
          <w:szCs w:val="20"/>
          <w:lang w:val="en-US"/>
        </w:rPr>
        <w:t xml:space="preserve"> </w:t>
      </w:r>
      <w:r w:rsidRPr="00D208F7">
        <w:rPr>
          <w:rFonts w:ascii="Times New Roman" w:hAnsi="Times New Roman" w:cs="Times New Roman"/>
          <w:sz w:val="20"/>
          <w:szCs w:val="20"/>
          <w:lang w:val="en-US"/>
        </w:rPr>
        <w:t>consensus among French experts in transition care stated that informing GPs i</w:t>
      </w:r>
      <w:r>
        <w:rPr>
          <w:rFonts w:ascii="Times New Roman" w:hAnsi="Times New Roman" w:cs="Times New Roman"/>
          <w:sz w:val="20"/>
          <w:szCs w:val="20"/>
          <w:lang w:val="en-US"/>
        </w:rPr>
        <w:t xml:space="preserve">s both </w:t>
      </w:r>
      <w:r w:rsidRPr="00D208F7">
        <w:rPr>
          <w:rFonts w:ascii="Times New Roman" w:hAnsi="Times New Roman" w:cs="Times New Roman"/>
          <w:sz w:val="20"/>
          <w:szCs w:val="20"/>
          <w:lang w:val="en-US"/>
        </w:rPr>
        <w:t>relevant and</w:t>
      </w:r>
      <w:r>
        <w:rPr>
          <w:rFonts w:ascii="Times New Roman" w:hAnsi="Times New Roman" w:cs="Times New Roman"/>
          <w:sz w:val="20"/>
          <w:szCs w:val="20"/>
          <w:lang w:val="en-US"/>
        </w:rPr>
        <w:t xml:space="preserve"> feasible</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{"citationID":"FkXvk4fb","properties":{"formattedCitation":"[7]","plainCitation":"[7]","noteIndex":0},"citationItems":[{"id":323,"uris":["http://zotero.org/users/6853045/items/LJ8PQ9TR"],"itemData":{"id":323,"type":"article-journal","abstract":"BACKGROUND: The last 20 years have seen many attempts to improve transition to adult healthcare for adolescents with chronic disease, but there is currently no  established consensus on generic practices. Our goal was to identify relevant and  pragmatic guidelines for transition practice for each step of this process  (before, during and after transfer), applicable to a wide range of chronic  illnesses and health services, via a participatory approach involving all the key  stakeholders. METHODS: We conducted interviews and a literature review to  elaborate a questionnaire for use in an online 2-round Delphi survey. The survey  panel included 36 French health and social professionals from different care  settings, and young adults and parents with an experience of healthcare  transition related to all types of chronic disease. RESULTS: The survey consensus  identified 19 items on feasibility and relevance criteria, which form the  guidelines. It is composed of five practices to be adopted during preparation in  paediatrics, seven practices in the active phase of transition and seven in adult  care. Two guidelines achieved complete consensus: having a longer consultation  for the first appointment with the adult doctor, and keeping the same adult  doctor throughout follow-up. A further 36 items met the criterion of relevance,  but were deemed unfeasible. CONCLUSIONS: Taking into account all stakeholder  views and the real-world applicability of care practices enabled us to elaborate  consensual guidelines whose implementation requires no additional health service  resources.","container-title":"European journal of public health","DOI":"10.1093/eurpub/cky258","ISSN":"1464-360X 1101-1262","issue":"3","journalAbbreviation":"Eur J Public Health","language":"eng","license":"© The Author(s) 2018. Published by Oxford University Press on behalf of the European Public Health Association. All rights reserved.","note":"publisher-place: England\nPMID: 30535247","page":"442-448","title":"Practical generic guidelines for paediatric-to-adult transition for adolescents with chronic disease.","volume":"29","author":[{"family":"Le Roux","given":"Enora"},{"family":"Mellerio","given":"Hélène"},{"family":"Jacquin","given":"Paul"},{"family":"Bourmaud","given":"Aurélie"},{"family":"Guilmin-Crépon","given":"Sophie"},{"family":"Faye","given":"Albert"},{"family":"Matheron","given":"Sophie"},{"family":"Boulkedid","given":"Rym"},{"family":"Alberti","given":"Corinne"}],"issued":{"date-parts":[["2019",6,1]]}}}],"schema":"https://github.com/citation-style-language/schema/raw/master/csl-citation.json"} </w:instrText>
      </w:r>
      <w:r>
        <w:rPr>
          <w:rFonts w:ascii="Times New Roman" w:hAnsi="Times New Roman" w:cs="Times New Roman"/>
          <w:sz w:val="20"/>
          <w:szCs w:val="20"/>
          <w:lang w:val="en-US"/>
        </w:rPr>
        <w:fldChar w:fldCharType="separate"/>
      </w:r>
      <w:r w:rsidRPr="00AB233F">
        <w:rPr>
          <w:rFonts w:ascii="Times New Roman" w:hAnsi="Times New Roman" w:cs="Times New Roman"/>
          <w:sz w:val="20"/>
          <w:lang w:val="en-US"/>
        </w:rPr>
        <w:t>[7]</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and s</w:t>
      </w:r>
      <w:r w:rsidRPr="001963DF">
        <w:rPr>
          <w:rFonts w:ascii="Times New Roman" w:hAnsi="Times New Roman" w:cs="Times New Roman"/>
          <w:sz w:val="20"/>
          <w:szCs w:val="20"/>
          <w:lang w:val="en-US"/>
        </w:rPr>
        <w:t>everal international guidelines have emphasized the importance of GPs during transition periods without clearly defining their roles</w:t>
      </w:r>
      <w:r w:rsidRPr="009F5EAF">
        <w:rPr>
          <w:rFonts w:ascii="Times New Roman" w:hAnsi="Times New Roman" w:cs="Times New Roman"/>
          <w:sz w:val="20"/>
          <w:szCs w:val="20"/>
          <w:lang w:val="en-US"/>
        </w:rPr>
        <w:fldChar w:fldCharType="begin"/>
      </w:r>
      <w:r w:rsidR="00A559C0">
        <w:rPr>
          <w:rFonts w:ascii="Times New Roman" w:hAnsi="Times New Roman" w:cs="Times New Roman"/>
          <w:sz w:val="20"/>
          <w:szCs w:val="20"/>
          <w:lang w:val="en-US"/>
        </w:rPr>
        <w:instrText xml:space="preserve"> ADDIN ZOTERO_ITEM CSL_CITATION {"citationID":"d3V6mgYB","properties":{"formattedCitation":"[7, 15, 19\\uc0\\u8211{}22]","plainCitation":"[7, 15, 19–22]","noteIndex":0},"citationItems":[{"id":323,"uris":["http://zotero.org/users/6853045/items/LJ8PQ9TR"],"itemData":{"id":323,"type":"article-journal","abstract":"BACKGROUND: The last 20 years have seen many attempts to improve transition to adult healthcare for adolescents with chronic disease, but there is currently no  established consensus on generic practices. Our goal was to identify relevant and  pragmatic guidelines for transition practice for each step of this process  (before, during and after transfer), applicable to a wide range of chronic  illnesses and health services, via a participatory approach involving all the key  stakeholders. METHODS: We conducted interviews and a literature review to  elaborate a questionnaire for use in an online 2-round Delphi survey. The survey  panel included 36 French health and social professionals from different care  settings, and young adults and parents with an experience of healthcare  transition related to all types of chronic disease. RESULTS: The survey consensus  identified 19 items on feasibility and relevance criteria, which form the  guidelines. It is composed of five practices to be adopted during preparation in  paediatrics, seven practices in the active phase of transition and seven in adult  care. Two guidelines achieved complete consensus: having a longer consultation  for the first appointment with the adult doctor, and keeping the same adult  doctor throughout follow-up. A further 36 items met the criterion of relevance,  but were deemed unfeasible. CONCLUSIONS: Taking into account all stakeholder  views and the real-world applicability of care practices enabled us to elaborate  consensual guidelines whose implementation requires no additional health service  resources.","container-title":"European journal of public health","DOI":"10.1093/eurpub/cky258","ISSN":"1464-360X 1101-1262","issue":"3","journalAbbreviation":"Eur J Public Health","language":"eng","license":"© The Author(s) 2018. Published by Oxford University Press on behalf of the European Public Health Association. All rights reserved.","note":"publisher-place: England\nPMID: 30535247","page":"442-448","title":"Practical generic guidelines for paediatric-to-adult transition for adolescents with chronic disease.","volume":"29","author":[{"family":"Le Roux","given":"Enora"},{"family":"Mellerio","given":"Hélène"},{"family":"Jacquin","given":"Paul"},{"family":"Bourmaud","given":"Aurélie"},{"family":"Guilmin-Crépon","given":"Sophie"},{"family":"Faye","given":"Albert"},{"family":"Matheron","given":"Sophie"},{"family":"Boulkedid","given":"Rym"},{"family":"Alberti","given":"Corinne"}],"issued":{"date-parts":[["2019",6,1]]}}},{"id":335,"uris":["http://zotero.org/users/6853045/items/72VJEUE9"],"itemData":{"id":335,"type":"article-journal","abstract":"Risk and vulnerability encompass many dimensions of the transition from adolescence to adulthood. Transition from pediatric, parent-supervised health  care to more independent, patient-centered adult health care is no exception. The  tenets and algorithm of the original 2011 clinical report, \"Supporting the Health  Care Transition from Adolescence to Adulthood in the Medical Home,\" are  unchanged. This updated clinical report provides more practice-based quality  improvement guidance on key elements of transition planning, transfer, and  integration into adult care for all youth and young adults. It also includes new  and updated sections on definition and guiding principles, the status of health  care transition preparation among youth, barriers, outcome evidence, recommended  health care transition processes and implementation strategies using quality  improvement methods, special populations, education and training in pediatric  onset conditions, and payment options. The clinical report also includes new  recommendations pertaining to infrastructure, education and training, payment,  and research.","container-title":"Pediatrics","DOI":"10.1542/peds.2018-2587","ISSN":"1098-4275 0031-4005","language":"eng","license":"Copyright © 2018 by the American Academy of Pediatrics.","note":"PMID: 30348754","page":"e20182587","title":"Supporting the Health Care Transition From Adolescence to Adulthood in the Medical Home.","volume":"142(5)","author":[{"family":"White","given":"Patience H."},{"family":"Cooley","given":"W. Carl"}],"issued":{"date-parts":[["2018",11]]}},"label":"page"},{"id":45,"uris":["http://zotero.org/users/6853045/items/7B6J4TKT"],"itemData":{"id":45,"type":"article-journal","container-title":"WA Child and Youth Health Network. Department of Health, State of Western Australia","title":"Paediatric Chronic Disease Transition Framework","issued":{"date-parts":[["2009"]]}}},{"id":46,"uris":["http://zotero.org/users/6853045/items/XAX6YWXX"],"itemData":{"id":46,"type":"article-journal","container-title":"National Transitions Community Practice. Canadian Association of Paediatric Health Centres.","title":"A Guideline for Transition From Paediatric to Adult Health Care for Youth with Special Health Care Needs: A National Approach","issued":{"date-parts":[["2016"]]}}},{"id":47,"uris":["http://zotero.org/users/6853045/items/FUGGUFC6"],"itemData":{"id":47,"type":"article-journal","container-title":"Epilepsy Implementation Task Force. Critical Care Services Ontario.","title":"Provincial Guidelines for Transitional Care of Paediatric Epilepsy Programs to Adult","issued":{"date-parts":[["2017"]]}}},{"id":"qB8uGv8n/JJVXmO6F","uris":["http://zotero.org/users/6853045/items/WSD2YMFG"],"itemData":{"id":79,"type":"article-journal","archive":"BMJ 2016;353:i2225","container-title":"British Medical Journal","title":"Supporting young people in their transition to adults’ services: summary of NICE guidance","author":[{"family":"Singh","given":"Swaran P"},{"family":"Anderson","given":"Beth"},{"family":"Liabo","given":"Kristin"},{"family":"Ganeshamoorthy","given":"Thines"}],"issued":{"date-parts":[["2016",5,11]]}}}],"schema":"https://github.com/citation-style-language/schema/raw/master/csl-citation.json"} </w:instrText>
      </w:r>
      <w:r w:rsidRPr="009F5EAF">
        <w:rPr>
          <w:rFonts w:ascii="Times New Roman" w:hAnsi="Times New Roman" w:cs="Times New Roman"/>
          <w:sz w:val="20"/>
          <w:szCs w:val="20"/>
          <w:lang w:val="en-US"/>
        </w:rPr>
        <w:fldChar w:fldCharType="separate"/>
      </w:r>
      <w:r w:rsidR="00BA1739" w:rsidRPr="00F62D9C">
        <w:rPr>
          <w:rFonts w:ascii="Times New Roman" w:hAnsi="Times New Roman" w:cs="Times New Roman"/>
          <w:sz w:val="20"/>
          <w:szCs w:val="24"/>
          <w:lang w:val="en-US"/>
        </w:rPr>
        <w:t>[7, 15, 19–22]</w:t>
      </w:r>
      <w:r w:rsidRPr="009F5EAF">
        <w:rPr>
          <w:rFonts w:ascii="Times New Roman" w:hAnsi="Times New Roman" w:cs="Times New Roman"/>
          <w:sz w:val="20"/>
          <w:szCs w:val="20"/>
          <w:lang w:val="en-US"/>
        </w:rPr>
        <w:fldChar w:fldCharType="end"/>
      </w:r>
      <w:r w:rsidRPr="009F5EAF">
        <w:rPr>
          <w:rFonts w:ascii="Times New Roman" w:hAnsi="Times New Roman" w:cs="Times New Roman"/>
          <w:sz w:val="20"/>
          <w:szCs w:val="20"/>
          <w:lang w:val="en-US"/>
        </w:rPr>
        <w:t>.</w:t>
      </w:r>
    </w:p>
    <w:p w14:paraId="0E8CBDEE" w14:textId="3DAE22C0" w:rsidR="00001213" w:rsidRPr="006D47F4" w:rsidRDefault="00001213" w:rsidP="00D317F0">
      <w:pPr>
        <w:spacing w:after="120"/>
        <w:jc w:val="both"/>
        <w:rPr>
          <w:rFonts w:ascii="Times New Roman" w:hAnsi="Times New Roman" w:cs="Times New Roman"/>
          <w:sz w:val="20"/>
          <w:szCs w:val="20"/>
          <w:highlight w:val="yellow"/>
          <w:lang w:val="en-US"/>
        </w:rPr>
      </w:pPr>
      <w:r w:rsidRPr="00154874">
        <w:rPr>
          <w:rFonts w:ascii="Times New Roman" w:hAnsi="Times New Roman" w:cs="Times New Roman"/>
          <w:sz w:val="20"/>
          <w:szCs w:val="20"/>
          <w:highlight w:val="yellow"/>
          <w:lang w:val="en-US"/>
        </w:rPr>
        <w:t xml:space="preserve">In France, AYA from the age of 16 are encouraged to designate a GP to facilitate coordinated care and optimal reimbursement through the national health insurance system. </w:t>
      </w:r>
      <w:r w:rsidRPr="006D47F4">
        <w:rPr>
          <w:rFonts w:ascii="Times New Roman" w:hAnsi="Times New Roman" w:cs="Times New Roman"/>
          <w:sz w:val="20"/>
          <w:szCs w:val="20"/>
          <w:highlight w:val="yellow"/>
          <w:lang w:val="en-US"/>
        </w:rPr>
        <w:t>However, this declaration is not systematic, especially in medically underserved areas such</w:t>
      </w:r>
      <w:r w:rsidR="006D47F4" w:rsidRPr="006D47F4">
        <w:rPr>
          <w:rFonts w:ascii="Times New Roman" w:hAnsi="Times New Roman" w:cs="Times New Roman"/>
          <w:sz w:val="20"/>
          <w:szCs w:val="20"/>
          <w:highlight w:val="yellow"/>
          <w:lang w:val="en-US"/>
        </w:rPr>
        <w:t xml:space="preserve"> as the northeastern suburbs of Paris</w:t>
      </w:r>
      <w:r w:rsidRPr="006D47F4">
        <w:rPr>
          <w:rFonts w:ascii="Times New Roman" w:hAnsi="Times New Roman" w:cs="Times New Roman"/>
          <w:sz w:val="20"/>
          <w:szCs w:val="20"/>
          <w:highlight w:val="yellow"/>
          <w:lang w:val="en-US"/>
        </w:rPr>
        <w:t>, where GP density is lower and access to primary care is more limited</w:t>
      </w:r>
      <w:r w:rsidR="00154874" w:rsidRPr="00154874">
        <w:rPr>
          <w:rFonts w:ascii="Times New Roman" w:hAnsi="Times New Roman" w:cs="Times New Roman"/>
          <w:sz w:val="20"/>
          <w:szCs w:val="20"/>
          <w:highlight w:val="yellow"/>
          <w:lang w:val="en-US"/>
        </w:rPr>
        <w:fldChar w:fldCharType="begin"/>
      </w:r>
      <w:r w:rsidR="008123DF">
        <w:rPr>
          <w:rFonts w:ascii="Times New Roman" w:hAnsi="Times New Roman" w:cs="Times New Roman"/>
          <w:sz w:val="20"/>
          <w:szCs w:val="20"/>
          <w:highlight w:val="yellow"/>
          <w:lang w:val="en-US"/>
        </w:rPr>
        <w:instrText xml:space="preserve"> ADDIN ZOTERO_ITEM CSL_CITATION {"citationID":"RxMTGEi8","properties":{"formattedCitation":"[23\\uc0\\u8211{}26]","plainCitation":"[23–26]","noteIndex":0},"citationItems":[{"id":345,"uris":["http://zotero.org/users/6853045/items/6YYI7UTV"],"itemData":{"id":345,"type":"article-journal","abstract":"According to the 2021 demographic report from ARS Île-de-France, the region had an average density of 116 general practitioners per 100,000 inhabitants—below the national average of 126. Several departments, including Seine-et-Marne, Yvelines, Essonne, and Val-d’Oise, reported densities under 100 GPs per 100,000.","container-title":"Île-de-France Regional Health Agency (ARS)","title":"Demographic trends and regional disparities in general practitioner density: Annual report 2021","URL":"https://www.iledefrance.ars.sante.fr/media/99800/download","issued":{"date-parts":[["2021"]]}}},{"id":346,"uris":["http://zotero.org/users/6853045/items/WEMN93BE"],"itemData":{"id":346,"type":"webpage","container-title":"Île-de-France Regional Health Agency (ARS)","title":"Medical zoning: map of areas eligible for GP installation and retention incentives.","URL":"https://www.iledefrance.ars.sante.fr/zonage-medecins-2022-carte-des-zones-concernees-par-les-aides-linstallation-et-au-maintien-des","issued":{"date-parts":[["2022"]]}}},{"id":343,"uris":["http://zotero.org/users/6853045/items/IN93FXUB"],"itemData":{"id":343,"type":"article-journal","abstract":"OBJECTIVES: This paper compares access to primary and specialty care in three metropolitan regions of France: Ile de France (IDF), Nord-Pas-de-Calais (NPC) and  Provence-Alpes-Côte d'Azur (PACA); and identifies the factors that contribute to  disparities in access to care within and among these regions. METHODS: To assess  access to primary care, we compare variation among residence-based, age-adjusted  hospital discharge rates for ambulatory care sensitive conditions (ASC). To  assess access on one dimension of specialty care, we compare residence-based,  age-adjusted hospital discharge rates for revascularization - bypass surgery and  angioplasty - among patients diagnosed with ischemic heart disease (IHD). In  addition, for each region we rely on a multilevel generalized linear mixed effect  model to identify a range of individual and area-level factors that affect the  discharge rates for ASC and revascularization. RESULTS: In comparison with other  large metropolitan regions, in France, access to primary care is greater in Paris  and its surrounding region (IDF) than in NPC but worse than in PACA. With regard  to revascularization, after controlling for the burden of IHD, use of services is  highest in PACA followed by IDF and NPC. In all three regions, disparities in  access are much greater for revascularization than for ASC. Residents of  low-income areas and those who are treated in public hospitals have poorer access  to primary care and revascularizations. In addition, the odds of hospitalization  for ASC and revascularization are higher for men. Finally, people who are treated  in public hospitals, have poorer access to primary care and revascularization  services than those who are admitted for ASC and revascularization services in  private hospitals. CONCLUSIONS: Within each region, we find significant income  disparities among geographic areas in access to primary care as well as  revascularization. Even within a national health insurance system that minimizes  the financial barriers to health care and has one of the highest rates of  spending on health care in Europe, the challenge of minimizing these disparities  remains.","container-title":"Health policy (Amsterdam, Netherlands)","DOI":"10.1016/j.healthpol.2013.07.011","ISSN":"1872-6054 0168-8510","issue":"1","journalAbbreviation":"Health Policy","language":"eng","license":"Copyright © 2013 Elsevier Ireland Ltd. All rights reserved.","note":"publisher-place: Ireland\nPMID: 23927846","page":"31-40","title":"Disparities in access to health care in three French regions.","volume":"114","author":[{"family":"Gusmano","given":"Michael K."},{"family":"Weisz","given":"Daniel"},{"family":"Rodwin","given":"Victor G."},{"family":"Lang","given":"Jonas"},{"family":"Qian","given":"Meng"},{"family":"Bocquier","given":"Aurelie"},{"family":"Moysan","given":"Veronique"},{"family":"Verger","given":"Pierre"}],"issued":{"date-parts":[["2014",1]]}}},{"id":344,"uris":["http://zotero.org/users/6853045/items/XJ2KJCMP"],"itemData":{"id":344,"type":"article-journal","abstract":"In 2018, nearly 6% of the French population—approximately 4 million people—lived in areas officially designated as having a shortage of general practitioners (zones sous-denses). These medically underserved areas are primarily located in rural territories, but also affect some urban and suburban communities, including parts of the Île-de-France region. The designation is based on both the local supply of GPs and population healthcare needs, taking into account demographic and socio-economic criteria. The report highlights growing regional inequalities in access to primary care and underscores the need for policy interventions to improve GP distribution and ensure equitable healthcare access across the country.","container-title":"Directorate for Research, Studies, Evaluation and Statistics (DREES), French Ministry of Health","issue":"1144","page":"November 2020","title":"In 2018, areas with low general practitioner supply affected nearly 6% of the French population","volume":"Studies and Results","author":[{"family":"Barlet","given":"M"},{"family":"Le Guen","given":"N"}]}}],"schema":"https://github.com/citation-style-language/schema/raw/master/csl-citation.json"} </w:instrText>
      </w:r>
      <w:r w:rsidR="00154874" w:rsidRPr="00154874">
        <w:rPr>
          <w:rFonts w:ascii="Times New Roman" w:hAnsi="Times New Roman" w:cs="Times New Roman"/>
          <w:sz w:val="20"/>
          <w:szCs w:val="20"/>
          <w:highlight w:val="yellow"/>
          <w:lang w:val="en-US"/>
        </w:rPr>
        <w:fldChar w:fldCharType="separate"/>
      </w:r>
      <w:r w:rsidR="00154874" w:rsidRPr="00B45FE2">
        <w:rPr>
          <w:rFonts w:ascii="Times New Roman" w:hAnsi="Times New Roman" w:cs="Times New Roman"/>
          <w:sz w:val="20"/>
          <w:szCs w:val="24"/>
          <w:highlight w:val="yellow"/>
          <w:lang w:val="en-US"/>
        </w:rPr>
        <w:t>[23–26]</w:t>
      </w:r>
      <w:r w:rsidR="00154874" w:rsidRPr="00154874">
        <w:rPr>
          <w:rFonts w:ascii="Times New Roman" w:hAnsi="Times New Roman" w:cs="Times New Roman"/>
          <w:sz w:val="20"/>
          <w:szCs w:val="20"/>
          <w:highlight w:val="yellow"/>
          <w:lang w:val="en-US"/>
        </w:rPr>
        <w:fldChar w:fldCharType="end"/>
      </w:r>
      <w:r w:rsidRPr="00154874">
        <w:rPr>
          <w:rFonts w:ascii="Times New Roman" w:hAnsi="Times New Roman" w:cs="Times New Roman"/>
          <w:sz w:val="20"/>
          <w:szCs w:val="20"/>
          <w:highlight w:val="yellow"/>
          <w:lang w:val="en-US"/>
        </w:rPr>
        <w:t>. For AYA</w:t>
      </w:r>
      <w:r w:rsidR="00682D39">
        <w:rPr>
          <w:rFonts w:ascii="Times New Roman" w:hAnsi="Times New Roman" w:cs="Times New Roman"/>
          <w:sz w:val="20"/>
          <w:szCs w:val="20"/>
          <w:highlight w:val="yellow"/>
          <w:lang w:val="en-US"/>
        </w:rPr>
        <w:t>s</w:t>
      </w:r>
      <w:r w:rsidRPr="00154874">
        <w:rPr>
          <w:rFonts w:ascii="Times New Roman" w:hAnsi="Times New Roman" w:cs="Times New Roman"/>
          <w:sz w:val="20"/>
          <w:szCs w:val="20"/>
          <w:highlight w:val="yellow"/>
          <w:lang w:val="en-US"/>
        </w:rPr>
        <w:t xml:space="preserve"> with CCs, this situation may result in the absence of a GP mentioned in their medical record. Several factors may contribute to this, including limited availability of GPs, the comprehensive role played by hospital-based pediatricians, and fragmented communication between hospital and community care providers</w:t>
      </w:r>
      <w:r w:rsidR="00154874" w:rsidRPr="00154874">
        <w:rPr>
          <w:rFonts w:ascii="Times New Roman" w:hAnsi="Times New Roman" w:cs="Times New Roman"/>
          <w:sz w:val="20"/>
          <w:szCs w:val="20"/>
          <w:highlight w:val="yellow"/>
          <w:lang w:val="en-US"/>
        </w:rPr>
        <w:fldChar w:fldCharType="begin"/>
      </w:r>
      <w:r w:rsidR="00E63083">
        <w:rPr>
          <w:rFonts w:ascii="Times New Roman" w:hAnsi="Times New Roman" w:cs="Times New Roman"/>
          <w:sz w:val="20"/>
          <w:szCs w:val="20"/>
          <w:highlight w:val="yellow"/>
          <w:lang w:val="en-US"/>
        </w:rPr>
        <w:instrText xml:space="preserve"> ADDIN ZOTERO_ITEM CSL_CITATION {"citationID":"PyIMFrwm","properties":{"formattedCitation":"[15, 27]","plainCitation":"[15, 27]","noteIndex":0},"citationItems":[{"id":335,"uris":["http://zotero.org/users/6853045/items/72VJEUE9"],"itemData":{"id":335,"type":"article-journal","abstract":"Risk and vulnerability encompass many dimensions of the transition from adolescence to adulthood. Transition from pediatric, parent-supervised health  care to more independent, patient-centered adult health care is no exception. The  tenets and algorithm of the original 2011 clinical report, \"Supporting the Health  Care Transition from Adolescence to Adulthood in the Medical Home,\" are  unchanged. This updated clinical report provides more practice-based quality  improvement guidance on key elements of transition planning, transfer, and  integration into adult care for all youth and young adults. It also includes new  and updated sections on definition and guiding principles, the status of health  care transition preparation among youth, barriers, outcome evidence, recommended  health care transition processes and implementation strategies using quality  improvement methods, special populations, education and training in pediatric  onset conditions, and payment options. The clinical report also includes new  recommendations pertaining to infrastructure, education and training, payment,  and research.","container-title":"Pediatrics","DOI":"10.1542/peds.2018-2587","ISSN":"1098-4275 0031-4005","language":"eng","license":"Copyright © 2018 by the American Academy of Pediatrics.","note":"PMID: 30348754","page":"e20182587","title":"Supporting the Health Care Transition From Adolescence to Adulthood in the Medical Home.","volume":"142(5)","author":[{"family":"White","given":"Patience H."},{"family":"Cooley","given":"W. Carl"}],"issued":{"date-parts":[["2018",11]]}}},{"id":342,"uris":["http://zotero.org/users/6853045/items/QRJ7DUXE"],"itemData":{"id":342,"type":"article-journal","abstract":"The poor planning of health care professionals in Spain has led to an exodus of doctors leaving the country. France is one of the chosen countries for Spanish  doctors to develop their professional career. The French health care system  belongs to the Bismarck model. In this model, health care system is financed  jointly by workers and employers through payroll deduction. The right to health  care is linked to the job, and provision of services is done by sickness-funds  controlled by the Government. Primary care in France is quite different from  Spanish primary care. General practitioners are independent workers who have the  right to set up a practice anywhere in France. This lack of regulation has  generated a great problem of \"medical desertification\" with problems of health  care access and inequalities in health. French doctors do not want to work in  rural areas or outside cities because \"they are not value for money\". Medical  salary is linked to professional activity. The role of doctors is to give  punctual care. Team work team does not exist, and coordination between primary  and secondary care is lacking. Access to diagnostic tests, hospitals and  specialists is unlimited. Duplicity of services, adverse events and  inefficiencies are the norm. Patients can freely choose their doctor, and they  have a co-payment for visits and hospital care settings. Two years training is  required to become a general practitioner. After that, continuing medical  education is compulsory, but it is not regulated. Although the French medical  Health System was named by the WHO in 2000 as the best health care system in the  world, is it not that good. While primary care in Spain has room for improvement,  there is a long way for France to be like Spain.","container-title":"Semergen","DOI":"10.1016/j.semerg.2015.07.004","ISSN":"1578-8865 1138-3593","issue":"1","journalAbbreviation":"Semergen","language":"spa","license":"Copyright © 2015 Sociedad Española de Médicos de Atención Primaria (SEMERGEN). Publicado por Elsevier España, S.L.U. All rights reserved.","note":"publisher-place: Spain\nPMID: 26304179","page":"58-62","title":"[Primary care in France].","volume":"42","author":[{"family":"Sánchez-Sagrado","given":"T."}],"issued":{"date-parts":[["2016",2]]}}}],"schema":"https://github.com/citation-style-language/schema/raw/master/csl-citation.json"} </w:instrText>
      </w:r>
      <w:r w:rsidR="00154874" w:rsidRPr="00154874">
        <w:rPr>
          <w:rFonts w:ascii="Times New Roman" w:hAnsi="Times New Roman" w:cs="Times New Roman"/>
          <w:sz w:val="20"/>
          <w:szCs w:val="20"/>
          <w:highlight w:val="yellow"/>
          <w:lang w:val="en-US"/>
        </w:rPr>
        <w:fldChar w:fldCharType="separate"/>
      </w:r>
      <w:r w:rsidR="00154874" w:rsidRPr="00154874">
        <w:rPr>
          <w:rFonts w:ascii="Times New Roman" w:hAnsi="Times New Roman" w:cs="Times New Roman"/>
          <w:sz w:val="20"/>
          <w:highlight w:val="yellow"/>
          <w:lang w:val="en-US"/>
        </w:rPr>
        <w:t>[15, 27]</w:t>
      </w:r>
      <w:r w:rsidR="00154874" w:rsidRPr="00154874">
        <w:rPr>
          <w:rFonts w:ascii="Times New Roman" w:hAnsi="Times New Roman" w:cs="Times New Roman"/>
          <w:sz w:val="20"/>
          <w:szCs w:val="20"/>
          <w:highlight w:val="yellow"/>
          <w:lang w:val="en-US"/>
        </w:rPr>
        <w:fldChar w:fldCharType="end"/>
      </w:r>
      <w:r w:rsidRPr="00154874">
        <w:rPr>
          <w:rFonts w:ascii="Times New Roman" w:hAnsi="Times New Roman" w:cs="Times New Roman"/>
          <w:sz w:val="20"/>
          <w:szCs w:val="20"/>
          <w:highlight w:val="yellow"/>
          <w:lang w:val="en-US"/>
        </w:rPr>
        <w:t>.</w:t>
      </w:r>
      <w:r w:rsidR="00154874">
        <w:rPr>
          <w:rFonts w:ascii="Times New Roman" w:hAnsi="Times New Roman" w:cs="Times New Roman"/>
          <w:sz w:val="20"/>
          <w:szCs w:val="20"/>
          <w:highlight w:val="yellow"/>
          <w:lang w:val="en-US"/>
        </w:rPr>
        <w:t xml:space="preserve"> </w:t>
      </w:r>
      <w:r w:rsidRPr="00154874">
        <w:rPr>
          <w:rFonts w:ascii="Times New Roman" w:hAnsi="Times New Roman" w:cs="Times New Roman"/>
          <w:sz w:val="20"/>
          <w:szCs w:val="20"/>
          <w:highlight w:val="yellow"/>
          <w:lang w:val="en-US"/>
        </w:rPr>
        <w:t>These structural challenges, which will be discussed in detail later in the manuscript, underline the need to better integrate GPs into transitional care pathways</w:t>
      </w:r>
      <w:r w:rsidR="00154874" w:rsidRPr="00154874">
        <w:rPr>
          <w:rFonts w:ascii="Times New Roman" w:hAnsi="Times New Roman" w:cs="Times New Roman"/>
          <w:sz w:val="20"/>
          <w:szCs w:val="20"/>
          <w:highlight w:val="yellow"/>
          <w:lang w:val="en-US"/>
        </w:rPr>
        <w:t>.</w:t>
      </w:r>
    </w:p>
    <w:p w14:paraId="5858FAC3" w14:textId="4B80D51E" w:rsidR="00D317F0" w:rsidRPr="009F5EAF" w:rsidRDefault="00D317F0" w:rsidP="00D317F0">
      <w:pPr>
        <w:spacing w:after="120"/>
        <w:jc w:val="both"/>
        <w:rPr>
          <w:rFonts w:ascii="Times New Roman" w:hAnsi="Times New Roman" w:cs="Times New Roman"/>
          <w:sz w:val="20"/>
          <w:szCs w:val="20"/>
          <w:lang w:val="en-US"/>
        </w:rPr>
      </w:pPr>
      <w:r w:rsidRPr="009F5EAF">
        <w:rPr>
          <w:rFonts w:ascii="Times New Roman" w:hAnsi="Times New Roman" w:cs="Times New Roman"/>
          <w:sz w:val="20"/>
          <w:szCs w:val="20"/>
          <w:lang w:val="en-US"/>
        </w:rPr>
        <w:t>The</w:t>
      </w:r>
      <w:r>
        <w:rPr>
          <w:rFonts w:ascii="Times New Roman" w:hAnsi="Times New Roman" w:cs="Times New Roman"/>
          <w:sz w:val="20"/>
          <w:szCs w:val="20"/>
          <w:lang w:val="en-US"/>
        </w:rPr>
        <w:t xml:space="preserve"> objectives</w:t>
      </w:r>
      <w:r w:rsidRPr="009F5EAF">
        <w:rPr>
          <w:rFonts w:ascii="Times New Roman" w:hAnsi="Times New Roman" w:cs="Times New Roman"/>
          <w:sz w:val="20"/>
          <w:szCs w:val="20"/>
          <w:lang w:val="en-US"/>
        </w:rPr>
        <w:t xml:space="preserve"> of this study were to describe the </w:t>
      </w:r>
      <w:r>
        <w:rPr>
          <w:rFonts w:ascii="Times New Roman" w:hAnsi="Times New Roman" w:cs="Times New Roman"/>
          <w:sz w:val="20"/>
          <w:szCs w:val="20"/>
          <w:lang w:val="en-US"/>
        </w:rPr>
        <w:t>role</w:t>
      </w:r>
      <w:r w:rsidRPr="009F5EAF">
        <w:rPr>
          <w:rFonts w:ascii="Times New Roman" w:hAnsi="Times New Roman" w:cs="Times New Roman"/>
          <w:sz w:val="20"/>
          <w:szCs w:val="20"/>
          <w:lang w:val="en-US"/>
        </w:rPr>
        <w:t xml:space="preserve"> of GPs during transition and to identify key elements (helping factors and barriers) of </w:t>
      </w:r>
      <w:r>
        <w:rPr>
          <w:rFonts w:ascii="Times New Roman" w:hAnsi="Times New Roman" w:cs="Times New Roman"/>
          <w:sz w:val="20"/>
          <w:szCs w:val="20"/>
          <w:lang w:val="en-US"/>
        </w:rPr>
        <w:t>their</w:t>
      </w:r>
      <w:r w:rsidRPr="009F5EAF">
        <w:rPr>
          <w:rFonts w:ascii="Times New Roman" w:hAnsi="Times New Roman" w:cs="Times New Roman"/>
          <w:sz w:val="20"/>
          <w:szCs w:val="20"/>
          <w:lang w:val="en-US"/>
        </w:rPr>
        <w:t xml:space="preserve"> involvement during transition</w:t>
      </w:r>
      <w:r w:rsidR="00185A3E">
        <w:rPr>
          <w:rFonts w:ascii="Times New Roman" w:hAnsi="Times New Roman" w:cs="Times New Roman"/>
          <w:sz w:val="20"/>
          <w:szCs w:val="20"/>
          <w:lang w:val="en-US"/>
        </w:rPr>
        <w:t>.</w:t>
      </w:r>
    </w:p>
    <w:p w14:paraId="6898E49A" w14:textId="77777777" w:rsidR="00D317F0" w:rsidRPr="009F5EAF" w:rsidRDefault="00D317F0" w:rsidP="00D317F0">
      <w:pPr>
        <w:spacing w:before="200" w:after="120"/>
        <w:jc w:val="both"/>
        <w:rPr>
          <w:rFonts w:ascii="Times New Roman" w:hAnsi="Times New Roman" w:cs="Times New Roman"/>
          <w:b/>
          <w:sz w:val="20"/>
          <w:szCs w:val="20"/>
          <w:lang w:val="en-US"/>
        </w:rPr>
      </w:pPr>
      <w:r w:rsidRPr="001C4A5F">
        <w:rPr>
          <w:rFonts w:ascii="Times New Roman" w:hAnsi="Times New Roman" w:cs="Times New Roman"/>
          <w:b/>
          <w:sz w:val="20"/>
          <w:szCs w:val="20"/>
          <w:lang w:val="en-US"/>
        </w:rPr>
        <w:t>M</w:t>
      </w:r>
      <w:r>
        <w:rPr>
          <w:rFonts w:ascii="Times New Roman" w:hAnsi="Times New Roman" w:cs="Times New Roman"/>
          <w:b/>
          <w:sz w:val="20"/>
          <w:szCs w:val="20"/>
          <w:lang w:val="en-US"/>
        </w:rPr>
        <w:t>ATERIALS AND METHODS</w:t>
      </w:r>
    </w:p>
    <w:p w14:paraId="02C80967" w14:textId="7C63DBF6" w:rsidR="00F62D9C" w:rsidRDefault="00D317F0" w:rsidP="00D317F0">
      <w:pPr>
        <w:spacing w:after="120"/>
        <w:jc w:val="both"/>
        <w:rPr>
          <w:rFonts w:ascii="Times New Roman" w:hAnsi="Times New Roman" w:cs="Times New Roman"/>
          <w:sz w:val="20"/>
          <w:szCs w:val="20"/>
          <w:lang w:val="en-US"/>
        </w:rPr>
      </w:pPr>
      <w:r w:rsidRPr="009F5EAF">
        <w:rPr>
          <w:rFonts w:ascii="Times New Roman" w:hAnsi="Times New Roman" w:cs="Times New Roman"/>
          <w:sz w:val="20"/>
          <w:szCs w:val="20"/>
          <w:lang w:val="en-US"/>
        </w:rPr>
        <w:t>We conducted a single-center observational study with a mixed method approach: (1) a quantitative study based on data from medical records and</w:t>
      </w:r>
      <w:r>
        <w:rPr>
          <w:rFonts w:ascii="Times New Roman" w:hAnsi="Times New Roman" w:cs="Times New Roman"/>
          <w:sz w:val="20"/>
          <w:szCs w:val="20"/>
          <w:lang w:val="en-US"/>
        </w:rPr>
        <w:t xml:space="preserve"> </w:t>
      </w:r>
      <w:r w:rsidRPr="00B7435C">
        <w:rPr>
          <w:rFonts w:ascii="Times New Roman" w:hAnsi="Times New Roman" w:cs="Times New Roman"/>
          <w:sz w:val="20"/>
          <w:szCs w:val="20"/>
          <w:lang w:val="en-US"/>
        </w:rPr>
        <w:t>phone questionnaires completed</w:t>
      </w:r>
      <w:r w:rsidRPr="009F5EAF">
        <w:rPr>
          <w:rFonts w:ascii="Times New Roman" w:hAnsi="Times New Roman" w:cs="Times New Roman"/>
          <w:sz w:val="20"/>
          <w:szCs w:val="20"/>
          <w:lang w:val="en-US"/>
        </w:rPr>
        <w:t xml:space="preserve"> by GPs; (2) </w:t>
      </w:r>
      <w:r>
        <w:rPr>
          <w:rFonts w:ascii="Times New Roman" w:hAnsi="Times New Roman" w:cs="Times New Roman"/>
          <w:sz w:val="20"/>
          <w:szCs w:val="20"/>
          <w:lang w:val="en-US"/>
        </w:rPr>
        <w:t>a</w:t>
      </w:r>
      <w:r w:rsidRPr="006E41A6">
        <w:rPr>
          <w:rFonts w:ascii="Times New Roman" w:hAnsi="Times New Roman" w:cs="Times New Roman"/>
          <w:sz w:val="20"/>
          <w:szCs w:val="20"/>
          <w:lang w:val="en-US"/>
        </w:rPr>
        <w:t xml:space="preserve"> qualitative study conducted through semi-structured interviews with a panel of GPs</w:t>
      </w:r>
      <w:r w:rsidRPr="009F5EAF">
        <w:rPr>
          <w:rFonts w:ascii="Times New Roman" w:hAnsi="Times New Roman" w:cs="Times New Roman"/>
          <w:sz w:val="20"/>
          <w:szCs w:val="20"/>
          <w:lang w:val="en-US"/>
        </w:rPr>
        <w:t xml:space="preserve">. </w:t>
      </w:r>
      <w:r w:rsidRPr="005B2CDE">
        <w:rPr>
          <w:rFonts w:ascii="Times New Roman" w:hAnsi="Times New Roman" w:cs="Times New Roman"/>
          <w:sz w:val="20"/>
          <w:szCs w:val="20"/>
          <w:lang w:val="en-US"/>
        </w:rPr>
        <w:t>The inclusion criteria for participants were: AYA aged 15 years or more with one of the four C</w:t>
      </w:r>
      <w:r>
        <w:rPr>
          <w:rFonts w:ascii="Times New Roman" w:hAnsi="Times New Roman" w:cs="Times New Roman"/>
          <w:sz w:val="20"/>
          <w:szCs w:val="20"/>
          <w:lang w:val="en-US"/>
        </w:rPr>
        <w:t>C</w:t>
      </w:r>
      <w:r w:rsidRPr="005B2CDE">
        <w:rPr>
          <w:rFonts w:ascii="Times New Roman" w:hAnsi="Times New Roman" w:cs="Times New Roman"/>
          <w:sz w:val="20"/>
          <w:szCs w:val="20"/>
          <w:lang w:val="en-US"/>
        </w:rPr>
        <w:t xml:space="preserve">s (diabetes mellitus, inflammatory bowel disease, epilepsy, sickle cell </w:t>
      </w:r>
      <w:r w:rsidRPr="005B2CDE">
        <w:rPr>
          <w:rFonts w:ascii="Times New Roman" w:hAnsi="Times New Roman" w:cs="Times New Roman"/>
          <w:sz w:val="20"/>
          <w:szCs w:val="20"/>
          <w:lang w:val="en-US"/>
        </w:rPr>
        <w:lastRenderedPageBreak/>
        <w:t>anemia</w:t>
      </w:r>
      <w:r w:rsidRPr="00510057">
        <w:rPr>
          <w:rFonts w:ascii="Times New Roman" w:hAnsi="Times New Roman" w:cs="Times New Roman"/>
          <w:sz w:val="20"/>
          <w:szCs w:val="20"/>
          <w:lang w:val="en-US"/>
        </w:rPr>
        <w:t xml:space="preserve">); </w:t>
      </w:r>
      <w:r w:rsidR="00CD573B" w:rsidRPr="00CD573B">
        <w:rPr>
          <w:rFonts w:ascii="Times New Roman" w:hAnsi="Times New Roman" w:cs="Times New Roman"/>
          <w:sz w:val="20"/>
          <w:szCs w:val="20"/>
          <w:highlight w:val="yellow"/>
          <w:lang w:val="en-US"/>
        </w:rPr>
        <w:t>receiving care at Robert Debré University Pediatric Hospital in northern Paris</w:t>
      </w:r>
      <w:r w:rsidRPr="005B2CDE">
        <w:rPr>
          <w:rFonts w:ascii="Times New Roman" w:hAnsi="Times New Roman" w:cs="Times New Roman"/>
          <w:sz w:val="20"/>
          <w:szCs w:val="20"/>
          <w:lang w:val="en-US"/>
        </w:rPr>
        <w:t xml:space="preserve">; transferred to adult </w:t>
      </w:r>
      <w:r>
        <w:rPr>
          <w:rFonts w:ascii="Times New Roman" w:hAnsi="Times New Roman" w:cs="Times New Roman"/>
          <w:sz w:val="20"/>
          <w:szCs w:val="20"/>
          <w:lang w:val="en-US"/>
        </w:rPr>
        <w:t>health care</w:t>
      </w:r>
      <w:r w:rsidRPr="005B2CDE">
        <w:rPr>
          <w:rFonts w:ascii="Times New Roman" w:hAnsi="Times New Roman" w:cs="Times New Roman"/>
          <w:sz w:val="20"/>
          <w:szCs w:val="20"/>
          <w:lang w:val="en-US"/>
        </w:rPr>
        <w:t xml:space="preserve"> for at least one year; living in France. For each C</w:t>
      </w:r>
      <w:r>
        <w:rPr>
          <w:rFonts w:ascii="Times New Roman" w:hAnsi="Times New Roman" w:cs="Times New Roman"/>
          <w:sz w:val="20"/>
          <w:szCs w:val="20"/>
          <w:lang w:val="en-US"/>
        </w:rPr>
        <w:t>C</w:t>
      </w:r>
      <w:r w:rsidRPr="005B2CDE">
        <w:rPr>
          <w:rFonts w:ascii="Times New Roman" w:hAnsi="Times New Roman" w:cs="Times New Roman"/>
          <w:sz w:val="20"/>
          <w:szCs w:val="20"/>
          <w:lang w:val="en-US"/>
        </w:rPr>
        <w:t>, 30 AYA were recruited to achieve statistical power.</w:t>
      </w:r>
    </w:p>
    <w:p w14:paraId="38C26FDD" w14:textId="56DB9F08" w:rsidR="00F62D9C" w:rsidRDefault="00F62D9C" w:rsidP="00D317F0">
      <w:pPr>
        <w:spacing w:after="120"/>
        <w:jc w:val="both"/>
        <w:rPr>
          <w:rFonts w:ascii="Times New Roman" w:hAnsi="Times New Roman" w:cs="Times New Roman"/>
          <w:sz w:val="20"/>
          <w:szCs w:val="20"/>
          <w:lang w:val="en-US"/>
        </w:rPr>
      </w:pPr>
      <w:r w:rsidRPr="00F62D9C">
        <w:rPr>
          <w:rFonts w:ascii="Times New Roman" w:hAnsi="Times New Roman" w:cs="Times New Roman"/>
          <w:sz w:val="20"/>
          <w:szCs w:val="20"/>
          <w:lang w:val="en-US"/>
        </w:rPr>
        <w:t xml:space="preserve">We conducted a single-center observational study with a mixed method approach: (1) </w:t>
      </w:r>
      <w:r w:rsidRPr="00C43E73">
        <w:rPr>
          <w:rFonts w:ascii="Times New Roman" w:hAnsi="Times New Roman" w:cs="Times New Roman"/>
          <w:sz w:val="20"/>
          <w:szCs w:val="20"/>
          <w:highlight w:val="yellow"/>
          <w:lang w:val="en-US"/>
        </w:rPr>
        <w:t>a quantitative study based on retrospective data from medical records and phone questionnaires completed by GPs</w:t>
      </w:r>
      <w:r w:rsidR="00C43E73" w:rsidRPr="00C43E73">
        <w:rPr>
          <w:rFonts w:ascii="Times New Roman" w:hAnsi="Times New Roman" w:cs="Times New Roman"/>
          <w:sz w:val="20"/>
          <w:szCs w:val="20"/>
          <w:highlight w:val="yellow"/>
          <w:lang w:val="en-US"/>
        </w:rPr>
        <w:t xml:space="preserve"> (</w:t>
      </w:r>
      <w:r w:rsidR="00C555E1" w:rsidRPr="002C201C">
        <w:rPr>
          <w:rFonts w:ascii="Times New Roman" w:hAnsi="Times New Roman" w:cs="Times New Roman"/>
          <w:b/>
          <w:bCs/>
          <w:color w:val="0070C0"/>
          <w:sz w:val="20"/>
          <w:szCs w:val="20"/>
          <w:highlight w:val="yellow"/>
          <w:lang w:val="en-US"/>
        </w:rPr>
        <w:t>Table S1</w:t>
      </w:r>
      <w:r w:rsidR="00C555E1">
        <w:rPr>
          <w:rFonts w:ascii="Times New Roman" w:hAnsi="Times New Roman" w:cs="Times New Roman"/>
          <w:sz w:val="20"/>
          <w:szCs w:val="20"/>
          <w:highlight w:val="yellow"/>
          <w:lang w:val="en-US"/>
        </w:rPr>
        <w:t xml:space="preserve"> “Interview Guide” in the supplementary material</w:t>
      </w:r>
      <w:r w:rsidR="00C43E73" w:rsidRPr="00C43E73">
        <w:rPr>
          <w:rFonts w:ascii="Times New Roman" w:hAnsi="Times New Roman" w:cs="Times New Roman"/>
          <w:sz w:val="20"/>
          <w:szCs w:val="20"/>
          <w:highlight w:val="yellow"/>
          <w:lang w:val="en-US"/>
        </w:rPr>
        <w:t>)</w:t>
      </w:r>
      <w:r w:rsidRPr="00C43E73">
        <w:rPr>
          <w:rFonts w:ascii="Times New Roman" w:hAnsi="Times New Roman" w:cs="Times New Roman"/>
          <w:sz w:val="20"/>
          <w:szCs w:val="20"/>
          <w:highlight w:val="yellow"/>
          <w:lang w:val="en-US"/>
        </w:rPr>
        <w:t>;</w:t>
      </w:r>
      <w:r w:rsidRPr="00F62D9C">
        <w:rPr>
          <w:rFonts w:ascii="Times New Roman" w:hAnsi="Times New Roman" w:cs="Times New Roman"/>
          <w:sz w:val="20"/>
          <w:szCs w:val="20"/>
          <w:lang w:val="en-US"/>
        </w:rPr>
        <w:t xml:space="preserve"> (2) a qualitative study conducted through semi-structured interviews with a panel of GPs. The inclusion criteria for participants were: AYA aged 15 years or more with one of the four CCs (diabetes mellitus, inflammatory bowel disease, epilepsy, sickle cell anemia); receiving care at the University Pediatric Hospital Robert Debré; </w:t>
      </w:r>
      <w:r w:rsidRPr="00F62D9C">
        <w:rPr>
          <w:rFonts w:ascii="Times New Roman" w:hAnsi="Times New Roman" w:cs="Times New Roman"/>
          <w:sz w:val="20"/>
          <w:szCs w:val="20"/>
          <w:highlight w:val="yellow"/>
          <w:lang w:val="en-US"/>
        </w:rPr>
        <w:t>transferred to adult health care between January 2017 and January 2019</w:t>
      </w:r>
      <w:r w:rsidRPr="00F62D9C">
        <w:rPr>
          <w:rFonts w:ascii="Times New Roman" w:hAnsi="Times New Roman" w:cs="Times New Roman"/>
          <w:sz w:val="20"/>
          <w:szCs w:val="20"/>
          <w:lang w:val="en-US"/>
        </w:rPr>
        <w:t>; living in France. For each CC, 30 AYA were recruited to achieve statistical power.</w:t>
      </w:r>
    </w:p>
    <w:p w14:paraId="5321C703" w14:textId="1E40C9AC" w:rsidR="00C26996" w:rsidRPr="00B70F9F" w:rsidRDefault="00C26996" w:rsidP="00C26996">
      <w:pPr>
        <w:spacing w:after="120"/>
        <w:jc w:val="both"/>
        <w:rPr>
          <w:rFonts w:ascii="Times New Roman" w:hAnsi="Times New Roman" w:cs="Times New Roman"/>
          <w:sz w:val="20"/>
          <w:szCs w:val="20"/>
          <w:highlight w:val="yellow"/>
          <w:lang w:val="en-US"/>
        </w:rPr>
      </w:pPr>
      <w:r w:rsidRPr="0081438F">
        <w:rPr>
          <w:rFonts w:ascii="Times New Roman" w:hAnsi="Times New Roman" w:cs="Times New Roman"/>
          <w:sz w:val="20"/>
          <w:szCs w:val="20"/>
          <w:highlight w:val="yellow"/>
          <w:lang w:val="en-US"/>
        </w:rPr>
        <w:t xml:space="preserve">For each AYA, all GPs mentioned </w:t>
      </w:r>
      <w:r w:rsidR="00CC5C63" w:rsidRPr="0081438F">
        <w:rPr>
          <w:rFonts w:ascii="Times New Roman" w:hAnsi="Times New Roman" w:cs="Times New Roman"/>
          <w:sz w:val="20"/>
          <w:szCs w:val="20"/>
          <w:highlight w:val="yellow"/>
          <w:lang w:val="en-US"/>
        </w:rPr>
        <w:t>in the participants’ medical records</w:t>
      </w:r>
      <w:r w:rsidRPr="0081438F">
        <w:rPr>
          <w:rFonts w:ascii="Times New Roman" w:hAnsi="Times New Roman" w:cs="Times New Roman"/>
          <w:sz w:val="20"/>
          <w:szCs w:val="20"/>
          <w:highlight w:val="yellow"/>
          <w:lang w:val="en-US"/>
        </w:rPr>
        <w:t xml:space="preserve"> were </w:t>
      </w:r>
      <w:r w:rsidR="0081438F" w:rsidRPr="0081438F">
        <w:rPr>
          <w:rFonts w:ascii="Times New Roman" w:hAnsi="Times New Roman" w:cs="Times New Roman"/>
          <w:sz w:val="20"/>
          <w:szCs w:val="20"/>
          <w:highlight w:val="yellow"/>
          <w:lang w:val="en-US"/>
        </w:rPr>
        <w:t>contacted for recruitment</w:t>
      </w:r>
      <w:r w:rsidRPr="0081438F">
        <w:rPr>
          <w:rFonts w:ascii="Times New Roman" w:hAnsi="Times New Roman" w:cs="Times New Roman"/>
          <w:sz w:val="20"/>
          <w:szCs w:val="20"/>
          <w:highlight w:val="yellow"/>
          <w:lang w:val="en-US"/>
        </w:rPr>
        <w:t xml:space="preserve">. </w:t>
      </w:r>
      <w:r w:rsidR="000A0B4E" w:rsidRPr="0081438F">
        <w:rPr>
          <w:rFonts w:ascii="Times New Roman" w:hAnsi="Times New Roman" w:cs="Times New Roman"/>
          <w:sz w:val="20"/>
          <w:szCs w:val="20"/>
          <w:highlight w:val="yellow"/>
          <w:lang w:val="en-US"/>
        </w:rPr>
        <w:t>For this study, w</w:t>
      </w:r>
      <w:r w:rsidRPr="0081438F">
        <w:rPr>
          <w:rFonts w:ascii="Times New Roman" w:hAnsi="Times New Roman" w:cs="Times New Roman"/>
          <w:sz w:val="20"/>
          <w:szCs w:val="20"/>
          <w:highlight w:val="yellow"/>
          <w:lang w:val="en-US"/>
        </w:rPr>
        <w:t>e</w:t>
      </w:r>
      <w:r w:rsidR="000A0B4E" w:rsidRPr="0081438F">
        <w:rPr>
          <w:rFonts w:ascii="Times New Roman" w:hAnsi="Times New Roman" w:cs="Times New Roman"/>
          <w:sz w:val="20"/>
          <w:szCs w:val="20"/>
          <w:highlight w:val="yellow"/>
          <w:lang w:val="en-US"/>
        </w:rPr>
        <w:t xml:space="preserve"> a</w:t>
      </w:r>
      <w:r w:rsidR="00EA0E37" w:rsidRPr="0081438F">
        <w:rPr>
          <w:rFonts w:ascii="Times New Roman" w:hAnsi="Times New Roman" w:cs="Times New Roman"/>
          <w:sz w:val="20"/>
          <w:szCs w:val="20"/>
          <w:highlight w:val="yellow"/>
          <w:lang w:val="en-US"/>
        </w:rPr>
        <w:t xml:space="preserve">re using </w:t>
      </w:r>
      <w:r w:rsidRPr="0081438F">
        <w:rPr>
          <w:rFonts w:ascii="Times New Roman" w:hAnsi="Times New Roman" w:cs="Times New Roman"/>
          <w:sz w:val="20"/>
          <w:szCs w:val="20"/>
          <w:highlight w:val="yellow"/>
          <w:lang w:val="en-US"/>
        </w:rPr>
        <w:t xml:space="preserve">two categories of GPs. Attending GPs (A-GPs), </w:t>
      </w:r>
      <w:r w:rsidRPr="0081438F">
        <w:rPr>
          <w:rFonts w:ascii="Times New Roman" w:hAnsi="Times New Roman" w:cs="Times New Roman"/>
          <w:i/>
          <w:iCs/>
          <w:sz w:val="20"/>
          <w:szCs w:val="20"/>
          <w:highlight w:val="yellow"/>
          <w:lang w:val="en-US"/>
        </w:rPr>
        <w:t>médecins traitants</w:t>
      </w:r>
      <w:r w:rsidRPr="0081438F">
        <w:rPr>
          <w:rFonts w:ascii="Times New Roman" w:hAnsi="Times New Roman" w:cs="Times New Roman"/>
          <w:sz w:val="20"/>
          <w:szCs w:val="20"/>
          <w:highlight w:val="yellow"/>
          <w:lang w:val="en-US"/>
        </w:rPr>
        <w:t xml:space="preserve"> in French, </w:t>
      </w:r>
      <w:r w:rsidR="00B70F9F" w:rsidRPr="0081438F">
        <w:rPr>
          <w:rFonts w:ascii="Times New Roman" w:hAnsi="Times New Roman" w:cs="Times New Roman"/>
          <w:sz w:val="20"/>
          <w:szCs w:val="20"/>
          <w:highlight w:val="yellow"/>
          <w:lang w:val="en-US"/>
        </w:rPr>
        <w:t xml:space="preserve">are GPs officially registered by all healthcare system users with the French national health insurance (Assurance Maladie) from </w:t>
      </w:r>
      <w:r w:rsidR="00373A22" w:rsidRPr="0081438F">
        <w:rPr>
          <w:rFonts w:ascii="Times New Roman" w:hAnsi="Times New Roman" w:cs="Times New Roman"/>
          <w:sz w:val="20"/>
          <w:szCs w:val="20"/>
          <w:highlight w:val="yellow"/>
          <w:lang w:val="en-US"/>
        </w:rPr>
        <w:t xml:space="preserve">the </w:t>
      </w:r>
      <w:r w:rsidR="00B70F9F" w:rsidRPr="0081438F">
        <w:rPr>
          <w:rFonts w:ascii="Times New Roman" w:hAnsi="Times New Roman" w:cs="Times New Roman"/>
          <w:sz w:val="20"/>
          <w:szCs w:val="20"/>
          <w:highlight w:val="yellow"/>
          <w:lang w:val="en-US"/>
        </w:rPr>
        <w:t>age</w:t>
      </w:r>
      <w:r w:rsidR="00373A22" w:rsidRPr="0081438F">
        <w:rPr>
          <w:rFonts w:ascii="Times New Roman" w:hAnsi="Times New Roman" w:cs="Times New Roman"/>
          <w:sz w:val="20"/>
          <w:szCs w:val="20"/>
          <w:highlight w:val="yellow"/>
          <w:lang w:val="en-US"/>
        </w:rPr>
        <w:t xml:space="preserve"> of</w:t>
      </w:r>
      <w:r w:rsidR="00B70F9F" w:rsidRPr="0081438F">
        <w:rPr>
          <w:rFonts w:ascii="Times New Roman" w:hAnsi="Times New Roman" w:cs="Times New Roman"/>
          <w:sz w:val="20"/>
          <w:szCs w:val="20"/>
          <w:highlight w:val="yellow"/>
          <w:lang w:val="en-US"/>
        </w:rPr>
        <w:t xml:space="preserve"> 1</w:t>
      </w:r>
      <w:r w:rsidR="00373A22" w:rsidRPr="0081438F">
        <w:rPr>
          <w:rFonts w:ascii="Times New Roman" w:hAnsi="Times New Roman" w:cs="Times New Roman"/>
          <w:sz w:val="20"/>
          <w:szCs w:val="20"/>
          <w:highlight w:val="yellow"/>
          <w:lang w:val="en-US"/>
        </w:rPr>
        <w:t>6</w:t>
      </w:r>
      <w:r w:rsidR="00B70F9F" w:rsidRPr="0081438F">
        <w:rPr>
          <w:rFonts w:ascii="Times New Roman" w:hAnsi="Times New Roman" w:cs="Times New Roman"/>
          <w:sz w:val="20"/>
          <w:szCs w:val="20"/>
          <w:highlight w:val="yellow"/>
          <w:lang w:val="en-US"/>
        </w:rPr>
        <w:t xml:space="preserve">. </w:t>
      </w:r>
      <w:r w:rsidR="00CC5C63" w:rsidRPr="0081438F">
        <w:rPr>
          <w:rFonts w:ascii="Times New Roman" w:hAnsi="Times New Roman" w:cs="Times New Roman"/>
          <w:sz w:val="20"/>
          <w:szCs w:val="20"/>
          <w:highlight w:val="yellow"/>
          <w:lang w:val="en-US"/>
        </w:rPr>
        <w:t>This administrative step aims to improve care coordination and reduce disruptions in care as well as the overuse of specialist services</w:t>
      </w:r>
      <w:r w:rsidR="00B70F9F" w:rsidRPr="0081438F">
        <w:rPr>
          <w:rFonts w:ascii="Times New Roman" w:hAnsi="Times New Roman" w:cs="Times New Roman"/>
          <w:sz w:val="20"/>
          <w:szCs w:val="20"/>
          <w:highlight w:val="yellow"/>
          <w:lang w:val="en-US"/>
        </w:rPr>
        <w:t>.</w:t>
      </w:r>
      <w:r w:rsidR="00373A22" w:rsidRPr="0081438F">
        <w:rPr>
          <w:rFonts w:ascii="Times New Roman" w:hAnsi="Times New Roman" w:cs="Times New Roman"/>
          <w:sz w:val="20"/>
          <w:szCs w:val="20"/>
          <w:highlight w:val="yellow"/>
          <w:lang w:val="en-US"/>
        </w:rPr>
        <w:t xml:space="preserve"> </w:t>
      </w:r>
      <w:r w:rsidRPr="0081438F">
        <w:rPr>
          <w:rFonts w:ascii="Times New Roman" w:hAnsi="Times New Roman" w:cs="Times New Roman"/>
          <w:sz w:val="20"/>
          <w:szCs w:val="20"/>
          <w:highlight w:val="yellow"/>
          <w:lang w:val="en-US"/>
        </w:rPr>
        <w:t xml:space="preserve">GPs of reference (GPORs), </w:t>
      </w:r>
      <w:r w:rsidRPr="0081438F">
        <w:rPr>
          <w:rFonts w:ascii="Times New Roman" w:hAnsi="Times New Roman" w:cs="Times New Roman"/>
          <w:i/>
          <w:iCs/>
          <w:sz w:val="20"/>
          <w:szCs w:val="20"/>
          <w:highlight w:val="yellow"/>
          <w:lang w:val="en-US"/>
        </w:rPr>
        <w:t>médecins référents</w:t>
      </w:r>
      <w:r w:rsidRPr="0081438F">
        <w:rPr>
          <w:rFonts w:ascii="Times New Roman" w:hAnsi="Times New Roman" w:cs="Times New Roman"/>
          <w:sz w:val="20"/>
          <w:szCs w:val="20"/>
          <w:highlight w:val="yellow"/>
          <w:lang w:val="en-US"/>
        </w:rPr>
        <w:t xml:space="preserve"> in French,</w:t>
      </w:r>
      <w:r w:rsidR="00373A22" w:rsidRPr="0081438F">
        <w:rPr>
          <w:rFonts w:ascii="Times New Roman" w:hAnsi="Times New Roman" w:cs="Times New Roman"/>
          <w:sz w:val="20"/>
          <w:szCs w:val="20"/>
          <w:highlight w:val="yellow"/>
          <w:lang w:val="en-US"/>
        </w:rPr>
        <w:t xml:space="preserve"> were defined in our study </w:t>
      </w:r>
      <w:r w:rsidR="00EA0E37" w:rsidRPr="0081438F">
        <w:rPr>
          <w:rFonts w:ascii="Times New Roman" w:hAnsi="Times New Roman" w:cs="Times New Roman"/>
          <w:sz w:val="20"/>
          <w:szCs w:val="20"/>
          <w:highlight w:val="yellow"/>
          <w:lang w:val="en-US"/>
        </w:rPr>
        <w:t>a</w:t>
      </w:r>
      <w:r w:rsidR="00373A22" w:rsidRPr="0081438F">
        <w:rPr>
          <w:rFonts w:ascii="Times New Roman" w:hAnsi="Times New Roman" w:cs="Times New Roman"/>
          <w:sz w:val="20"/>
          <w:szCs w:val="20"/>
          <w:highlight w:val="yellow"/>
          <w:lang w:val="en-US"/>
        </w:rPr>
        <w:t>s</w:t>
      </w:r>
      <w:r w:rsidRPr="0081438F">
        <w:rPr>
          <w:rFonts w:ascii="Times New Roman" w:hAnsi="Times New Roman" w:cs="Times New Roman"/>
          <w:sz w:val="20"/>
          <w:szCs w:val="20"/>
          <w:highlight w:val="yellow"/>
          <w:lang w:val="en-US"/>
        </w:rPr>
        <w:t xml:space="preserve"> GPs who </w:t>
      </w:r>
      <w:r w:rsidR="00B70F9F" w:rsidRPr="0081438F">
        <w:rPr>
          <w:rFonts w:ascii="Times New Roman" w:hAnsi="Times New Roman" w:cs="Times New Roman"/>
          <w:sz w:val="20"/>
          <w:szCs w:val="20"/>
          <w:highlight w:val="yellow"/>
          <w:lang w:val="en-US"/>
        </w:rPr>
        <w:t>ha</w:t>
      </w:r>
      <w:r w:rsidR="00373A22" w:rsidRPr="0081438F">
        <w:rPr>
          <w:rFonts w:ascii="Times New Roman" w:hAnsi="Times New Roman" w:cs="Times New Roman"/>
          <w:sz w:val="20"/>
          <w:szCs w:val="20"/>
          <w:highlight w:val="yellow"/>
          <w:lang w:val="en-US"/>
        </w:rPr>
        <w:t>d</w:t>
      </w:r>
      <w:r w:rsidR="00B70F9F" w:rsidRPr="0081438F">
        <w:rPr>
          <w:rFonts w:ascii="Times New Roman" w:hAnsi="Times New Roman" w:cs="Times New Roman"/>
          <w:sz w:val="20"/>
          <w:szCs w:val="20"/>
          <w:highlight w:val="yellow"/>
          <w:lang w:val="en-US"/>
        </w:rPr>
        <w:t xml:space="preserve"> seen</w:t>
      </w:r>
      <w:r w:rsidRPr="0081438F">
        <w:rPr>
          <w:rFonts w:ascii="Times New Roman" w:hAnsi="Times New Roman" w:cs="Times New Roman"/>
          <w:sz w:val="20"/>
          <w:szCs w:val="20"/>
          <w:highlight w:val="yellow"/>
          <w:lang w:val="en-US"/>
        </w:rPr>
        <w:t xml:space="preserve"> the AYA at least once in the two years preceding the study, </w:t>
      </w:r>
      <w:r w:rsidR="00B70F9F" w:rsidRPr="0081438F">
        <w:rPr>
          <w:rFonts w:ascii="Times New Roman" w:hAnsi="Times New Roman" w:cs="Times New Roman"/>
          <w:sz w:val="20"/>
          <w:szCs w:val="20"/>
          <w:highlight w:val="yellow"/>
          <w:lang w:val="en-US"/>
        </w:rPr>
        <w:t>indicating an active role in their medical follow-up</w:t>
      </w:r>
      <w:r w:rsidRPr="0081438F">
        <w:rPr>
          <w:rFonts w:ascii="Times New Roman" w:hAnsi="Times New Roman" w:cs="Times New Roman"/>
          <w:sz w:val="20"/>
          <w:szCs w:val="20"/>
          <w:highlight w:val="yellow"/>
          <w:lang w:val="en-US"/>
        </w:rPr>
        <w:t xml:space="preserve">. </w:t>
      </w:r>
      <w:r w:rsidR="00CC5C63" w:rsidRPr="0081438F">
        <w:rPr>
          <w:rFonts w:ascii="Times New Roman" w:hAnsi="Times New Roman" w:cs="Times New Roman"/>
          <w:sz w:val="20"/>
          <w:szCs w:val="20"/>
          <w:highlight w:val="yellow"/>
          <w:lang w:val="en-US"/>
        </w:rPr>
        <w:t xml:space="preserve">The </w:t>
      </w:r>
      <w:r w:rsidRPr="0081438F">
        <w:rPr>
          <w:rFonts w:ascii="Times New Roman" w:hAnsi="Times New Roman" w:cs="Times New Roman"/>
          <w:sz w:val="20"/>
          <w:szCs w:val="20"/>
          <w:highlight w:val="yellow"/>
          <w:lang w:val="en-US"/>
        </w:rPr>
        <w:t xml:space="preserve">A-GP and GPOR </w:t>
      </w:r>
      <w:r w:rsidR="00CC5C63" w:rsidRPr="0081438F">
        <w:rPr>
          <w:rFonts w:ascii="Times New Roman" w:hAnsi="Times New Roman" w:cs="Times New Roman"/>
          <w:sz w:val="20"/>
          <w:szCs w:val="20"/>
          <w:highlight w:val="yellow"/>
          <w:lang w:val="en-US"/>
        </w:rPr>
        <w:t>may</w:t>
      </w:r>
      <w:r w:rsidRPr="0081438F">
        <w:rPr>
          <w:rFonts w:ascii="Times New Roman" w:hAnsi="Times New Roman" w:cs="Times New Roman"/>
          <w:sz w:val="20"/>
          <w:szCs w:val="20"/>
          <w:highlight w:val="yellow"/>
          <w:lang w:val="en-US"/>
        </w:rPr>
        <w:t xml:space="preserve"> be the same person, but not necessarily.</w:t>
      </w:r>
      <w:r>
        <w:rPr>
          <w:rFonts w:ascii="Times New Roman" w:hAnsi="Times New Roman" w:cs="Times New Roman"/>
          <w:sz w:val="20"/>
          <w:szCs w:val="20"/>
          <w:lang w:val="en-US"/>
        </w:rPr>
        <w:t xml:space="preserve"> </w:t>
      </w:r>
      <w:r w:rsidRPr="00100D86">
        <w:rPr>
          <w:rFonts w:ascii="Times New Roman" w:hAnsi="Times New Roman" w:cs="Times New Roman"/>
          <w:sz w:val="20"/>
          <w:szCs w:val="20"/>
          <w:lang w:val="en-US"/>
        </w:rPr>
        <w:t xml:space="preserve">GPORs were considered </w:t>
      </w:r>
      <w:r w:rsidR="00CC5C63">
        <w:rPr>
          <w:rFonts w:ascii="Times New Roman" w:hAnsi="Times New Roman" w:cs="Times New Roman"/>
          <w:sz w:val="20"/>
          <w:szCs w:val="20"/>
          <w:lang w:val="en-US"/>
        </w:rPr>
        <w:t xml:space="preserve">to be </w:t>
      </w:r>
      <w:r w:rsidRPr="00592855">
        <w:rPr>
          <w:rFonts w:ascii="Times New Roman" w:hAnsi="Times New Roman" w:cs="Times New Roman"/>
          <w:i/>
          <w:iCs/>
          <w:sz w:val="20"/>
          <w:szCs w:val="20"/>
          <w:lang w:val="en-US"/>
        </w:rPr>
        <w:t xml:space="preserve">involved </w:t>
      </w:r>
      <w:r w:rsidRPr="00592855">
        <w:rPr>
          <w:rFonts w:ascii="Times New Roman" w:hAnsi="Times New Roman" w:cs="Times New Roman"/>
          <w:bCs/>
          <w:i/>
          <w:iCs/>
          <w:sz w:val="20"/>
          <w:szCs w:val="20"/>
          <w:lang w:val="en-US"/>
        </w:rPr>
        <w:t xml:space="preserve">in </w:t>
      </w:r>
      <w:r w:rsidR="00CC5C63">
        <w:rPr>
          <w:rFonts w:ascii="Times New Roman" w:hAnsi="Times New Roman" w:cs="Times New Roman"/>
          <w:bCs/>
          <w:i/>
          <w:iCs/>
          <w:sz w:val="20"/>
          <w:szCs w:val="20"/>
          <w:lang w:val="en-US"/>
        </w:rPr>
        <w:t xml:space="preserve">the </w:t>
      </w:r>
      <w:r w:rsidRPr="00592855">
        <w:rPr>
          <w:rFonts w:ascii="Times New Roman" w:hAnsi="Times New Roman" w:cs="Times New Roman"/>
          <w:bCs/>
          <w:i/>
          <w:iCs/>
          <w:sz w:val="20"/>
          <w:szCs w:val="20"/>
          <w:lang w:val="en-US"/>
        </w:rPr>
        <w:t>AYA's CC management</w:t>
      </w:r>
      <w:r w:rsidRPr="00100D86">
        <w:rPr>
          <w:rFonts w:ascii="Times New Roman" w:hAnsi="Times New Roman" w:cs="Times New Roman"/>
          <w:sz w:val="20"/>
          <w:szCs w:val="20"/>
          <w:lang w:val="en-US"/>
        </w:rPr>
        <w:t xml:space="preserve"> if they were aware of the name of their CC and if </w:t>
      </w:r>
      <w:r w:rsidR="00CC5C63">
        <w:rPr>
          <w:rFonts w:ascii="Times New Roman" w:hAnsi="Times New Roman" w:cs="Times New Roman"/>
          <w:sz w:val="20"/>
          <w:szCs w:val="20"/>
          <w:lang w:val="en-US"/>
        </w:rPr>
        <w:t xml:space="preserve">the </w:t>
      </w:r>
      <w:r w:rsidRPr="00100D86">
        <w:rPr>
          <w:rFonts w:ascii="Times New Roman" w:hAnsi="Times New Roman" w:cs="Times New Roman"/>
          <w:sz w:val="20"/>
          <w:szCs w:val="20"/>
          <w:lang w:val="en-US"/>
        </w:rPr>
        <w:t xml:space="preserve">CC was addressed </w:t>
      </w:r>
      <w:r w:rsidRPr="007817F9">
        <w:rPr>
          <w:rFonts w:ascii="Times New Roman" w:hAnsi="Times New Roman" w:cs="Times New Roman"/>
          <w:sz w:val="20"/>
          <w:szCs w:val="20"/>
          <w:lang w:val="en-US"/>
        </w:rPr>
        <w:t>during at least on</w:t>
      </w:r>
      <w:r w:rsidR="0081438F">
        <w:rPr>
          <w:rFonts w:ascii="Times New Roman" w:hAnsi="Times New Roman" w:cs="Times New Roman"/>
          <w:sz w:val="20"/>
          <w:szCs w:val="20"/>
          <w:lang w:val="en-US"/>
        </w:rPr>
        <w:t>c</w:t>
      </w:r>
      <w:r w:rsidRPr="007817F9">
        <w:rPr>
          <w:rFonts w:ascii="Times New Roman" w:hAnsi="Times New Roman" w:cs="Times New Roman"/>
          <w:sz w:val="20"/>
          <w:szCs w:val="20"/>
          <w:lang w:val="en-US"/>
        </w:rPr>
        <w:t>e</w:t>
      </w:r>
      <w:r w:rsidRPr="00100D86">
        <w:rPr>
          <w:rFonts w:ascii="Times New Roman" w:hAnsi="Times New Roman" w:cs="Times New Roman"/>
          <w:sz w:val="20"/>
          <w:szCs w:val="20"/>
          <w:lang w:val="en-US"/>
        </w:rPr>
        <w:t xml:space="preserve"> of the last two consultations</w:t>
      </w:r>
      <w:r>
        <w:rPr>
          <w:rFonts w:ascii="Times New Roman" w:hAnsi="Times New Roman" w:cs="Times New Roman"/>
          <w:sz w:val="20"/>
          <w:szCs w:val="20"/>
          <w:lang w:val="en-US"/>
        </w:rPr>
        <w:t xml:space="preserve">. GPORs were </w:t>
      </w:r>
      <w:r w:rsidRPr="00100D86">
        <w:rPr>
          <w:rFonts w:ascii="Times New Roman" w:hAnsi="Times New Roman" w:cs="Times New Roman"/>
          <w:sz w:val="20"/>
          <w:szCs w:val="20"/>
          <w:lang w:val="en-US"/>
        </w:rPr>
        <w:t>considered as</w:t>
      </w:r>
      <w:r>
        <w:rPr>
          <w:rFonts w:ascii="Times New Roman" w:hAnsi="Times New Roman" w:cs="Times New Roman"/>
          <w:sz w:val="20"/>
          <w:szCs w:val="20"/>
          <w:lang w:val="en-US"/>
        </w:rPr>
        <w:t xml:space="preserve"> </w:t>
      </w:r>
      <w:r w:rsidRPr="00592855">
        <w:rPr>
          <w:rFonts w:ascii="Times New Roman" w:hAnsi="Times New Roman" w:cs="Times New Roman"/>
          <w:i/>
          <w:iCs/>
          <w:sz w:val="20"/>
          <w:szCs w:val="20"/>
          <w:lang w:val="en-US"/>
        </w:rPr>
        <w:t>involved in the transition process</w:t>
      </w:r>
      <w:r w:rsidRPr="00100D86">
        <w:rPr>
          <w:rFonts w:ascii="Times New Roman" w:hAnsi="Times New Roman" w:cs="Times New Roman"/>
          <w:sz w:val="20"/>
          <w:szCs w:val="20"/>
          <w:lang w:val="en-US"/>
        </w:rPr>
        <w:t xml:space="preserve"> if they had recommended a service or colleague in adult health care.</w:t>
      </w:r>
    </w:p>
    <w:p w14:paraId="73EF52CB" w14:textId="6DE10A6F" w:rsidR="00D317F0" w:rsidRDefault="00D317F0" w:rsidP="00D317F0">
      <w:pPr>
        <w:spacing w:after="120"/>
        <w:jc w:val="both"/>
        <w:rPr>
          <w:rFonts w:ascii="Times New Roman" w:hAnsi="Times New Roman" w:cs="Times New Roman"/>
          <w:sz w:val="20"/>
          <w:szCs w:val="20"/>
          <w:lang w:val="en-US"/>
        </w:rPr>
      </w:pPr>
      <w:r w:rsidRPr="008626A9">
        <w:rPr>
          <w:rFonts w:ascii="Times New Roman" w:hAnsi="Times New Roman" w:cs="Times New Roman"/>
          <w:sz w:val="20"/>
          <w:szCs w:val="20"/>
          <w:lang w:val="en-US"/>
        </w:rPr>
        <w:t xml:space="preserve">All GPs were contacted to participate to a phone interview with </w:t>
      </w:r>
      <w:r>
        <w:rPr>
          <w:rFonts w:ascii="Times New Roman" w:hAnsi="Times New Roman" w:cs="Times New Roman"/>
          <w:sz w:val="20"/>
          <w:szCs w:val="20"/>
          <w:lang w:val="en-US"/>
        </w:rPr>
        <w:t xml:space="preserve">Doctor </w:t>
      </w:r>
      <w:r w:rsidRPr="008626A9">
        <w:rPr>
          <w:rFonts w:ascii="Times New Roman" w:hAnsi="Times New Roman" w:cs="Times New Roman"/>
          <w:sz w:val="20"/>
          <w:szCs w:val="20"/>
          <w:lang w:val="en-US"/>
        </w:rPr>
        <w:t>J</w:t>
      </w:r>
      <w:r>
        <w:rPr>
          <w:rFonts w:ascii="Times New Roman" w:hAnsi="Times New Roman" w:cs="Times New Roman"/>
          <w:sz w:val="20"/>
          <w:szCs w:val="20"/>
          <w:lang w:val="en-US"/>
        </w:rPr>
        <w:t>érémy Puyraimond-Zemmour</w:t>
      </w:r>
      <w:r w:rsidRPr="008626A9">
        <w:rPr>
          <w:rFonts w:ascii="Times New Roman" w:hAnsi="Times New Roman" w:cs="Times New Roman"/>
          <w:sz w:val="20"/>
          <w:szCs w:val="20"/>
          <w:lang w:val="en-US"/>
        </w:rPr>
        <w:t xml:space="preserve"> based on a questionnaire of 32 items (quantitative survey). When questionnaire</w:t>
      </w:r>
      <w:r>
        <w:rPr>
          <w:rFonts w:ascii="Times New Roman" w:hAnsi="Times New Roman" w:cs="Times New Roman"/>
          <w:sz w:val="20"/>
          <w:szCs w:val="20"/>
          <w:lang w:val="en-US"/>
        </w:rPr>
        <w:t>s</w:t>
      </w:r>
      <w:r w:rsidRPr="008626A9">
        <w:rPr>
          <w:rFonts w:ascii="Times New Roman" w:hAnsi="Times New Roman" w:cs="Times New Roman"/>
          <w:sz w:val="20"/>
          <w:szCs w:val="20"/>
          <w:lang w:val="en-US"/>
        </w:rPr>
        <w:t xml:space="preserve"> were </w:t>
      </w:r>
      <w:r w:rsidR="00A93C60" w:rsidRPr="008626A9">
        <w:rPr>
          <w:rFonts w:ascii="Times New Roman" w:hAnsi="Times New Roman" w:cs="Times New Roman"/>
          <w:sz w:val="20"/>
          <w:szCs w:val="20"/>
          <w:lang w:val="en-US"/>
        </w:rPr>
        <w:t>fulfilled</w:t>
      </w:r>
      <w:r w:rsidRPr="008626A9">
        <w:rPr>
          <w:rFonts w:ascii="Times New Roman" w:hAnsi="Times New Roman" w:cs="Times New Roman"/>
          <w:sz w:val="20"/>
          <w:szCs w:val="20"/>
          <w:lang w:val="en-US"/>
        </w:rPr>
        <w:t>, GPs were invited to continue with a semi-structured phone interview, exploring their experiences with transition and their relationships with hospitals (qualitative study), until data saturation was reached.</w:t>
      </w:r>
    </w:p>
    <w:p w14:paraId="1AD12FF5" w14:textId="7C7DD3BA" w:rsidR="00E20AD6" w:rsidRDefault="00E20AD6" w:rsidP="00D317F0">
      <w:pPr>
        <w:spacing w:after="120"/>
        <w:jc w:val="both"/>
        <w:rPr>
          <w:rFonts w:ascii="Times New Roman" w:hAnsi="Times New Roman" w:cs="Times New Roman"/>
          <w:sz w:val="20"/>
          <w:szCs w:val="20"/>
          <w:lang w:val="en-US"/>
        </w:rPr>
      </w:pPr>
      <w:r w:rsidRPr="00E20AD6">
        <w:rPr>
          <w:rFonts w:ascii="Times New Roman" w:hAnsi="Times New Roman" w:cs="Times New Roman"/>
          <w:sz w:val="20"/>
          <w:szCs w:val="20"/>
          <w:highlight w:val="yellow"/>
          <w:lang w:val="en-US"/>
        </w:rPr>
        <w:t>To evaluate the quality of communication between the hospital and the referring general practitioner (GPOR), we defined communication as good if the GP received at least one hospital letter concerning the AYA in the two years preceding the transfer.</w:t>
      </w:r>
    </w:p>
    <w:p w14:paraId="3F482B75" w14:textId="6B5AF195" w:rsidR="00D317F0" w:rsidRDefault="00E20AD6" w:rsidP="00D317F0">
      <w:pPr>
        <w:spacing w:after="120"/>
        <w:jc w:val="both"/>
        <w:rPr>
          <w:rFonts w:ascii="Times New Roman" w:hAnsi="Times New Roman" w:cs="Times New Roman"/>
          <w:sz w:val="20"/>
          <w:szCs w:val="20"/>
          <w:lang w:val="en-US"/>
        </w:rPr>
      </w:pPr>
      <w:r w:rsidRPr="00E20AD6">
        <w:rPr>
          <w:rFonts w:ascii="Times New Roman" w:hAnsi="Times New Roman" w:cs="Times New Roman"/>
          <w:sz w:val="20"/>
          <w:szCs w:val="20"/>
          <w:highlight w:val="yellow"/>
          <w:lang w:val="en-US"/>
        </w:rPr>
        <w:t>In our study, we also defined</w:t>
      </w:r>
      <w:r w:rsidR="00D317F0" w:rsidRPr="00E20AD6">
        <w:rPr>
          <w:rFonts w:ascii="Times New Roman" w:hAnsi="Times New Roman" w:cs="Times New Roman"/>
          <w:sz w:val="20"/>
          <w:szCs w:val="20"/>
          <w:highlight w:val="yellow"/>
          <w:lang w:val="en-US"/>
        </w:rPr>
        <w:t>:</w:t>
      </w:r>
      <w:r w:rsidR="00062A9D" w:rsidRPr="00E20AD6">
        <w:rPr>
          <w:rFonts w:ascii="Times New Roman" w:hAnsi="Times New Roman" w:cs="Times New Roman"/>
          <w:sz w:val="20"/>
          <w:szCs w:val="20"/>
          <w:highlight w:val="yellow"/>
          <w:lang w:val="en-US"/>
        </w:rPr>
        <w:t xml:space="preserve"> medically </w:t>
      </w:r>
      <w:r w:rsidR="00062A9D" w:rsidRPr="00E37F40">
        <w:rPr>
          <w:rFonts w:ascii="Times New Roman" w:hAnsi="Times New Roman" w:cs="Times New Roman"/>
          <w:sz w:val="20"/>
          <w:szCs w:val="20"/>
          <w:highlight w:val="yellow"/>
          <w:lang w:val="en-US"/>
        </w:rPr>
        <w:t>underserved areas are territories with limited access to primary care services</w:t>
      </w:r>
      <w:r w:rsidR="008123DF">
        <w:rPr>
          <w:rFonts w:ascii="Times New Roman" w:hAnsi="Times New Roman" w:cs="Times New Roman"/>
          <w:sz w:val="20"/>
          <w:szCs w:val="20"/>
          <w:highlight w:val="yellow"/>
          <w:lang w:val="en-US"/>
        </w:rPr>
        <w:t xml:space="preserve"> </w:t>
      </w:r>
      <w:r w:rsidR="00062A9D" w:rsidRPr="00E37F40">
        <w:rPr>
          <w:rFonts w:ascii="Times New Roman" w:hAnsi="Times New Roman" w:cs="Times New Roman"/>
          <w:sz w:val="20"/>
          <w:szCs w:val="20"/>
          <w:highlight w:val="yellow"/>
          <w:lang w:val="en-US"/>
        </w:rPr>
        <w:t xml:space="preserve">as defined by </w:t>
      </w:r>
      <w:r w:rsidR="008123DF">
        <w:rPr>
          <w:rFonts w:ascii="Times New Roman" w:hAnsi="Times New Roman" w:cs="Times New Roman"/>
          <w:sz w:val="20"/>
          <w:szCs w:val="20"/>
          <w:highlight w:val="yellow"/>
          <w:lang w:val="en-US"/>
        </w:rPr>
        <w:t>F</w:t>
      </w:r>
      <w:r w:rsidR="00062A9D" w:rsidRPr="00E37F40">
        <w:rPr>
          <w:rFonts w:ascii="Times New Roman" w:hAnsi="Times New Roman" w:cs="Times New Roman"/>
          <w:sz w:val="20"/>
          <w:szCs w:val="20"/>
          <w:highlight w:val="yellow"/>
          <w:lang w:val="en-US"/>
        </w:rPr>
        <w:t>rench health authorities</w:t>
      </w:r>
      <w:r w:rsidR="008123DF">
        <w:rPr>
          <w:rFonts w:ascii="Times New Roman" w:hAnsi="Times New Roman" w:cs="Times New Roman"/>
          <w:sz w:val="20"/>
          <w:szCs w:val="20"/>
          <w:highlight w:val="yellow"/>
          <w:lang w:val="en-US"/>
        </w:rPr>
        <w:fldChar w:fldCharType="begin"/>
      </w:r>
      <w:r w:rsidR="008123DF">
        <w:rPr>
          <w:rFonts w:ascii="Times New Roman" w:hAnsi="Times New Roman" w:cs="Times New Roman"/>
          <w:sz w:val="20"/>
          <w:szCs w:val="20"/>
          <w:highlight w:val="yellow"/>
          <w:lang w:val="en-US"/>
        </w:rPr>
        <w:instrText xml:space="preserve"> ADDIN ZOTERO_ITEM CSL_CITATION {"citationID":"hiEI3DoV","properties":{"formattedCitation":"[24]","plainCitation":"[24]","noteIndex":0},"citationItems":[{"id":346,"uris":["http://zotero.org/users/6853045/items/WEMN93BE"],"itemData":{"id":346,"type":"webpage","container-title":"Île-de-France Regional Health Agency (ARS)","title":"Medical zoning: map of areas eligible for GP installation and retention incentives.","URL":"https://www.iledefrance.ars.sante.fr/zonage-medecins-2022-carte-des-zones-concernees-par-les-aides-linstallation-et-au-maintien-des","issued":{"date-parts":[["2022"]]}}}],"schema":"https://github.com/citation-style-language/schema/raw/master/csl-citation.json"} </w:instrText>
      </w:r>
      <w:r w:rsidR="008123DF">
        <w:rPr>
          <w:rFonts w:ascii="Times New Roman" w:hAnsi="Times New Roman" w:cs="Times New Roman"/>
          <w:sz w:val="20"/>
          <w:szCs w:val="20"/>
          <w:highlight w:val="yellow"/>
          <w:lang w:val="en-US"/>
        </w:rPr>
        <w:fldChar w:fldCharType="separate"/>
      </w:r>
      <w:r w:rsidR="008123DF" w:rsidRPr="008123DF">
        <w:rPr>
          <w:rFonts w:ascii="Times New Roman" w:hAnsi="Times New Roman" w:cs="Times New Roman"/>
          <w:sz w:val="20"/>
          <w:highlight w:val="yellow"/>
          <w:lang w:val="en-US"/>
        </w:rPr>
        <w:t>[24]</w:t>
      </w:r>
      <w:r w:rsidR="008123DF">
        <w:rPr>
          <w:rFonts w:ascii="Times New Roman" w:hAnsi="Times New Roman" w:cs="Times New Roman"/>
          <w:sz w:val="20"/>
          <w:szCs w:val="20"/>
          <w:highlight w:val="yellow"/>
          <w:lang w:val="en-US"/>
        </w:rPr>
        <w:fldChar w:fldCharType="end"/>
      </w:r>
      <w:r w:rsidR="00D317F0" w:rsidRPr="00E37F40">
        <w:rPr>
          <w:rFonts w:ascii="Times New Roman" w:hAnsi="Times New Roman" w:cs="Times New Roman"/>
          <w:sz w:val="20"/>
          <w:szCs w:val="20"/>
          <w:lang w:val="en-US"/>
        </w:rPr>
        <w:t>,</w:t>
      </w:r>
      <w:r w:rsidR="00D317F0" w:rsidRPr="0067282E">
        <w:rPr>
          <w:rFonts w:ascii="Times New Roman" w:hAnsi="Times New Roman" w:cs="Times New Roman"/>
          <w:sz w:val="20"/>
          <w:szCs w:val="20"/>
          <w:lang w:val="en-US"/>
        </w:rPr>
        <w:t xml:space="preserve"> severity and stability of each disease are defined </w:t>
      </w:r>
      <w:r w:rsidRPr="00C43E73">
        <w:rPr>
          <w:rFonts w:ascii="Times New Roman" w:hAnsi="Times New Roman" w:cs="Times New Roman"/>
          <w:sz w:val="20"/>
          <w:szCs w:val="20"/>
          <w:highlight w:val="yellow"/>
          <w:lang w:val="en-US"/>
        </w:rPr>
        <w:t xml:space="preserve">in </w:t>
      </w:r>
      <w:r w:rsidRPr="00C555E1">
        <w:rPr>
          <w:rFonts w:ascii="Times New Roman" w:hAnsi="Times New Roman" w:cs="Times New Roman"/>
          <w:sz w:val="20"/>
          <w:szCs w:val="20"/>
          <w:highlight w:val="yellow"/>
          <w:lang w:val="en-US"/>
        </w:rPr>
        <w:t>the supplementary material</w:t>
      </w:r>
      <w:r w:rsidR="00C555E1" w:rsidRPr="00C555E1">
        <w:rPr>
          <w:rFonts w:ascii="Times New Roman" w:hAnsi="Times New Roman" w:cs="Times New Roman"/>
          <w:sz w:val="20"/>
          <w:szCs w:val="20"/>
          <w:highlight w:val="yellow"/>
          <w:lang w:val="en-US"/>
        </w:rPr>
        <w:t xml:space="preserve"> (</w:t>
      </w:r>
      <w:r w:rsidR="00C555E1" w:rsidRPr="00751E6E">
        <w:rPr>
          <w:rFonts w:ascii="Times New Roman" w:hAnsi="Times New Roman" w:cs="Times New Roman"/>
          <w:b/>
          <w:bCs/>
          <w:color w:val="0070C0"/>
          <w:sz w:val="20"/>
          <w:szCs w:val="20"/>
          <w:highlight w:val="yellow"/>
          <w:lang w:val="en-US"/>
        </w:rPr>
        <w:t>Table S2</w:t>
      </w:r>
      <w:r w:rsidR="00C555E1" w:rsidRPr="00C555E1">
        <w:rPr>
          <w:rFonts w:ascii="Times New Roman" w:hAnsi="Times New Roman" w:cs="Times New Roman"/>
          <w:sz w:val="20"/>
          <w:szCs w:val="20"/>
          <w:highlight w:val="yellow"/>
          <w:lang w:val="en-US"/>
        </w:rPr>
        <w:t>)</w:t>
      </w:r>
      <w:r w:rsidR="00D317F0" w:rsidRPr="0067282E">
        <w:rPr>
          <w:rFonts w:ascii="Times New Roman" w:hAnsi="Times New Roman" w:cs="Times New Roman"/>
          <w:sz w:val="20"/>
          <w:szCs w:val="20"/>
          <w:lang w:val="en-US"/>
        </w:rPr>
        <w:t xml:space="preserve">, duration of follow-up was calculated based on the date of the first and last visits / appointment at the hospital or with the GP, regularity of pediatric follow-up was calculated based on the number of appointments </w:t>
      </w:r>
      <w:r w:rsidR="00D317F0">
        <w:rPr>
          <w:rFonts w:ascii="Times New Roman" w:hAnsi="Times New Roman" w:cs="Times New Roman"/>
          <w:sz w:val="20"/>
          <w:szCs w:val="20"/>
          <w:lang w:val="en-US"/>
        </w:rPr>
        <w:t xml:space="preserve">the </w:t>
      </w:r>
      <w:r w:rsidR="00D317F0" w:rsidRPr="0067282E">
        <w:rPr>
          <w:rFonts w:ascii="Times New Roman" w:hAnsi="Times New Roman" w:cs="Times New Roman"/>
          <w:sz w:val="20"/>
          <w:szCs w:val="20"/>
          <w:lang w:val="en-US"/>
        </w:rPr>
        <w:t xml:space="preserve">AYA had in the </w:t>
      </w:r>
      <w:r w:rsidR="00D317F0">
        <w:rPr>
          <w:rFonts w:ascii="Times New Roman" w:hAnsi="Times New Roman" w:cs="Times New Roman"/>
          <w:sz w:val="20"/>
          <w:szCs w:val="20"/>
          <w:lang w:val="en-US"/>
        </w:rPr>
        <w:t>two</w:t>
      </w:r>
      <w:r w:rsidR="00D317F0" w:rsidRPr="0067282E">
        <w:rPr>
          <w:rFonts w:ascii="Times New Roman" w:hAnsi="Times New Roman" w:cs="Times New Roman"/>
          <w:sz w:val="20"/>
          <w:szCs w:val="20"/>
          <w:lang w:val="en-US"/>
        </w:rPr>
        <w:t xml:space="preserve"> years preceding the transfer</w:t>
      </w:r>
      <w:r w:rsidR="00D317F0">
        <w:rPr>
          <w:rFonts w:ascii="Times New Roman" w:hAnsi="Times New Roman" w:cs="Times New Roman"/>
          <w:sz w:val="20"/>
          <w:szCs w:val="20"/>
          <w:lang w:val="en-US"/>
        </w:rPr>
        <w:t>, a</w:t>
      </w:r>
      <w:r w:rsidR="00D317F0" w:rsidRPr="00660F43">
        <w:rPr>
          <w:rFonts w:ascii="Times New Roman" w:hAnsi="Times New Roman" w:cs="Times New Roman"/>
          <w:sz w:val="20"/>
          <w:szCs w:val="20"/>
          <w:lang w:val="en-US"/>
        </w:rPr>
        <w:t>dherence to pediatric follow-up was</w:t>
      </w:r>
      <w:r w:rsidR="00D317F0">
        <w:rPr>
          <w:rFonts w:ascii="Times New Roman" w:hAnsi="Times New Roman" w:cs="Times New Roman"/>
          <w:sz w:val="20"/>
          <w:szCs w:val="20"/>
          <w:lang w:val="en-US"/>
        </w:rPr>
        <w:t xml:space="preserve"> satisfying i</w:t>
      </w:r>
      <w:r w:rsidR="00D317F0" w:rsidRPr="00660F43">
        <w:rPr>
          <w:rFonts w:ascii="Times New Roman" w:hAnsi="Times New Roman" w:cs="Times New Roman"/>
          <w:sz w:val="20"/>
          <w:szCs w:val="20"/>
          <w:lang w:val="en-US"/>
        </w:rPr>
        <w:t xml:space="preserve">f AYA had not missed their last hospital appointment or if they had not missed more than two hospital appointments in the </w:t>
      </w:r>
      <w:r w:rsidR="00D317F0">
        <w:rPr>
          <w:rFonts w:ascii="Times New Roman" w:hAnsi="Times New Roman" w:cs="Times New Roman"/>
          <w:sz w:val="20"/>
          <w:szCs w:val="20"/>
          <w:lang w:val="en-US"/>
        </w:rPr>
        <w:t>two</w:t>
      </w:r>
      <w:r w:rsidR="00D317F0" w:rsidRPr="00660F43">
        <w:rPr>
          <w:rFonts w:ascii="Times New Roman" w:hAnsi="Times New Roman" w:cs="Times New Roman"/>
          <w:sz w:val="20"/>
          <w:szCs w:val="20"/>
          <w:lang w:val="en-US"/>
        </w:rPr>
        <w:t xml:space="preserve"> years preceding the transfer</w:t>
      </w:r>
      <w:r w:rsidR="00D317F0" w:rsidRPr="0067282E">
        <w:rPr>
          <w:rFonts w:ascii="Times New Roman" w:hAnsi="Times New Roman" w:cs="Times New Roman"/>
          <w:sz w:val="20"/>
          <w:szCs w:val="20"/>
          <w:lang w:val="en-US"/>
        </w:rPr>
        <w:t>, the discharge letter is the medical report sent by hospital pediatricians to inform adult specialists and GPs of the transfer to adults health care.</w:t>
      </w:r>
    </w:p>
    <w:p w14:paraId="4EB80F21" w14:textId="77777777" w:rsidR="00D317F0" w:rsidRPr="009F5EAF" w:rsidRDefault="00D317F0" w:rsidP="00D317F0">
      <w:pPr>
        <w:spacing w:after="120"/>
        <w:jc w:val="both"/>
        <w:rPr>
          <w:rFonts w:ascii="Times New Roman" w:hAnsi="Times New Roman" w:cs="Times New Roman"/>
          <w:sz w:val="20"/>
          <w:szCs w:val="20"/>
          <w:lang w:val="en-US"/>
        </w:rPr>
      </w:pPr>
      <w:r w:rsidRPr="0022177A">
        <w:rPr>
          <w:rFonts w:ascii="Times New Roman" w:hAnsi="Times New Roman" w:cs="Times New Roman"/>
          <w:sz w:val="20"/>
          <w:szCs w:val="20"/>
          <w:lang w:val="en-US"/>
        </w:rPr>
        <w:t>Data analysis was conducted using EpiData Analysis (v2.2.3.187) and Epi Info Analysis (v7.2.4.0) softwares. Qualitative data were presented as numbers (percentages), while quantitative data were presented as means (standard deviations).</w:t>
      </w:r>
      <w:r>
        <w:rPr>
          <w:rFonts w:ascii="Times New Roman" w:hAnsi="Times New Roman" w:cs="Times New Roman"/>
          <w:sz w:val="20"/>
          <w:szCs w:val="20"/>
          <w:lang w:val="en-US"/>
        </w:rPr>
        <w:t xml:space="preserve"> </w:t>
      </w:r>
      <w:r w:rsidRPr="0022177A">
        <w:rPr>
          <w:rFonts w:ascii="Times New Roman" w:hAnsi="Times New Roman" w:cs="Times New Roman"/>
          <w:sz w:val="20"/>
          <w:szCs w:val="20"/>
          <w:lang w:val="en-US"/>
        </w:rPr>
        <w:t>Comparative analysis was conducted using the Chi-square test (if n ≥ 5) and Fisher's exact test (if n ≤ 5) for qualitative data, and the Student's t-test for quantitative data.</w:t>
      </w:r>
    </w:p>
    <w:p w14:paraId="70F45B4B" w14:textId="08D3A037" w:rsidR="005B74AF" w:rsidRPr="00F80E57" w:rsidRDefault="005B74AF" w:rsidP="00D317F0">
      <w:pPr>
        <w:spacing w:after="120"/>
        <w:jc w:val="both"/>
        <w:rPr>
          <w:rFonts w:ascii="Times New Roman" w:hAnsi="Times New Roman" w:cs="Times New Roman"/>
          <w:sz w:val="20"/>
          <w:szCs w:val="20"/>
          <w:lang w:val="en-US"/>
        </w:rPr>
      </w:pPr>
      <w:r w:rsidRPr="005B74AF">
        <w:rPr>
          <w:rFonts w:ascii="Times New Roman" w:hAnsi="Times New Roman" w:cs="Times New Roman"/>
          <w:sz w:val="20"/>
          <w:szCs w:val="20"/>
          <w:lang w:val="en-US"/>
        </w:rPr>
        <w:t>This study was conducted in accordance with the Declaration of Helsinki and was approved by the ethics committee of Robert Debré Hospital (IRB 2019.432). Patients and parents received information letters, and only one patient declined to participate.</w:t>
      </w:r>
    </w:p>
    <w:p w14:paraId="788FAED9" w14:textId="77777777" w:rsidR="00D317F0" w:rsidRPr="009F5EAF" w:rsidRDefault="00D317F0" w:rsidP="0020403E">
      <w:pPr>
        <w:spacing w:before="240" w:after="120"/>
        <w:jc w:val="both"/>
        <w:rPr>
          <w:rFonts w:ascii="Times New Roman" w:hAnsi="Times New Roman" w:cs="Times New Roman"/>
          <w:b/>
          <w:sz w:val="20"/>
          <w:szCs w:val="20"/>
          <w:lang w:val="en-US"/>
        </w:rPr>
      </w:pPr>
      <w:r w:rsidRPr="009F5EAF">
        <w:rPr>
          <w:rFonts w:ascii="Times New Roman" w:hAnsi="Times New Roman" w:cs="Times New Roman"/>
          <w:b/>
          <w:sz w:val="20"/>
          <w:szCs w:val="20"/>
          <w:lang w:val="en-US"/>
        </w:rPr>
        <w:t>RESULTS</w:t>
      </w:r>
    </w:p>
    <w:p w14:paraId="3B33A7A1" w14:textId="681EFFCA" w:rsidR="00D317F0" w:rsidRDefault="00D317F0" w:rsidP="00D317F0">
      <w:pPr>
        <w:spacing w:before="120"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The f</w:t>
      </w:r>
      <w:r w:rsidRPr="00400B82">
        <w:rPr>
          <w:rFonts w:ascii="Times New Roman" w:hAnsi="Times New Roman" w:cs="Times New Roman"/>
          <w:bCs/>
          <w:sz w:val="20"/>
          <w:szCs w:val="20"/>
          <w:lang w:val="en-US"/>
        </w:rPr>
        <w:t>lowchart of AYA</w:t>
      </w:r>
      <w:r w:rsidR="00A33884">
        <w:rPr>
          <w:rFonts w:ascii="Times New Roman" w:hAnsi="Times New Roman" w:cs="Times New Roman"/>
          <w:bCs/>
          <w:sz w:val="20"/>
          <w:szCs w:val="20"/>
          <w:lang w:val="en-US"/>
        </w:rPr>
        <w:t>s</w:t>
      </w:r>
      <w:r w:rsidRPr="00400B82">
        <w:rPr>
          <w:rFonts w:ascii="Times New Roman" w:hAnsi="Times New Roman" w:cs="Times New Roman"/>
          <w:bCs/>
          <w:sz w:val="20"/>
          <w:szCs w:val="20"/>
          <w:lang w:val="en-US"/>
        </w:rPr>
        <w:t xml:space="preserve"> and doctors included in the study</w:t>
      </w:r>
      <w:r>
        <w:rPr>
          <w:rFonts w:ascii="Times New Roman" w:hAnsi="Times New Roman" w:cs="Times New Roman"/>
          <w:bCs/>
          <w:sz w:val="20"/>
          <w:szCs w:val="20"/>
          <w:lang w:val="en-US"/>
        </w:rPr>
        <w:t xml:space="preserve"> is shown in </w:t>
      </w:r>
      <w:r w:rsidRPr="00333E53">
        <w:rPr>
          <w:rFonts w:ascii="Times New Roman" w:hAnsi="Times New Roman" w:cs="Times New Roman"/>
          <w:b/>
          <w:color w:val="0070C0"/>
          <w:sz w:val="20"/>
          <w:szCs w:val="20"/>
          <w:lang w:val="en-US"/>
        </w:rPr>
        <w:t>Figure 1</w:t>
      </w:r>
      <w:r>
        <w:rPr>
          <w:rFonts w:ascii="Times New Roman" w:hAnsi="Times New Roman" w:cs="Times New Roman"/>
          <w:bCs/>
          <w:sz w:val="20"/>
          <w:szCs w:val="20"/>
          <w:lang w:val="en-US"/>
        </w:rPr>
        <w:t xml:space="preserve">. </w:t>
      </w:r>
      <w:r w:rsidRPr="00400B82">
        <w:rPr>
          <w:rFonts w:ascii="Times New Roman" w:hAnsi="Times New Roman" w:cs="Times New Roman"/>
          <w:bCs/>
          <w:sz w:val="20"/>
          <w:szCs w:val="20"/>
          <w:lang w:val="en-US"/>
        </w:rPr>
        <w:t>The 30 most recently transferred AYA</w:t>
      </w:r>
      <w:r w:rsidR="00C45341">
        <w:rPr>
          <w:rFonts w:ascii="Times New Roman" w:hAnsi="Times New Roman" w:cs="Times New Roman"/>
          <w:bCs/>
          <w:sz w:val="20"/>
          <w:szCs w:val="20"/>
          <w:lang w:val="en-US"/>
        </w:rPr>
        <w:t>s</w:t>
      </w:r>
      <w:r w:rsidRPr="00400B82">
        <w:rPr>
          <w:rFonts w:ascii="Times New Roman" w:hAnsi="Times New Roman" w:cs="Times New Roman"/>
          <w:bCs/>
          <w:sz w:val="20"/>
          <w:szCs w:val="20"/>
          <w:lang w:val="en-US"/>
        </w:rPr>
        <w:t xml:space="preserve"> from each CC list were included in this study, with the exception of epilepsy, where only 22 AYA have been identified. Of the 112 AYA</w:t>
      </w:r>
      <w:r w:rsidR="00A33884">
        <w:rPr>
          <w:rFonts w:ascii="Times New Roman" w:hAnsi="Times New Roman" w:cs="Times New Roman"/>
          <w:bCs/>
          <w:sz w:val="20"/>
          <w:szCs w:val="20"/>
          <w:lang w:val="en-US"/>
        </w:rPr>
        <w:t>s</w:t>
      </w:r>
      <w:r w:rsidRPr="00400B82">
        <w:rPr>
          <w:rFonts w:ascii="Times New Roman" w:hAnsi="Times New Roman" w:cs="Times New Roman"/>
          <w:bCs/>
          <w:sz w:val="20"/>
          <w:szCs w:val="20"/>
          <w:lang w:val="en-US"/>
        </w:rPr>
        <w:t xml:space="preserve"> included, 91 had at least one GP noted in their medical file. From the medical records, 122 doctors were identified: 20 pediatricians and 102 GPs. Only the GPs were included; out of the 102 GPs, 79 (77.5%) agreed to participate in the study. The majority of interviews were conducted during the first </w:t>
      </w:r>
      <w:r w:rsidRPr="00400B82">
        <w:rPr>
          <w:rFonts w:ascii="Times New Roman" w:hAnsi="Times New Roman" w:cs="Times New Roman"/>
          <w:bCs/>
          <w:sz w:val="20"/>
          <w:szCs w:val="20"/>
          <w:lang w:val="en-US"/>
        </w:rPr>
        <w:lastRenderedPageBreak/>
        <w:t>COVID-19 lock-down period, (March 17-May 10, 2020). Quantitative interviews lasted, by means, 6 minutes, and qualitative interviews by means, 11 minutes.</w:t>
      </w:r>
    </w:p>
    <w:p w14:paraId="47B29B70" w14:textId="10C06980" w:rsidR="00D317F0" w:rsidRDefault="00D317F0" w:rsidP="00D317F0">
      <w:pPr>
        <w:spacing w:before="120" w:after="120"/>
        <w:jc w:val="both"/>
        <w:rPr>
          <w:rFonts w:ascii="Times New Roman" w:hAnsi="Times New Roman" w:cs="Times New Roman"/>
          <w:bCs/>
          <w:sz w:val="20"/>
          <w:szCs w:val="20"/>
          <w:lang w:val="en-US"/>
        </w:rPr>
      </w:pPr>
      <w:r w:rsidRPr="00547676">
        <w:rPr>
          <w:rFonts w:ascii="Times New Roman" w:hAnsi="Times New Roman" w:cs="Times New Roman"/>
          <w:b/>
          <w:color w:val="0070C0"/>
          <w:sz w:val="20"/>
          <w:szCs w:val="20"/>
          <w:lang w:val="en-US"/>
        </w:rPr>
        <w:t>Table 1a</w:t>
      </w:r>
      <w:r w:rsidRPr="00547676">
        <w:rPr>
          <w:rFonts w:ascii="Times New Roman" w:hAnsi="Times New Roman" w:cs="Times New Roman"/>
          <w:bCs/>
          <w:color w:val="0070C0"/>
          <w:sz w:val="20"/>
          <w:szCs w:val="20"/>
          <w:lang w:val="en-US"/>
        </w:rPr>
        <w:t xml:space="preserve"> </w:t>
      </w:r>
      <w:r>
        <w:rPr>
          <w:rFonts w:ascii="Times New Roman" w:hAnsi="Times New Roman" w:cs="Times New Roman"/>
          <w:bCs/>
          <w:sz w:val="20"/>
          <w:szCs w:val="20"/>
          <w:lang w:val="en-US"/>
        </w:rPr>
        <w:t xml:space="preserve">presents the characteristics of AYAs and their CC. </w:t>
      </w:r>
      <w:r w:rsidRPr="00AE5862">
        <w:rPr>
          <w:rFonts w:ascii="Times New Roman" w:hAnsi="Times New Roman" w:cs="Times New Roman"/>
          <w:bCs/>
          <w:sz w:val="20"/>
          <w:szCs w:val="20"/>
          <w:lang w:val="en-US"/>
        </w:rPr>
        <w:t>The majority</w:t>
      </w:r>
      <w:r w:rsidRPr="00400B82">
        <w:rPr>
          <w:rFonts w:ascii="Times New Roman" w:hAnsi="Times New Roman" w:cs="Times New Roman"/>
          <w:bCs/>
          <w:sz w:val="20"/>
          <w:szCs w:val="20"/>
          <w:lang w:val="en-US"/>
        </w:rPr>
        <w:t xml:space="preserve"> of AYAs (92%) reside</w:t>
      </w:r>
      <w:r>
        <w:rPr>
          <w:rFonts w:ascii="Times New Roman" w:hAnsi="Times New Roman" w:cs="Times New Roman"/>
          <w:bCs/>
          <w:sz w:val="20"/>
          <w:szCs w:val="20"/>
          <w:lang w:val="en-US"/>
        </w:rPr>
        <w:t>s</w:t>
      </w:r>
      <w:r w:rsidRPr="00400B82">
        <w:rPr>
          <w:rFonts w:ascii="Times New Roman" w:hAnsi="Times New Roman" w:cs="Times New Roman"/>
          <w:bCs/>
          <w:sz w:val="20"/>
          <w:szCs w:val="20"/>
          <w:lang w:val="en-US"/>
        </w:rPr>
        <w:t xml:space="preserve"> in the Paris region and in </w:t>
      </w:r>
      <w:r w:rsidR="003C69A1" w:rsidRPr="003C69A1">
        <w:rPr>
          <w:rFonts w:ascii="Times New Roman" w:hAnsi="Times New Roman" w:cs="Times New Roman"/>
          <w:bCs/>
          <w:sz w:val="20"/>
          <w:szCs w:val="20"/>
          <w:highlight w:val="yellow"/>
          <w:lang w:val="en-US"/>
        </w:rPr>
        <w:t>medically underserved areas</w:t>
      </w:r>
      <w:r w:rsidRPr="00400B82">
        <w:rPr>
          <w:rFonts w:ascii="Times New Roman" w:hAnsi="Times New Roman" w:cs="Times New Roman"/>
          <w:bCs/>
          <w:sz w:val="20"/>
          <w:szCs w:val="20"/>
          <w:lang w:val="en-US"/>
        </w:rPr>
        <w:t xml:space="preserve"> (83.9%), with nearly all of them living close to their GP (90%)</w:t>
      </w:r>
      <w:r>
        <w:rPr>
          <w:rFonts w:ascii="Times New Roman" w:hAnsi="Times New Roman" w:cs="Times New Roman"/>
          <w:bCs/>
          <w:sz w:val="20"/>
          <w:szCs w:val="20"/>
          <w:lang w:val="en-US"/>
        </w:rPr>
        <w:t xml:space="preserve">, </w:t>
      </w:r>
      <w:r w:rsidRPr="00400B82">
        <w:rPr>
          <w:rFonts w:ascii="Times New Roman" w:hAnsi="Times New Roman" w:cs="Times New Roman"/>
          <w:bCs/>
          <w:sz w:val="20"/>
          <w:szCs w:val="20"/>
          <w:lang w:val="en-US"/>
        </w:rPr>
        <w:t>within the same department</w:t>
      </w:r>
      <w:r>
        <w:rPr>
          <w:rFonts w:ascii="Times New Roman" w:hAnsi="Times New Roman" w:cs="Times New Roman"/>
          <w:bCs/>
          <w:sz w:val="20"/>
          <w:szCs w:val="20"/>
          <w:lang w:val="en-US"/>
        </w:rPr>
        <w:t xml:space="preserve">, </w:t>
      </w:r>
      <w:r w:rsidRPr="00400B82">
        <w:rPr>
          <w:rFonts w:ascii="Times New Roman" w:hAnsi="Times New Roman" w:cs="Times New Roman"/>
          <w:bCs/>
          <w:sz w:val="20"/>
          <w:szCs w:val="20"/>
          <w:lang w:val="en-US"/>
        </w:rPr>
        <w:t>unlike pediatric and adult hospitals</w:t>
      </w:r>
      <w:r>
        <w:rPr>
          <w:rFonts w:ascii="Times New Roman" w:hAnsi="Times New Roman" w:cs="Times New Roman"/>
          <w:bCs/>
          <w:sz w:val="20"/>
          <w:szCs w:val="20"/>
          <w:lang w:val="en-US"/>
        </w:rPr>
        <w:t xml:space="preserve"> </w:t>
      </w:r>
      <w:r w:rsidRPr="00400B82">
        <w:rPr>
          <w:rFonts w:ascii="Times New Roman" w:hAnsi="Times New Roman" w:cs="Times New Roman"/>
          <w:bCs/>
          <w:sz w:val="20"/>
          <w:szCs w:val="20"/>
          <w:lang w:val="en-US"/>
        </w:rPr>
        <w:t>which are located farther away.</w:t>
      </w:r>
    </w:p>
    <w:p w14:paraId="2A01EA43" w14:textId="77777777" w:rsidR="00D317F0" w:rsidRPr="003D724E" w:rsidRDefault="00D317F0" w:rsidP="00D317F0">
      <w:pPr>
        <w:spacing w:after="120" w:line="259" w:lineRule="auto"/>
        <w:rPr>
          <w:rFonts w:ascii="Times New Roman" w:hAnsi="Times New Roman" w:cs="Times New Roman"/>
          <w:sz w:val="20"/>
          <w:szCs w:val="20"/>
          <w:lang w:val="en-US"/>
        </w:rPr>
      </w:pPr>
      <w:r w:rsidRPr="000E5B46">
        <w:rPr>
          <w:rFonts w:ascii="Times New Roman" w:hAnsi="Times New Roman" w:cs="Times New Roman"/>
          <w:sz w:val="20"/>
          <w:szCs w:val="20"/>
          <w:lang w:val="en-US"/>
        </w:rPr>
        <w:t>The age at diagnosis is, by means, 7.5 years, for all pathologies combined, with significant variations</w:t>
      </w:r>
      <w:r>
        <w:rPr>
          <w:rFonts w:ascii="Times New Roman" w:hAnsi="Times New Roman" w:cs="Times New Roman"/>
          <w:sz w:val="20"/>
          <w:szCs w:val="20"/>
          <w:lang w:val="en-US"/>
        </w:rPr>
        <w:t xml:space="preserve">. </w:t>
      </w:r>
      <w:r w:rsidRPr="003D724E">
        <w:rPr>
          <w:rFonts w:ascii="Times New Roman" w:hAnsi="Times New Roman" w:cs="Times New Roman"/>
          <w:sz w:val="20"/>
          <w:szCs w:val="20"/>
          <w:lang w:val="en-US"/>
        </w:rPr>
        <w:t>Sickle cell disease is distinguished by a diagnosis at birth, whereas IBD is typically diagnosed much later (by mean 12.4 years). The age at transfer is similar for the four C</w:t>
      </w:r>
      <w:r>
        <w:rPr>
          <w:rFonts w:ascii="Times New Roman" w:hAnsi="Times New Roman" w:cs="Times New Roman"/>
          <w:sz w:val="20"/>
          <w:szCs w:val="20"/>
          <w:lang w:val="en-US"/>
        </w:rPr>
        <w:t>C</w:t>
      </w:r>
      <w:r w:rsidRPr="003D724E">
        <w:rPr>
          <w:rFonts w:ascii="Times New Roman" w:hAnsi="Times New Roman" w:cs="Times New Roman"/>
          <w:sz w:val="20"/>
          <w:szCs w:val="20"/>
          <w:lang w:val="en-US"/>
        </w:rPr>
        <w:t xml:space="preserve">s, by mean at 18.7 </w:t>
      </w:r>
      <w:r w:rsidRPr="009F5EAF">
        <w:rPr>
          <w:rFonts w:ascii="Times New Roman" w:hAnsi="Times New Roman" w:cs="Times New Roman"/>
          <w:sz w:val="20"/>
          <w:szCs w:val="20"/>
          <w:lang w:val="en-US"/>
        </w:rPr>
        <w:t>yea</w:t>
      </w:r>
      <w:r>
        <w:rPr>
          <w:rFonts w:ascii="Times New Roman" w:hAnsi="Times New Roman" w:cs="Times New Roman"/>
          <w:sz w:val="20"/>
          <w:szCs w:val="20"/>
          <w:lang w:val="en-US"/>
        </w:rPr>
        <w:t>rs.</w:t>
      </w:r>
    </w:p>
    <w:p w14:paraId="2684C643" w14:textId="3E2C7D12" w:rsidR="00D317F0" w:rsidRDefault="00D317F0" w:rsidP="00D317F0">
      <w:pPr>
        <w:spacing w:after="120" w:line="259" w:lineRule="auto"/>
        <w:rPr>
          <w:rFonts w:ascii="Times New Roman" w:hAnsi="Times New Roman" w:cs="Times New Roman"/>
          <w:sz w:val="20"/>
          <w:szCs w:val="20"/>
          <w:lang w:val="en-US"/>
        </w:rPr>
      </w:pPr>
      <w:r w:rsidRPr="00035CCF">
        <w:rPr>
          <w:rFonts w:ascii="Times New Roman" w:hAnsi="Times New Roman" w:cs="Times New Roman"/>
          <w:sz w:val="20"/>
          <w:szCs w:val="20"/>
          <w:lang w:val="en-US"/>
        </w:rPr>
        <w:t>Despite the challenges of comparing vastly different pathologies (</w:t>
      </w:r>
      <w:r w:rsidRPr="00751E6E">
        <w:rPr>
          <w:rFonts w:ascii="Times New Roman" w:hAnsi="Times New Roman" w:cs="Times New Roman"/>
          <w:b/>
          <w:bCs/>
          <w:color w:val="0070C0"/>
          <w:sz w:val="20"/>
          <w:szCs w:val="20"/>
          <w:highlight w:val="yellow"/>
          <w:lang w:val="en-US"/>
        </w:rPr>
        <w:t xml:space="preserve">Table </w:t>
      </w:r>
      <w:r w:rsidR="00C555E1" w:rsidRPr="00751E6E">
        <w:rPr>
          <w:rFonts w:ascii="Times New Roman" w:hAnsi="Times New Roman" w:cs="Times New Roman"/>
          <w:b/>
          <w:bCs/>
          <w:color w:val="0070C0"/>
          <w:sz w:val="20"/>
          <w:szCs w:val="20"/>
          <w:highlight w:val="yellow"/>
          <w:lang w:val="en-US"/>
        </w:rPr>
        <w:t>S2</w:t>
      </w:r>
      <w:r w:rsidR="00C555E1" w:rsidRPr="00C555E1">
        <w:rPr>
          <w:rFonts w:ascii="Times New Roman" w:hAnsi="Times New Roman" w:cs="Times New Roman"/>
          <w:sz w:val="20"/>
          <w:szCs w:val="20"/>
          <w:highlight w:val="yellow"/>
          <w:lang w:val="en-US"/>
        </w:rPr>
        <w:t xml:space="preserve"> in the supplementary material</w:t>
      </w:r>
      <w:r w:rsidRPr="00035CCF">
        <w:rPr>
          <w:rFonts w:ascii="Times New Roman" w:hAnsi="Times New Roman" w:cs="Times New Roman"/>
          <w:sz w:val="20"/>
          <w:szCs w:val="20"/>
          <w:lang w:val="en-US"/>
        </w:rPr>
        <w:t>), more than two-thirds of AYA</w:t>
      </w:r>
      <w:r w:rsidR="00A23A72">
        <w:rPr>
          <w:rFonts w:ascii="Times New Roman" w:hAnsi="Times New Roman" w:cs="Times New Roman"/>
          <w:sz w:val="20"/>
          <w:szCs w:val="20"/>
          <w:lang w:val="en-US"/>
        </w:rPr>
        <w:t>s</w:t>
      </w:r>
      <w:r w:rsidRPr="00035CCF">
        <w:rPr>
          <w:rFonts w:ascii="Times New Roman" w:hAnsi="Times New Roman" w:cs="Times New Roman"/>
          <w:sz w:val="20"/>
          <w:szCs w:val="20"/>
          <w:lang w:val="en-US"/>
        </w:rPr>
        <w:t xml:space="preserve"> present with severe disease (70.5%), albeit with stability (61.6%). Severity is lower in diabetics (46.7%), but with greater instability (53.3%) compared to the other three pathologies.</w:t>
      </w:r>
      <w:r>
        <w:rPr>
          <w:rFonts w:ascii="Times New Roman" w:hAnsi="Times New Roman" w:cs="Times New Roman"/>
          <w:sz w:val="20"/>
          <w:szCs w:val="20"/>
          <w:lang w:val="en-US"/>
        </w:rPr>
        <w:t xml:space="preserve"> </w:t>
      </w:r>
      <w:r w:rsidRPr="00035CCF">
        <w:rPr>
          <w:rFonts w:ascii="Times New Roman" w:hAnsi="Times New Roman" w:cs="Times New Roman"/>
          <w:sz w:val="20"/>
          <w:szCs w:val="20"/>
          <w:lang w:val="en-US"/>
        </w:rPr>
        <w:t>Treatment is complex in 76.8% of AYA</w:t>
      </w:r>
      <w:r w:rsidR="00A23A72">
        <w:rPr>
          <w:rFonts w:ascii="Times New Roman" w:hAnsi="Times New Roman" w:cs="Times New Roman"/>
          <w:sz w:val="20"/>
          <w:szCs w:val="20"/>
          <w:lang w:val="en-US"/>
        </w:rPr>
        <w:t>s</w:t>
      </w:r>
      <w:r w:rsidRPr="00035CCF">
        <w:rPr>
          <w:rFonts w:ascii="Times New Roman" w:hAnsi="Times New Roman" w:cs="Times New Roman"/>
          <w:sz w:val="20"/>
          <w:szCs w:val="20"/>
          <w:lang w:val="en-US"/>
        </w:rPr>
        <w:t>, with large variations between pathologies: half of epileptics (54.5%) and almost all diabetics (93.3%) have a complex treatment (insulin)</w:t>
      </w:r>
      <w:r>
        <w:rPr>
          <w:rFonts w:ascii="Times New Roman" w:hAnsi="Times New Roman" w:cs="Times New Roman"/>
          <w:sz w:val="20"/>
          <w:szCs w:val="20"/>
          <w:lang w:val="en-US"/>
        </w:rPr>
        <w:t>.</w:t>
      </w:r>
    </w:p>
    <w:p w14:paraId="4EB6BB7A" w14:textId="63EB159C" w:rsidR="00D317F0" w:rsidRDefault="00D317F0" w:rsidP="00D317F0">
      <w:pPr>
        <w:spacing w:after="120" w:line="259" w:lineRule="auto"/>
        <w:jc w:val="both"/>
        <w:rPr>
          <w:rFonts w:ascii="Times New Roman" w:hAnsi="Times New Roman" w:cs="Times New Roman"/>
          <w:sz w:val="20"/>
          <w:szCs w:val="20"/>
          <w:lang w:val="en-US"/>
        </w:rPr>
      </w:pPr>
      <w:r w:rsidRPr="0089706A">
        <w:rPr>
          <w:rFonts w:ascii="Times New Roman" w:hAnsi="Times New Roman" w:cs="Times New Roman"/>
          <w:sz w:val="20"/>
          <w:szCs w:val="20"/>
          <w:lang w:val="en-US"/>
        </w:rPr>
        <w:t>The mean durations of follow-up by the pediatric hospital and by the GP before transfer are similar (8.8 and 9.2 years, respectively). Follow-ups are regular and frequent, whether by the pediatric hospital (7.7 appointments per 2 years by mean) or by the GP (5.8 appointments per 2 years by mean). However, more than a quarter of AYA</w:t>
      </w:r>
      <w:r w:rsidR="00803E67">
        <w:rPr>
          <w:rFonts w:ascii="Times New Roman" w:hAnsi="Times New Roman" w:cs="Times New Roman"/>
          <w:sz w:val="20"/>
          <w:szCs w:val="20"/>
          <w:lang w:val="en-US"/>
        </w:rPr>
        <w:t>s</w:t>
      </w:r>
      <w:r w:rsidRPr="0089706A">
        <w:rPr>
          <w:rFonts w:ascii="Times New Roman" w:hAnsi="Times New Roman" w:cs="Times New Roman"/>
          <w:sz w:val="20"/>
          <w:szCs w:val="20"/>
          <w:lang w:val="en-US"/>
        </w:rPr>
        <w:t xml:space="preserve"> (26.8%) missed or canceled their last appointments at the hospital.</w:t>
      </w:r>
    </w:p>
    <w:p w14:paraId="53430791" w14:textId="6BDB82D1" w:rsidR="00D317F0" w:rsidRDefault="00D317F0" w:rsidP="00D317F0">
      <w:pPr>
        <w:spacing w:after="120" w:line="259" w:lineRule="auto"/>
        <w:jc w:val="both"/>
        <w:rPr>
          <w:rFonts w:ascii="Times New Roman" w:hAnsi="Times New Roman" w:cs="Times New Roman"/>
          <w:sz w:val="20"/>
          <w:szCs w:val="20"/>
          <w:lang w:val="en-US"/>
        </w:rPr>
      </w:pPr>
      <w:r w:rsidRPr="00035CCF">
        <w:rPr>
          <w:rFonts w:ascii="Times New Roman" w:hAnsi="Times New Roman" w:cs="Times New Roman"/>
          <w:sz w:val="20"/>
          <w:szCs w:val="20"/>
          <w:lang w:val="en-US"/>
        </w:rPr>
        <w:t>Regarding the transfer, a discharge letter was present in almost all medical files (89.3%);</w:t>
      </w:r>
      <w:r>
        <w:rPr>
          <w:rFonts w:ascii="Times New Roman" w:hAnsi="Times New Roman" w:cs="Times New Roman"/>
          <w:sz w:val="20"/>
          <w:szCs w:val="20"/>
          <w:lang w:val="en-US"/>
        </w:rPr>
        <w:t xml:space="preserve"> </w:t>
      </w:r>
      <w:r w:rsidRPr="009C16C9">
        <w:rPr>
          <w:rFonts w:ascii="Times New Roman" w:hAnsi="Times New Roman" w:cs="Times New Roman"/>
          <w:sz w:val="20"/>
          <w:szCs w:val="20"/>
          <w:lang w:val="en-US"/>
        </w:rPr>
        <w:t>these letters were complete and precise (98.0%), based on information retrieved from the hospital medical records</w:t>
      </w:r>
      <w:r w:rsidRPr="00FC6661">
        <w:rPr>
          <w:rFonts w:ascii="Times New Roman" w:hAnsi="Times New Roman" w:cs="Times New Roman"/>
          <w:sz w:val="20"/>
          <w:szCs w:val="20"/>
          <w:lang w:val="en-US"/>
        </w:rPr>
        <w:t>.</w:t>
      </w:r>
      <w:r w:rsidR="00FC6661">
        <w:rPr>
          <w:rFonts w:ascii="Times New Roman" w:hAnsi="Times New Roman" w:cs="Times New Roman"/>
          <w:sz w:val="20"/>
          <w:szCs w:val="20"/>
          <w:lang w:val="en-US"/>
        </w:rPr>
        <w:t xml:space="preserve"> </w:t>
      </w:r>
      <w:r w:rsidRPr="00FC6661">
        <w:rPr>
          <w:rFonts w:ascii="Times New Roman" w:hAnsi="Times New Roman" w:cs="Times New Roman"/>
          <w:sz w:val="20"/>
          <w:szCs w:val="20"/>
          <w:lang w:val="en-US"/>
        </w:rPr>
        <w:t>However, only 58.0% of the letters were addressed to GPs, and 35.0% to pediatricians.</w:t>
      </w:r>
      <w:r w:rsidR="00FC6661">
        <w:rPr>
          <w:rFonts w:ascii="Times New Roman" w:hAnsi="Times New Roman" w:cs="Times New Roman"/>
          <w:sz w:val="20"/>
          <w:szCs w:val="20"/>
          <w:lang w:val="en-US"/>
        </w:rPr>
        <w:t xml:space="preserve"> </w:t>
      </w:r>
      <w:r w:rsidRPr="005561F4">
        <w:rPr>
          <w:rFonts w:ascii="Times New Roman" w:hAnsi="Times New Roman" w:cs="Times New Roman"/>
          <w:sz w:val="20"/>
          <w:szCs w:val="20"/>
          <w:lang w:val="en-US"/>
        </w:rPr>
        <w:t>Few adult hospital reports (11.6%) were found in the medical records of the pediatric hospital, although all AYAs have passed to the adult medical system.</w:t>
      </w:r>
    </w:p>
    <w:p w14:paraId="4D86341F" w14:textId="611F5A10" w:rsidR="00D317F0" w:rsidRPr="00547676" w:rsidRDefault="00D317F0" w:rsidP="00D317F0">
      <w:pPr>
        <w:spacing w:after="120" w:line="259" w:lineRule="auto"/>
        <w:jc w:val="both"/>
        <w:rPr>
          <w:rFonts w:ascii="Times New Roman" w:hAnsi="Times New Roman" w:cs="Times New Roman"/>
          <w:sz w:val="20"/>
          <w:szCs w:val="20"/>
          <w:lang w:val="en-US"/>
        </w:rPr>
      </w:pPr>
      <w:r w:rsidRPr="00547676">
        <w:rPr>
          <w:rFonts w:ascii="Times New Roman" w:hAnsi="Times New Roman" w:cs="Times New Roman"/>
          <w:b/>
          <w:bCs/>
          <w:color w:val="0070C0"/>
          <w:sz w:val="20"/>
          <w:szCs w:val="20"/>
          <w:lang w:val="en-US"/>
        </w:rPr>
        <w:t>Table 2</w:t>
      </w:r>
      <w:r>
        <w:rPr>
          <w:rFonts w:ascii="Times New Roman" w:hAnsi="Times New Roman" w:cs="Times New Roman"/>
          <w:b/>
          <w:bCs/>
          <w:color w:val="0070C0"/>
          <w:sz w:val="20"/>
          <w:szCs w:val="20"/>
          <w:lang w:val="en-US"/>
        </w:rPr>
        <w:t xml:space="preserve"> </w:t>
      </w:r>
      <w:r w:rsidRPr="00516221">
        <w:rPr>
          <w:rFonts w:ascii="Times New Roman" w:hAnsi="Times New Roman" w:cs="Times New Roman"/>
          <w:sz w:val="20"/>
          <w:szCs w:val="20"/>
          <w:lang w:val="en-US"/>
        </w:rPr>
        <w:t>present</w:t>
      </w:r>
      <w:r>
        <w:rPr>
          <w:rFonts w:ascii="Times New Roman" w:hAnsi="Times New Roman" w:cs="Times New Roman"/>
          <w:sz w:val="20"/>
          <w:szCs w:val="20"/>
          <w:lang w:val="en-US"/>
        </w:rPr>
        <w:t>s</w:t>
      </w:r>
      <w:r w:rsidRPr="00516221">
        <w:rPr>
          <w:rFonts w:ascii="Times New Roman" w:hAnsi="Times New Roman" w:cs="Times New Roman"/>
          <w:sz w:val="20"/>
          <w:szCs w:val="20"/>
          <w:lang w:val="en-US"/>
        </w:rPr>
        <w:t xml:space="preserve"> the characteristics of GPs. The majority of GPs </w:t>
      </w:r>
      <w:r w:rsidR="00441C4E" w:rsidRPr="00601CBC">
        <w:rPr>
          <w:rFonts w:ascii="Times New Roman" w:hAnsi="Times New Roman" w:cs="Times New Roman"/>
          <w:sz w:val="20"/>
          <w:szCs w:val="20"/>
          <w:highlight w:val="yellow"/>
          <w:lang w:val="en-US"/>
        </w:rPr>
        <w:t>are self-employed</w:t>
      </w:r>
      <w:r w:rsidRPr="00516221">
        <w:rPr>
          <w:rFonts w:ascii="Times New Roman" w:hAnsi="Times New Roman" w:cs="Times New Roman"/>
          <w:sz w:val="20"/>
          <w:szCs w:val="20"/>
          <w:lang w:val="en-US"/>
        </w:rPr>
        <w:t xml:space="preserve"> (81.5%) in </w:t>
      </w:r>
      <w:r w:rsidR="003C69A1" w:rsidRPr="003C69A1">
        <w:rPr>
          <w:rFonts w:ascii="Times New Roman" w:hAnsi="Times New Roman" w:cs="Times New Roman"/>
          <w:sz w:val="20"/>
          <w:szCs w:val="20"/>
          <w:highlight w:val="yellow"/>
          <w:lang w:val="en-US"/>
        </w:rPr>
        <w:t>medically underserved areas</w:t>
      </w:r>
      <w:r w:rsidRPr="00516221">
        <w:rPr>
          <w:rFonts w:ascii="Times New Roman" w:hAnsi="Times New Roman" w:cs="Times New Roman"/>
          <w:sz w:val="20"/>
          <w:szCs w:val="20"/>
          <w:lang w:val="en-US"/>
        </w:rPr>
        <w:t xml:space="preserve"> (81.4%) in the Paris region (93.1%). Almost none have undergone further training (93.8%).</w:t>
      </w:r>
    </w:p>
    <w:p w14:paraId="308A5910" w14:textId="77777777" w:rsidR="00D317F0" w:rsidRDefault="00D317F0" w:rsidP="00D317F0">
      <w:pPr>
        <w:spacing w:after="120" w:line="259"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Almost </w:t>
      </w:r>
      <w:r w:rsidRPr="0089706A">
        <w:rPr>
          <w:rFonts w:ascii="Times New Roman" w:hAnsi="Times New Roman" w:cs="Times New Roman"/>
          <w:sz w:val="20"/>
          <w:szCs w:val="20"/>
          <w:lang w:val="en-US"/>
        </w:rPr>
        <w:t>80% of GPs responded to the quantitative questionnaire and 27 semi-structured interviews were conducted.</w:t>
      </w:r>
    </w:p>
    <w:p w14:paraId="46877F72" w14:textId="77777777" w:rsidR="00D317F0" w:rsidRDefault="00D317F0" w:rsidP="00D317F0">
      <w:pPr>
        <w:spacing w:after="120" w:line="259" w:lineRule="auto"/>
        <w:jc w:val="both"/>
        <w:rPr>
          <w:rFonts w:ascii="Times New Roman" w:hAnsi="Times New Roman" w:cs="Times New Roman"/>
          <w:sz w:val="20"/>
          <w:szCs w:val="20"/>
          <w:lang w:val="en-US"/>
        </w:rPr>
      </w:pPr>
      <w:r w:rsidRPr="0089706A">
        <w:rPr>
          <w:rFonts w:ascii="Times New Roman" w:hAnsi="Times New Roman" w:cs="Times New Roman"/>
          <w:sz w:val="20"/>
          <w:szCs w:val="20"/>
          <w:lang w:val="en-US"/>
        </w:rPr>
        <w:t>Two-thirds of GPs (</w:t>
      </w:r>
      <w:r>
        <w:rPr>
          <w:rFonts w:ascii="Times New Roman" w:hAnsi="Times New Roman" w:cs="Times New Roman"/>
          <w:sz w:val="20"/>
          <w:szCs w:val="20"/>
          <w:lang w:val="en-US"/>
        </w:rPr>
        <w:t>57.4</w:t>
      </w:r>
      <w:r w:rsidRPr="0089706A">
        <w:rPr>
          <w:rFonts w:ascii="Times New Roman" w:hAnsi="Times New Roman" w:cs="Times New Roman"/>
          <w:sz w:val="20"/>
          <w:szCs w:val="20"/>
          <w:lang w:val="en-US"/>
        </w:rPr>
        <w:t>%) were referents (GPORs), the vast majority of whom are attending (A-GPs).</w:t>
      </w:r>
    </w:p>
    <w:p w14:paraId="573120F0" w14:textId="5E33549D" w:rsidR="00D317F0" w:rsidRDefault="00D317F0" w:rsidP="00D317F0">
      <w:pPr>
        <w:spacing w:after="120" w:line="259" w:lineRule="auto"/>
        <w:jc w:val="both"/>
        <w:rPr>
          <w:rFonts w:ascii="Times New Roman" w:hAnsi="Times New Roman" w:cs="Times New Roman"/>
          <w:sz w:val="20"/>
          <w:szCs w:val="20"/>
          <w:lang w:val="en-US"/>
        </w:rPr>
      </w:pPr>
      <w:r w:rsidRPr="00907488">
        <w:rPr>
          <w:rFonts w:ascii="Times New Roman" w:hAnsi="Times New Roman" w:cs="Times New Roman"/>
          <w:sz w:val="20"/>
          <w:szCs w:val="20"/>
          <w:lang w:val="en-US"/>
        </w:rPr>
        <w:t xml:space="preserve">Almost all </w:t>
      </w:r>
      <w:r>
        <w:rPr>
          <w:rFonts w:ascii="Times New Roman" w:hAnsi="Times New Roman" w:cs="Times New Roman"/>
          <w:sz w:val="20"/>
          <w:szCs w:val="20"/>
          <w:lang w:val="en-US"/>
        </w:rPr>
        <w:t>GPOR</w:t>
      </w:r>
      <w:r w:rsidRPr="00907488">
        <w:rPr>
          <w:rFonts w:ascii="Times New Roman" w:hAnsi="Times New Roman" w:cs="Times New Roman"/>
          <w:sz w:val="20"/>
          <w:szCs w:val="20"/>
          <w:lang w:val="en-US"/>
        </w:rPr>
        <w:t xml:space="preserve">s (96.1%) knew the name of the AYA's </w:t>
      </w:r>
      <w:r>
        <w:rPr>
          <w:rFonts w:ascii="Times New Roman" w:hAnsi="Times New Roman" w:cs="Times New Roman"/>
          <w:sz w:val="20"/>
          <w:szCs w:val="20"/>
          <w:lang w:val="en-US"/>
        </w:rPr>
        <w:t>CC</w:t>
      </w:r>
      <w:r w:rsidRPr="00907488">
        <w:rPr>
          <w:rFonts w:ascii="Times New Roman" w:hAnsi="Times New Roman" w:cs="Times New Roman"/>
          <w:sz w:val="20"/>
          <w:szCs w:val="20"/>
          <w:lang w:val="en-US"/>
        </w:rPr>
        <w:t>, while</w:t>
      </w:r>
      <w:r>
        <w:rPr>
          <w:rFonts w:ascii="Times New Roman" w:hAnsi="Times New Roman" w:cs="Times New Roman"/>
          <w:sz w:val="20"/>
          <w:szCs w:val="20"/>
          <w:lang w:val="en-US"/>
        </w:rPr>
        <w:t xml:space="preserve"> 80% of non-referring GPs did. </w:t>
      </w:r>
      <w:r w:rsidRPr="00907488">
        <w:rPr>
          <w:rFonts w:ascii="Times New Roman" w:hAnsi="Times New Roman" w:cs="Times New Roman"/>
          <w:sz w:val="20"/>
          <w:szCs w:val="20"/>
          <w:lang w:val="en-US"/>
        </w:rPr>
        <w:t xml:space="preserve">One-third of </w:t>
      </w:r>
      <w:r>
        <w:rPr>
          <w:rFonts w:ascii="Times New Roman" w:hAnsi="Times New Roman" w:cs="Times New Roman"/>
          <w:sz w:val="20"/>
          <w:szCs w:val="20"/>
          <w:lang w:val="en-US"/>
        </w:rPr>
        <w:t>GPOR</w:t>
      </w:r>
      <w:r w:rsidRPr="00907488">
        <w:rPr>
          <w:rFonts w:ascii="Times New Roman" w:hAnsi="Times New Roman" w:cs="Times New Roman"/>
          <w:sz w:val="20"/>
          <w:szCs w:val="20"/>
          <w:lang w:val="en-US"/>
        </w:rPr>
        <w:t>s (35.3%)</w:t>
      </w:r>
      <w:r>
        <w:rPr>
          <w:rFonts w:ascii="Times New Roman" w:hAnsi="Times New Roman" w:cs="Times New Roman"/>
          <w:sz w:val="20"/>
          <w:szCs w:val="20"/>
          <w:lang w:val="en-US"/>
        </w:rPr>
        <w:t xml:space="preserve"> was i</w:t>
      </w:r>
      <w:r w:rsidRPr="00907488">
        <w:rPr>
          <w:rFonts w:ascii="Times New Roman" w:hAnsi="Times New Roman" w:cs="Times New Roman"/>
          <w:sz w:val="20"/>
          <w:szCs w:val="20"/>
          <w:lang w:val="en-US"/>
        </w:rPr>
        <w:t xml:space="preserve">nvolved </w:t>
      </w:r>
      <w:r w:rsidRPr="00D95A3B">
        <w:rPr>
          <w:rFonts w:ascii="Times New Roman" w:hAnsi="Times New Roman" w:cs="Times New Roman"/>
          <w:bCs/>
          <w:sz w:val="20"/>
          <w:szCs w:val="20"/>
          <w:lang w:val="en-US"/>
        </w:rPr>
        <w:t xml:space="preserve">in </w:t>
      </w:r>
      <w:r w:rsidR="00CC5C63">
        <w:rPr>
          <w:rFonts w:ascii="Times New Roman" w:hAnsi="Times New Roman" w:cs="Times New Roman"/>
          <w:bCs/>
          <w:sz w:val="20"/>
          <w:szCs w:val="20"/>
          <w:lang w:val="en-US"/>
        </w:rPr>
        <w:t xml:space="preserve">the </w:t>
      </w:r>
      <w:r w:rsidRPr="00D95A3B">
        <w:rPr>
          <w:rFonts w:ascii="Times New Roman" w:hAnsi="Times New Roman" w:cs="Times New Roman"/>
          <w:bCs/>
          <w:sz w:val="20"/>
          <w:szCs w:val="20"/>
          <w:lang w:val="en-US"/>
        </w:rPr>
        <w:t xml:space="preserve">AYA's </w:t>
      </w:r>
      <w:r>
        <w:rPr>
          <w:rFonts w:ascii="Times New Roman" w:hAnsi="Times New Roman" w:cs="Times New Roman"/>
          <w:bCs/>
          <w:sz w:val="20"/>
          <w:szCs w:val="20"/>
          <w:lang w:val="en-US"/>
        </w:rPr>
        <w:t>CC</w:t>
      </w:r>
      <w:r w:rsidRPr="00D95A3B">
        <w:rPr>
          <w:rFonts w:ascii="Times New Roman" w:hAnsi="Times New Roman" w:cs="Times New Roman"/>
          <w:bCs/>
          <w:sz w:val="20"/>
          <w:szCs w:val="20"/>
          <w:lang w:val="en-US"/>
        </w:rPr>
        <w:t xml:space="preserve"> management</w:t>
      </w:r>
      <w:r w:rsidRPr="00907488">
        <w:rPr>
          <w:rFonts w:ascii="Times New Roman" w:hAnsi="Times New Roman" w:cs="Times New Roman"/>
          <w:sz w:val="20"/>
          <w:szCs w:val="20"/>
          <w:lang w:val="en-US"/>
        </w:rPr>
        <w:t xml:space="preserve">. Almost no </w:t>
      </w:r>
      <w:r>
        <w:rPr>
          <w:rFonts w:ascii="Times New Roman" w:hAnsi="Times New Roman" w:cs="Times New Roman"/>
          <w:sz w:val="20"/>
          <w:szCs w:val="20"/>
          <w:lang w:val="en-US"/>
        </w:rPr>
        <w:t>GPOR</w:t>
      </w:r>
      <w:r w:rsidRPr="00907488">
        <w:rPr>
          <w:rFonts w:ascii="Times New Roman" w:hAnsi="Times New Roman" w:cs="Times New Roman"/>
          <w:sz w:val="20"/>
          <w:szCs w:val="20"/>
          <w:lang w:val="en-US"/>
        </w:rPr>
        <w:t xml:space="preserve">s (4.3%) are involved in the transition process by advising or redirecting the AYA to adult </w:t>
      </w:r>
      <w:r>
        <w:rPr>
          <w:rFonts w:ascii="Times New Roman" w:hAnsi="Times New Roman" w:cs="Times New Roman"/>
          <w:sz w:val="20"/>
          <w:szCs w:val="20"/>
          <w:lang w:val="en-US"/>
        </w:rPr>
        <w:t>health care</w:t>
      </w:r>
      <w:r w:rsidRPr="00907488">
        <w:rPr>
          <w:rFonts w:ascii="Times New Roman" w:hAnsi="Times New Roman" w:cs="Times New Roman"/>
          <w:sz w:val="20"/>
          <w:szCs w:val="20"/>
          <w:lang w:val="en-US"/>
        </w:rPr>
        <w:t xml:space="preserve">. Only 11 </w:t>
      </w:r>
      <w:r>
        <w:rPr>
          <w:rFonts w:ascii="Times New Roman" w:hAnsi="Times New Roman" w:cs="Times New Roman"/>
          <w:sz w:val="20"/>
          <w:szCs w:val="20"/>
          <w:lang w:val="en-US"/>
        </w:rPr>
        <w:t>GPOR</w:t>
      </w:r>
      <w:r w:rsidRPr="00907488">
        <w:rPr>
          <w:rFonts w:ascii="Times New Roman" w:hAnsi="Times New Roman" w:cs="Times New Roman"/>
          <w:sz w:val="20"/>
          <w:szCs w:val="20"/>
          <w:lang w:val="en-US"/>
        </w:rPr>
        <w:t>s (22.0%) discussed the transition process during a consultation.</w:t>
      </w:r>
    </w:p>
    <w:p w14:paraId="12C97FF1" w14:textId="77777777" w:rsidR="00D317F0" w:rsidRPr="009F5EAF" w:rsidRDefault="00D317F0" w:rsidP="00D317F0">
      <w:pPr>
        <w:spacing w:after="120" w:line="259" w:lineRule="auto"/>
        <w:jc w:val="both"/>
        <w:rPr>
          <w:rFonts w:ascii="Times New Roman" w:hAnsi="Times New Roman" w:cs="Times New Roman"/>
          <w:sz w:val="20"/>
          <w:szCs w:val="20"/>
          <w:lang w:val="en-US"/>
        </w:rPr>
      </w:pPr>
      <w:r w:rsidRPr="00674C01">
        <w:rPr>
          <w:rFonts w:ascii="Times New Roman" w:hAnsi="Times New Roman" w:cs="Times New Roman"/>
          <w:sz w:val="20"/>
          <w:szCs w:val="20"/>
          <w:lang w:val="en-US"/>
        </w:rPr>
        <w:t>The communication between ambulatory and hospital care</w:t>
      </w:r>
      <w:r>
        <w:rPr>
          <w:rFonts w:ascii="Times New Roman" w:hAnsi="Times New Roman" w:cs="Times New Roman"/>
          <w:sz w:val="20"/>
          <w:szCs w:val="20"/>
          <w:lang w:val="en-US"/>
        </w:rPr>
        <w:t xml:space="preserve"> was estimated as good </w:t>
      </w:r>
      <w:r w:rsidRPr="00674C01">
        <w:rPr>
          <w:rFonts w:ascii="Times New Roman" w:hAnsi="Times New Roman" w:cs="Times New Roman"/>
          <w:sz w:val="20"/>
          <w:szCs w:val="20"/>
          <w:lang w:val="en-US"/>
        </w:rPr>
        <w:t xml:space="preserve">during the transition: 40 </w:t>
      </w:r>
      <w:r>
        <w:rPr>
          <w:rFonts w:ascii="Times New Roman" w:hAnsi="Times New Roman" w:cs="Times New Roman"/>
          <w:sz w:val="20"/>
          <w:szCs w:val="20"/>
          <w:lang w:val="en-US"/>
        </w:rPr>
        <w:t>GPOR</w:t>
      </w:r>
      <w:r w:rsidRPr="00674C01">
        <w:rPr>
          <w:rFonts w:ascii="Times New Roman" w:hAnsi="Times New Roman" w:cs="Times New Roman"/>
          <w:sz w:val="20"/>
          <w:szCs w:val="20"/>
          <w:lang w:val="en-US"/>
        </w:rPr>
        <w:t>s (81.6%) received at least one hospital letter (pediatric or adult) during this period</w:t>
      </w:r>
      <w:r>
        <w:rPr>
          <w:rFonts w:ascii="Times New Roman" w:hAnsi="Times New Roman" w:cs="Times New Roman"/>
          <w:sz w:val="20"/>
          <w:szCs w:val="20"/>
          <w:lang w:val="en-US"/>
        </w:rPr>
        <w:t>, b</w:t>
      </w:r>
      <w:r w:rsidRPr="00D2664A">
        <w:rPr>
          <w:rFonts w:ascii="Times New Roman" w:hAnsi="Times New Roman" w:cs="Times New Roman"/>
          <w:sz w:val="20"/>
          <w:szCs w:val="20"/>
          <w:lang w:val="en-US"/>
        </w:rPr>
        <w:t>ut only 12.5% of hospital reports were sent</w:t>
      </w:r>
      <w:r>
        <w:rPr>
          <w:rFonts w:ascii="Times New Roman" w:hAnsi="Times New Roman" w:cs="Times New Roman"/>
          <w:sz w:val="20"/>
          <w:szCs w:val="20"/>
          <w:lang w:val="en-US"/>
        </w:rPr>
        <w:t xml:space="preserve"> to GPORs. </w:t>
      </w:r>
      <w:r w:rsidRPr="00674C01">
        <w:rPr>
          <w:rFonts w:ascii="Times New Roman" w:hAnsi="Times New Roman" w:cs="Times New Roman"/>
          <w:sz w:val="20"/>
          <w:szCs w:val="20"/>
          <w:lang w:val="en-US"/>
        </w:rPr>
        <w:t>However, communication deteriorates</w:t>
      </w:r>
      <w:r>
        <w:rPr>
          <w:rFonts w:ascii="Times New Roman" w:hAnsi="Times New Roman" w:cs="Times New Roman"/>
          <w:sz w:val="20"/>
          <w:szCs w:val="20"/>
          <w:lang w:val="en-US"/>
        </w:rPr>
        <w:t xml:space="preserve"> after t</w:t>
      </w:r>
      <w:r w:rsidRPr="00674C01">
        <w:rPr>
          <w:rFonts w:ascii="Times New Roman" w:hAnsi="Times New Roman" w:cs="Times New Roman"/>
          <w:sz w:val="20"/>
          <w:szCs w:val="20"/>
          <w:lang w:val="en-US"/>
        </w:rPr>
        <w:t xml:space="preserve">he transfer to adult </w:t>
      </w:r>
      <w:r>
        <w:rPr>
          <w:rFonts w:ascii="Times New Roman" w:hAnsi="Times New Roman" w:cs="Times New Roman"/>
          <w:sz w:val="20"/>
          <w:szCs w:val="20"/>
          <w:lang w:val="en-US"/>
        </w:rPr>
        <w:t>health care</w:t>
      </w:r>
      <w:r w:rsidRPr="00674C01">
        <w:rPr>
          <w:rFonts w:ascii="Times New Roman" w:hAnsi="Times New Roman" w:cs="Times New Roman"/>
          <w:sz w:val="20"/>
          <w:szCs w:val="20"/>
          <w:lang w:val="en-US"/>
        </w:rPr>
        <w:t xml:space="preserve"> for 30% of </w:t>
      </w:r>
      <w:r>
        <w:rPr>
          <w:rFonts w:ascii="Times New Roman" w:hAnsi="Times New Roman" w:cs="Times New Roman"/>
          <w:sz w:val="20"/>
          <w:szCs w:val="20"/>
          <w:lang w:val="en-US"/>
        </w:rPr>
        <w:t>GPOR</w:t>
      </w:r>
      <w:r w:rsidRPr="00674C01">
        <w:rPr>
          <w:rFonts w:ascii="Times New Roman" w:hAnsi="Times New Roman" w:cs="Times New Roman"/>
          <w:sz w:val="20"/>
          <w:szCs w:val="20"/>
          <w:lang w:val="en-US"/>
        </w:rPr>
        <w:t xml:space="preserve">s who no longer receive hospital letters. Consequently, 34 </w:t>
      </w:r>
      <w:r>
        <w:rPr>
          <w:rFonts w:ascii="Times New Roman" w:hAnsi="Times New Roman" w:cs="Times New Roman"/>
          <w:sz w:val="20"/>
          <w:szCs w:val="20"/>
          <w:lang w:val="en-US"/>
        </w:rPr>
        <w:t>GPOR</w:t>
      </w:r>
      <w:r w:rsidRPr="00674C01">
        <w:rPr>
          <w:rFonts w:ascii="Times New Roman" w:hAnsi="Times New Roman" w:cs="Times New Roman"/>
          <w:sz w:val="20"/>
          <w:szCs w:val="20"/>
          <w:lang w:val="en-US"/>
        </w:rPr>
        <w:t>s (72.3%) were not informed of the transition.</w:t>
      </w:r>
    </w:p>
    <w:p w14:paraId="573DF17A" w14:textId="7FB89C92" w:rsidR="00D317F0" w:rsidRPr="00690E56" w:rsidRDefault="00D317F0" w:rsidP="00D317F0">
      <w:pPr>
        <w:spacing w:after="120" w:line="259" w:lineRule="auto"/>
        <w:jc w:val="both"/>
        <w:rPr>
          <w:rFonts w:ascii="Times New Roman" w:hAnsi="Times New Roman" w:cs="Times New Roman"/>
          <w:bCs/>
          <w:sz w:val="20"/>
          <w:szCs w:val="20"/>
          <w:lang w:val="en-US"/>
        </w:rPr>
      </w:pPr>
      <w:r w:rsidRPr="00EE6570">
        <w:rPr>
          <w:rFonts w:ascii="Times New Roman" w:hAnsi="Times New Roman" w:cs="Times New Roman"/>
          <w:bCs/>
          <w:sz w:val="20"/>
          <w:szCs w:val="20"/>
          <w:lang w:val="en-US"/>
        </w:rPr>
        <w:t>Eighty percent of AYA</w:t>
      </w:r>
      <w:r w:rsidR="00682D39">
        <w:rPr>
          <w:rFonts w:ascii="Times New Roman" w:hAnsi="Times New Roman" w:cs="Times New Roman"/>
          <w:bCs/>
          <w:sz w:val="20"/>
          <w:szCs w:val="20"/>
          <w:lang w:val="en-US"/>
        </w:rPr>
        <w:t>s</w:t>
      </w:r>
      <w:r w:rsidRPr="00EE6570">
        <w:rPr>
          <w:rFonts w:ascii="Times New Roman" w:hAnsi="Times New Roman" w:cs="Times New Roman"/>
          <w:bCs/>
          <w:sz w:val="20"/>
          <w:szCs w:val="20"/>
          <w:lang w:val="en-US"/>
        </w:rPr>
        <w:t xml:space="preserve"> have at least one GP mentioned in their medical file, 88% of them have one GP and 12% have two </w:t>
      </w:r>
      <w:r w:rsidRPr="00437D8A">
        <w:rPr>
          <w:rFonts w:ascii="Times New Roman" w:hAnsi="Times New Roman" w:cs="Times New Roman"/>
          <w:bCs/>
          <w:sz w:val="20"/>
          <w:szCs w:val="20"/>
          <w:lang w:val="en-US"/>
        </w:rPr>
        <w:t>GPs (</w:t>
      </w:r>
      <w:r w:rsidRPr="00437D8A">
        <w:rPr>
          <w:rFonts w:ascii="Times New Roman" w:hAnsi="Times New Roman" w:cs="Times New Roman"/>
          <w:b/>
          <w:color w:val="0070C0"/>
          <w:sz w:val="20"/>
          <w:szCs w:val="20"/>
          <w:lang w:val="en-US"/>
        </w:rPr>
        <w:t>Figure 2</w:t>
      </w:r>
      <w:r w:rsidRPr="00437D8A">
        <w:rPr>
          <w:rFonts w:ascii="Times New Roman" w:hAnsi="Times New Roman" w:cs="Times New Roman"/>
          <w:bCs/>
          <w:sz w:val="20"/>
          <w:szCs w:val="20"/>
          <w:lang w:val="en-US"/>
        </w:rPr>
        <w:t>).</w:t>
      </w:r>
      <w:r>
        <w:rPr>
          <w:rFonts w:ascii="Times New Roman" w:hAnsi="Times New Roman" w:cs="Times New Roman"/>
          <w:b/>
          <w:sz w:val="20"/>
          <w:szCs w:val="20"/>
          <w:lang w:val="en-US"/>
        </w:rPr>
        <w:t xml:space="preserve"> </w:t>
      </w:r>
      <w:r w:rsidRPr="00690E56">
        <w:rPr>
          <w:rFonts w:ascii="Times New Roman" w:hAnsi="Times New Roman" w:cs="Times New Roman"/>
          <w:bCs/>
          <w:sz w:val="20"/>
          <w:szCs w:val="20"/>
          <w:lang w:val="en-US"/>
        </w:rPr>
        <w:t>Twenty AYA are followed by a pediatrician, twelve of whom also have a GP. Half of AYA</w:t>
      </w:r>
      <w:r w:rsidR="00A23A72">
        <w:rPr>
          <w:rFonts w:ascii="Times New Roman" w:hAnsi="Times New Roman" w:cs="Times New Roman"/>
          <w:bCs/>
          <w:sz w:val="20"/>
          <w:szCs w:val="20"/>
          <w:lang w:val="en-US"/>
        </w:rPr>
        <w:t>s</w:t>
      </w:r>
      <w:r w:rsidRPr="00690E56">
        <w:rPr>
          <w:rFonts w:ascii="Times New Roman" w:hAnsi="Times New Roman" w:cs="Times New Roman"/>
          <w:bCs/>
          <w:sz w:val="20"/>
          <w:szCs w:val="20"/>
          <w:lang w:val="en-US"/>
        </w:rPr>
        <w:t xml:space="preserve"> (51.4%) have a </w:t>
      </w:r>
      <w:r>
        <w:rPr>
          <w:rFonts w:ascii="Times New Roman" w:hAnsi="Times New Roman" w:cs="Times New Roman"/>
          <w:bCs/>
          <w:sz w:val="20"/>
          <w:szCs w:val="20"/>
          <w:lang w:val="en-US"/>
        </w:rPr>
        <w:t>GPOR</w:t>
      </w:r>
      <w:r w:rsidRPr="00690E56">
        <w:rPr>
          <w:rFonts w:ascii="Times New Roman" w:hAnsi="Times New Roman" w:cs="Times New Roman"/>
          <w:bCs/>
          <w:sz w:val="20"/>
          <w:szCs w:val="20"/>
          <w:lang w:val="en-US"/>
        </w:rPr>
        <w:t xml:space="preserve">. One-third of </w:t>
      </w:r>
      <w:r>
        <w:rPr>
          <w:rFonts w:ascii="Times New Roman" w:hAnsi="Times New Roman" w:cs="Times New Roman"/>
          <w:bCs/>
          <w:sz w:val="20"/>
          <w:szCs w:val="20"/>
          <w:lang w:val="en-US"/>
        </w:rPr>
        <w:t>GPOR</w:t>
      </w:r>
      <w:r w:rsidRPr="00690E56">
        <w:rPr>
          <w:rFonts w:ascii="Times New Roman" w:hAnsi="Times New Roman" w:cs="Times New Roman"/>
          <w:bCs/>
          <w:sz w:val="20"/>
          <w:szCs w:val="20"/>
          <w:lang w:val="en-US"/>
        </w:rPr>
        <w:t xml:space="preserve">s (35.3%) are involved </w:t>
      </w:r>
      <w:r w:rsidRPr="00D95A3B">
        <w:rPr>
          <w:rFonts w:ascii="Times New Roman" w:hAnsi="Times New Roman" w:cs="Times New Roman"/>
          <w:bCs/>
          <w:sz w:val="20"/>
          <w:szCs w:val="20"/>
          <w:lang w:val="en-US"/>
        </w:rPr>
        <w:t xml:space="preserve">in </w:t>
      </w:r>
      <w:r w:rsidR="00CC5C63">
        <w:rPr>
          <w:rFonts w:ascii="Times New Roman" w:hAnsi="Times New Roman" w:cs="Times New Roman"/>
          <w:bCs/>
          <w:sz w:val="20"/>
          <w:szCs w:val="20"/>
          <w:lang w:val="en-US"/>
        </w:rPr>
        <w:t xml:space="preserve">the </w:t>
      </w:r>
      <w:r w:rsidRPr="00D95A3B">
        <w:rPr>
          <w:rFonts w:ascii="Times New Roman" w:hAnsi="Times New Roman" w:cs="Times New Roman"/>
          <w:bCs/>
          <w:sz w:val="20"/>
          <w:szCs w:val="20"/>
          <w:lang w:val="en-US"/>
        </w:rPr>
        <w:t xml:space="preserve">AYA's </w:t>
      </w:r>
      <w:r>
        <w:rPr>
          <w:rFonts w:ascii="Times New Roman" w:hAnsi="Times New Roman" w:cs="Times New Roman"/>
          <w:bCs/>
          <w:sz w:val="20"/>
          <w:szCs w:val="20"/>
          <w:lang w:val="en-US"/>
        </w:rPr>
        <w:t>CC</w:t>
      </w:r>
      <w:r w:rsidRPr="00D95A3B">
        <w:rPr>
          <w:rFonts w:ascii="Times New Roman" w:hAnsi="Times New Roman" w:cs="Times New Roman"/>
          <w:bCs/>
          <w:sz w:val="20"/>
          <w:szCs w:val="20"/>
          <w:lang w:val="en-US"/>
        </w:rPr>
        <w:t xml:space="preserve"> management</w:t>
      </w:r>
      <w:r>
        <w:rPr>
          <w:rFonts w:ascii="Times New Roman" w:hAnsi="Times New Roman" w:cs="Times New Roman"/>
          <w:bCs/>
          <w:sz w:val="20"/>
          <w:szCs w:val="20"/>
          <w:lang w:val="en-US"/>
        </w:rPr>
        <w:t>.</w:t>
      </w:r>
    </w:p>
    <w:p w14:paraId="7E65C69C" w14:textId="5B21D300" w:rsidR="00D317F0" w:rsidRPr="009F5EAF" w:rsidRDefault="00D317F0" w:rsidP="00D317F0">
      <w:pPr>
        <w:spacing w:after="120" w:line="259" w:lineRule="auto"/>
        <w:jc w:val="both"/>
        <w:rPr>
          <w:rFonts w:ascii="Times New Roman" w:hAnsi="Times New Roman" w:cs="Times New Roman"/>
          <w:sz w:val="20"/>
          <w:szCs w:val="20"/>
          <w:lang w:val="en-US"/>
        </w:rPr>
      </w:pPr>
      <w:r w:rsidRPr="00F07F96">
        <w:rPr>
          <w:rFonts w:ascii="Times New Roman" w:hAnsi="Times New Roman" w:cs="Times New Roman"/>
          <w:sz w:val="20"/>
          <w:szCs w:val="20"/>
          <w:lang w:val="en-US"/>
        </w:rPr>
        <w:t>Overall, only a small minority (17.1%) of AYA</w:t>
      </w:r>
      <w:r w:rsidR="00682D39">
        <w:rPr>
          <w:rFonts w:ascii="Times New Roman" w:hAnsi="Times New Roman" w:cs="Times New Roman"/>
          <w:sz w:val="20"/>
          <w:szCs w:val="20"/>
          <w:lang w:val="en-US"/>
        </w:rPr>
        <w:t>s</w:t>
      </w:r>
      <w:r w:rsidRPr="00F07F96">
        <w:rPr>
          <w:rFonts w:ascii="Times New Roman" w:hAnsi="Times New Roman" w:cs="Times New Roman"/>
          <w:sz w:val="20"/>
          <w:szCs w:val="20"/>
          <w:lang w:val="en-US"/>
        </w:rPr>
        <w:t xml:space="preserve"> have a GPOR who is involved </w:t>
      </w:r>
      <w:r w:rsidRPr="00D95A3B">
        <w:rPr>
          <w:rFonts w:ascii="Times New Roman" w:hAnsi="Times New Roman" w:cs="Times New Roman"/>
          <w:bCs/>
          <w:sz w:val="20"/>
          <w:szCs w:val="20"/>
          <w:lang w:val="en-US"/>
        </w:rPr>
        <w:t>in</w:t>
      </w:r>
      <w:r w:rsidR="00CC5C63">
        <w:rPr>
          <w:rFonts w:ascii="Times New Roman" w:hAnsi="Times New Roman" w:cs="Times New Roman"/>
          <w:bCs/>
          <w:sz w:val="20"/>
          <w:szCs w:val="20"/>
          <w:lang w:val="en-US"/>
        </w:rPr>
        <w:t xml:space="preserve"> the</w:t>
      </w:r>
      <w:r w:rsidRPr="00D95A3B">
        <w:rPr>
          <w:rFonts w:ascii="Times New Roman" w:hAnsi="Times New Roman" w:cs="Times New Roman"/>
          <w:bCs/>
          <w:sz w:val="20"/>
          <w:szCs w:val="20"/>
          <w:lang w:val="en-US"/>
        </w:rPr>
        <w:t xml:space="preserve"> AYA's </w:t>
      </w:r>
      <w:r>
        <w:rPr>
          <w:rFonts w:ascii="Times New Roman" w:hAnsi="Times New Roman" w:cs="Times New Roman"/>
          <w:bCs/>
          <w:sz w:val="20"/>
          <w:szCs w:val="20"/>
          <w:lang w:val="en-US"/>
        </w:rPr>
        <w:t>CC</w:t>
      </w:r>
      <w:r w:rsidRPr="00D95A3B">
        <w:rPr>
          <w:rFonts w:ascii="Times New Roman" w:hAnsi="Times New Roman" w:cs="Times New Roman"/>
          <w:bCs/>
          <w:sz w:val="20"/>
          <w:szCs w:val="20"/>
          <w:lang w:val="en-US"/>
        </w:rPr>
        <w:t xml:space="preserve"> management</w:t>
      </w:r>
      <w:r>
        <w:rPr>
          <w:rFonts w:ascii="Times New Roman" w:hAnsi="Times New Roman" w:cs="Times New Roman"/>
          <w:sz w:val="20"/>
          <w:szCs w:val="20"/>
          <w:lang w:val="en-US"/>
        </w:rPr>
        <w:t xml:space="preserve">. </w:t>
      </w:r>
      <w:r w:rsidRPr="00F07F96">
        <w:rPr>
          <w:rFonts w:ascii="Times New Roman" w:hAnsi="Times New Roman" w:cs="Times New Roman"/>
          <w:sz w:val="20"/>
          <w:szCs w:val="20"/>
          <w:lang w:val="en-US"/>
        </w:rPr>
        <w:t>Almost half of AYA</w:t>
      </w:r>
      <w:r w:rsidR="00A23A72">
        <w:rPr>
          <w:rFonts w:ascii="Times New Roman" w:hAnsi="Times New Roman" w:cs="Times New Roman"/>
          <w:sz w:val="20"/>
          <w:szCs w:val="20"/>
          <w:lang w:val="en-US"/>
        </w:rPr>
        <w:t>s</w:t>
      </w:r>
      <w:r w:rsidRPr="00F07F96">
        <w:rPr>
          <w:rFonts w:ascii="Times New Roman" w:hAnsi="Times New Roman" w:cs="Times New Roman"/>
          <w:sz w:val="20"/>
          <w:szCs w:val="20"/>
          <w:lang w:val="en-US"/>
        </w:rPr>
        <w:t xml:space="preserve"> (48.6%) had no referring GP.</w:t>
      </w:r>
    </w:p>
    <w:p w14:paraId="21814117" w14:textId="77777777" w:rsidR="00D317F0" w:rsidRDefault="00D317F0" w:rsidP="00D317F0">
      <w:pPr>
        <w:spacing w:before="120" w:after="120"/>
        <w:jc w:val="both"/>
        <w:rPr>
          <w:rFonts w:ascii="Times New Roman" w:hAnsi="Times New Roman" w:cs="Times New Roman"/>
          <w:sz w:val="20"/>
          <w:szCs w:val="20"/>
          <w:lang w:val="en-US"/>
        </w:rPr>
      </w:pPr>
      <w:r w:rsidRPr="00BF38F2">
        <w:rPr>
          <w:rFonts w:ascii="Times New Roman" w:hAnsi="Times New Roman" w:cs="Times New Roman"/>
          <w:sz w:val="20"/>
          <w:szCs w:val="20"/>
          <w:lang w:val="en-US"/>
        </w:rPr>
        <w:t>The multivariate analysis</w:t>
      </w:r>
      <w:r>
        <w:rPr>
          <w:rFonts w:ascii="Times New Roman" w:hAnsi="Times New Roman" w:cs="Times New Roman"/>
          <w:sz w:val="20"/>
          <w:szCs w:val="20"/>
          <w:lang w:val="en-US"/>
        </w:rPr>
        <w:t xml:space="preserve"> (</w:t>
      </w:r>
      <w:r w:rsidRPr="00547676">
        <w:rPr>
          <w:rFonts w:ascii="Times New Roman" w:hAnsi="Times New Roman" w:cs="Times New Roman"/>
          <w:b/>
          <w:bCs/>
          <w:color w:val="0070C0"/>
          <w:sz w:val="20"/>
          <w:szCs w:val="20"/>
          <w:lang w:val="en-US"/>
        </w:rPr>
        <w:t>Table 3</w:t>
      </w:r>
      <w:r>
        <w:rPr>
          <w:rFonts w:ascii="Times New Roman" w:hAnsi="Times New Roman" w:cs="Times New Roman"/>
          <w:sz w:val="20"/>
          <w:szCs w:val="20"/>
          <w:lang w:val="en-US"/>
        </w:rPr>
        <w:t xml:space="preserve">) </w:t>
      </w:r>
      <w:r w:rsidRPr="00BF38F2">
        <w:rPr>
          <w:rFonts w:ascii="Times New Roman" w:hAnsi="Times New Roman" w:cs="Times New Roman"/>
          <w:sz w:val="20"/>
          <w:szCs w:val="20"/>
          <w:lang w:val="en-US"/>
        </w:rPr>
        <w:t xml:space="preserve">shows that the disease imbalance is significantly linked to the </w:t>
      </w:r>
      <w:r>
        <w:rPr>
          <w:rFonts w:ascii="Times New Roman" w:hAnsi="Times New Roman" w:cs="Times New Roman"/>
          <w:sz w:val="20"/>
          <w:szCs w:val="20"/>
          <w:lang w:val="en-US"/>
        </w:rPr>
        <w:t>GPOR</w:t>
      </w:r>
      <w:r w:rsidRPr="00BF38F2">
        <w:rPr>
          <w:rFonts w:ascii="Times New Roman" w:hAnsi="Times New Roman" w:cs="Times New Roman"/>
          <w:sz w:val="20"/>
          <w:szCs w:val="20"/>
          <w:lang w:val="en-US"/>
        </w:rPr>
        <w:t xml:space="preserve"> involvement (p&lt;0.01). The other factors do not have a significant relationship with the </w:t>
      </w:r>
      <w:r>
        <w:rPr>
          <w:rFonts w:ascii="Times New Roman" w:hAnsi="Times New Roman" w:cs="Times New Roman"/>
          <w:sz w:val="20"/>
          <w:szCs w:val="20"/>
          <w:lang w:val="en-US"/>
        </w:rPr>
        <w:t>GPOR</w:t>
      </w:r>
      <w:r w:rsidRPr="00BF38F2">
        <w:rPr>
          <w:rFonts w:ascii="Times New Roman" w:hAnsi="Times New Roman" w:cs="Times New Roman"/>
          <w:sz w:val="20"/>
          <w:szCs w:val="20"/>
          <w:lang w:val="en-US"/>
        </w:rPr>
        <w:t xml:space="preserve"> involvement.</w:t>
      </w:r>
    </w:p>
    <w:p w14:paraId="76AAD0EA" w14:textId="30ACF9A0" w:rsidR="00D317F0" w:rsidRDefault="00D317F0" w:rsidP="00D317F0">
      <w:pPr>
        <w:spacing w:before="120" w:after="120"/>
        <w:jc w:val="both"/>
        <w:rPr>
          <w:rFonts w:ascii="Times New Roman" w:hAnsi="Times New Roman" w:cs="Times New Roman"/>
          <w:sz w:val="20"/>
          <w:szCs w:val="20"/>
          <w:lang w:val="en-US"/>
        </w:rPr>
      </w:pPr>
      <w:r w:rsidRPr="00843BD9">
        <w:rPr>
          <w:rFonts w:ascii="Times New Roman" w:hAnsi="Times New Roman" w:cs="Times New Roman"/>
          <w:sz w:val="20"/>
          <w:szCs w:val="20"/>
          <w:lang w:val="en-US"/>
        </w:rPr>
        <w:t>Concerning the expectations of GPs regarding the hospital and their perceived role during transition</w:t>
      </w:r>
      <w:r>
        <w:rPr>
          <w:rFonts w:ascii="Times New Roman" w:hAnsi="Times New Roman" w:cs="Times New Roman"/>
          <w:sz w:val="20"/>
          <w:szCs w:val="20"/>
          <w:lang w:val="en-US"/>
        </w:rPr>
        <w:t xml:space="preserve"> (</w:t>
      </w:r>
      <w:r w:rsidR="00C555E1" w:rsidRPr="00751E6E">
        <w:rPr>
          <w:rFonts w:ascii="Times New Roman" w:hAnsi="Times New Roman" w:cs="Times New Roman"/>
          <w:b/>
          <w:bCs/>
          <w:color w:val="0070C0"/>
          <w:sz w:val="20"/>
          <w:szCs w:val="20"/>
          <w:highlight w:val="yellow"/>
          <w:lang w:val="en-US"/>
        </w:rPr>
        <w:t>Figure S1</w:t>
      </w:r>
      <w:r w:rsidR="00C555E1" w:rsidRPr="00C555E1">
        <w:rPr>
          <w:rFonts w:ascii="Times New Roman" w:hAnsi="Times New Roman" w:cs="Times New Roman"/>
          <w:sz w:val="20"/>
          <w:szCs w:val="20"/>
          <w:highlight w:val="yellow"/>
          <w:lang w:val="en-US"/>
        </w:rPr>
        <w:t xml:space="preserve"> in the supplementary material</w:t>
      </w:r>
      <w:r>
        <w:rPr>
          <w:rFonts w:ascii="Times New Roman" w:hAnsi="Times New Roman" w:cs="Times New Roman"/>
          <w:sz w:val="20"/>
          <w:szCs w:val="20"/>
          <w:lang w:val="en-US"/>
        </w:rPr>
        <w:t>)</w:t>
      </w:r>
      <w:r w:rsidRPr="00843BD9">
        <w:rPr>
          <w:rFonts w:ascii="Times New Roman" w:hAnsi="Times New Roman" w:cs="Times New Roman"/>
          <w:sz w:val="20"/>
          <w:szCs w:val="20"/>
          <w:lang w:val="en-US"/>
        </w:rPr>
        <w:t xml:space="preserve">, it emerged from semi-structured interviews that communication with the hospital </w:t>
      </w:r>
      <w:r w:rsidR="00E92E2A" w:rsidRPr="00A620A5">
        <w:rPr>
          <w:rFonts w:ascii="Times New Roman" w:hAnsi="Times New Roman" w:cs="Times New Roman"/>
          <w:sz w:val="20"/>
          <w:szCs w:val="20"/>
          <w:highlight w:val="yellow"/>
          <w:lang w:val="en-US"/>
        </w:rPr>
        <w:t>seemed</w:t>
      </w:r>
      <w:r w:rsidR="00E92E2A" w:rsidRPr="00843BD9">
        <w:rPr>
          <w:rFonts w:ascii="Times New Roman" w:hAnsi="Times New Roman" w:cs="Times New Roman"/>
          <w:sz w:val="20"/>
          <w:szCs w:val="20"/>
          <w:lang w:val="en-US"/>
        </w:rPr>
        <w:t xml:space="preserve"> </w:t>
      </w:r>
      <w:r w:rsidRPr="00843BD9">
        <w:rPr>
          <w:rFonts w:ascii="Times New Roman" w:hAnsi="Times New Roman" w:cs="Times New Roman"/>
          <w:sz w:val="20"/>
          <w:szCs w:val="20"/>
          <w:lang w:val="en-US"/>
        </w:rPr>
        <w:t>satisfactory but highly variable depending on the hospital and the department.</w:t>
      </w:r>
      <w:r w:rsidR="00B1703E">
        <w:rPr>
          <w:rFonts w:ascii="Times New Roman" w:hAnsi="Times New Roman" w:cs="Times New Roman"/>
          <w:sz w:val="20"/>
          <w:szCs w:val="20"/>
          <w:lang w:val="en-US"/>
        </w:rPr>
        <w:t xml:space="preserve"> </w:t>
      </w:r>
      <w:r w:rsidR="00B1703E" w:rsidRPr="00B1703E">
        <w:rPr>
          <w:rFonts w:ascii="Times New Roman" w:hAnsi="Times New Roman" w:cs="Times New Roman"/>
          <w:sz w:val="20"/>
          <w:szCs w:val="20"/>
          <w:lang w:val="en-US"/>
        </w:rPr>
        <w:t xml:space="preserve">The relationship with hospital specialists </w:t>
      </w:r>
      <w:r w:rsidR="00B1703E" w:rsidRPr="00B1703E">
        <w:rPr>
          <w:rFonts w:ascii="Times New Roman" w:hAnsi="Times New Roman" w:cs="Times New Roman"/>
          <w:sz w:val="20"/>
          <w:szCs w:val="20"/>
          <w:highlight w:val="yellow"/>
          <w:lang w:val="en-US"/>
        </w:rPr>
        <w:t>was considered</w:t>
      </w:r>
      <w:r w:rsidR="00B1703E" w:rsidRPr="00B1703E">
        <w:rPr>
          <w:rFonts w:ascii="Times New Roman" w:hAnsi="Times New Roman" w:cs="Times New Roman"/>
          <w:sz w:val="20"/>
          <w:szCs w:val="20"/>
          <w:lang w:val="en-US"/>
        </w:rPr>
        <w:t xml:space="preserve"> quite good, but </w:t>
      </w:r>
      <w:r w:rsidR="00B1703E" w:rsidRPr="00B1703E">
        <w:rPr>
          <w:rFonts w:ascii="Times New Roman" w:hAnsi="Times New Roman" w:cs="Times New Roman"/>
          <w:sz w:val="20"/>
          <w:szCs w:val="20"/>
          <w:highlight w:val="yellow"/>
          <w:lang w:val="en-US"/>
        </w:rPr>
        <w:t>GPs found it</w:t>
      </w:r>
      <w:r w:rsidR="00B1703E" w:rsidRPr="00B1703E">
        <w:rPr>
          <w:rFonts w:ascii="Times New Roman" w:hAnsi="Times New Roman" w:cs="Times New Roman"/>
          <w:sz w:val="20"/>
          <w:szCs w:val="20"/>
          <w:lang w:val="en-US"/>
        </w:rPr>
        <w:t xml:space="preserve"> difficult to reach specialists by phone, while communication by email seemed easier.</w:t>
      </w:r>
      <w:r w:rsidR="0001244A">
        <w:rPr>
          <w:rFonts w:ascii="Times New Roman" w:hAnsi="Times New Roman" w:cs="Times New Roman"/>
          <w:sz w:val="20"/>
          <w:szCs w:val="20"/>
          <w:lang w:val="en-US"/>
        </w:rPr>
        <w:t xml:space="preserve"> </w:t>
      </w:r>
      <w:r w:rsidR="0001244A" w:rsidRPr="0001244A">
        <w:rPr>
          <w:rFonts w:ascii="Times New Roman" w:hAnsi="Times New Roman" w:cs="Times New Roman"/>
          <w:sz w:val="20"/>
          <w:szCs w:val="20"/>
          <w:highlight w:val="yellow"/>
          <w:lang w:val="en-US"/>
        </w:rPr>
        <w:t>Consequently, some GPs reported sharing their personal mobile number for the sake of convenience.</w:t>
      </w:r>
      <w:r w:rsidR="0001244A">
        <w:rPr>
          <w:rFonts w:ascii="Times New Roman" w:hAnsi="Times New Roman" w:cs="Times New Roman"/>
          <w:sz w:val="20"/>
          <w:szCs w:val="20"/>
          <w:lang w:val="en-US"/>
        </w:rPr>
        <w:t xml:space="preserve"> </w:t>
      </w:r>
      <w:r w:rsidRPr="00843BD9">
        <w:rPr>
          <w:rFonts w:ascii="Times New Roman" w:hAnsi="Times New Roman" w:cs="Times New Roman"/>
          <w:sz w:val="20"/>
          <w:szCs w:val="20"/>
          <w:lang w:val="en-US"/>
        </w:rPr>
        <w:t xml:space="preserve">Several GPs believed communication might be improved by organizing joint meetings that gather GPs and specialists. </w:t>
      </w:r>
      <w:r w:rsidR="00B1703E" w:rsidRPr="00B1703E">
        <w:rPr>
          <w:rFonts w:ascii="Times New Roman" w:hAnsi="Times New Roman" w:cs="Times New Roman"/>
          <w:sz w:val="20"/>
          <w:szCs w:val="20"/>
          <w:highlight w:val="yellow"/>
          <w:lang w:val="en-US"/>
        </w:rPr>
        <w:t>GPs reported that</w:t>
      </w:r>
      <w:r w:rsidR="00B1703E" w:rsidRPr="00B1703E">
        <w:rPr>
          <w:rFonts w:ascii="Times New Roman" w:hAnsi="Times New Roman" w:cs="Times New Roman"/>
          <w:sz w:val="20"/>
          <w:szCs w:val="20"/>
          <w:lang w:val="en-US"/>
        </w:rPr>
        <w:t xml:space="preserve"> medical reports were not systematically sent to them, even in </w:t>
      </w:r>
      <w:r w:rsidR="00B1703E" w:rsidRPr="00B1703E">
        <w:rPr>
          <w:rFonts w:ascii="Times New Roman" w:hAnsi="Times New Roman" w:cs="Times New Roman"/>
          <w:sz w:val="20"/>
          <w:szCs w:val="20"/>
          <w:lang w:val="en-US"/>
        </w:rPr>
        <w:lastRenderedPageBreak/>
        <w:t>electronic form, and were often received late.</w:t>
      </w:r>
      <w:r w:rsidR="00B1703E">
        <w:rPr>
          <w:rFonts w:ascii="Times New Roman" w:hAnsi="Times New Roman" w:cs="Times New Roman"/>
          <w:sz w:val="20"/>
          <w:szCs w:val="20"/>
          <w:lang w:val="en-US"/>
        </w:rPr>
        <w:t xml:space="preserve"> </w:t>
      </w:r>
      <w:r w:rsidRPr="00843BD9">
        <w:rPr>
          <w:rFonts w:ascii="Times New Roman" w:hAnsi="Times New Roman" w:cs="Times New Roman"/>
          <w:sz w:val="20"/>
          <w:szCs w:val="20"/>
          <w:lang w:val="en-US"/>
        </w:rPr>
        <w:t xml:space="preserve">For most GPs, medical letters took too </w:t>
      </w:r>
      <w:r w:rsidR="00A93C60">
        <w:rPr>
          <w:rFonts w:ascii="Times New Roman" w:hAnsi="Times New Roman" w:cs="Times New Roman"/>
          <w:sz w:val="20"/>
          <w:szCs w:val="20"/>
          <w:lang w:val="en-US"/>
        </w:rPr>
        <w:t>long</w:t>
      </w:r>
      <w:r w:rsidRPr="00843BD9">
        <w:rPr>
          <w:rFonts w:ascii="Times New Roman" w:hAnsi="Times New Roman" w:cs="Times New Roman"/>
          <w:sz w:val="20"/>
          <w:szCs w:val="20"/>
          <w:lang w:val="en-US"/>
        </w:rPr>
        <w:t xml:space="preserve"> to read and lacked specificity. Some GPs suggested that a follow-up protocol should be included </w:t>
      </w:r>
      <w:r w:rsidRPr="00B1703E">
        <w:rPr>
          <w:rFonts w:ascii="Times New Roman" w:hAnsi="Times New Roman" w:cs="Times New Roman"/>
          <w:sz w:val="20"/>
          <w:szCs w:val="20"/>
          <w:highlight w:val="yellow"/>
          <w:lang w:val="en-US"/>
        </w:rPr>
        <w:t xml:space="preserve">for </w:t>
      </w:r>
      <w:r w:rsidR="00B1703E" w:rsidRPr="00B1703E">
        <w:rPr>
          <w:rFonts w:ascii="Times New Roman" w:hAnsi="Times New Roman" w:cs="Times New Roman"/>
          <w:sz w:val="20"/>
          <w:szCs w:val="20"/>
          <w:highlight w:val="yellow"/>
          <w:lang w:val="en-US"/>
        </w:rPr>
        <w:t xml:space="preserve">helping </w:t>
      </w:r>
      <w:r w:rsidRPr="00B1703E">
        <w:rPr>
          <w:rFonts w:ascii="Times New Roman" w:hAnsi="Times New Roman" w:cs="Times New Roman"/>
          <w:sz w:val="20"/>
          <w:szCs w:val="20"/>
          <w:highlight w:val="yellow"/>
          <w:lang w:val="en-US"/>
        </w:rPr>
        <w:t>GPs</w:t>
      </w:r>
      <w:r w:rsidRPr="00843BD9">
        <w:rPr>
          <w:rFonts w:ascii="Times New Roman" w:hAnsi="Times New Roman" w:cs="Times New Roman"/>
          <w:sz w:val="20"/>
          <w:szCs w:val="20"/>
          <w:lang w:val="en-US"/>
        </w:rPr>
        <w:t>.</w:t>
      </w:r>
    </w:p>
    <w:p w14:paraId="56413C37" w14:textId="1E87F2D7" w:rsidR="00184E1B" w:rsidRPr="00157E64" w:rsidRDefault="0013267C" w:rsidP="00D317F0">
      <w:pPr>
        <w:spacing w:before="120" w:after="120"/>
        <w:jc w:val="both"/>
        <w:rPr>
          <w:rFonts w:ascii="Times New Roman" w:hAnsi="Times New Roman" w:cs="Times New Roman"/>
          <w:sz w:val="20"/>
          <w:szCs w:val="20"/>
          <w:lang w:val="en-US"/>
        </w:rPr>
      </w:pPr>
      <w:r w:rsidRPr="0013267C">
        <w:rPr>
          <w:rFonts w:ascii="Times New Roman" w:hAnsi="Times New Roman" w:cs="Times New Roman"/>
          <w:sz w:val="20"/>
          <w:szCs w:val="20"/>
          <w:lang w:val="en-US"/>
        </w:rPr>
        <w:t xml:space="preserve">Thanks to their </w:t>
      </w:r>
      <w:r w:rsidRPr="0013267C">
        <w:rPr>
          <w:rFonts w:ascii="Times New Roman" w:hAnsi="Times New Roman" w:cs="Times New Roman"/>
          <w:sz w:val="20"/>
          <w:szCs w:val="20"/>
          <w:highlight w:val="yellow"/>
          <w:lang w:val="en-US"/>
        </w:rPr>
        <w:t>perceived</w:t>
      </w:r>
      <w:r w:rsidRPr="0013267C">
        <w:rPr>
          <w:rFonts w:ascii="Times New Roman" w:hAnsi="Times New Roman" w:cs="Times New Roman"/>
          <w:sz w:val="20"/>
          <w:szCs w:val="20"/>
          <w:lang w:val="en-US"/>
        </w:rPr>
        <w:t xml:space="preserve"> special relationship with the AYA, GPs believed</w:t>
      </w:r>
      <w:r>
        <w:rPr>
          <w:rFonts w:ascii="Times New Roman" w:hAnsi="Times New Roman" w:cs="Times New Roman"/>
          <w:sz w:val="20"/>
          <w:szCs w:val="20"/>
          <w:lang w:val="en-US"/>
        </w:rPr>
        <w:t xml:space="preserve"> </w:t>
      </w:r>
      <w:r w:rsidR="00D317F0" w:rsidRPr="00843BD9">
        <w:rPr>
          <w:rFonts w:ascii="Times New Roman" w:hAnsi="Times New Roman" w:cs="Times New Roman"/>
          <w:sz w:val="20"/>
          <w:szCs w:val="20"/>
          <w:lang w:val="en-US"/>
        </w:rPr>
        <w:t>they can prevent loss of follow-up by identifying them and redirecting the AYA to a trusted adult environment.</w:t>
      </w:r>
      <w:r w:rsidR="001C0696">
        <w:rPr>
          <w:rFonts w:ascii="Times New Roman" w:hAnsi="Times New Roman" w:cs="Times New Roman"/>
          <w:sz w:val="20"/>
          <w:szCs w:val="20"/>
          <w:lang w:val="en-US"/>
        </w:rPr>
        <w:t xml:space="preserve"> </w:t>
      </w:r>
      <w:r w:rsidR="001C0696" w:rsidRPr="001C0696">
        <w:rPr>
          <w:rFonts w:ascii="Times New Roman" w:hAnsi="Times New Roman" w:cs="Times New Roman"/>
          <w:sz w:val="20"/>
          <w:szCs w:val="20"/>
          <w:highlight w:val="yellow"/>
          <w:lang w:val="en-US"/>
        </w:rPr>
        <w:t>This relationship, described by</w:t>
      </w:r>
      <w:r w:rsidR="001C0696">
        <w:rPr>
          <w:rFonts w:ascii="Times New Roman" w:hAnsi="Times New Roman" w:cs="Times New Roman"/>
          <w:sz w:val="20"/>
          <w:szCs w:val="20"/>
          <w:highlight w:val="yellow"/>
          <w:lang w:val="en-US"/>
        </w:rPr>
        <w:t xml:space="preserve"> </w:t>
      </w:r>
      <w:r w:rsidR="001C0696" w:rsidRPr="001C0696">
        <w:rPr>
          <w:rFonts w:ascii="Times New Roman" w:hAnsi="Times New Roman" w:cs="Times New Roman"/>
          <w:sz w:val="20"/>
          <w:szCs w:val="20"/>
          <w:highlight w:val="yellow"/>
          <w:lang w:val="en-US"/>
        </w:rPr>
        <w:t xml:space="preserve">GPs as a long-term and trusting connection, appears to enable them to provide not only medical care, but also emotional and psychological support. </w:t>
      </w:r>
      <w:r w:rsidRPr="001C0696">
        <w:rPr>
          <w:rFonts w:ascii="Times New Roman" w:hAnsi="Times New Roman" w:cs="Times New Roman"/>
          <w:sz w:val="20"/>
          <w:szCs w:val="20"/>
          <w:highlight w:val="yellow"/>
          <w:lang w:val="en-US"/>
        </w:rPr>
        <w:t>GPs consider this connection essential for ensuring continuity of care, particularly during the transition to adult services.</w:t>
      </w:r>
    </w:p>
    <w:p w14:paraId="121D9EBE" w14:textId="5DE2ADD0" w:rsidR="00D317F0" w:rsidRPr="009F5EAF" w:rsidRDefault="007C6239" w:rsidP="00D317F0">
      <w:pPr>
        <w:spacing w:before="120" w:after="120"/>
        <w:jc w:val="both"/>
        <w:rPr>
          <w:rFonts w:ascii="Times New Roman" w:hAnsi="Times New Roman" w:cs="Times New Roman"/>
          <w:sz w:val="20"/>
          <w:szCs w:val="20"/>
          <w:lang w:val="en-US"/>
        </w:rPr>
      </w:pPr>
      <w:r w:rsidRPr="007C6239">
        <w:rPr>
          <w:rFonts w:ascii="Times New Roman" w:hAnsi="Times New Roman" w:cs="Times New Roman"/>
          <w:sz w:val="20"/>
          <w:szCs w:val="20"/>
          <w:lang w:val="en-US"/>
        </w:rPr>
        <w:t xml:space="preserve">However, as several physicians stated, this requires hospitals to involve GPs more often in the AYA's care, particularly during transition, for example, </w:t>
      </w:r>
      <w:r w:rsidRPr="007C6239">
        <w:rPr>
          <w:rFonts w:ascii="Times New Roman" w:hAnsi="Times New Roman" w:cs="Times New Roman"/>
          <w:sz w:val="20"/>
          <w:szCs w:val="20"/>
          <w:highlight w:val="yellow"/>
          <w:lang w:val="en-US"/>
        </w:rPr>
        <w:t>to prescribe and adjust basic treatments, which they also see as an opportunity for therapeutic education.</w:t>
      </w:r>
      <w:r>
        <w:rPr>
          <w:rFonts w:ascii="Times New Roman" w:hAnsi="Times New Roman" w:cs="Times New Roman"/>
          <w:sz w:val="20"/>
          <w:szCs w:val="20"/>
          <w:highlight w:val="yellow"/>
          <w:lang w:val="en-US"/>
        </w:rPr>
        <w:t xml:space="preserve"> </w:t>
      </w:r>
      <w:r w:rsidR="00056282" w:rsidRPr="000B5AE8">
        <w:rPr>
          <w:rFonts w:ascii="Times New Roman" w:hAnsi="Times New Roman" w:cs="Times New Roman"/>
          <w:sz w:val="20"/>
          <w:szCs w:val="20"/>
          <w:highlight w:val="yellow"/>
          <w:lang w:val="en-US"/>
        </w:rPr>
        <w:t xml:space="preserve">Several </w:t>
      </w:r>
      <w:r w:rsidR="00056282" w:rsidRPr="00056282">
        <w:rPr>
          <w:rFonts w:ascii="Times New Roman" w:hAnsi="Times New Roman" w:cs="Times New Roman"/>
          <w:sz w:val="20"/>
          <w:szCs w:val="20"/>
          <w:highlight w:val="yellow"/>
          <w:lang w:val="en-US"/>
        </w:rPr>
        <w:t>GPs also emphasized that, unlike pediatricians who routinely schedule follow-up appointments, GPs typically wait for patients to initiate contact. This difference in practice was seen as a potential barrier to continuity of care, especially during transition</w:t>
      </w:r>
      <w:r w:rsidR="00056282" w:rsidRPr="004D70B9">
        <w:rPr>
          <w:rFonts w:ascii="Times New Roman" w:hAnsi="Times New Roman" w:cs="Times New Roman"/>
          <w:sz w:val="20"/>
          <w:szCs w:val="20"/>
          <w:highlight w:val="yellow"/>
          <w:lang w:val="en-US"/>
        </w:rPr>
        <w:t>.</w:t>
      </w:r>
      <w:r w:rsidR="004D70B9">
        <w:rPr>
          <w:rFonts w:ascii="Times New Roman" w:hAnsi="Times New Roman" w:cs="Times New Roman"/>
          <w:sz w:val="20"/>
          <w:szCs w:val="20"/>
          <w:highlight w:val="yellow"/>
          <w:lang w:val="en-US"/>
        </w:rPr>
        <w:t xml:space="preserve"> </w:t>
      </w:r>
      <w:r w:rsidR="004D70B9" w:rsidRPr="004D70B9">
        <w:rPr>
          <w:rFonts w:ascii="Times New Roman" w:hAnsi="Times New Roman" w:cs="Times New Roman"/>
          <w:sz w:val="20"/>
          <w:szCs w:val="20"/>
          <w:highlight w:val="yellow"/>
          <w:lang w:val="en-US"/>
        </w:rPr>
        <w:t>In addition, several GPs reported that hospital pediatricians often handled routine care without encouraging AYA</w:t>
      </w:r>
      <w:r w:rsidR="0052672A">
        <w:rPr>
          <w:rFonts w:ascii="Times New Roman" w:hAnsi="Times New Roman" w:cs="Times New Roman"/>
          <w:sz w:val="20"/>
          <w:szCs w:val="20"/>
          <w:highlight w:val="yellow"/>
          <w:lang w:val="en-US"/>
        </w:rPr>
        <w:t>s</w:t>
      </w:r>
      <w:r w:rsidR="004D70B9" w:rsidRPr="004D70B9">
        <w:rPr>
          <w:rFonts w:ascii="Times New Roman" w:hAnsi="Times New Roman" w:cs="Times New Roman"/>
          <w:sz w:val="20"/>
          <w:szCs w:val="20"/>
          <w:highlight w:val="yellow"/>
          <w:lang w:val="en-US"/>
        </w:rPr>
        <w:t xml:space="preserve"> to see their GP, which they believed could limit their involvement before transition.</w:t>
      </w:r>
      <w:r w:rsidR="004D70B9">
        <w:rPr>
          <w:rFonts w:ascii="Times New Roman" w:hAnsi="Times New Roman" w:cs="Times New Roman"/>
          <w:sz w:val="20"/>
          <w:szCs w:val="20"/>
          <w:lang w:val="en-US"/>
        </w:rPr>
        <w:t xml:space="preserve"> </w:t>
      </w:r>
      <w:r w:rsidR="00D317F0" w:rsidRPr="00843BD9">
        <w:rPr>
          <w:rFonts w:ascii="Times New Roman" w:hAnsi="Times New Roman" w:cs="Times New Roman"/>
          <w:sz w:val="20"/>
          <w:szCs w:val="20"/>
          <w:lang w:val="en-US"/>
        </w:rPr>
        <w:t>Thus, several GPs underlined that it is important to talk about transition during consultations, whether dedicated or not, in order to reinforce trust with the AYA and avoid transition failures.</w:t>
      </w:r>
    </w:p>
    <w:p w14:paraId="155F8AB6" w14:textId="77777777" w:rsidR="00D317F0" w:rsidRDefault="00D317F0" w:rsidP="0020403E">
      <w:pPr>
        <w:spacing w:before="240" w:after="120"/>
        <w:jc w:val="both"/>
        <w:rPr>
          <w:rFonts w:ascii="Times New Roman" w:hAnsi="Times New Roman" w:cs="Times New Roman"/>
          <w:b/>
          <w:sz w:val="20"/>
          <w:szCs w:val="20"/>
          <w:lang w:val="en-US"/>
        </w:rPr>
      </w:pPr>
      <w:r w:rsidRPr="009F5EAF">
        <w:rPr>
          <w:rFonts w:ascii="Times New Roman" w:hAnsi="Times New Roman" w:cs="Times New Roman"/>
          <w:b/>
          <w:sz w:val="20"/>
          <w:szCs w:val="20"/>
          <w:lang w:val="en-US"/>
        </w:rPr>
        <w:t>DISCUSSION</w:t>
      </w:r>
    </w:p>
    <w:p w14:paraId="0D5917A0" w14:textId="290A24D5" w:rsidR="00D317F0" w:rsidRDefault="00D317F0" w:rsidP="00D317F0">
      <w:pPr>
        <w:spacing w:before="200" w:after="120"/>
        <w:jc w:val="both"/>
        <w:rPr>
          <w:rFonts w:ascii="Times New Roman" w:hAnsi="Times New Roman" w:cs="Times New Roman"/>
          <w:bCs/>
          <w:sz w:val="20"/>
          <w:szCs w:val="20"/>
          <w:lang w:val="en-US"/>
        </w:rPr>
      </w:pPr>
      <w:r w:rsidRPr="00CF13A9">
        <w:rPr>
          <w:rFonts w:ascii="Times New Roman" w:hAnsi="Times New Roman" w:cs="Times New Roman"/>
          <w:bCs/>
          <w:sz w:val="20"/>
          <w:szCs w:val="20"/>
          <w:lang w:val="en-US"/>
        </w:rPr>
        <w:t>Although 80% of AYA</w:t>
      </w:r>
      <w:r w:rsidR="00A23A72">
        <w:rPr>
          <w:rFonts w:ascii="Times New Roman" w:hAnsi="Times New Roman" w:cs="Times New Roman"/>
          <w:bCs/>
          <w:sz w:val="20"/>
          <w:szCs w:val="20"/>
          <w:lang w:val="en-US"/>
        </w:rPr>
        <w:t>s</w:t>
      </w:r>
      <w:r w:rsidRPr="00CF13A9">
        <w:rPr>
          <w:rFonts w:ascii="Times New Roman" w:hAnsi="Times New Roman" w:cs="Times New Roman"/>
          <w:bCs/>
          <w:sz w:val="20"/>
          <w:szCs w:val="20"/>
          <w:lang w:val="en-US"/>
        </w:rPr>
        <w:t xml:space="preserve"> have a GP reported in their medical records, only half</w:t>
      </w:r>
      <w:r>
        <w:rPr>
          <w:rFonts w:ascii="Times New Roman" w:hAnsi="Times New Roman" w:cs="Times New Roman"/>
          <w:bCs/>
          <w:sz w:val="20"/>
          <w:szCs w:val="20"/>
          <w:lang w:val="en-US"/>
        </w:rPr>
        <w:t xml:space="preserve"> have a referring </w:t>
      </w:r>
      <w:r w:rsidRPr="00CF13A9">
        <w:rPr>
          <w:rFonts w:ascii="Times New Roman" w:hAnsi="Times New Roman" w:cs="Times New Roman"/>
          <w:bCs/>
          <w:sz w:val="20"/>
          <w:szCs w:val="20"/>
          <w:lang w:val="en-US"/>
        </w:rPr>
        <w:t>GP</w:t>
      </w:r>
      <w:r>
        <w:rPr>
          <w:rFonts w:ascii="Times New Roman" w:hAnsi="Times New Roman" w:cs="Times New Roman"/>
          <w:bCs/>
          <w:sz w:val="20"/>
          <w:szCs w:val="20"/>
          <w:lang w:val="en-US"/>
        </w:rPr>
        <w:t xml:space="preserve"> and </w:t>
      </w:r>
      <w:r w:rsidRPr="00CF13A9">
        <w:rPr>
          <w:rFonts w:ascii="Times New Roman" w:hAnsi="Times New Roman" w:cs="Times New Roman"/>
          <w:bCs/>
          <w:sz w:val="20"/>
          <w:szCs w:val="20"/>
          <w:lang w:val="en-US"/>
        </w:rPr>
        <w:t>a small percentage</w:t>
      </w:r>
      <w:r>
        <w:rPr>
          <w:rFonts w:ascii="Times New Roman" w:hAnsi="Times New Roman" w:cs="Times New Roman"/>
          <w:bCs/>
          <w:sz w:val="20"/>
          <w:szCs w:val="20"/>
          <w:lang w:val="en-US"/>
        </w:rPr>
        <w:t xml:space="preserve"> of these GPs were </w:t>
      </w:r>
      <w:r w:rsidRPr="00CF13A9">
        <w:rPr>
          <w:rFonts w:ascii="Times New Roman" w:hAnsi="Times New Roman" w:cs="Times New Roman"/>
          <w:bCs/>
          <w:sz w:val="20"/>
          <w:szCs w:val="20"/>
          <w:lang w:val="en-US"/>
        </w:rPr>
        <w:t xml:space="preserve">involved in monitoring their </w:t>
      </w:r>
      <w:r>
        <w:rPr>
          <w:rFonts w:ascii="Times New Roman" w:hAnsi="Times New Roman" w:cs="Times New Roman"/>
          <w:bCs/>
          <w:sz w:val="20"/>
          <w:szCs w:val="20"/>
          <w:lang w:val="en-US"/>
        </w:rPr>
        <w:t>CC. Moreover, t</w:t>
      </w:r>
      <w:r w:rsidRPr="00CF13A9">
        <w:rPr>
          <w:rFonts w:ascii="Times New Roman" w:hAnsi="Times New Roman" w:cs="Times New Roman"/>
          <w:bCs/>
          <w:sz w:val="20"/>
          <w:szCs w:val="20"/>
          <w:lang w:val="en-US"/>
        </w:rPr>
        <w:t xml:space="preserve">hese GPs are rarely included in the transition process and are seldom involved in monitoring AYA's </w:t>
      </w:r>
      <w:r>
        <w:rPr>
          <w:rFonts w:ascii="Times New Roman" w:hAnsi="Times New Roman" w:cs="Times New Roman"/>
          <w:bCs/>
          <w:sz w:val="20"/>
          <w:szCs w:val="20"/>
          <w:lang w:val="en-US"/>
        </w:rPr>
        <w:t>CC.</w:t>
      </w:r>
    </w:p>
    <w:p w14:paraId="2690ECBE" w14:textId="20D6F3E4" w:rsidR="00AC7FD9" w:rsidRDefault="00D317F0" w:rsidP="00D317F0">
      <w:pPr>
        <w:spacing w:before="200" w:after="120"/>
        <w:jc w:val="both"/>
        <w:rPr>
          <w:rFonts w:ascii="Times New Roman" w:hAnsi="Times New Roman" w:cs="Times New Roman"/>
          <w:bCs/>
          <w:sz w:val="20"/>
          <w:szCs w:val="20"/>
          <w:lang w:val="en-US"/>
        </w:rPr>
      </w:pPr>
      <w:r w:rsidRPr="00CF13A9">
        <w:rPr>
          <w:rFonts w:ascii="Times New Roman" w:hAnsi="Times New Roman" w:cs="Times New Roman"/>
          <w:bCs/>
          <w:sz w:val="20"/>
          <w:szCs w:val="20"/>
          <w:lang w:val="en-US"/>
        </w:rPr>
        <w:t>These results are consistent with the existing literature</w:t>
      </w:r>
      <w:r>
        <w:rPr>
          <w:rFonts w:ascii="Times New Roman" w:hAnsi="Times New Roman" w:cs="Times New Roman"/>
          <w:bCs/>
          <w:sz w:val="20"/>
          <w:szCs w:val="20"/>
          <w:lang w:val="en-US"/>
        </w:rPr>
        <w:t>: t</w:t>
      </w:r>
      <w:r w:rsidRPr="00CF13A9">
        <w:rPr>
          <w:rFonts w:ascii="Times New Roman" w:hAnsi="Times New Roman" w:cs="Times New Roman"/>
          <w:bCs/>
          <w:sz w:val="20"/>
          <w:szCs w:val="20"/>
          <w:lang w:val="en-US"/>
        </w:rPr>
        <w:t xml:space="preserve">wo studies, one Canadian </w:t>
      </w:r>
      <w:r>
        <w:rPr>
          <w:rFonts w:ascii="Times New Roman" w:hAnsi="Times New Roman" w:cs="Times New Roman"/>
          <w:bCs/>
          <w:sz w:val="20"/>
          <w:szCs w:val="20"/>
          <w:lang w:val="en-US"/>
        </w:rPr>
        <w:fldChar w:fldCharType="begin"/>
      </w:r>
      <w:r w:rsidR="00BA1739">
        <w:rPr>
          <w:rFonts w:ascii="Times New Roman" w:hAnsi="Times New Roman" w:cs="Times New Roman"/>
          <w:bCs/>
          <w:sz w:val="20"/>
          <w:szCs w:val="20"/>
          <w:lang w:val="en-US"/>
        </w:rPr>
        <w:instrText xml:space="preserve"> ADDIN ZOTERO_ITEM CSL_CITATION {"citationID":"xnXmmFWu","properties":{"formattedCitation":"[17]","plainCitation":"[17]","noteIndex":0},"citationItems":[{"id":318,"uris":["http://zotero.org/users/6853045/items/TN7YTAE9"],"itemData":{"id":318,"type":"article-journal","abstract":"BACKGROUND: Adolescents with chronic health conditions and/or disabilities (CHC/D's) often face challenges when transitioning to adult care, which leads to  a higher risk of morbidity and mortality. Although it is recommended that  establishing the medical home and family physician (FP) attachment prior to  transfer will improve health outcomes, there is little evidence or policy  surrounding the role of the FP during this transition. This study explores the  described use of health services by adolescents with CHC/D's, as well as the  adolescent's and caregiver's perceptions of their FP. METHODS: Participants were  recruited from the British Columbia Children's Hospital, Canada and a  multi-method phased approach was used. In Phase 1, 84 adolescent and caregiver  pairs completed questionnaires asking what medical services they accessed for  specific health needs. In Phase 2, another cohort of 21 adolescent and caregiver  pairs completed the same questionnaires and were interviewed regarding their  perception of their FP. RESULTS: 96% (n = 81) of adolescents with CHC/D's in  phase 1 had a FP. Thirty four percent (n = 34) of adolescents had not seen their  FP in the last 6 months. While adolescents with CHC/D mostly accessed their FP  for primary health issues, they frequently also accessed specialists for  prescription refills (50%, n = 51), mental health (29%, n = 30) and sexual health  (16%, n = 16). While most adolescent/caregiver participants reported positive  communication and trust in their FP, some had a poor understanding of the FP's  role in coordinating care. CONCLUSION: As many adolescents with CHC/D may see  their FP infrequently and may not clearly understand their role, opportunities  exist for strengthening primary care home attachment as well as adolescent and  caregiver literacy around the potential contribution of the FP during and after  transfer to adult services. Responsibility for improving care coordination for  this population should be ideally shared between FPs and pediatric specialists.","container-title":"BMC family practice","DOI":"10.1186/s12875-018-0830-6","ISSN":"1471-2296","issue":"1","journalAbbreviation":"BMC Fam Pract","language":"eng","note":"publisher-place: England\nPMID: 30134842 \nPMCID: PMC6106717","page":"140","title":"Perceptions of the family physician from adolescents and their caregivers preparing to transition to adult care.","volume":"19","author":[{"family":"Han","given":"Angela Xiao"},{"family":"Whitehouse","given":"Sandy Rosalie"},{"family":"Tsai","given":"Steve"},{"family":"Hwang","given":"Sandy"},{"family":"Thorne","given":"Sally"}],"issued":{"date-parts":[["2018",8,23]]}}}],"schema":"https://github.com/citation-style-language/schema/raw/master/csl-citation.json"} </w:instrText>
      </w:r>
      <w:r>
        <w:rPr>
          <w:rFonts w:ascii="Times New Roman" w:hAnsi="Times New Roman" w:cs="Times New Roman"/>
          <w:bCs/>
          <w:sz w:val="20"/>
          <w:szCs w:val="20"/>
          <w:lang w:val="en-US"/>
        </w:rPr>
        <w:fldChar w:fldCharType="separate"/>
      </w:r>
      <w:r w:rsidR="00BA1739" w:rsidRPr="00BA1739">
        <w:rPr>
          <w:rFonts w:ascii="Times New Roman" w:hAnsi="Times New Roman" w:cs="Times New Roman"/>
          <w:sz w:val="20"/>
        </w:rPr>
        <w:t>[17]</w:t>
      </w:r>
      <w:r>
        <w:rPr>
          <w:rFonts w:ascii="Times New Roman" w:hAnsi="Times New Roman" w:cs="Times New Roman"/>
          <w:bCs/>
          <w:sz w:val="20"/>
          <w:szCs w:val="20"/>
          <w:lang w:val="en-US"/>
        </w:rPr>
        <w:fldChar w:fldCharType="end"/>
      </w:r>
      <w:r w:rsidRPr="00CF13A9">
        <w:rPr>
          <w:rFonts w:ascii="Times New Roman" w:hAnsi="Times New Roman" w:cs="Times New Roman"/>
          <w:bCs/>
          <w:sz w:val="20"/>
          <w:szCs w:val="20"/>
          <w:lang w:val="en-US"/>
        </w:rPr>
        <w:t xml:space="preserve"> and one British </w:t>
      </w:r>
      <w:r>
        <w:rPr>
          <w:rFonts w:ascii="Times New Roman" w:hAnsi="Times New Roman" w:cs="Times New Roman"/>
          <w:bCs/>
          <w:sz w:val="20"/>
          <w:szCs w:val="20"/>
          <w:lang w:val="en-US"/>
        </w:rPr>
        <w:fldChar w:fldCharType="begin"/>
      </w:r>
      <w:r w:rsidR="00BA1739">
        <w:rPr>
          <w:rFonts w:ascii="Times New Roman" w:hAnsi="Times New Roman" w:cs="Times New Roman"/>
          <w:bCs/>
          <w:sz w:val="20"/>
          <w:szCs w:val="20"/>
          <w:lang w:val="en-US"/>
        </w:rPr>
        <w:instrText xml:space="preserve"> ADDIN ZOTERO_ITEM CSL_CITATION {"citationID":"c6a3NAac","properties":{"formattedCitation":"[18]","plainCitation":"[18]","noteIndex":0},"citationItems":[{"id":319,"uris":["http://zotero.org/users/6853045/items/K4GN7RAE"],"itemData":{"id":319,"type":"article-journal","abstract":"BACKGROUND: During transition from children's to adults' healthcare, young adults with long-term conditions may show delays in psychosocial development compared to  their peers without long-term conditions, and deterioration of their conditions'  medical control. METHODS: This paper integrates the findings, already published  in 10 separate papers, of a 5-year transition research programme. IMPLICATIONS:  There is an important role for funders (commissioners) of adults' services to  fund transitional healthcare, in addition to funders of children's services who  currently take responsibility.It is important that healthcare provider  organisations adopt an organisation-wide approach to implementation to ensure  that good practice is adopted in children's and adults' services, not just  adopted by enthusiasts in some specialties. This includes provision of  'developmentally appropriate healthcare' which recognises the changing  biopsychosocial developmental needs of young people.Three features of  transitional healthcare were associated with improved outcomes: appropriate  parent involvement, promotion of young people's confidence in managing their  health and meeting the adult team before transfer. These should be maintained or  introduced as a priority.Child and adult healthcare providers should routinely  explore with a young person how they approach transition and personalise their  clinical approach thereafter.These implications are relevant for a range of  stakeholders, including funders of transitional healthcare, organisations  providing transitional healthcare and clinical practitioners.","container-title":"Clinical medicine (London, England)","DOI":"10.7861/clinmed.2019-0077","ISSN":"1473-4893 1470-2118","issue":"1","journalAbbreviation":"Clin Med (Lond)","language":"eng","license":"© Royal College of Physicians 2020. All rights reserved.","note":"publisher-place: England\nPMID: 31941736 \nPMCID: PMC6964170","page":"74-80","title":"Facilitating transition of young people with long-term health conditions from children's to adults' healthcare services - implications of a 5-year research  programme.","volume":"20","author":[{"family":"Colver","given":"Allan"},{"family":"Rapley","given":"Tim"},{"family":"Parr","given":"Jeremy R."},{"family":"McConachie","given":"Helen"},{"family":"Dovey-Pearce","given":"Gail"},{"family":"Couteur","given":"Ann Le"},{"family":"McDonagh","given":"Janet E."},{"family":"Bennett","given":"Caroline"},{"family":"Maniatopoulos","given":"Gregory"},{"family":"Pearce","given":"Mark S."},{"family":"Reape","given":"Debbie"},{"family":"Chater","given":"Nichola"},{"family":"Gleeson","given":"Helena"},{"family":"Vale","given":"Luke"}],"issued":{"date-parts":[["2020",1]]}}}],"schema":"https://github.com/citation-style-language/schema/raw/master/csl-citation.json"} </w:instrText>
      </w:r>
      <w:r>
        <w:rPr>
          <w:rFonts w:ascii="Times New Roman" w:hAnsi="Times New Roman" w:cs="Times New Roman"/>
          <w:bCs/>
          <w:sz w:val="20"/>
          <w:szCs w:val="20"/>
          <w:lang w:val="en-US"/>
        </w:rPr>
        <w:fldChar w:fldCharType="separate"/>
      </w:r>
      <w:r w:rsidR="00BA1739" w:rsidRPr="00BA1739">
        <w:rPr>
          <w:rFonts w:ascii="Times New Roman" w:hAnsi="Times New Roman" w:cs="Times New Roman"/>
          <w:sz w:val="20"/>
          <w:lang w:val="en-US"/>
        </w:rPr>
        <w:t>[18]</w:t>
      </w:r>
      <w:r>
        <w:rPr>
          <w:rFonts w:ascii="Times New Roman" w:hAnsi="Times New Roman" w:cs="Times New Roman"/>
          <w:bCs/>
          <w:sz w:val="20"/>
          <w:szCs w:val="20"/>
          <w:lang w:val="en-US"/>
        </w:rPr>
        <w:fldChar w:fldCharType="end"/>
      </w:r>
      <w:r w:rsidRPr="00CF13A9">
        <w:rPr>
          <w:rFonts w:ascii="Times New Roman" w:hAnsi="Times New Roman" w:cs="Times New Roman"/>
          <w:bCs/>
          <w:sz w:val="20"/>
          <w:szCs w:val="20"/>
          <w:lang w:val="en-US"/>
        </w:rPr>
        <w:t xml:space="preserve">, published in 2018 and 2020 respectively, demonstrate that </w:t>
      </w:r>
      <w:r>
        <w:rPr>
          <w:rFonts w:ascii="Times New Roman" w:hAnsi="Times New Roman" w:cs="Times New Roman"/>
          <w:bCs/>
          <w:sz w:val="20"/>
          <w:szCs w:val="20"/>
          <w:lang w:val="en-US"/>
        </w:rPr>
        <w:t xml:space="preserve">most </w:t>
      </w:r>
      <w:r w:rsidRPr="00CF13A9">
        <w:rPr>
          <w:rFonts w:ascii="Times New Roman" w:hAnsi="Times New Roman" w:cs="Times New Roman"/>
          <w:bCs/>
          <w:sz w:val="20"/>
          <w:szCs w:val="20"/>
          <w:lang w:val="en-US"/>
        </w:rPr>
        <w:t>AYA do not have regular follow-up with their GP</w:t>
      </w:r>
      <w:r>
        <w:rPr>
          <w:rFonts w:ascii="Times New Roman" w:hAnsi="Times New Roman" w:cs="Times New Roman"/>
          <w:bCs/>
          <w:sz w:val="20"/>
          <w:szCs w:val="20"/>
          <w:lang w:val="en-US"/>
        </w:rPr>
        <w:t xml:space="preserve">, even if they lived with a CC. </w:t>
      </w:r>
      <w:r w:rsidRPr="0062151E">
        <w:rPr>
          <w:rFonts w:ascii="Times New Roman" w:hAnsi="Times New Roman" w:cs="Times New Roman"/>
          <w:bCs/>
          <w:sz w:val="20"/>
          <w:szCs w:val="20"/>
          <w:lang w:val="en-US"/>
        </w:rPr>
        <w:t>This is also observed in another British study</w:t>
      </w:r>
      <w:r>
        <w:rPr>
          <w:rFonts w:ascii="Times New Roman" w:hAnsi="Times New Roman" w:cs="Times New Roman"/>
          <w:bCs/>
          <w:sz w:val="20"/>
          <w:szCs w:val="20"/>
          <w:lang w:val="en-US"/>
        </w:rPr>
        <w:fldChar w:fldCharType="begin"/>
      </w:r>
      <w:r w:rsidR="00154874">
        <w:rPr>
          <w:rFonts w:ascii="Times New Roman" w:hAnsi="Times New Roman" w:cs="Times New Roman"/>
          <w:bCs/>
          <w:sz w:val="20"/>
          <w:szCs w:val="20"/>
          <w:lang w:val="en-US"/>
        </w:rPr>
        <w:instrText xml:space="preserve"> ADDIN ZOTERO_ITEM CSL_CITATION {"citationID":"qSQZbwYg","properties":{"formattedCitation":"[28]","plainCitation":"[28]","noteIndex":0},"citationItems":[{"id":339,"uris":["http://zotero.org/users/6853045/items/LQLVNLQ5"],"itemData":{"id":339,"type":"article-journal","abstract":"OBJECTIVES: To investigate the views and experiences of general practice of children with life-limiting and life-threatening conditions, and their family  members, through secondary analysis of a qualitative serial interview study.  Thematic analysis was conducted on all interview data relating to experiences of  primary care. SETTING: West Midlands, UK. PARTICIPANTS: A total of 31  participants (10 children with life-limiting and life-threatening conditions and  21 family members) from 14 families. STUDY DESIGN AND SETTING: Secondary thematic  analysis of qualitative interview data from a study carried out in the West  Midlands, UK. METHOD: 41 serial interviews with 31 participants from 14 families:  10 children aged 5-18 years with life-limiting and life-threatening conditions,  and 21 of their family members. RESULTS: Three key themes emerged: (1) poor  experiences of general practice cause children and families to feel isolated, (2)  children and families value support from general practice, and (3) there are  practical ways through which general practice has the potential to provide  important aspects of care. Children and families reported benefits from fostering  their relationship with their general practice in order to access important  aspects of care, including the assessment and management of acute illness,  chronic disease and medication reviews, and holistic support. CONCLUSION:  Children with life-limiting and life-threatening conditions and their families  value the involvement of general practice in the care, alongside their paediatric  specialists. Ways of developing and providing such support as part of an  integrated system of care need to be developed.","container-title":"BMJ open","DOI":"10.1136/bmjopen-2020-041476","ISSN":"2044-6055","issue":"1","journalAbbreviation":"BMJ Open","language":"eng","license":"© Author(s) (or their employer(s)) 2020. Re-use permitted under CC BY. Published by BMJ.","note":"publisher-place: England\nPMID: 33408204 \nPMCID: PMC7789436","page":"e041476","title":"Experiences of general practice of children with complex and palliative care needs and their families: a qualitative study.","volume":"11","author":[{"family":"Mitchell","given":"Sarah"},{"family":"Harding","given":"Stephanie"},{"family":"Samani","given":"Mohini"},{"family":"Slowther","given":"Anne-Marie"},{"family":"Coad","given":"Jane"},{"family":"Dale","given":"Jeremy"}],"issued":{"date-parts":[["2021",1,6]]}}}],"schema":"https://github.com/citation-style-language/schema/raw/master/csl-citation.json"} </w:instrText>
      </w:r>
      <w:r>
        <w:rPr>
          <w:rFonts w:ascii="Times New Roman" w:hAnsi="Times New Roman" w:cs="Times New Roman"/>
          <w:bCs/>
          <w:sz w:val="20"/>
          <w:szCs w:val="20"/>
          <w:lang w:val="en-US"/>
        </w:rPr>
        <w:fldChar w:fldCharType="separate"/>
      </w:r>
      <w:r w:rsidR="00154874" w:rsidRPr="00154874">
        <w:rPr>
          <w:rFonts w:ascii="Times New Roman" w:hAnsi="Times New Roman" w:cs="Times New Roman"/>
          <w:sz w:val="20"/>
          <w:lang w:val="en-US"/>
        </w:rPr>
        <w:t>[28]</w:t>
      </w:r>
      <w:r>
        <w:rPr>
          <w:rFonts w:ascii="Times New Roman" w:hAnsi="Times New Roman" w:cs="Times New Roman"/>
          <w:bCs/>
          <w:sz w:val="20"/>
          <w:szCs w:val="20"/>
          <w:lang w:val="en-US"/>
        </w:rPr>
        <w:fldChar w:fldCharType="end"/>
      </w:r>
      <w:r w:rsidRPr="0062151E">
        <w:rPr>
          <w:rFonts w:ascii="Times New Roman" w:hAnsi="Times New Roman" w:cs="Times New Roman"/>
          <w:bCs/>
          <w:sz w:val="20"/>
          <w:szCs w:val="20"/>
          <w:lang w:val="en-US"/>
        </w:rPr>
        <w:t>, where GP</w:t>
      </w:r>
      <w:r>
        <w:rPr>
          <w:rFonts w:ascii="Times New Roman" w:hAnsi="Times New Roman" w:cs="Times New Roman"/>
          <w:bCs/>
          <w:sz w:val="20"/>
          <w:szCs w:val="20"/>
          <w:lang w:val="en-US"/>
        </w:rPr>
        <w:t>s</w:t>
      </w:r>
      <w:r w:rsidRPr="0062151E">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are</w:t>
      </w:r>
      <w:r w:rsidRPr="0062151E">
        <w:rPr>
          <w:rFonts w:ascii="Times New Roman" w:hAnsi="Times New Roman" w:cs="Times New Roman"/>
          <w:bCs/>
          <w:sz w:val="20"/>
          <w:szCs w:val="20"/>
          <w:lang w:val="en-US"/>
        </w:rPr>
        <w:t xml:space="preserve"> often absent from the care of children</w:t>
      </w:r>
      <w:r>
        <w:rPr>
          <w:rFonts w:ascii="Times New Roman" w:hAnsi="Times New Roman" w:cs="Times New Roman"/>
          <w:bCs/>
          <w:sz w:val="20"/>
          <w:szCs w:val="20"/>
          <w:lang w:val="en-US"/>
        </w:rPr>
        <w:t xml:space="preserve"> and AYA</w:t>
      </w:r>
      <w:r w:rsidRPr="0062151E">
        <w:rPr>
          <w:rFonts w:ascii="Times New Roman" w:hAnsi="Times New Roman" w:cs="Times New Roman"/>
          <w:bCs/>
          <w:sz w:val="20"/>
          <w:szCs w:val="20"/>
          <w:lang w:val="en-US"/>
        </w:rPr>
        <w:t xml:space="preserve"> with </w:t>
      </w:r>
      <w:r>
        <w:rPr>
          <w:rFonts w:ascii="Times New Roman" w:hAnsi="Times New Roman" w:cs="Times New Roman"/>
          <w:bCs/>
          <w:sz w:val="20"/>
          <w:szCs w:val="20"/>
          <w:lang w:val="en-US"/>
        </w:rPr>
        <w:t>CC</w:t>
      </w:r>
      <w:r w:rsidRPr="0062151E">
        <w:rPr>
          <w:rFonts w:ascii="Times New Roman" w:hAnsi="Times New Roman" w:cs="Times New Roman"/>
          <w:bCs/>
          <w:sz w:val="20"/>
          <w:szCs w:val="20"/>
          <w:lang w:val="en-US"/>
        </w:rPr>
        <w:t>, even though their role can be significant, including in life-limiting and life-threatening conditions.</w:t>
      </w:r>
      <w:r>
        <w:rPr>
          <w:rFonts w:ascii="Times New Roman" w:hAnsi="Times New Roman" w:cs="Times New Roman"/>
          <w:bCs/>
          <w:sz w:val="20"/>
          <w:szCs w:val="20"/>
          <w:lang w:val="en-US"/>
        </w:rPr>
        <w:t xml:space="preserve"> </w:t>
      </w:r>
      <w:r w:rsidRPr="00EC36C3">
        <w:rPr>
          <w:rFonts w:ascii="Times New Roman" w:hAnsi="Times New Roman" w:cs="Times New Roman"/>
          <w:bCs/>
          <w:sz w:val="20"/>
          <w:szCs w:val="20"/>
          <w:lang w:val="en-US"/>
        </w:rPr>
        <w:t>A more recent British study</w:t>
      </w:r>
      <w:r>
        <w:rPr>
          <w:rFonts w:ascii="Times New Roman" w:hAnsi="Times New Roman" w:cs="Times New Roman"/>
          <w:bCs/>
          <w:sz w:val="20"/>
          <w:szCs w:val="20"/>
          <w:lang w:val="en-US"/>
        </w:rPr>
        <w:fldChar w:fldCharType="begin"/>
      </w:r>
      <w:r>
        <w:rPr>
          <w:rFonts w:ascii="Times New Roman" w:hAnsi="Times New Roman" w:cs="Times New Roman"/>
          <w:bCs/>
          <w:sz w:val="20"/>
          <w:szCs w:val="20"/>
          <w:lang w:val="en-US"/>
        </w:rPr>
        <w:instrText xml:space="preserve"> ADDIN ZOTERO_ITEM CSL_CITATION {"citationID":"qbfYftZk","properties":{"formattedCitation":"[16]","plainCitation":"[16]","noteIndex":0},"citationItems":[{"id":336,"uris":["http://zotero.org/users/6853045/items/JN4DCGYL"],"itemData":{"id":336,"type":"article-journal","abstract":"BACKGROUND: GPs are rarely actively involved in healthcare provision for children and young people (CYP) with life-limiting conditions (LLCs). This raises problems  when these children develop minor illness or require management of other chronic  diseases. AIM: To investigate the association between GP attendance patterns and  hospital urgent and emergency care use. DESIGN AND SETTING: Retrospective cohort  study using a primary care data source (Clinical Practice Research Datalink) in  England. The cohort numbered 19 888. METHOD: CYP aged 0-25 years with an LLC were  identified using Read codes (primary care) or International Classification of  Diseases 10 (th) Revision (ICD-10) codes (secondary care). Emergency inpatient  admissions and accident and emergency (A&amp;E) attendances were separately analysed  using multivariable, two-level random intercept negative binomial models with key  variables of consistency and regularity of GP attendances. RESULTS: Face-to-face  GP surgery consultations reduced, from a mean of 7.12 per person year in 2000 to  4.43 in 2015. Those consulting the GP less regularly had 15% (95% confidence  interval [CI] = 10% to 20%) more emergency admissions and 5% more A&amp;E visits (95%  CI = 1% to 10%) than those with more regular consultations. CYP who had greater  consistency of GP seen had 10% (95% CI = 6% to 14%) fewer A&amp;E attendances but no  significant difference in emergency inpatient admissions than those with lower  consistency. CONCLUSION: There is an association between GP attendance patterns  and use of urgent secondary care for CYP with LLCs, with less regular GP  attendance associated with higher urgent secondary healthcare use. This is an  important area for further investigation and warrants the attention of  policymakers and GPs, as the number of CYP with LLCs living in the community  rises.","container-title":"The British journal of general practice : the journal of the Royal College of General Practitioners","DOI":"10.3399/bjgp20X708233","ISSN":"1478-5242 0960-1643","issue":"693","journalAbbreviation":"Br J Gen Pract","language":"eng","license":"©The Authors.","note":"publisher-place: England\nPMID: 32041769 \nPMCID: PMC7015164","page":"e221-e229","title":"GPs' role in caring for children and young people with life-limiting conditions: a retrospective cohort study.","volume":"70","author":[{"family":"Jarvis","given":"Stuart"},{"family":"Parslow","given":"Roger C."},{"family":"Hewitt","given":"Catherine"},{"family":"Mitchell","given":"Sarah"},{"family":"Fraser","given":"Lorna K."}],"issued":{"date-parts":[["2020",4]]}}}],"schema":"https://github.com/citation-style-language/schema/raw/master/csl-citation.json"} </w:instrText>
      </w:r>
      <w:r>
        <w:rPr>
          <w:rFonts w:ascii="Times New Roman" w:hAnsi="Times New Roman" w:cs="Times New Roman"/>
          <w:bCs/>
          <w:sz w:val="20"/>
          <w:szCs w:val="20"/>
          <w:lang w:val="en-US"/>
        </w:rPr>
        <w:fldChar w:fldCharType="separate"/>
      </w:r>
      <w:r w:rsidRPr="00AB233F">
        <w:rPr>
          <w:rFonts w:ascii="Times New Roman" w:hAnsi="Times New Roman" w:cs="Times New Roman"/>
          <w:sz w:val="20"/>
          <w:lang w:val="en-US"/>
        </w:rPr>
        <w:t>[16]</w:t>
      </w:r>
      <w:r>
        <w:rPr>
          <w:rFonts w:ascii="Times New Roman" w:hAnsi="Times New Roman" w:cs="Times New Roman"/>
          <w:bCs/>
          <w:sz w:val="20"/>
          <w:szCs w:val="20"/>
          <w:lang w:val="en-US"/>
        </w:rPr>
        <w:fldChar w:fldCharType="end"/>
      </w:r>
      <w:r>
        <w:rPr>
          <w:rFonts w:ascii="Times New Roman" w:hAnsi="Times New Roman" w:cs="Times New Roman"/>
          <w:bCs/>
          <w:sz w:val="20"/>
          <w:szCs w:val="20"/>
          <w:lang w:val="en-US"/>
        </w:rPr>
        <w:t xml:space="preserve"> </w:t>
      </w:r>
      <w:r w:rsidRPr="00EC36C3">
        <w:rPr>
          <w:rFonts w:ascii="Times New Roman" w:hAnsi="Times New Roman" w:cs="Times New Roman"/>
          <w:bCs/>
          <w:sz w:val="20"/>
          <w:szCs w:val="20"/>
          <w:lang w:val="en-US"/>
        </w:rPr>
        <w:t xml:space="preserve">shows that the involvement of GPs in the care of children and AYAs with </w:t>
      </w:r>
      <w:r>
        <w:rPr>
          <w:rFonts w:ascii="Times New Roman" w:hAnsi="Times New Roman" w:cs="Times New Roman"/>
          <w:bCs/>
          <w:sz w:val="20"/>
          <w:szCs w:val="20"/>
          <w:lang w:val="en-US"/>
        </w:rPr>
        <w:t>CC</w:t>
      </w:r>
      <w:r w:rsidRPr="00EC36C3">
        <w:rPr>
          <w:rFonts w:ascii="Times New Roman" w:hAnsi="Times New Roman" w:cs="Times New Roman"/>
          <w:bCs/>
          <w:sz w:val="20"/>
          <w:szCs w:val="20"/>
          <w:lang w:val="en-US"/>
        </w:rPr>
        <w:t xml:space="preserve"> appears to reduce the risk of emergency hospital admissions.</w:t>
      </w:r>
    </w:p>
    <w:p w14:paraId="48D319BE" w14:textId="36D51661" w:rsidR="005C4A59" w:rsidRPr="00A559C0" w:rsidRDefault="005C4A59" w:rsidP="00AC7FD9">
      <w:pPr>
        <w:spacing w:before="200" w:after="120"/>
        <w:jc w:val="both"/>
        <w:rPr>
          <w:rFonts w:ascii="Times New Roman" w:hAnsi="Times New Roman" w:cs="Times New Roman"/>
          <w:bCs/>
          <w:sz w:val="20"/>
          <w:szCs w:val="20"/>
          <w:highlight w:val="yellow"/>
          <w:lang w:val="en-US"/>
        </w:rPr>
      </w:pPr>
      <w:r w:rsidRPr="00004145">
        <w:rPr>
          <w:rFonts w:ascii="Times New Roman" w:hAnsi="Times New Roman" w:cs="Times New Roman"/>
          <w:bCs/>
          <w:sz w:val="20"/>
          <w:szCs w:val="20"/>
          <w:highlight w:val="yellow"/>
          <w:lang w:val="en-US"/>
        </w:rPr>
        <w:t>Several factors can explain why 20% of AYA</w:t>
      </w:r>
      <w:r w:rsidR="00A23A72">
        <w:rPr>
          <w:rFonts w:ascii="Times New Roman" w:hAnsi="Times New Roman" w:cs="Times New Roman"/>
          <w:bCs/>
          <w:sz w:val="20"/>
          <w:szCs w:val="20"/>
          <w:highlight w:val="yellow"/>
          <w:lang w:val="en-US"/>
        </w:rPr>
        <w:t>s</w:t>
      </w:r>
      <w:r w:rsidRPr="00004145">
        <w:rPr>
          <w:rFonts w:ascii="Times New Roman" w:hAnsi="Times New Roman" w:cs="Times New Roman"/>
          <w:bCs/>
          <w:sz w:val="20"/>
          <w:szCs w:val="20"/>
          <w:highlight w:val="yellow"/>
          <w:lang w:val="en-US"/>
        </w:rPr>
        <w:t xml:space="preserve"> don't have a GP in their medical re</w:t>
      </w:r>
      <w:r w:rsidR="00584A41" w:rsidRPr="00004145">
        <w:rPr>
          <w:rFonts w:ascii="Times New Roman" w:hAnsi="Times New Roman" w:cs="Times New Roman"/>
          <w:bCs/>
          <w:sz w:val="20"/>
          <w:szCs w:val="20"/>
          <w:highlight w:val="yellow"/>
          <w:lang w:val="en-US"/>
        </w:rPr>
        <w:t>cord</w:t>
      </w:r>
      <w:r w:rsidRPr="00004145">
        <w:rPr>
          <w:rFonts w:ascii="Times New Roman" w:hAnsi="Times New Roman" w:cs="Times New Roman"/>
          <w:bCs/>
          <w:sz w:val="20"/>
          <w:szCs w:val="20"/>
          <w:highlight w:val="yellow"/>
          <w:lang w:val="en-US"/>
        </w:rPr>
        <w:t xml:space="preserve">, and why </w:t>
      </w:r>
      <w:r w:rsidR="00584A41" w:rsidRPr="00004145">
        <w:rPr>
          <w:rFonts w:ascii="Times New Roman" w:hAnsi="Times New Roman" w:cs="Times New Roman"/>
          <w:bCs/>
          <w:sz w:val="20"/>
          <w:szCs w:val="20"/>
          <w:highlight w:val="yellow"/>
          <w:lang w:val="en-US"/>
        </w:rPr>
        <w:t xml:space="preserve">their </w:t>
      </w:r>
      <w:r w:rsidRPr="00004145">
        <w:rPr>
          <w:rFonts w:ascii="Times New Roman" w:hAnsi="Times New Roman" w:cs="Times New Roman"/>
          <w:bCs/>
          <w:sz w:val="20"/>
          <w:szCs w:val="20"/>
          <w:highlight w:val="yellow"/>
          <w:lang w:val="en-US"/>
        </w:rPr>
        <w:t>GP isn't always involved in the management of the CC or in the transition of care. First, although AYA</w:t>
      </w:r>
      <w:r w:rsidR="00682D39">
        <w:rPr>
          <w:rFonts w:ascii="Times New Roman" w:hAnsi="Times New Roman" w:cs="Times New Roman"/>
          <w:bCs/>
          <w:sz w:val="20"/>
          <w:szCs w:val="20"/>
          <w:highlight w:val="yellow"/>
          <w:lang w:val="en-US"/>
        </w:rPr>
        <w:t>s</w:t>
      </w:r>
      <w:r w:rsidRPr="00004145">
        <w:rPr>
          <w:rFonts w:ascii="Times New Roman" w:hAnsi="Times New Roman" w:cs="Times New Roman"/>
          <w:bCs/>
          <w:sz w:val="20"/>
          <w:szCs w:val="20"/>
          <w:highlight w:val="yellow"/>
          <w:lang w:val="en-US"/>
        </w:rPr>
        <w:t xml:space="preserve"> aged 16 and over are encouraged to declare a GP to the French social security system, this declaration remains optional and is not systematically done, particularly in medically underserved areas such as the Paris region</w:t>
      </w:r>
      <w:r w:rsidR="00584A41" w:rsidRPr="00004145">
        <w:rPr>
          <w:rFonts w:ascii="Times New Roman" w:hAnsi="Times New Roman" w:cs="Times New Roman"/>
          <w:bCs/>
          <w:sz w:val="20"/>
          <w:szCs w:val="20"/>
          <w:highlight w:val="yellow"/>
          <w:lang w:val="en-US"/>
        </w:rPr>
        <w:fldChar w:fldCharType="begin"/>
      </w:r>
      <w:r w:rsidR="008123DF" w:rsidRPr="00004145">
        <w:rPr>
          <w:rFonts w:ascii="Times New Roman" w:hAnsi="Times New Roman" w:cs="Times New Roman"/>
          <w:bCs/>
          <w:sz w:val="20"/>
          <w:szCs w:val="20"/>
          <w:highlight w:val="yellow"/>
          <w:lang w:val="en-US"/>
        </w:rPr>
        <w:instrText xml:space="preserve"> ADDIN ZOTERO_ITEM CSL_CITATION {"citationID":"w2IW2vQm","properties":{"formattedCitation":"[23\\uc0\\u8211{}25]","plainCitation":"[23–25]","noteIndex":0},"citationItems":[{"id":345,"uris":["http://zotero.org/users/6853045/items/6YYI7UTV"],"itemData":{"id":345,"type":"article-journal","abstract":"According to the 2021 demographic report from ARS Île-de-France, the region had an average density of 116 general practitioners per 100,000 inhabitants—below the national average of 126. Several departments, including Seine-et-Marne, Yvelines, Essonne, and Val-d’Oise, reported densities under 100 GPs per 100,000.","container-title":"Île-de-France Regional Health Agency (ARS)","title":"Demographic trends and regional disparities in general practitioner density: Annual report 2021","URL":"https://www.iledefrance.ars.sante.fr/media/99800/download","issued":{"date-parts":[["2021"]]}}},{"id":346,"uris":["http://zotero.org/users/6853045/items/WEMN93BE"],"itemData":{"id":346,"type":"webpage","container-title":"Île-de-France Regional Health Agency (ARS)","title":"Medical zoning: map of areas eligible for GP installation and retention incentives.","URL":"https://www.iledefrance.ars.sante.fr/zonage-medecins-2022-carte-des-zones-concernees-par-les-aides-linstallation-et-au-maintien-des","issued":{"date-parts":[["2022"]]}}},{"id":343,"uris":["http://zotero.org/users/6853045/items/IN93FXUB"],"itemData":{"id":343,"type":"article-journal","abstract":"OBJECTIVES: This paper compares access to primary and specialty care in three metropolitan regions of France: Ile de France (IDF), Nord-Pas-de-Calais (NPC) and  Provence-Alpes-Côte d'Azur (PACA); and identifies the factors that contribute to  disparities in access to care within and among these regions. METHODS: To assess  access to primary care, we compare variation among residence-based, age-adjusted  hospital discharge rates for ambulatory care sensitive conditions (ASC). To  assess access on one dimension of specialty care, we compare residence-based,  age-adjusted hospital discharge rates for revascularization - bypass surgery and  angioplasty - among patients diagnosed with ischemic heart disease (IHD). In  addition, for each region we rely on a multilevel generalized linear mixed effect  model to identify a range of individual and area-level factors that affect the  discharge rates for ASC and revascularization. RESULTS: In comparison with other  large metropolitan regions, in France, access to primary care is greater in Paris  and its surrounding region (IDF) than in NPC but worse than in PACA. With regard  to revascularization, after controlling for the burden of IHD, use of services is  highest in PACA followed by IDF and NPC. In all three regions, disparities in  access are much greater for revascularization than for ASC. Residents of  low-income areas and those who are treated in public hospitals have poorer access  to primary care and revascularizations. In addition, the odds of hospitalization  for ASC and revascularization are higher for men. Finally, people who are treated  in public hospitals, have poorer access to primary care and revascularization  services than those who are admitted for ASC and revascularization services in  private hospitals. CONCLUSIONS: Within each region, we find significant income  disparities among geographic areas in access to primary care as well as  revascularization. Even within a national health insurance system that minimizes  the financial barriers to health care and has one of the highest rates of  spending on health care in Europe, the challenge of minimizing these disparities  remains.","container-title":"Health policy (Amsterdam, Netherlands)","DOI":"10.1016/j.healthpol.2013.07.011","ISSN":"1872-6054 0168-8510","issue":"1","journalAbbreviation":"Health Policy","language":"eng","license":"Copyright © 2013 Elsevier Ireland Ltd. All rights reserved.","note":"publisher-place: Ireland\nPMID: 23927846","page":"31-40","title":"Disparities in access to health care in three French regions.","volume":"114","author":[{"family":"Gusmano","given":"Michael K."},{"family":"Weisz","given":"Daniel"},{"family":"Rodwin","given":"Victor G."},{"family":"Lang","given":"Jonas"},{"family":"Qian","given":"Meng"},{"family":"Bocquier","given":"Aurelie"},{"family":"Moysan","given":"Veronique"},{"family":"Verger","given":"Pierre"}],"issued":{"date-parts":[["2014",1]]}}}],"schema":"https://github.com/citation-style-language/schema/raw/master/csl-citation.json"} </w:instrText>
      </w:r>
      <w:r w:rsidR="00584A41" w:rsidRPr="00004145">
        <w:rPr>
          <w:rFonts w:ascii="Times New Roman" w:hAnsi="Times New Roman" w:cs="Times New Roman"/>
          <w:bCs/>
          <w:sz w:val="20"/>
          <w:szCs w:val="20"/>
          <w:highlight w:val="yellow"/>
          <w:lang w:val="en-US"/>
        </w:rPr>
        <w:fldChar w:fldCharType="separate"/>
      </w:r>
      <w:r w:rsidR="00584A41" w:rsidRPr="00004145">
        <w:rPr>
          <w:rFonts w:ascii="Times New Roman" w:hAnsi="Times New Roman" w:cs="Times New Roman"/>
          <w:sz w:val="20"/>
          <w:szCs w:val="24"/>
          <w:highlight w:val="yellow"/>
          <w:lang w:val="en-US"/>
        </w:rPr>
        <w:t>[23–25]</w:t>
      </w:r>
      <w:r w:rsidR="00584A41" w:rsidRPr="00004145">
        <w:rPr>
          <w:rFonts w:ascii="Times New Roman" w:hAnsi="Times New Roman" w:cs="Times New Roman"/>
          <w:bCs/>
          <w:sz w:val="20"/>
          <w:szCs w:val="20"/>
          <w:highlight w:val="yellow"/>
          <w:lang w:val="en-US"/>
        </w:rPr>
        <w:fldChar w:fldCharType="end"/>
      </w:r>
      <w:r w:rsidRPr="00004145">
        <w:rPr>
          <w:rFonts w:ascii="Times New Roman" w:hAnsi="Times New Roman" w:cs="Times New Roman"/>
          <w:bCs/>
          <w:sz w:val="20"/>
          <w:szCs w:val="20"/>
          <w:highlight w:val="yellow"/>
          <w:lang w:val="en-US"/>
        </w:rPr>
        <w:t>.</w:t>
      </w:r>
      <w:r w:rsidR="00584A41" w:rsidRPr="00004145">
        <w:rPr>
          <w:rFonts w:ascii="Times New Roman" w:hAnsi="Times New Roman" w:cs="Times New Roman"/>
          <w:bCs/>
          <w:sz w:val="20"/>
          <w:szCs w:val="20"/>
          <w:highlight w:val="yellow"/>
          <w:lang w:val="en-US"/>
        </w:rPr>
        <w:t xml:space="preserve"> </w:t>
      </w:r>
      <w:r w:rsidRPr="00004145">
        <w:rPr>
          <w:rFonts w:ascii="Times New Roman" w:hAnsi="Times New Roman" w:cs="Times New Roman"/>
          <w:bCs/>
          <w:sz w:val="20"/>
          <w:szCs w:val="20"/>
          <w:highlight w:val="yellow"/>
          <w:lang w:val="en-US"/>
        </w:rPr>
        <w:t>Second, before transition, routine care is often managed by hospital pediatricians, which may limit the perceived necessity of involving a GP, and who do not sufficiently encourage AYA to consult a GP</w:t>
      </w:r>
      <w:r w:rsidR="00AB569C" w:rsidRPr="00004145">
        <w:rPr>
          <w:rFonts w:ascii="Times New Roman" w:hAnsi="Times New Roman" w:cs="Times New Roman"/>
          <w:bCs/>
          <w:sz w:val="20"/>
          <w:szCs w:val="20"/>
          <w:highlight w:val="yellow"/>
          <w:lang w:val="en-US"/>
        </w:rPr>
        <w:t>, as reported by several GPs interviewed in our qualitative study</w:t>
      </w:r>
      <w:r w:rsidR="00584A41" w:rsidRPr="00004145">
        <w:rPr>
          <w:rFonts w:ascii="Times New Roman" w:hAnsi="Times New Roman" w:cs="Times New Roman"/>
          <w:bCs/>
          <w:sz w:val="20"/>
          <w:szCs w:val="20"/>
          <w:highlight w:val="yellow"/>
          <w:lang w:val="en-US"/>
        </w:rPr>
        <w:fldChar w:fldCharType="begin"/>
      </w:r>
      <w:r w:rsidR="00334F7B" w:rsidRPr="00004145">
        <w:rPr>
          <w:rFonts w:ascii="Times New Roman" w:hAnsi="Times New Roman" w:cs="Times New Roman"/>
          <w:bCs/>
          <w:sz w:val="20"/>
          <w:szCs w:val="20"/>
          <w:highlight w:val="yellow"/>
          <w:lang w:val="en-US"/>
        </w:rPr>
        <w:instrText xml:space="preserve"> ADDIN ZOTERO_ITEM CSL_CITATION {"citationID":"8aAtOl53","properties":{"formattedCitation":"[7, 13, 29]","plainCitation":"[7, 13, 29]","noteIndex":0},"citationItems":[{"id":323,"uris":["http://zotero.org/users/6853045/items/LJ8PQ9TR"],"itemData":{"id":323,"type":"article-journal","abstract":"BACKGROUND: The last 20 years have seen many attempts to improve transition to adult healthcare for adolescents with chronic disease, but there is currently no  established consensus on generic practices. Our goal was to identify relevant and  pragmatic guidelines for transition practice for each step of this process  (before, during and after transfer), applicable to a wide range of chronic  illnesses and health services, via a participatory approach involving all the key  stakeholders. METHODS: We conducted interviews and a literature review to  elaborate a questionnaire for use in an online 2-round Delphi survey. The survey  panel included 36 French health and social professionals from different care  settings, and young adults and parents with an experience of healthcare  transition related to all types of chronic disease. RESULTS: The survey consensus  identified 19 items on feasibility and relevance criteria, which form the  guidelines. It is composed of five practices to be adopted during preparation in  paediatrics, seven practices in the active phase of transition and seven in adult  care. Two guidelines achieved complete consensus: having a longer consultation  for the first appointment with the adult doctor, and keeping the same adult  doctor throughout follow-up. A further 36 items met the criterion of relevance,  but were deemed unfeasible. CONCLUSIONS: Taking into account all stakeholder  views and the real-world applicability of care practices enabled us to elaborate  consensual guidelines whose implementation requires no additional health service  resources.","container-title":"European journal of public health","DOI":"10.1093/eurpub/cky258","ISSN":"1464-360X 1101-1262","issue":"3","journalAbbreviation":"Eur J Public Health","language":"eng","license":"© The Author(s) 2018. Published by Oxford University Press on behalf of the European Public Health Association. All rights reserved.","note":"publisher-place: England\nPMID: 30535247","page":"442-448","title":"Practical generic guidelines for paediatric-to-adult transition for adolescents with chronic disease.","volume":"29","author":[{"family":"Le Roux","given":"Enora"},{"family":"Mellerio","given":"Hélène"},{"family":"Jacquin","given":"Paul"},{"family":"Bourmaud","given":"Aurélie"},{"family":"Guilmin-Crépon","given":"Sophie"},{"family":"Faye","given":"Albert"},{"family":"Matheron","given":"Sophie"},{"family":"Boulkedid","given":"Rym"},{"family":"Alberti","given":"Corinne"}],"issued":{"date-parts":[["2019",6,1]]}}},{"id":311,"uris":["http://zotero.org/users/6853045/items/FXUJJZ8K"],"itemData":{"id":311,"type":"article-journal","abstract":"Since the US Surgeon General's conference on health care transitions in 1989, transition from pediatric to adult-oriented health care for youth with chronic  conditions continues to develop as an important issue among youth, parents, and  health professionals. Key professional organizations, public agencies, and  disease-specific organizations have promoted research on transition and the  development of transition services. Although there is evidence of the advancement  of the science and practice of transition in the context of subspecialty medical  care, the same may not be true for transition in the context of primary care  practice. Little has been written about the role of the primary care provider in  facilitating transition, and little is published in the medical literature about  how transition occurs in primary care settings.","container-title":"Pediatrics","ISSN":"1098-4275 0031-4005","issue":"6 Pt 2","journalAbbreviation":"Pediatrics","language":"eng","note":"publisher-place: United States\nPMID: 12456951","page":"1315-1321","title":"Transition for youth with chronic conditions: primary care physicians' approaches.","volume":"110","author":[{"family":"Scal","given":"Peter"}],"issued":{"date-parts":[["2002",12]]}}},{"id":348,"uris":["http://zotero.org/users/6853045/items/CXLC3K35"],"itemData":{"id":348,"type":"article-newspaper","container-title":"Journal of Primary Care &amp; Community Health","page":"1-9","section":"13","title":"A qualitative analysis of multidisciplinary pediatric subspecialty providers’ perspectives on transitioning to adult-oriented care","author":[{"family":"Schraeder","given":"K.E."},{"family":"Dwyer-Matzky","given":"K."},{"family":"Blom","given":"T."}],"issued":{"date-parts":[["2022"]]}}}],"schema":"https://github.com/citation-style-language/schema/raw/master/csl-citation.json"} </w:instrText>
      </w:r>
      <w:r w:rsidR="00584A41" w:rsidRPr="00004145">
        <w:rPr>
          <w:rFonts w:ascii="Times New Roman" w:hAnsi="Times New Roman" w:cs="Times New Roman"/>
          <w:bCs/>
          <w:sz w:val="20"/>
          <w:szCs w:val="20"/>
          <w:highlight w:val="yellow"/>
          <w:lang w:val="en-US"/>
        </w:rPr>
        <w:fldChar w:fldCharType="separate"/>
      </w:r>
      <w:r w:rsidR="00334F7B" w:rsidRPr="00004145">
        <w:rPr>
          <w:rFonts w:ascii="Times New Roman" w:hAnsi="Times New Roman" w:cs="Times New Roman"/>
          <w:sz w:val="20"/>
          <w:highlight w:val="yellow"/>
          <w:lang w:val="en-US"/>
        </w:rPr>
        <w:t>[7, 13, 29]</w:t>
      </w:r>
      <w:r w:rsidR="00584A41" w:rsidRPr="00004145">
        <w:rPr>
          <w:rFonts w:ascii="Times New Roman" w:hAnsi="Times New Roman" w:cs="Times New Roman"/>
          <w:bCs/>
          <w:sz w:val="20"/>
          <w:szCs w:val="20"/>
          <w:highlight w:val="yellow"/>
          <w:lang w:val="en-US"/>
        </w:rPr>
        <w:fldChar w:fldCharType="end"/>
      </w:r>
      <w:r w:rsidRPr="00004145">
        <w:rPr>
          <w:rFonts w:ascii="Times New Roman" w:hAnsi="Times New Roman" w:cs="Times New Roman"/>
          <w:bCs/>
          <w:sz w:val="20"/>
          <w:szCs w:val="20"/>
          <w:highlight w:val="yellow"/>
          <w:lang w:val="en-US"/>
        </w:rPr>
        <w:t>.</w:t>
      </w:r>
      <w:r w:rsidR="002554BE" w:rsidRPr="00004145">
        <w:rPr>
          <w:rFonts w:ascii="Times New Roman" w:hAnsi="Times New Roman" w:cs="Times New Roman"/>
          <w:bCs/>
          <w:sz w:val="20"/>
          <w:szCs w:val="20"/>
          <w:highlight w:val="yellow"/>
          <w:lang w:val="en-US"/>
        </w:rPr>
        <w:t xml:space="preserve"> This may also help explain why only 58% of discharge letters in our study were addressed to GPs, as their role is not always clearly defined or activated in hospital-based care</w:t>
      </w:r>
      <w:r w:rsidR="002554BE" w:rsidRPr="00004145">
        <w:rPr>
          <w:rFonts w:ascii="Times New Roman" w:hAnsi="Times New Roman" w:cs="Times New Roman"/>
          <w:bCs/>
          <w:sz w:val="20"/>
          <w:szCs w:val="20"/>
          <w:highlight w:val="yellow"/>
          <w:lang w:val="en-US"/>
        </w:rPr>
        <w:fldChar w:fldCharType="begin"/>
      </w:r>
      <w:r w:rsidR="002554BE" w:rsidRPr="00004145">
        <w:rPr>
          <w:rFonts w:ascii="Times New Roman" w:hAnsi="Times New Roman" w:cs="Times New Roman"/>
          <w:bCs/>
          <w:sz w:val="20"/>
          <w:szCs w:val="20"/>
          <w:highlight w:val="yellow"/>
          <w:lang w:val="en-US"/>
        </w:rPr>
        <w:instrText xml:space="preserve"> ADDIN ZOTERO_ITEM CSL_CITATION {"citationID":"0RGdnp5s","properties":{"formattedCitation":"[7]","plainCitation":"[7]","noteIndex":0},"citationItems":[{"id":323,"uris":["http://zotero.org/users/6853045/items/LJ8PQ9TR"],"itemData":{"id":323,"type":"article-journal","abstract":"BACKGROUND: The last 20 years have seen many attempts to improve transition to adult healthcare for adolescents with chronic disease, but there is currently no  established consensus on generic practices. Our goal was to identify relevant and  pragmatic guidelines for transition practice for each step of this process  (before, during and after transfer), applicable to a wide range of chronic  illnesses and health services, via a participatory approach involving all the key  stakeholders. METHODS: We conducted interviews and a literature review to  elaborate a questionnaire for use in an online 2-round Delphi survey. The survey  panel included 36 French health and social professionals from different care  settings, and young adults and parents with an experience of healthcare  transition related to all types of chronic disease. RESULTS: The survey consensus  identified 19 items on feasibility and relevance criteria, which form the  guidelines. It is composed of five practices to be adopted during preparation in  paediatrics, seven practices in the active phase of transition and seven in adult  care. Two guidelines achieved complete consensus: having a longer consultation  for the first appointment with the adult doctor, and keeping the same adult  doctor throughout follow-up. A further 36 items met the criterion of relevance,  but were deemed unfeasible. CONCLUSIONS: Taking into account all stakeholder  views and the real-world applicability of care practices enabled us to elaborate  consensual guidelines whose implementation requires no additional health service  resources.","container-title":"European journal of public health","DOI":"10.1093/eurpub/cky258","ISSN":"1464-360X 1101-1262","issue":"3","journalAbbreviation":"Eur J Public Health","language":"eng","license":"© The Author(s) 2018. Published by Oxford University Press on behalf of the European Public Health Association. All rights reserved.","note":"publisher-place: England\nPMID: 30535247","page":"442-448","title":"Practical generic guidelines for paediatric-to-adult transition for adolescents with chronic disease.","volume":"29","author":[{"family":"Le Roux","given":"Enora"},{"family":"Mellerio","given":"Hélène"},{"family":"Jacquin","given":"Paul"},{"family":"Bourmaud","given":"Aurélie"},{"family":"Guilmin-Crépon","given":"Sophie"},{"family":"Faye","given":"Albert"},{"family":"Matheron","given":"Sophie"},{"family":"Boulkedid","given":"Rym"},{"family":"Alberti","given":"Corinne"}],"issued":{"date-parts":[["2019",6,1]]}}}],"schema":"https://github.com/citation-style-language/schema/raw/master/csl-citation.json"} </w:instrText>
      </w:r>
      <w:r w:rsidR="002554BE" w:rsidRPr="00004145">
        <w:rPr>
          <w:rFonts w:ascii="Times New Roman" w:hAnsi="Times New Roman" w:cs="Times New Roman"/>
          <w:bCs/>
          <w:sz w:val="20"/>
          <w:szCs w:val="20"/>
          <w:highlight w:val="yellow"/>
          <w:lang w:val="en-US"/>
        </w:rPr>
        <w:fldChar w:fldCharType="separate"/>
      </w:r>
      <w:r w:rsidR="002554BE" w:rsidRPr="00004145">
        <w:rPr>
          <w:rFonts w:ascii="Times New Roman" w:hAnsi="Times New Roman" w:cs="Times New Roman"/>
          <w:sz w:val="20"/>
          <w:highlight w:val="yellow"/>
          <w:lang w:val="en-US"/>
        </w:rPr>
        <w:t>[7]</w:t>
      </w:r>
      <w:r w:rsidR="002554BE" w:rsidRPr="00004145">
        <w:rPr>
          <w:rFonts w:ascii="Times New Roman" w:hAnsi="Times New Roman" w:cs="Times New Roman"/>
          <w:bCs/>
          <w:sz w:val="20"/>
          <w:szCs w:val="20"/>
          <w:highlight w:val="yellow"/>
          <w:lang w:val="en-US"/>
        </w:rPr>
        <w:fldChar w:fldCharType="end"/>
      </w:r>
      <w:r w:rsidR="002554BE" w:rsidRPr="00004145">
        <w:rPr>
          <w:rFonts w:ascii="Times New Roman" w:hAnsi="Times New Roman" w:cs="Times New Roman"/>
          <w:bCs/>
          <w:sz w:val="20"/>
          <w:szCs w:val="20"/>
          <w:highlight w:val="yellow"/>
          <w:lang w:val="en-US"/>
        </w:rPr>
        <w:t>.</w:t>
      </w:r>
      <w:r w:rsidR="00004145" w:rsidRPr="00004145">
        <w:rPr>
          <w:rFonts w:ascii="Times New Roman" w:hAnsi="Times New Roman" w:cs="Times New Roman"/>
          <w:bCs/>
          <w:sz w:val="20"/>
          <w:szCs w:val="20"/>
          <w:highlight w:val="yellow"/>
          <w:lang w:val="en-US"/>
        </w:rPr>
        <w:t xml:space="preserve"> Additional factors, such as incorrect or incomplete GP addresses, the loss of paper-based hospital reports sent by post, and an aging medical workforce with unreplaced retirements, may also contribute to this issue. </w:t>
      </w:r>
      <w:r w:rsidR="001A7806" w:rsidRPr="00004145">
        <w:rPr>
          <w:rFonts w:ascii="Times New Roman" w:hAnsi="Times New Roman" w:cs="Times New Roman"/>
          <w:bCs/>
          <w:sz w:val="20"/>
          <w:szCs w:val="20"/>
          <w:highlight w:val="yellow"/>
          <w:lang w:val="en-US"/>
        </w:rPr>
        <w:t>Moreover, the fact that 72% of GPORs were not informed of the transition may point to an even broader issue: not only poor communication between hospital teams and GPs, but also insufficient coordination between pediatric and adult hospital departments, as adult specialists could have retrieved the GP’s information from their pediatric colleagues.</w:t>
      </w:r>
      <w:r w:rsidR="00A559C0">
        <w:rPr>
          <w:rFonts w:ascii="Times New Roman" w:hAnsi="Times New Roman" w:cs="Times New Roman"/>
          <w:bCs/>
          <w:sz w:val="20"/>
          <w:szCs w:val="20"/>
          <w:highlight w:val="yellow"/>
          <w:lang w:val="en-US"/>
        </w:rPr>
        <w:t xml:space="preserve"> </w:t>
      </w:r>
      <w:r w:rsidR="00A559C0" w:rsidRPr="00A559C0">
        <w:rPr>
          <w:rFonts w:ascii="Times New Roman" w:hAnsi="Times New Roman" w:cs="Times New Roman"/>
          <w:bCs/>
          <w:sz w:val="20"/>
          <w:szCs w:val="20"/>
          <w:highlight w:val="yellow"/>
          <w:lang w:val="en-US"/>
        </w:rPr>
        <w:t>In addition, the predominance of self-employed GPs in France,</w:t>
      </w:r>
      <w:r w:rsidR="00390746">
        <w:rPr>
          <w:rFonts w:ascii="Times New Roman" w:hAnsi="Times New Roman" w:cs="Times New Roman"/>
          <w:bCs/>
          <w:sz w:val="20"/>
          <w:szCs w:val="20"/>
          <w:highlight w:val="yellow"/>
          <w:lang w:val="en-US"/>
        </w:rPr>
        <w:t xml:space="preserve"> </w:t>
      </w:r>
      <w:r w:rsidR="00390746" w:rsidRPr="00A559C0">
        <w:rPr>
          <w:rFonts w:ascii="Times New Roman" w:hAnsi="Times New Roman" w:cs="Times New Roman"/>
          <w:bCs/>
          <w:sz w:val="20"/>
          <w:szCs w:val="20"/>
          <w:highlight w:val="yellow"/>
          <w:lang w:val="en-US"/>
        </w:rPr>
        <w:t>where hospital-based positions are extremely rare</w:t>
      </w:r>
      <w:r w:rsidR="00390746">
        <w:rPr>
          <w:rFonts w:ascii="Times New Roman" w:hAnsi="Times New Roman" w:cs="Times New Roman"/>
          <w:bCs/>
          <w:sz w:val="20"/>
          <w:szCs w:val="20"/>
          <w:highlight w:val="yellow"/>
          <w:lang w:val="en-US"/>
        </w:rPr>
        <w:t xml:space="preserve">, </w:t>
      </w:r>
      <w:r w:rsidR="00A559C0" w:rsidRPr="00A559C0">
        <w:rPr>
          <w:rFonts w:ascii="Times New Roman" w:hAnsi="Times New Roman" w:cs="Times New Roman"/>
          <w:bCs/>
          <w:sz w:val="20"/>
          <w:szCs w:val="20"/>
          <w:highlight w:val="yellow"/>
          <w:lang w:val="en-US"/>
        </w:rPr>
        <w:t>as reported in the literature</w:t>
      </w:r>
      <w:r w:rsidR="00A559C0" w:rsidRPr="00A559C0">
        <w:rPr>
          <w:rFonts w:ascii="Times New Roman" w:hAnsi="Times New Roman" w:cs="Times New Roman"/>
          <w:bCs/>
          <w:sz w:val="20"/>
          <w:szCs w:val="20"/>
          <w:highlight w:val="yellow"/>
          <w:lang w:val="en-US"/>
        </w:rPr>
        <w:fldChar w:fldCharType="begin"/>
      </w:r>
      <w:r w:rsidR="00A559C0" w:rsidRPr="00A559C0">
        <w:rPr>
          <w:rFonts w:ascii="Times New Roman" w:hAnsi="Times New Roman" w:cs="Times New Roman"/>
          <w:bCs/>
          <w:sz w:val="20"/>
          <w:szCs w:val="20"/>
          <w:highlight w:val="yellow"/>
          <w:lang w:val="en-US"/>
        </w:rPr>
        <w:instrText xml:space="preserve"> ADDIN ZOTERO_ITEM CSL_CITATION {"citationID":"q3mT4n0q","properties":{"formattedCitation":"[30]","plainCitation":"[30]","noteIndex":0},"citationItems":[{"id":347,"uris":["http://zotero.org/users/6853045/items/RJW2PZQ5"],"itemData":{"id":347,"type":"article-journal","abstract":"BACKGROUND: General practitioners (GPs) face quantitative and qualitative changes in patient demand and doctor shortages. OBJECTIVES: To investigate how GPs cope  with doctor shortage issues. MATERIALS AND METHODS: Two cross-sectional surveys  of a representative panel of 1530 GPs in 2019 and 2022 about their perceptions of  physician shortages, working hours worked (WHW), and adaptive behaviors.  Hierarchical clustering enabled identification of profiles with different  adaptation patterns. Multiple Poisson or logistic regression models studied  associations between GPs' profiles and professional characteristics. RESULTS:  87.4 % of GPs applied at least one adaptation to control patients' healthcare  demand. 24 % adopted task-shifting while their average WHW decreased by 3.6 h  between 2019 and 2022. Four GP profiles were identified. \"Low adapters/low  workload\" and \"Low adapters/high workload\" (25 % of the sample each) reported 2.4  adaptive measures: 75.5 % refused to be new patients' preferred doctor in the  former group (vs 5.1 %). \"High adapters/unchanged consultations\" (30.7 %) and  \"High adapters/shortened consultations\" (18.9 %) reported 4.8 and 6.1  adaptations, respectively. They were more likely to practice in medically  underserved areas. CONCLUSION: These results call into question GPs' gatekeeper  role in the French healthcare system. Moreover, the marked reduction in WHW in  underserved areas is likely to exacerbate their uneven distribution nationwide.  Encouraging vertical integration between HCPs while enhancing cooperation and  task-shifting is probably a pathway toward improving the relative GP shortage.","container-title":"Health policy (Amsterdam, Netherlands)","DOI":"10.1016/j.healthpol.2024.105175","ISSN":"1872-6054 0168-8510","journalAbbreviation":"Health Policy","language":"eng","license":"Copyright © 2024 Elsevier B.V. All rights reserved.","note":"publisher-place: Ireland\nPMID: 39369549","page":"105175","title":"How general practitioners in France are coping with increased healthcare demand and physician shortages. A panel data survey and hierarchical clustering.","volume":"149","author":[{"family":"Davin-Casalena","given":"Bérengère"},{"family":"Scronias","given":"Dimitri"},{"family":"Videau","given":"Yann"},{"family":"Verger","given":"Pierre"}],"issued":{"date-parts":[["2024",11]]}}}],"schema":"https://github.com/citation-style-language/schema/raw/master/csl-citation.json"} </w:instrText>
      </w:r>
      <w:r w:rsidR="00A559C0" w:rsidRPr="00A559C0">
        <w:rPr>
          <w:rFonts w:ascii="Times New Roman" w:hAnsi="Times New Roman" w:cs="Times New Roman"/>
          <w:bCs/>
          <w:sz w:val="20"/>
          <w:szCs w:val="20"/>
          <w:highlight w:val="yellow"/>
          <w:lang w:val="en-US"/>
        </w:rPr>
        <w:fldChar w:fldCharType="separate"/>
      </w:r>
      <w:r w:rsidR="00A559C0" w:rsidRPr="00A559C0">
        <w:rPr>
          <w:rFonts w:ascii="Times New Roman" w:hAnsi="Times New Roman" w:cs="Times New Roman"/>
          <w:sz w:val="20"/>
          <w:highlight w:val="yellow"/>
          <w:lang w:val="en-US"/>
        </w:rPr>
        <w:t>[30]</w:t>
      </w:r>
      <w:r w:rsidR="00A559C0" w:rsidRPr="00A559C0">
        <w:rPr>
          <w:rFonts w:ascii="Times New Roman" w:hAnsi="Times New Roman" w:cs="Times New Roman"/>
          <w:bCs/>
          <w:sz w:val="20"/>
          <w:szCs w:val="20"/>
          <w:highlight w:val="yellow"/>
          <w:lang w:val="en-US"/>
        </w:rPr>
        <w:fldChar w:fldCharType="end"/>
      </w:r>
      <w:r w:rsidR="00A559C0" w:rsidRPr="00A559C0">
        <w:rPr>
          <w:rFonts w:ascii="Times New Roman" w:hAnsi="Times New Roman" w:cs="Times New Roman"/>
          <w:bCs/>
          <w:sz w:val="20"/>
          <w:szCs w:val="20"/>
          <w:highlight w:val="yellow"/>
          <w:lang w:val="en-US"/>
        </w:rPr>
        <w:t xml:space="preserve">, may help explain their limited structural integration into hospital-led care </w:t>
      </w:r>
      <w:r w:rsidR="00A559C0" w:rsidRPr="00390746">
        <w:rPr>
          <w:rFonts w:ascii="Times New Roman" w:hAnsi="Times New Roman" w:cs="Times New Roman"/>
          <w:bCs/>
          <w:sz w:val="20"/>
          <w:szCs w:val="20"/>
          <w:highlight w:val="yellow"/>
          <w:lang w:val="en-US"/>
        </w:rPr>
        <w:t>pathways</w:t>
      </w:r>
      <w:r w:rsidR="00390746" w:rsidRPr="00390746">
        <w:rPr>
          <w:rFonts w:ascii="Times New Roman" w:hAnsi="Times New Roman" w:cs="Times New Roman"/>
          <w:bCs/>
          <w:sz w:val="20"/>
          <w:szCs w:val="20"/>
          <w:highlight w:val="yellow"/>
          <w:lang w:val="en-US"/>
        </w:rPr>
        <w:t>, which can further hinder their involvement in coordinated transitions.</w:t>
      </w:r>
      <w:r w:rsidR="00390746">
        <w:rPr>
          <w:rFonts w:ascii="Times New Roman" w:hAnsi="Times New Roman" w:cs="Times New Roman"/>
          <w:bCs/>
          <w:sz w:val="20"/>
          <w:szCs w:val="20"/>
          <w:highlight w:val="yellow"/>
          <w:lang w:val="en-US"/>
        </w:rPr>
        <w:t xml:space="preserve"> </w:t>
      </w:r>
      <w:r w:rsidRPr="00390746">
        <w:rPr>
          <w:rFonts w:ascii="Times New Roman" w:hAnsi="Times New Roman" w:cs="Times New Roman"/>
          <w:bCs/>
          <w:sz w:val="20"/>
          <w:szCs w:val="20"/>
          <w:highlight w:val="yellow"/>
          <w:lang w:val="en-US"/>
        </w:rPr>
        <w:t>Third</w:t>
      </w:r>
      <w:r w:rsidRPr="00A559C0">
        <w:rPr>
          <w:rFonts w:ascii="Times New Roman" w:hAnsi="Times New Roman" w:cs="Times New Roman"/>
          <w:bCs/>
          <w:sz w:val="20"/>
          <w:szCs w:val="20"/>
          <w:highlight w:val="yellow"/>
          <w:lang w:val="en-US"/>
        </w:rPr>
        <w:t xml:space="preserve">, the absence of a GP in the medical record may reflect an omission, or may result from weak or inconsistent communication </w:t>
      </w:r>
      <w:r w:rsidRPr="00004145">
        <w:rPr>
          <w:rFonts w:ascii="Times New Roman" w:hAnsi="Times New Roman" w:cs="Times New Roman"/>
          <w:bCs/>
          <w:sz w:val="20"/>
          <w:szCs w:val="20"/>
          <w:highlight w:val="yellow"/>
          <w:lang w:val="en-US"/>
        </w:rPr>
        <w:t>between hospital teams and community providers, due to the lack of structured protocols and time constraints</w:t>
      </w:r>
      <w:r w:rsidR="00584A41" w:rsidRPr="00004145">
        <w:rPr>
          <w:rFonts w:ascii="Times New Roman" w:hAnsi="Times New Roman" w:cs="Times New Roman"/>
          <w:bCs/>
          <w:sz w:val="20"/>
          <w:szCs w:val="20"/>
          <w:highlight w:val="yellow"/>
          <w:lang w:val="en-US"/>
        </w:rPr>
        <w:fldChar w:fldCharType="begin"/>
      </w:r>
      <w:r w:rsidR="00584A41" w:rsidRPr="00004145">
        <w:rPr>
          <w:rFonts w:ascii="Times New Roman" w:hAnsi="Times New Roman" w:cs="Times New Roman"/>
          <w:bCs/>
          <w:sz w:val="20"/>
          <w:szCs w:val="20"/>
          <w:highlight w:val="yellow"/>
          <w:lang w:val="en-US"/>
        </w:rPr>
        <w:instrText xml:space="preserve"> ADDIN ZOTERO_ITEM CSL_CITATION {"citationID":"Vvfav9ym","properties":{"formattedCitation":"[27]","plainCitation":"[27]","noteIndex":0},"citationItems":[{"id":342,"uris":["http://zotero.org/users/6853045/items/QRJ7DUXE"],"itemData":{"id":342,"type":"article-journal","abstract":"The poor planning of health care professionals in Spain has led to an exodus of doctors leaving the country. France is one of the chosen countries for Spanish  doctors to develop their professional career. The French health care system  belongs to the Bismarck model. In this model, health care system is financed  jointly by workers and employers through payroll deduction. The right to health  care is linked to the job, and provision of services is done by sickness-funds  controlled by the Government. Primary care in France is quite different from  Spanish primary care. General practitioners are independent workers who have the  right to set up a practice anywhere in France. This lack of regulation has  generated a great problem of \"medical desertification\" with problems of health  care access and inequalities in health. French doctors do not want to work in  rural areas or outside cities because \"they are not value for money\". Medical  salary is linked to professional activity. The role of doctors is to give  punctual care. Team work team does not exist, and coordination between primary  and secondary care is lacking. Access to diagnostic tests, hospitals and  specialists is unlimited. Duplicity of services, adverse events and  inefficiencies are the norm. Patients can freely choose their doctor, and they  have a co-payment for visits and hospital care settings. Two years training is  required to become a general practitioner. After that, continuing medical  education is compulsory, but it is not regulated. Although the French medical  Health System was named by the WHO in 2000 as the best health care system in the  world, is it not that good. While primary care in Spain has room for improvement,  there is a long way for France to be like Spain.","container-title":"Semergen","DOI":"10.1016/j.semerg.2015.07.004","ISSN":"1578-8865 1138-3593","issue":"1","journalAbbreviation":"Semergen","language":"spa","license":"Copyright © 2015 Sociedad Española de Médicos de Atención Primaria (SEMERGEN). Publicado por Elsevier España, S.L.U. All rights reserved.","note":"publisher-place: Spain\nPMID: 26304179","page":"58-62","title":"[Primary care in France].","volume":"42","author":[{"family":"Sánchez-Sagrado","given":"T."}],"issued":{"date-parts":[["2016",2]]}}}],"schema":"https://github.com/citation-style-language/schema/raw/master/csl-citation.json"} </w:instrText>
      </w:r>
      <w:r w:rsidR="00584A41" w:rsidRPr="00004145">
        <w:rPr>
          <w:rFonts w:ascii="Times New Roman" w:hAnsi="Times New Roman" w:cs="Times New Roman"/>
          <w:bCs/>
          <w:sz w:val="20"/>
          <w:szCs w:val="20"/>
          <w:highlight w:val="yellow"/>
          <w:lang w:val="en-US"/>
        </w:rPr>
        <w:fldChar w:fldCharType="separate"/>
      </w:r>
      <w:r w:rsidR="00584A41" w:rsidRPr="00004145">
        <w:rPr>
          <w:rFonts w:ascii="Times New Roman" w:hAnsi="Times New Roman" w:cs="Times New Roman"/>
          <w:sz w:val="20"/>
          <w:highlight w:val="yellow"/>
          <w:lang w:val="en-US"/>
        </w:rPr>
        <w:t>[27]</w:t>
      </w:r>
      <w:r w:rsidR="00584A41" w:rsidRPr="00004145">
        <w:rPr>
          <w:rFonts w:ascii="Times New Roman" w:hAnsi="Times New Roman" w:cs="Times New Roman"/>
          <w:bCs/>
          <w:sz w:val="20"/>
          <w:szCs w:val="20"/>
          <w:highlight w:val="yellow"/>
          <w:lang w:val="en-US"/>
        </w:rPr>
        <w:fldChar w:fldCharType="end"/>
      </w:r>
      <w:r w:rsidRPr="00004145">
        <w:rPr>
          <w:rFonts w:ascii="Times New Roman" w:hAnsi="Times New Roman" w:cs="Times New Roman"/>
          <w:bCs/>
          <w:sz w:val="20"/>
          <w:szCs w:val="20"/>
          <w:highlight w:val="yellow"/>
          <w:lang w:val="en-US"/>
        </w:rPr>
        <w:t>.</w:t>
      </w:r>
      <w:r w:rsidRPr="005C4A59">
        <w:rPr>
          <w:rFonts w:ascii="Times New Roman" w:hAnsi="Times New Roman" w:cs="Times New Roman"/>
          <w:bCs/>
          <w:sz w:val="20"/>
          <w:szCs w:val="20"/>
          <w:lang w:val="en-US"/>
        </w:rPr>
        <w:t xml:space="preserve"> Other factors likely play a role, including socio-economic difficulties and a lack of health education among AYA regarding their need to take care of their global health (e.g., maintaining regular follow-ups, discussing preventive care, or addressing psychosocial challenges).</w:t>
      </w:r>
      <w:r w:rsidR="00584A41">
        <w:rPr>
          <w:rFonts w:ascii="Times New Roman" w:hAnsi="Times New Roman" w:cs="Times New Roman"/>
          <w:bCs/>
          <w:sz w:val="20"/>
          <w:szCs w:val="20"/>
          <w:lang w:val="en-US"/>
        </w:rPr>
        <w:t xml:space="preserve"> </w:t>
      </w:r>
      <w:r w:rsidR="00584A41" w:rsidRPr="00584A41">
        <w:rPr>
          <w:rFonts w:ascii="Times New Roman" w:hAnsi="Times New Roman" w:cs="Times New Roman"/>
          <w:bCs/>
          <w:sz w:val="20"/>
          <w:szCs w:val="20"/>
          <w:lang w:val="en-US"/>
        </w:rPr>
        <w:t>Moreover, parents of AYA</w:t>
      </w:r>
      <w:r w:rsidR="00A23A72">
        <w:rPr>
          <w:rFonts w:ascii="Times New Roman" w:hAnsi="Times New Roman" w:cs="Times New Roman"/>
          <w:bCs/>
          <w:sz w:val="20"/>
          <w:szCs w:val="20"/>
          <w:lang w:val="en-US"/>
        </w:rPr>
        <w:t>s</w:t>
      </w:r>
      <w:r w:rsidR="00584A41" w:rsidRPr="00584A41">
        <w:rPr>
          <w:rFonts w:ascii="Times New Roman" w:hAnsi="Times New Roman" w:cs="Times New Roman"/>
          <w:bCs/>
          <w:sz w:val="20"/>
          <w:szCs w:val="20"/>
          <w:lang w:val="en-US"/>
        </w:rPr>
        <w:t xml:space="preserve"> with CC</w:t>
      </w:r>
      <w:r w:rsidR="00584A41">
        <w:rPr>
          <w:rFonts w:ascii="Times New Roman" w:hAnsi="Times New Roman" w:cs="Times New Roman"/>
          <w:bCs/>
          <w:sz w:val="20"/>
          <w:szCs w:val="20"/>
          <w:lang w:val="en-US"/>
        </w:rPr>
        <w:t xml:space="preserve">, </w:t>
      </w:r>
      <w:r w:rsidR="00584A41" w:rsidRPr="00584A41">
        <w:rPr>
          <w:rFonts w:ascii="Times New Roman" w:hAnsi="Times New Roman" w:cs="Times New Roman"/>
          <w:bCs/>
          <w:sz w:val="20"/>
          <w:szCs w:val="20"/>
          <w:lang w:val="en-US"/>
        </w:rPr>
        <w:t xml:space="preserve">who may share the same GP as their </w:t>
      </w:r>
      <w:r w:rsidR="00584A41" w:rsidRPr="00584A41">
        <w:rPr>
          <w:rFonts w:ascii="Times New Roman" w:hAnsi="Times New Roman" w:cs="Times New Roman"/>
          <w:bCs/>
          <w:sz w:val="20"/>
          <w:szCs w:val="20"/>
          <w:lang w:val="en-US"/>
        </w:rPr>
        <w:lastRenderedPageBreak/>
        <w:t>child</w:t>
      </w:r>
      <w:r w:rsidR="00584A41">
        <w:rPr>
          <w:rFonts w:ascii="Times New Roman" w:hAnsi="Times New Roman" w:cs="Times New Roman"/>
          <w:bCs/>
          <w:sz w:val="20"/>
          <w:szCs w:val="20"/>
          <w:lang w:val="en-US"/>
        </w:rPr>
        <w:t xml:space="preserve">, </w:t>
      </w:r>
      <w:r w:rsidR="00584A41" w:rsidRPr="00584A41">
        <w:rPr>
          <w:rFonts w:ascii="Times New Roman" w:hAnsi="Times New Roman" w:cs="Times New Roman"/>
          <w:bCs/>
          <w:sz w:val="20"/>
          <w:szCs w:val="20"/>
          <w:lang w:val="en-US"/>
        </w:rPr>
        <w:t>do not consult their GP often enough, despite their own mental and physical vulnerability</w:t>
      </w:r>
      <w:r w:rsidR="00584A41" w:rsidRPr="00584A41">
        <w:rPr>
          <w:rFonts w:ascii="Times New Roman" w:hAnsi="Times New Roman" w:cs="Times New Roman"/>
          <w:bCs/>
          <w:sz w:val="20"/>
          <w:szCs w:val="20"/>
          <w:lang w:val="en-US"/>
        </w:rPr>
        <w:fldChar w:fldCharType="begin"/>
      </w:r>
      <w:r w:rsidR="00334F7B">
        <w:rPr>
          <w:rFonts w:ascii="Times New Roman" w:hAnsi="Times New Roman" w:cs="Times New Roman"/>
          <w:bCs/>
          <w:sz w:val="20"/>
          <w:szCs w:val="20"/>
          <w:lang w:val="en-US"/>
        </w:rPr>
        <w:instrText xml:space="preserve"> ADDIN ZOTERO_ITEM CSL_CITATION {"citationID":"PwpqQCMi","properties":{"formattedCitation":"[31]","plainCitation":"[31]","noteIndex":0},"citationItems":[{"id":340,"uris":["http://zotero.org/users/6853045/items/FMX77MIZ"],"itemData":{"id":340,"type":"article-journal","abstract":"OBJECTIVE: This study aimed to quantify the incidence rates of common mental and physical health conditions in mothers of children with a life-limiting condition.  METHODS: Comparative national longitudinal cohort study using linked primary and  secondary care data from the Clinical Practice Research Datalink in England.  Maternal-child dyads were identified in these data. Maternal physical and mental  health outcomes were identified in the primary and secondary care datasets using  previously developed diagnostic coding frameworks. Incidence rates of the  outcomes were modelled using Poisson regression, adjusting for deprivation,  ethnicity and age and accounting for time at risk. RESULTS: A total of 35 683  mothers; 8950 had a child with a life-limiting condition, 8868 had a child with a  chronic condition and 17 865 had a child with no long-term condition.The adjusted  incidence rates of all of the physical and mental health conditions were  significantly higher in the mothers of children with a life-limiting condition  when compared with those mothers with a child with no long-term condition (eg,  depression: incidence rate ratio (IRR) 1.21, 95% CI 1.13 to 1.30; cardiovascular  disease: IRR 1.73, 95% CI 1.27 to 2.36; death in mothers: IRR 1.59, 95% CI 1.16  to 2.18). CONCLUSION: This study clearly demonstrates the higher incidence rates  of common and serious physical and mental health problems and death in mothers of  children with a life-limiting condition. Further research is required to  understand how best to support these mothers, but healthcare providers should  consider how they can target this population to provide preventative and  treatment services.","container-title":"Archives of disease in childhood","DOI":"10.1136/archdischild-2020-320655","ISSN":"1468-2044 0003-9888","issue":"10","journalAbbreviation":"Arch Dis Child","language":"eng","license":"© Author(s) (or their employer(s)) 2021. Re-use permitted under CC BY. Published by BMJ.","note":"publisher-place: England\nPMID: 33653713 \nPMCID: PMC8461446","page":"987-993","title":"Health of mothers of children with a life-limiting condition: a comparative cohort study.","volume":"106","author":[{"family":"Fraser","given":"Lorna K."},{"family":"Murtagh","given":"Fliss Em"},{"family":"Aldridge","given":"Jan"},{"family":"Sheldon","given":"Trevor"},{"family":"Gilbody","given":"Simon"},{"family":"Hewitt","given":"Catherine"}],"issued":{"date-parts":[["2021",10]]}}}],"schema":"https://github.com/citation-style-language/schema/raw/master/csl-citation.json"} </w:instrText>
      </w:r>
      <w:r w:rsidR="00584A41" w:rsidRPr="00584A41">
        <w:rPr>
          <w:rFonts w:ascii="Times New Roman" w:hAnsi="Times New Roman" w:cs="Times New Roman"/>
          <w:bCs/>
          <w:sz w:val="20"/>
          <w:szCs w:val="20"/>
          <w:lang w:val="en-US"/>
        </w:rPr>
        <w:fldChar w:fldCharType="separate"/>
      </w:r>
      <w:r w:rsidR="00334F7B" w:rsidRPr="0013267C">
        <w:rPr>
          <w:rFonts w:ascii="Times New Roman" w:hAnsi="Times New Roman" w:cs="Times New Roman"/>
          <w:sz w:val="20"/>
          <w:lang w:val="en-US"/>
        </w:rPr>
        <w:t>[31]</w:t>
      </w:r>
      <w:r w:rsidR="00584A41" w:rsidRPr="00584A41">
        <w:rPr>
          <w:rFonts w:ascii="Times New Roman" w:hAnsi="Times New Roman" w:cs="Times New Roman"/>
          <w:bCs/>
          <w:sz w:val="20"/>
          <w:szCs w:val="20"/>
          <w:lang w:val="en-US"/>
        </w:rPr>
        <w:fldChar w:fldCharType="end"/>
      </w:r>
      <w:r w:rsidR="00584A41" w:rsidRPr="00584A41">
        <w:rPr>
          <w:rFonts w:ascii="Times New Roman" w:hAnsi="Times New Roman" w:cs="Times New Roman"/>
          <w:bCs/>
          <w:sz w:val="20"/>
          <w:szCs w:val="20"/>
          <w:lang w:val="en-US"/>
        </w:rPr>
        <w:t>. All these factors increase the vulnerability of these AYA</w:t>
      </w:r>
      <w:r w:rsidR="00C45341">
        <w:rPr>
          <w:rFonts w:ascii="Times New Roman" w:hAnsi="Times New Roman" w:cs="Times New Roman"/>
          <w:bCs/>
          <w:sz w:val="20"/>
          <w:szCs w:val="20"/>
          <w:lang w:val="en-US"/>
        </w:rPr>
        <w:t>s</w:t>
      </w:r>
      <w:r w:rsidR="00584A41" w:rsidRPr="00584A41">
        <w:rPr>
          <w:rFonts w:ascii="Times New Roman" w:hAnsi="Times New Roman" w:cs="Times New Roman"/>
          <w:bCs/>
          <w:sz w:val="20"/>
          <w:szCs w:val="20"/>
          <w:lang w:val="en-US"/>
        </w:rPr>
        <w:t xml:space="preserve"> living with CC.</w:t>
      </w:r>
    </w:p>
    <w:p w14:paraId="0EBB6D30" w14:textId="108C54C8" w:rsidR="00FD2FCD" w:rsidRDefault="00D317F0" w:rsidP="00AC7FD9">
      <w:pPr>
        <w:spacing w:before="200" w:after="120"/>
        <w:jc w:val="both"/>
        <w:rPr>
          <w:rFonts w:ascii="Times New Roman" w:hAnsi="Times New Roman" w:cs="Times New Roman"/>
          <w:bCs/>
          <w:sz w:val="20"/>
          <w:szCs w:val="20"/>
          <w:lang w:val="en-US"/>
        </w:rPr>
      </w:pPr>
      <w:r w:rsidRPr="00E501F5">
        <w:rPr>
          <w:rFonts w:ascii="Times New Roman" w:hAnsi="Times New Roman" w:cs="Times New Roman"/>
          <w:bCs/>
          <w:sz w:val="20"/>
          <w:szCs w:val="20"/>
          <w:lang w:val="en-US"/>
        </w:rPr>
        <w:t>GPs are more involved in situations of CC instability where health needs are greater</w:t>
      </w:r>
      <w:r w:rsidRPr="00DC6CD5">
        <w:rPr>
          <w:rFonts w:ascii="Times New Roman" w:hAnsi="Times New Roman" w:cs="Times New Roman"/>
          <w:bCs/>
          <w:sz w:val="20"/>
          <w:szCs w:val="20"/>
          <w:lang w:val="en-US"/>
        </w:rPr>
        <w:t>.</w:t>
      </w:r>
      <w:r>
        <w:rPr>
          <w:rFonts w:ascii="Times New Roman" w:hAnsi="Times New Roman" w:cs="Times New Roman"/>
          <w:bCs/>
          <w:sz w:val="20"/>
          <w:szCs w:val="20"/>
          <w:lang w:val="en-US"/>
        </w:rPr>
        <w:t xml:space="preserve"> </w:t>
      </w:r>
      <w:r w:rsidRPr="00BC1065">
        <w:rPr>
          <w:rFonts w:ascii="Times New Roman" w:hAnsi="Times New Roman" w:cs="Times New Roman"/>
          <w:bCs/>
          <w:sz w:val="20"/>
          <w:szCs w:val="20"/>
          <w:lang w:val="en-US"/>
        </w:rPr>
        <w:t>This is particularly interesting because one-third of AYA</w:t>
      </w:r>
      <w:r w:rsidR="00A23A72">
        <w:rPr>
          <w:rFonts w:ascii="Times New Roman" w:hAnsi="Times New Roman" w:cs="Times New Roman"/>
          <w:bCs/>
          <w:sz w:val="20"/>
          <w:szCs w:val="20"/>
          <w:lang w:val="en-US"/>
        </w:rPr>
        <w:t>s</w:t>
      </w:r>
      <w:r w:rsidRPr="00BC1065">
        <w:rPr>
          <w:rFonts w:ascii="Times New Roman" w:hAnsi="Times New Roman" w:cs="Times New Roman"/>
          <w:bCs/>
          <w:sz w:val="20"/>
          <w:szCs w:val="20"/>
          <w:lang w:val="en-US"/>
        </w:rPr>
        <w:t xml:space="preserve"> experience unstable </w:t>
      </w:r>
      <w:r>
        <w:rPr>
          <w:rFonts w:ascii="Times New Roman" w:hAnsi="Times New Roman" w:cs="Times New Roman"/>
          <w:bCs/>
          <w:sz w:val="20"/>
          <w:szCs w:val="20"/>
          <w:lang w:val="en-US"/>
        </w:rPr>
        <w:t>CC</w:t>
      </w:r>
      <w:r w:rsidRPr="00BC1065">
        <w:rPr>
          <w:rFonts w:ascii="Times New Roman" w:hAnsi="Times New Roman" w:cs="Times New Roman"/>
          <w:bCs/>
          <w:sz w:val="20"/>
          <w:szCs w:val="20"/>
          <w:lang w:val="en-US"/>
        </w:rPr>
        <w:t xml:space="preserve"> during transition. However, this result is intriguing because </w:t>
      </w:r>
      <w:r>
        <w:rPr>
          <w:rFonts w:ascii="Times New Roman" w:hAnsi="Times New Roman" w:cs="Times New Roman"/>
          <w:bCs/>
          <w:sz w:val="20"/>
          <w:szCs w:val="20"/>
          <w:lang w:val="en-US"/>
        </w:rPr>
        <w:t xml:space="preserve">most </w:t>
      </w:r>
      <w:r w:rsidRPr="00BC1065">
        <w:rPr>
          <w:rFonts w:ascii="Times New Roman" w:hAnsi="Times New Roman" w:cs="Times New Roman"/>
          <w:bCs/>
          <w:sz w:val="20"/>
          <w:szCs w:val="20"/>
          <w:lang w:val="en-US"/>
        </w:rPr>
        <w:t xml:space="preserve">GPs do not feel comfortable managing </w:t>
      </w:r>
      <w:r>
        <w:rPr>
          <w:rFonts w:ascii="Times New Roman" w:hAnsi="Times New Roman" w:cs="Times New Roman"/>
          <w:bCs/>
          <w:sz w:val="20"/>
          <w:szCs w:val="20"/>
          <w:lang w:val="en-US"/>
        </w:rPr>
        <w:t>AYA’s CC</w:t>
      </w:r>
      <w:r w:rsidRPr="00BC1065">
        <w:rPr>
          <w:rFonts w:ascii="Times New Roman" w:hAnsi="Times New Roman" w:cs="Times New Roman"/>
          <w:bCs/>
          <w:sz w:val="20"/>
          <w:szCs w:val="20"/>
          <w:lang w:val="en-US"/>
        </w:rPr>
        <w:t>.</w:t>
      </w:r>
      <w:r>
        <w:rPr>
          <w:rFonts w:ascii="Times New Roman" w:hAnsi="Times New Roman" w:cs="Times New Roman"/>
          <w:bCs/>
          <w:sz w:val="20"/>
          <w:szCs w:val="20"/>
          <w:lang w:val="en-US"/>
        </w:rPr>
        <w:t xml:space="preserve"> Regardless, g</w:t>
      </w:r>
      <w:r w:rsidRPr="00DC6CD5">
        <w:rPr>
          <w:rFonts w:ascii="Times New Roman" w:hAnsi="Times New Roman" w:cs="Times New Roman"/>
          <w:bCs/>
          <w:sz w:val="20"/>
          <w:szCs w:val="20"/>
          <w:lang w:val="en-US"/>
        </w:rPr>
        <w:t xml:space="preserve">reater investment of GPs in this situation </w:t>
      </w:r>
      <w:r w:rsidR="009C1742" w:rsidRPr="009C1742">
        <w:rPr>
          <w:rFonts w:ascii="Times New Roman" w:hAnsi="Times New Roman" w:cs="Times New Roman"/>
          <w:bCs/>
          <w:sz w:val="20"/>
          <w:szCs w:val="20"/>
          <w:highlight w:val="yellow"/>
          <w:lang w:val="en-US"/>
        </w:rPr>
        <w:t>may</w:t>
      </w:r>
      <w:r w:rsidRPr="009C1742">
        <w:rPr>
          <w:rFonts w:ascii="Times New Roman" w:hAnsi="Times New Roman" w:cs="Times New Roman"/>
          <w:bCs/>
          <w:sz w:val="20"/>
          <w:szCs w:val="20"/>
          <w:highlight w:val="yellow"/>
          <w:lang w:val="en-US"/>
        </w:rPr>
        <w:t xml:space="preserve"> be explained</w:t>
      </w:r>
      <w:r w:rsidRPr="00DC6CD5">
        <w:rPr>
          <w:rFonts w:ascii="Times New Roman" w:hAnsi="Times New Roman" w:cs="Times New Roman"/>
          <w:bCs/>
          <w:sz w:val="20"/>
          <w:szCs w:val="20"/>
          <w:lang w:val="en-US"/>
        </w:rPr>
        <w:t xml:space="preserve"> by a direct request from the AYA regarding their condition, or by GPs' desire to conduct a reassessment or monitoring of the </w:t>
      </w:r>
      <w:r w:rsidRPr="009C1742">
        <w:rPr>
          <w:rFonts w:ascii="Times New Roman" w:hAnsi="Times New Roman" w:cs="Times New Roman"/>
          <w:bCs/>
          <w:sz w:val="20"/>
          <w:szCs w:val="20"/>
          <w:lang w:val="en-US"/>
        </w:rPr>
        <w:t xml:space="preserve">AYA's CC. </w:t>
      </w:r>
      <w:r w:rsidR="00F4402D" w:rsidRPr="009C1742">
        <w:rPr>
          <w:rFonts w:ascii="Times New Roman" w:hAnsi="Times New Roman" w:cs="Times New Roman"/>
          <w:bCs/>
          <w:sz w:val="20"/>
          <w:szCs w:val="20"/>
          <w:lang w:val="en-US"/>
        </w:rPr>
        <w:t xml:space="preserve">GPs’ empathy may also play a role in their involvement, </w:t>
      </w:r>
      <w:r w:rsidR="00F4402D" w:rsidRPr="009C1742">
        <w:rPr>
          <w:rFonts w:ascii="Times New Roman" w:hAnsi="Times New Roman" w:cs="Times New Roman"/>
          <w:bCs/>
          <w:sz w:val="20"/>
          <w:szCs w:val="20"/>
          <w:highlight w:val="yellow"/>
          <w:lang w:val="en-US"/>
        </w:rPr>
        <w:t xml:space="preserve">as their emotional connection and long-standing relationship with </w:t>
      </w:r>
      <w:r w:rsidR="00F4402D" w:rsidRPr="00FC1E9A">
        <w:rPr>
          <w:rFonts w:ascii="Times New Roman" w:hAnsi="Times New Roman" w:cs="Times New Roman"/>
          <w:bCs/>
          <w:sz w:val="20"/>
          <w:szCs w:val="20"/>
          <w:highlight w:val="yellow"/>
          <w:lang w:val="en-US"/>
        </w:rPr>
        <w:t>AYA</w:t>
      </w:r>
      <w:r w:rsidR="0052672A">
        <w:rPr>
          <w:rFonts w:ascii="Times New Roman" w:hAnsi="Times New Roman" w:cs="Times New Roman"/>
          <w:bCs/>
          <w:sz w:val="20"/>
          <w:szCs w:val="20"/>
          <w:highlight w:val="yellow"/>
          <w:lang w:val="en-US"/>
        </w:rPr>
        <w:t>s</w:t>
      </w:r>
      <w:r w:rsidR="00F4402D" w:rsidRPr="00FC1E9A">
        <w:rPr>
          <w:rFonts w:ascii="Times New Roman" w:hAnsi="Times New Roman" w:cs="Times New Roman"/>
          <w:bCs/>
          <w:sz w:val="20"/>
          <w:szCs w:val="20"/>
          <w:highlight w:val="yellow"/>
          <w:lang w:val="en-US"/>
        </w:rPr>
        <w:t xml:space="preserve"> </w:t>
      </w:r>
      <w:r w:rsidR="00FC1E9A" w:rsidRPr="00FC1E9A">
        <w:rPr>
          <w:rFonts w:ascii="Times New Roman" w:hAnsi="Times New Roman" w:cs="Times New Roman"/>
          <w:bCs/>
          <w:sz w:val="20"/>
          <w:szCs w:val="20"/>
          <w:highlight w:val="yellow"/>
          <w:lang w:val="en-US"/>
        </w:rPr>
        <w:t xml:space="preserve">is likely to </w:t>
      </w:r>
      <w:r w:rsidR="00F4402D" w:rsidRPr="00FC1E9A">
        <w:rPr>
          <w:rFonts w:ascii="Times New Roman" w:hAnsi="Times New Roman" w:cs="Times New Roman"/>
          <w:bCs/>
          <w:sz w:val="20"/>
          <w:szCs w:val="20"/>
          <w:highlight w:val="yellow"/>
          <w:lang w:val="en-US"/>
        </w:rPr>
        <w:t xml:space="preserve">motivate </w:t>
      </w:r>
      <w:r w:rsidR="00F4402D" w:rsidRPr="009C1742">
        <w:rPr>
          <w:rFonts w:ascii="Times New Roman" w:hAnsi="Times New Roman" w:cs="Times New Roman"/>
          <w:bCs/>
          <w:sz w:val="20"/>
          <w:szCs w:val="20"/>
          <w:highlight w:val="yellow"/>
          <w:lang w:val="en-US"/>
        </w:rPr>
        <w:t>them to remain engaged and supportive during transition</w:t>
      </w:r>
      <w:r w:rsidR="009C1742" w:rsidRPr="009C1742">
        <w:rPr>
          <w:rFonts w:ascii="Times New Roman" w:hAnsi="Times New Roman" w:cs="Times New Roman"/>
          <w:bCs/>
          <w:sz w:val="20"/>
          <w:szCs w:val="20"/>
          <w:highlight w:val="yellow"/>
          <w:lang w:val="en-US"/>
        </w:rPr>
        <w:t xml:space="preserve">. </w:t>
      </w:r>
      <w:r w:rsidR="00FD2FCD" w:rsidRPr="009C1742">
        <w:rPr>
          <w:rFonts w:ascii="Times New Roman" w:hAnsi="Times New Roman" w:cs="Times New Roman"/>
          <w:bCs/>
          <w:sz w:val="20"/>
          <w:szCs w:val="20"/>
          <w:highlight w:val="yellow"/>
          <w:lang w:val="en-US"/>
        </w:rPr>
        <w:t xml:space="preserve">Their </w:t>
      </w:r>
      <w:r w:rsidR="00FD2FCD" w:rsidRPr="00FD2FCD">
        <w:rPr>
          <w:rFonts w:ascii="Times New Roman" w:hAnsi="Times New Roman" w:cs="Times New Roman"/>
          <w:bCs/>
          <w:sz w:val="20"/>
          <w:szCs w:val="20"/>
          <w:highlight w:val="yellow"/>
          <w:lang w:val="en-US"/>
        </w:rPr>
        <w:t>role</w:t>
      </w:r>
      <w:r w:rsidR="009C1742">
        <w:rPr>
          <w:rFonts w:ascii="Times New Roman" w:hAnsi="Times New Roman" w:cs="Times New Roman"/>
          <w:bCs/>
          <w:sz w:val="20"/>
          <w:szCs w:val="20"/>
          <w:highlight w:val="yellow"/>
          <w:lang w:val="en-US"/>
        </w:rPr>
        <w:t xml:space="preserve"> </w:t>
      </w:r>
      <w:r w:rsidR="00FD2FCD" w:rsidRPr="00FD2FCD">
        <w:rPr>
          <w:rFonts w:ascii="Times New Roman" w:hAnsi="Times New Roman" w:cs="Times New Roman"/>
          <w:bCs/>
          <w:sz w:val="20"/>
          <w:szCs w:val="20"/>
          <w:highlight w:val="yellow"/>
          <w:lang w:val="en-US"/>
        </w:rPr>
        <w:t>complements that of pediatricians, who are primarily responsible for managing the medical aspects of CCs. GPs, on the other hand, ensure overall health management, offering continuous support as AYAs transition to adult care.</w:t>
      </w:r>
    </w:p>
    <w:p w14:paraId="7FE1673B" w14:textId="75609935" w:rsidR="00D317F0" w:rsidRDefault="00D317F0" w:rsidP="00D317F0">
      <w:pPr>
        <w:spacing w:before="200" w:after="120"/>
        <w:jc w:val="both"/>
        <w:rPr>
          <w:rFonts w:ascii="Times New Roman" w:hAnsi="Times New Roman" w:cs="Times New Roman"/>
          <w:bCs/>
          <w:sz w:val="20"/>
          <w:szCs w:val="20"/>
          <w:lang w:val="en-US"/>
        </w:rPr>
      </w:pPr>
      <w:r w:rsidRPr="00F07F96">
        <w:rPr>
          <w:rFonts w:ascii="Times New Roman" w:hAnsi="Times New Roman" w:cs="Times New Roman"/>
          <w:bCs/>
          <w:sz w:val="20"/>
          <w:szCs w:val="20"/>
          <w:lang w:val="en-US"/>
        </w:rPr>
        <w:t>Overall, our observations seem to encourage involving GPs in the transition process at any step. As mentioned by the American Academy of Pediatrics in their transition guidelines, transferring to adult primary care clinicians could be the initial step, allowing these clinicians to assist in locating and/or coordinating adult subspecialty or behavioral care providers as needed. In the absence of a specific adult subspecialist, transitioning the young adult to an adult primary care clinician, with consultation from the pediatric subspecialist, could be an interim solution until adult clinicians acquire the necessary subspecialty knowledge or appropriate adult subspecialists become available</w:t>
      </w:r>
      <w:r>
        <w:rPr>
          <w:rFonts w:ascii="Times New Roman" w:hAnsi="Times New Roman" w:cs="Times New Roman"/>
          <w:bCs/>
          <w:sz w:val="20"/>
          <w:szCs w:val="20"/>
          <w:lang w:val="en-US"/>
        </w:rPr>
        <w:fldChar w:fldCharType="begin"/>
      </w:r>
      <w:r w:rsidR="00E63083">
        <w:rPr>
          <w:rFonts w:ascii="Times New Roman" w:hAnsi="Times New Roman" w:cs="Times New Roman"/>
          <w:bCs/>
          <w:sz w:val="20"/>
          <w:szCs w:val="20"/>
          <w:lang w:val="en-US"/>
        </w:rPr>
        <w:instrText xml:space="preserve"> ADDIN ZOTERO_ITEM CSL_CITATION {"citationID":"cbQtwdWp","properties":{"formattedCitation":"[15]","plainCitation":"[15]","noteIndex":0},"citationItems":[{"id":335,"uris":["http://zotero.org/users/6853045/items/72VJEUE9"],"itemData":{"id":335,"type":"article-journal","abstract":"Risk and vulnerability encompass many dimensions of the transition from adolescence to adulthood. Transition from pediatric, parent-supervised health  care to more independent, patient-centered adult health care is no exception. The  tenets and algorithm of the original 2011 clinical report, \"Supporting the Health  Care Transition from Adolescence to Adulthood in the Medical Home,\" are  unchanged. This updated clinical report provides more practice-based quality  improvement guidance on key elements of transition planning, transfer, and  integration into adult care for all youth and young adults. It also includes new  and updated sections on definition and guiding principles, the status of health  care transition preparation among youth, barriers, outcome evidence, recommended  health care transition processes and implementation strategies using quality  improvement methods, special populations, education and training in pediatric  onset conditions, and payment options. The clinical report also includes new  recommendations pertaining to infrastructure, education and training, payment,  and research.","container-title":"Pediatrics","DOI":"10.1542/peds.2018-2587","ISSN":"1098-4275 0031-4005","language":"eng","license":"Copyright © 2018 by the American Academy of Pediatrics.","note":"PMID: 30348754","page":"e20182587","title":"Supporting the Health Care Transition From Adolescence to Adulthood in the Medical Home.","volume":"142(5)","author":[{"family":"White","given":"Patience H."},{"family":"Cooley","given":"W. Carl"}],"issued":{"date-parts":[["2018",11]]}}}],"schema":"https://github.com/citation-style-language/schema/raw/master/csl-citation.json"} </w:instrText>
      </w:r>
      <w:r>
        <w:rPr>
          <w:rFonts w:ascii="Times New Roman" w:hAnsi="Times New Roman" w:cs="Times New Roman"/>
          <w:bCs/>
          <w:sz w:val="20"/>
          <w:szCs w:val="20"/>
          <w:lang w:val="en-US"/>
        </w:rPr>
        <w:fldChar w:fldCharType="separate"/>
      </w:r>
      <w:r w:rsidRPr="00F07F96">
        <w:rPr>
          <w:rFonts w:ascii="Times New Roman" w:hAnsi="Times New Roman" w:cs="Times New Roman"/>
          <w:sz w:val="20"/>
          <w:lang w:val="en-US"/>
        </w:rPr>
        <w:t>[15]</w:t>
      </w:r>
      <w:r>
        <w:rPr>
          <w:rFonts w:ascii="Times New Roman" w:hAnsi="Times New Roman" w:cs="Times New Roman"/>
          <w:bCs/>
          <w:sz w:val="20"/>
          <w:szCs w:val="20"/>
          <w:lang w:val="en-US"/>
        </w:rPr>
        <w:fldChar w:fldCharType="end"/>
      </w:r>
      <w:r w:rsidRPr="00F07F96">
        <w:rPr>
          <w:rFonts w:ascii="Times New Roman" w:hAnsi="Times New Roman" w:cs="Times New Roman"/>
          <w:bCs/>
          <w:sz w:val="20"/>
          <w:szCs w:val="20"/>
          <w:lang w:val="en-US"/>
        </w:rPr>
        <w:t>.</w:t>
      </w:r>
    </w:p>
    <w:p w14:paraId="054246B0" w14:textId="34DBD87B" w:rsidR="00D317F0" w:rsidRDefault="00D317F0" w:rsidP="00D317F0">
      <w:pPr>
        <w:spacing w:before="200"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C</w:t>
      </w:r>
      <w:r w:rsidRPr="0038309A">
        <w:rPr>
          <w:rFonts w:ascii="Times New Roman" w:hAnsi="Times New Roman" w:cs="Times New Roman"/>
          <w:bCs/>
          <w:sz w:val="20"/>
          <w:szCs w:val="20"/>
          <w:lang w:val="en-US"/>
        </w:rPr>
        <w:t>ommunication between GPs and hospital specialists</w:t>
      </w:r>
      <w:r>
        <w:rPr>
          <w:rFonts w:ascii="Times New Roman" w:hAnsi="Times New Roman" w:cs="Times New Roman"/>
          <w:bCs/>
          <w:sz w:val="20"/>
          <w:szCs w:val="20"/>
          <w:lang w:val="en-US"/>
        </w:rPr>
        <w:t xml:space="preserve"> </w:t>
      </w:r>
      <w:r w:rsidRPr="00123CAC">
        <w:rPr>
          <w:rFonts w:ascii="Times New Roman" w:hAnsi="Times New Roman" w:cs="Times New Roman"/>
          <w:bCs/>
          <w:sz w:val="20"/>
          <w:szCs w:val="20"/>
          <w:lang w:val="en-US"/>
        </w:rPr>
        <w:t>appeared satisfying regarding that</w:t>
      </w:r>
      <w:r>
        <w:rPr>
          <w:rFonts w:ascii="Times New Roman" w:hAnsi="Times New Roman" w:cs="Times New Roman"/>
          <w:bCs/>
          <w:sz w:val="20"/>
          <w:szCs w:val="20"/>
          <w:lang w:val="en-US"/>
        </w:rPr>
        <w:t xml:space="preserve"> </w:t>
      </w:r>
      <w:r w:rsidRPr="0038309A">
        <w:rPr>
          <w:rFonts w:ascii="Times New Roman" w:hAnsi="Times New Roman" w:cs="Times New Roman"/>
          <w:bCs/>
          <w:sz w:val="20"/>
          <w:szCs w:val="20"/>
          <w:lang w:val="en-US"/>
        </w:rPr>
        <w:t>a majority of GPs receive</w:t>
      </w:r>
      <w:r>
        <w:rPr>
          <w:rFonts w:ascii="Times New Roman" w:hAnsi="Times New Roman" w:cs="Times New Roman"/>
          <w:bCs/>
          <w:sz w:val="20"/>
          <w:szCs w:val="20"/>
          <w:lang w:val="en-US"/>
        </w:rPr>
        <w:t>d</w:t>
      </w:r>
      <w:r w:rsidRPr="0038309A">
        <w:rPr>
          <w:rFonts w:ascii="Times New Roman" w:hAnsi="Times New Roman" w:cs="Times New Roman"/>
          <w:bCs/>
          <w:sz w:val="20"/>
          <w:szCs w:val="20"/>
          <w:lang w:val="en-US"/>
        </w:rPr>
        <w:t xml:space="preserve"> hospital reports during </w:t>
      </w:r>
      <w:r>
        <w:rPr>
          <w:rFonts w:ascii="Times New Roman" w:hAnsi="Times New Roman" w:cs="Times New Roman"/>
          <w:bCs/>
          <w:sz w:val="20"/>
          <w:szCs w:val="20"/>
          <w:lang w:val="en-US"/>
        </w:rPr>
        <w:t>transition.</w:t>
      </w:r>
      <w:r w:rsidRPr="0038309A">
        <w:rPr>
          <w:rFonts w:ascii="Times New Roman" w:hAnsi="Times New Roman" w:cs="Times New Roman"/>
          <w:bCs/>
          <w:sz w:val="20"/>
          <w:szCs w:val="20"/>
          <w:lang w:val="en-US"/>
        </w:rPr>
        <w:t xml:space="preserve"> However, there are several contradictions between quantitative and qualitative results: </w:t>
      </w:r>
      <w:r>
        <w:rPr>
          <w:rFonts w:ascii="Times New Roman" w:hAnsi="Times New Roman" w:cs="Times New Roman"/>
          <w:bCs/>
          <w:sz w:val="20"/>
          <w:szCs w:val="20"/>
          <w:lang w:val="en-US"/>
        </w:rPr>
        <w:t>a</w:t>
      </w:r>
      <w:r w:rsidRPr="0038309A">
        <w:rPr>
          <w:rFonts w:ascii="Times New Roman" w:hAnsi="Times New Roman" w:cs="Times New Roman"/>
          <w:bCs/>
          <w:sz w:val="20"/>
          <w:szCs w:val="20"/>
          <w:lang w:val="en-US"/>
        </w:rPr>
        <w:t>lthough communication with hospital is good, GPs complain</w:t>
      </w:r>
      <w:r>
        <w:rPr>
          <w:rFonts w:ascii="Times New Roman" w:hAnsi="Times New Roman" w:cs="Times New Roman"/>
          <w:bCs/>
          <w:sz w:val="20"/>
          <w:szCs w:val="20"/>
          <w:lang w:val="en-US"/>
        </w:rPr>
        <w:t>ed</w:t>
      </w:r>
      <w:r w:rsidRPr="0038309A">
        <w:rPr>
          <w:rFonts w:ascii="Times New Roman" w:hAnsi="Times New Roman" w:cs="Times New Roman"/>
          <w:bCs/>
          <w:sz w:val="20"/>
          <w:szCs w:val="20"/>
          <w:lang w:val="en-US"/>
        </w:rPr>
        <w:t xml:space="preserve"> that specialists </w:t>
      </w:r>
      <w:r>
        <w:rPr>
          <w:rFonts w:ascii="Times New Roman" w:hAnsi="Times New Roman" w:cs="Times New Roman"/>
          <w:bCs/>
          <w:sz w:val="20"/>
          <w:szCs w:val="20"/>
          <w:lang w:val="en-US"/>
        </w:rPr>
        <w:t xml:space="preserve">were </w:t>
      </w:r>
      <w:r w:rsidRPr="0038309A">
        <w:rPr>
          <w:rFonts w:ascii="Times New Roman" w:hAnsi="Times New Roman" w:cs="Times New Roman"/>
          <w:bCs/>
          <w:sz w:val="20"/>
          <w:szCs w:val="20"/>
          <w:lang w:val="en-US"/>
        </w:rPr>
        <w:t>not easily reachable; GPs would like to receive more hospital letters, even though they do not have enough time to read them; They would also like to be more involved in</w:t>
      </w:r>
      <w:r>
        <w:rPr>
          <w:rFonts w:ascii="Times New Roman" w:hAnsi="Times New Roman" w:cs="Times New Roman"/>
          <w:bCs/>
          <w:sz w:val="20"/>
          <w:szCs w:val="20"/>
          <w:lang w:val="en-US"/>
        </w:rPr>
        <w:t xml:space="preserve"> </w:t>
      </w:r>
      <w:r w:rsidRPr="0038309A">
        <w:rPr>
          <w:rFonts w:ascii="Times New Roman" w:hAnsi="Times New Roman" w:cs="Times New Roman"/>
          <w:bCs/>
          <w:sz w:val="20"/>
          <w:szCs w:val="20"/>
          <w:lang w:val="en-US"/>
        </w:rPr>
        <w:t xml:space="preserve">decisions despite their lack of time and knowledge about </w:t>
      </w:r>
      <w:r>
        <w:rPr>
          <w:rFonts w:ascii="Times New Roman" w:hAnsi="Times New Roman" w:cs="Times New Roman"/>
          <w:bCs/>
          <w:sz w:val="20"/>
          <w:szCs w:val="20"/>
          <w:lang w:val="en-US"/>
        </w:rPr>
        <w:t>CC</w:t>
      </w:r>
      <w:r w:rsidRPr="0038309A">
        <w:rPr>
          <w:rFonts w:ascii="Times New Roman" w:hAnsi="Times New Roman" w:cs="Times New Roman"/>
          <w:bCs/>
          <w:sz w:val="20"/>
          <w:szCs w:val="20"/>
          <w:lang w:val="en-US"/>
        </w:rPr>
        <w:t xml:space="preserve"> affecting AYA.</w:t>
      </w:r>
      <w:r>
        <w:rPr>
          <w:rFonts w:ascii="Times New Roman" w:hAnsi="Times New Roman" w:cs="Times New Roman"/>
          <w:bCs/>
          <w:sz w:val="20"/>
          <w:szCs w:val="20"/>
          <w:lang w:val="en-US"/>
        </w:rPr>
        <w:t xml:space="preserve"> </w:t>
      </w:r>
      <w:r w:rsidRPr="00F25CFD">
        <w:rPr>
          <w:rFonts w:ascii="Times New Roman" w:hAnsi="Times New Roman" w:cs="Times New Roman"/>
          <w:bCs/>
          <w:sz w:val="20"/>
          <w:szCs w:val="20"/>
          <w:lang w:val="en-US"/>
        </w:rPr>
        <w:t>If GPs were involved in the medical care of AYA</w:t>
      </w:r>
      <w:r w:rsidR="00A23A72">
        <w:rPr>
          <w:rFonts w:ascii="Times New Roman" w:hAnsi="Times New Roman" w:cs="Times New Roman"/>
          <w:bCs/>
          <w:sz w:val="20"/>
          <w:szCs w:val="20"/>
          <w:lang w:val="en-US"/>
        </w:rPr>
        <w:t>s</w:t>
      </w:r>
      <w:r w:rsidRPr="00F25CFD">
        <w:rPr>
          <w:rFonts w:ascii="Times New Roman" w:hAnsi="Times New Roman" w:cs="Times New Roman"/>
          <w:bCs/>
          <w:sz w:val="20"/>
          <w:szCs w:val="20"/>
          <w:lang w:val="en-US"/>
        </w:rPr>
        <w:t>, there would likely be fewer transition failures.</w:t>
      </w:r>
      <w:r>
        <w:rPr>
          <w:rFonts w:ascii="Times New Roman" w:hAnsi="Times New Roman" w:cs="Times New Roman"/>
          <w:bCs/>
          <w:sz w:val="20"/>
          <w:szCs w:val="20"/>
          <w:lang w:val="en-US"/>
        </w:rPr>
        <w:t xml:space="preserve"> </w:t>
      </w:r>
      <w:r w:rsidRPr="00247819">
        <w:rPr>
          <w:rFonts w:ascii="Times New Roman" w:hAnsi="Times New Roman" w:cs="Times New Roman"/>
          <w:bCs/>
          <w:sz w:val="20"/>
          <w:szCs w:val="20"/>
          <w:lang w:val="en-US"/>
        </w:rPr>
        <w:t>There are key-elements for improving transition, as identified by experts in Enora Le Roux's study</w:t>
      </w:r>
      <w:r>
        <w:rPr>
          <w:rFonts w:ascii="Times New Roman" w:hAnsi="Times New Roman" w:cs="Times New Roman"/>
          <w:bCs/>
          <w:sz w:val="20"/>
          <w:szCs w:val="20"/>
          <w:lang w:val="en-US"/>
        </w:rPr>
        <w:fldChar w:fldCharType="begin"/>
      </w:r>
      <w:r>
        <w:rPr>
          <w:rFonts w:ascii="Times New Roman" w:hAnsi="Times New Roman" w:cs="Times New Roman"/>
          <w:bCs/>
          <w:sz w:val="20"/>
          <w:szCs w:val="20"/>
          <w:lang w:val="en-US"/>
        </w:rPr>
        <w:instrText xml:space="preserve"> ADDIN ZOTERO_ITEM CSL_CITATION {"citationID":"vpKki6Oe","properties":{"formattedCitation":"[7]","plainCitation":"[7]","noteIndex":0},"citationItems":[{"id":323,"uris":["http://zotero.org/users/6853045/items/LJ8PQ9TR"],"itemData":{"id":323,"type":"article-journal","abstract":"BACKGROUND: The last 20 years have seen many attempts to improve transition to adult healthcare for adolescents with chronic disease, but there is currently no  established consensus on generic practices. Our goal was to identify relevant and  pragmatic guidelines for transition practice for each step of this process  (before, during and after transfer), applicable to a wide range of chronic  illnesses and health services, via a participatory approach involving all the key  stakeholders. METHODS: We conducted interviews and a literature review to  elaborate a questionnaire for use in an online 2-round Delphi survey. The survey  panel included 36 French health and social professionals from different care  settings, and young adults and parents with an experience of healthcare  transition related to all types of chronic disease. RESULTS: The survey consensus  identified 19 items on feasibility and relevance criteria, which form the  guidelines. It is composed of five practices to be adopted during preparation in  paediatrics, seven practices in the active phase of transition and seven in adult  care. Two guidelines achieved complete consensus: having a longer consultation  for the first appointment with the adult doctor, and keeping the same adult  doctor throughout follow-up. A further 36 items met the criterion of relevance,  but were deemed unfeasible. CONCLUSIONS: Taking into account all stakeholder  views and the real-world applicability of care practices enabled us to elaborate  consensual guidelines whose implementation requires no additional health service  resources.","container-title":"European journal of public health","DOI":"10.1093/eurpub/cky258","ISSN":"1464-360X 1101-1262","issue":"3","journalAbbreviation":"Eur J Public Health","language":"eng","license":"© The Author(s) 2018. Published by Oxford University Press on behalf of the European Public Health Association. All rights reserved.","note":"publisher-place: England\nPMID: 30535247","page":"442-448","title":"Practical generic guidelines for paediatric-to-adult transition for adolescents with chronic disease.","volume":"29","author":[{"family":"Le Roux","given":"Enora"},{"family":"Mellerio","given":"Hélène"},{"family":"Jacquin","given":"Paul"},{"family":"Bourmaud","given":"Aurélie"},{"family":"Guilmin-Crépon","given":"Sophie"},{"family":"Faye","given":"Albert"},{"family":"Matheron","given":"Sophie"},{"family":"Boulkedid","given":"Rym"},{"family":"Alberti","given":"Corinne"}],"issued":{"date-parts":[["2019",6,1]]}}}],"schema":"https://github.com/citation-style-language/schema/raw/master/csl-citation.json"} </w:instrText>
      </w:r>
      <w:r>
        <w:rPr>
          <w:rFonts w:ascii="Times New Roman" w:hAnsi="Times New Roman" w:cs="Times New Roman"/>
          <w:bCs/>
          <w:sz w:val="20"/>
          <w:szCs w:val="20"/>
          <w:lang w:val="en-US"/>
        </w:rPr>
        <w:fldChar w:fldCharType="separate"/>
      </w:r>
      <w:r w:rsidRPr="00AB233F">
        <w:rPr>
          <w:rFonts w:ascii="Times New Roman" w:hAnsi="Times New Roman" w:cs="Times New Roman"/>
          <w:sz w:val="20"/>
          <w:lang w:val="en-US"/>
        </w:rPr>
        <w:t>[7]</w:t>
      </w:r>
      <w:r>
        <w:rPr>
          <w:rFonts w:ascii="Times New Roman" w:hAnsi="Times New Roman" w:cs="Times New Roman"/>
          <w:bCs/>
          <w:sz w:val="20"/>
          <w:szCs w:val="20"/>
          <w:lang w:val="en-US"/>
        </w:rPr>
        <w:fldChar w:fldCharType="end"/>
      </w:r>
      <w:r>
        <w:rPr>
          <w:rFonts w:ascii="Times New Roman" w:hAnsi="Times New Roman" w:cs="Times New Roman"/>
          <w:bCs/>
          <w:sz w:val="20"/>
          <w:szCs w:val="20"/>
          <w:lang w:val="en-US"/>
        </w:rPr>
        <w:t>.</w:t>
      </w:r>
    </w:p>
    <w:p w14:paraId="5A9E71FA" w14:textId="6E5DBB00" w:rsidR="00D317F0" w:rsidRDefault="00D317F0" w:rsidP="00D317F0">
      <w:pPr>
        <w:spacing w:before="200" w:after="120"/>
        <w:jc w:val="both"/>
        <w:rPr>
          <w:rFonts w:ascii="Times New Roman" w:hAnsi="Times New Roman" w:cs="Times New Roman"/>
          <w:bCs/>
          <w:sz w:val="20"/>
          <w:szCs w:val="20"/>
          <w:lang w:val="en-US"/>
        </w:rPr>
      </w:pPr>
      <w:r w:rsidRPr="00F25CFD">
        <w:rPr>
          <w:rFonts w:ascii="Times New Roman" w:hAnsi="Times New Roman" w:cs="Times New Roman"/>
          <w:bCs/>
          <w:sz w:val="20"/>
          <w:szCs w:val="20"/>
          <w:lang w:val="en-US"/>
        </w:rPr>
        <w:t>Despite these observations, solutions can be proposed to enhance GPs-specialists communication and increase GP involvement during transition.</w:t>
      </w:r>
      <w:r>
        <w:rPr>
          <w:rFonts w:ascii="Times New Roman" w:hAnsi="Times New Roman" w:cs="Times New Roman"/>
          <w:bCs/>
          <w:sz w:val="20"/>
          <w:szCs w:val="20"/>
          <w:lang w:val="en-US"/>
        </w:rPr>
        <w:t xml:space="preserve"> </w:t>
      </w:r>
      <w:r w:rsidRPr="00253CF1">
        <w:rPr>
          <w:rFonts w:ascii="Times New Roman" w:hAnsi="Times New Roman" w:cs="Times New Roman"/>
          <w:bCs/>
          <w:sz w:val="20"/>
          <w:szCs w:val="20"/>
          <w:lang w:val="en-US"/>
        </w:rPr>
        <w:t>Although several guidelines emphasize the importance of involving GPs in the follow-up care of AYA</w:t>
      </w:r>
      <w:r w:rsidR="00A23A72">
        <w:rPr>
          <w:rFonts w:ascii="Times New Roman" w:hAnsi="Times New Roman" w:cs="Times New Roman"/>
          <w:bCs/>
          <w:sz w:val="20"/>
          <w:szCs w:val="20"/>
          <w:lang w:val="en-US"/>
        </w:rPr>
        <w:t>s</w:t>
      </w:r>
      <w:r w:rsidRPr="00253CF1">
        <w:rPr>
          <w:rFonts w:ascii="Times New Roman" w:hAnsi="Times New Roman" w:cs="Times New Roman"/>
          <w:bCs/>
          <w:sz w:val="20"/>
          <w:szCs w:val="20"/>
          <w:lang w:val="en-US"/>
        </w:rPr>
        <w:t>, particularly during transition, their role is not clearly</w:t>
      </w:r>
      <w:r>
        <w:rPr>
          <w:rFonts w:ascii="Times New Roman" w:hAnsi="Times New Roman" w:cs="Times New Roman"/>
          <w:bCs/>
          <w:sz w:val="20"/>
          <w:szCs w:val="20"/>
          <w:lang w:val="en-US"/>
        </w:rPr>
        <w:t xml:space="preserve"> </w:t>
      </w:r>
      <w:r w:rsidRPr="00253CF1">
        <w:rPr>
          <w:rFonts w:ascii="Times New Roman" w:hAnsi="Times New Roman" w:cs="Times New Roman"/>
          <w:bCs/>
          <w:sz w:val="20"/>
          <w:szCs w:val="20"/>
          <w:lang w:val="en-US"/>
        </w:rPr>
        <w:t>defined</w:t>
      </w:r>
      <w:r w:rsidRPr="00394381">
        <w:rPr>
          <w:rFonts w:ascii="Times New Roman" w:hAnsi="Times New Roman" w:cs="Times New Roman"/>
          <w:bCs/>
          <w:sz w:val="20"/>
          <w:szCs w:val="20"/>
          <w:lang w:val="en-US"/>
        </w:rPr>
        <w:fldChar w:fldCharType="begin"/>
      </w:r>
      <w:r>
        <w:rPr>
          <w:rFonts w:ascii="Times New Roman" w:hAnsi="Times New Roman" w:cs="Times New Roman"/>
          <w:bCs/>
          <w:sz w:val="20"/>
          <w:szCs w:val="20"/>
          <w:lang w:val="en-US"/>
        </w:rPr>
        <w:instrText xml:space="preserve"> ADDIN ZOTERO_ITEM CSL_CITATION {"citationID":"DPKSQLIO","properties":{"formattedCitation":"[7]","plainCitation":"[7]","noteIndex":0},"citationItems":[{"id":323,"uris":["http://zotero.org/users/6853045/items/LJ8PQ9TR"],"itemData":{"id":323,"type":"article-journal","abstract":"BACKGROUND: The last 20 years have seen many attempts to improve transition to adult healthcare for adolescents with chronic disease, but there is currently no  established consensus on generic practices. Our goal was to identify relevant and  pragmatic guidelines for transition practice for each step of this process  (before, during and after transfer), applicable to a wide range of chronic  illnesses and health services, via a participatory approach involving all the key  stakeholders. METHODS: We conducted interviews and a literature review to  elaborate a questionnaire for use in an online 2-round Delphi survey. The survey  panel included 36 French health and social professionals from different care  settings, and young adults and parents with an experience of healthcare  transition related to all types of chronic disease. RESULTS: The survey consensus  identified 19 items on feasibility and relevance criteria, which form the  guidelines. It is composed of five practices to be adopted during preparation in  paediatrics, seven practices in the active phase of transition and seven in adult  care. Two guidelines achieved complete consensus: having a longer consultation  for the first appointment with the adult doctor, and keeping the same adult  doctor throughout follow-up. A further 36 items met the criterion of relevance,  but were deemed unfeasible. CONCLUSIONS: Taking into account all stakeholder  views and the real-world applicability of care practices enabled us to elaborate  consensual guidelines whose implementation requires no additional health service  resources.","container-title":"European journal of public health","DOI":"10.1093/eurpub/cky258","ISSN":"1464-360X 1101-1262","issue":"3","journalAbbreviation":"Eur J Public Health","language":"eng","license":"© The Author(s) 2018. Published by Oxford University Press on behalf of the European Public Health Association. All rights reserved.","note":"publisher-place: England\nPMID: 30535247","page":"442-448","title":"Practical generic guidelines for paediatric-to-adult transition for adolescents with chronic disease.","volume":"29","author":[{"family":"Le Roux","given":"Enora"},{"family":"Mellerio","given":"Hélène"},{"family":"Jacquin","given":"Paul"},{"family":"Bourmaud","given":"Aurélie"},{"family":"Guilmin-Crépon","given":"Sophie"},{"family":"Faye","given":"Albert"},{"family":"Matheron","given":"Sophie"},{"family":"Boulkedid","given":"Rym"},{"family":"Alberti","given":"Corinne"}],"issued":{"date-parts":[["2019",6,1]]}}}],"schema":"https://github.com/citation-style-language/schema/raw/master/csl-citation.json"} </w:instrText>
      </w:r>
      <w:r w:rsidRPr="00394381">
        <w:rPr>
          <w:rFonts w:ascii="Times New Roman" w:hAnsi="Times New Roman" w:cs="Times New Roman"/>
          <w:bCs/>
          <w:sz w:val="20"/>
          <w:szCs w:val="20"/>
          <w:lang w:val="en-US"/>
        </w:rPr>
        <w:fldChar w:fldCharType="separate"/>
      </w:r>
      <w:r w:rsidRPr="00980FCE">
        <w:rPr>
          <w:rFonts w:ascii="Times New Roman" w:hAnsi="Times New Roman" w:cs="Times New Roman"/>
          <w:sz w:val="20"/>
          <w:lang w:val="en-US"/>
        </w:rPr>
        <w:t>[7]</w:t>
      </w:r>
      <w:r w:rsidRPr="00394381">
        <w:rPr>
          <w:rFonts w:ascii="Times New Roman" w:hAnsi="Times New Roman" w:cs="Times New Roman"/>
          <w:bCs/>
          <w:sz w:val="20"/>
          <w:szCs w:val="20"/>
          <w:lang w:val="en-US"/>
        </w:rPr>
        <w:fldChar w:fldCharType="end"/>
      </w:r>
      <w:r>
        <w:rPr>
          <w:rFonts w:ascii="Times New Roman" w:hAnsi="Times New Roman" w:cs="Times New Roman"/>
          <w:bCs/>
          <w:sz w:val="20"/>
          <w:szCs w:val="20"/>
          <w:lang w:val="en-US"/>
        </w:rPr>
        <w:t xml:space="preserve">. </w:t>
      </w:r>
      <w:r w:rsidRPr="00394381">
        <w:rPr>
          <w:rFonts w:ascii="Times New Roman" w:hAnsi="Times New Roman" w:cs="Times New Roman"/>
          <w:bCs/>
          <w:sz w:val="20"/>
          <w:szCs w:val="20"/>
          <w:lang w:val="en-US"/>
        </w:rPr>
        <w:t xml:space="preserve">Based on recommendations, expectations of GPs, and experiences from AD'venir (Robert Debré's hospital transition platform) regarding feasibility, several </w:t>
      </w:r>
      <w:r w:rsidRPr="00247819">
        <w:rPr>
          <w:rFonts w:ascii="Times New Roman" w:hAnsi="Times New Roman" w:cs="Times New Roman"/>
          <w:bCs/>
          <w:sz w:val="20"/>
          <w:szCs w:val="20"/>
          <w:lang w:val="en-US"/>
        </w:rPr>
        <w:t>guidelines for including GPs in the transition process can be proposed</w:t>
      </w:r>
      <w:r>
        <w:rPr>
          <w:rFonts w:ascii="Times New Roman" w:hAnsi="Times New Roman" w:cs="Times New Roman"/>
          <w:bCs/>
          <w:sz w:val="20"/>
          <w:szCs w:val="20"/>
          <w:lang w:val="en-US"/>
        </w:rPr>
        <w:t>:</w:t>
      </w:r>
    </w:p>
    <w:p w14:paraId="0B876BD3" w14:textId="0087BB7E" w:rsidR="00D317F0" w:rsidRDefault="00D317F0" w:rsidP="00D317F0">
      <w:pPr>
        <w:spacing w:before="200"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 </w:t>
      </w:r>
      <w:r w:rsidRPr="009011B0">
        <w:rPr>
          <w:rFonts w:ascii="Times New Roman" w:hAnsi="Times New Roman" w:cs="Times New Roman"/>
          <w:bCs/>
          <w:sz w:val="20"/>
          <w:szCs w:val="20"/>
          <w:lang w:val="en-US"/>
        </w:rPr>
        <w:t>To facilitate GPs' involvement during transition, hospital specialists should verify that AYA</w:t>
      </w:r>
      <w:r w:rsidR="00733928">
        <w:rPr>
          <w:rFonts w:ascii="Times New Roman" w:hAnsi="Times New Roman" w:cs="Times New Roman"/>
          <w:bCs/>
          <w:sz w:val="20"/>
          <w:szCs w:val="20"/>
          <w:lang w:val="en-US"/>
        </w:rPr>
        <w:t>s</w:t>
      </w:r>
      <w:r w:rsidRPr="009011B0">
        <w:rPr>
          <w:rFonts w:ascii="Times New Roman" w:hAnsi="Times New Roman" w:cs="Times New Roman"/>
          <w:bCs/>
          <w:sz w:val="20"/>
          <w:szCs w:val="20"/>
          <w:lang w:val="en-US"/>
        </w:rPr>
        <w:t xml:space="preserve"> have a GP, and ensure that the physician’s name is included in the medical record</w:t>
      </w:r>
      <w:r>
        <w:rPr>
          <w:rFonts w:ascii="Times New Roman" w:hAnsi="Times New Roman" w:cs="Times New Roman"/>
          <w:bCs/>
          <w:sz w:val="20"/>
          <w:szCs w:val="20"/>
          <w:lang w:val="en-US"/>
        </w:rPr>
        <w:t xml:space="preserve">. </w:t>
      </w:r>
      <w:r w:rsidRPr="009011B0">
        <w:rPr>
          <w:rFonts w:ascii="Times New Roman" w:hAnsi="Times New Roman" w:cs="Times New Roman"/>
          <w:bCs/>
          <w:sz w:val="20"/>
          <w:szCs w:val="20"/>
          <w:lang w:val="en-US"/>
        </w:rPr>
        <w:t>AYA should be encouraged to see their GP regularly, who should be notified if a risky situation arises</w:t>
      </w:r>
      <w:r>
        <w:rPr>
          <w:rFonts w:ascii="Times New Roman" w:hAnsi="Times New Roman" w:cs="Times New Roman"/>
          <w:bCs/>
          <w:sz w:val="20"/>
          <w:szCs w:val="20"/>
          <w:lang w:val="en-US"/>
        </w:rPr>
        <w:t xml:space="preserve">. </w:t>
      </w:r>
      <w:r w:rsidRPr="009011B0">
        <w:rPr>
          <w:rFonts w:ascii="Times New Roman" w:hAnsi="Times New Roman" w:cs="Times New Roman"/>
          <w:bCs/>
          <w:sz w:val="20"/>
          <w:szCs w:val="20"/>
          <w:lang w:val="en-US"/>
        </w:rPr>
        <w:t>To enhance communication with GPs, meetings between hospital specialists and GPs can be organized</w:t>
      </w:r>
      <w:r>
        <w:rPr>
          <w:rFonts w:ascii="Times New Roman" w:hAnsi="Times New Roman" w:cs="Times New Roman"/>
          <w:bCs/>
          <w:sz w:val="20"/>
          <w:szCs w:val="20"/>
          <w:lang w:val="en-US"/>
        </w:rPr>
        <w:t xml:space="preserve">. </w:t>
      </w:r>
      <w:r w:rsidRPr="009011B0">
        <w:rPr>
          <w:rFonts w:ascii="Times New Roman" w:hAnsi="Times New Roman" w:cs="Times New Roman"/>
          <w:bCs/>
          <w:sz w:val="20"/>
          <w:szCs w:val="20"/>
          <w:lang w:val="en-US"/>
        </w:rPr>
        <w:t>Senior physicians' hotlines can provide easy access to hospital specialists</w:t>
      </w:r>
      <w:r>
        <w:rPr>
          <w:rFonts w:ascii="Times New Roman" w:hAnsi="Times New Roman" w:cs="Times New Roman"/>
          <w:bCs/>
          <w:sz w:val="20"/>
          <w:szCs w:val="20"/>
          <w:lang w:val="en-US"/>
        </w:rPr>
        <w:t>.</w:t>
      </w:r>
      <w:r w:rsidR="0001244A">
        <w:rPr>
          <w:rFonts w:ascii="Times New Roman" w:hAnsi="Times New Roman" w:cs="Times New Roman"/>
          <w:bCs/>
          <w:sz w:val="20"/>
          <w:szCs w:val="20"/>
          <w:lang w:val="en-US"/>
        </w:rPr>
        <w:t xml:space="preserve"> </w:t>
      </w:r>
      <w:r w:rsidR="0001244A" w:rsidRPr="0001244A">
        <w:rPr>
          <w:rFonts w:ascii="Times New Roman" w:hAnsi="Times New Roman" w:cs="Times New Roman"/>
          <w:bCs/>
          <w:sz w:val="20"/>
          <w:szCs w:val="20"/>
          <w:highlight w:val="yellow"/>
          <w:lang w:val="en-US"/>
        </w:rPr>
        <w:t>Likewise, a dedicated professional phone line for GPs, distinct from the patient line and without secretarial filtering, could facilitate reciprocal communication between GPs and hospital specialists.</w:t>
      </w:r>
      <w:r w:rsidR="0001244A">
        <w:rPr>
          <w:rFonts w:ascii="Times New Roman" w:hAnsi="Times New Roman" w:cs="Times New Roman"/>
          <w:bCs/>
          <w:sz w:val="20"/>
          <w:szCs w:val="20"/>
          <w:lang w:val="en-US"/>
        </w:rPr>
        <w:t xml:space="preserve"> </w:t>
      </w:r>
      <w:r w:rsidRPr="009011B0">
        <w:rPr>
          <w:rFonts w:ascii="Times New Roman" w:hAnsi="Times New Roman" w:cs="Times New Roman"/>
          <w:bCs/>
          <w:sz w:val="20"/>
          <w:szCs w:val="20"/>
          <w:lang w:val="en-US"/>
        </w:rPr>
        <w:t xml:space="preserve">Finally, the drafting of a specific discharge letter is essential: </w:t>
      </w:r>
      <w:r>
        <w:rPr>
          <w:rFonts w:ascii="Times New Roman" w:hAnsi="Times New Roman" w:cs="Times New Roman"/>
          <w:bCs/>
          <w:sz w:val="20"/>
          <w:szCs w:val="20"/>
          <w:lang w:val="en-US"/>
        </w:rPr>
        <w:t>i</w:t>
      </w:r>
      <w:r w:rsidRPr="009011B0">
        <w:rPr>
          <w:rFonts w:ascii="Times New Roman" w:hAnsi="Times New Roman" w:cs="Times New Roman"/>
          <w:bCs/>
          <w:sz w:val="20"/>
          <w:szCs w:val="20"/>
          <w:lang w:val="en-US"/>
        </w:rPr>
        <w:t>t must be concise and should propose a care protocol for GPs, including contact information for adult specialists (phone number and email).</w:t>
      </w:r>
    </w:p>
    <w:p w14:paraId="35F5CD5D" w14:textId="4D4D1DEA" w:rsidR="0013267C" w:rsidRPr="0013267C" w:rsidRDefault="00D317F0" w:rsidP="0013267C">
      <w:pPr>
        <w:rPr>
          <w:rFonts w:ascii="Times New Roman" w:hAnsi="Times New Roman" w:cs="Times New Roman"/>
          <w:bCs/>
          <w:sz w:val="20"/>
          <w:szCs w:val="20"/>
          <w:lang w:val="en-US"/>
        </w:rPr>
      </w:pPr>
      <w:r w:rsidRPr="00AD3CC1">
        <w:rPr>
          <w:rFonts w:ascii="Times New Roman" w:hAnsi="Times New Roman" w:cs="Times New Roman"/>
          <w:bCs/>
          <w:sz w:val="20"/>
          <w:szCs w:val="20"/>
          <w:lang w:val="en-US"/>
        </w:rPr>
        <w:t>- To assist GPs in managing AYA, training seminars on adolescent medicine and transition could be organized to improve skills and enhance collaboration: this would raise</w:t>
      </w:r>
      <w:r w:rsidRPr="009011B0">
        <w:rPr>
          <w:rFonts w:ascii="Times New Roman" w:hAnsi="Times New Roman" w:cs="Times New Roman"/>
          <w:bCs/>
          <w:sz w:val="20"/>
          <w:szCs w:val="20"/>
          <w:lang w:val="en-US"/>
        </w:rPr>
        <w:t xml:space="preserve"> awareness within the medical community about transition and help create care networks for AYA, where the role of GPs would be clearly defined.</w:t>
      </w:r>
      <w:r>
        <w:rPr>
          <w:rFonts w:ascii="Times New Roman" w:hAnsi="Times New Roman" w:cs="Times New Roman"/>
          <w:bCs/>
          <w:sz w:val="20"/>
          <w:szCs w:val="20"/>
          <w:lang w:val="en-US"/>
        </w:rPr>
        <w:t xml:space="preserve"> </w:t>
      </w:r>
      <w:r w:rsidRPr="00473EA6">
        <w:rPr>
          <w:rFonts w:ascii="Times New Roman" w:hAnsi="Times New Roman" w:cs="Times New Roman"/>
          <w:bCs/>
          <w:sz w:val="20"/>
          <w:szCs w:val="20"/>
          <w:lang w:val="en-US"/>
        </w:rPr>
        <w:t xml:space="preserve">Some practical </w:t>
      </w:r>
      <w:r w:rsidRPr="00D33ACC">
        <w:rPr>
          <w:rFonts w:ascii="Times New Roman" w:hAnsi="Times New Roman" w:cs="Times New Roman"/>
          <w:bCs/>
          <w:sz w:val="20"/>
          <w:szCs w:val="20"/>
          <w:lang w:val="en-US"/>
        </w:rPr>
        <w:t xml:space="preserve">guidelines with a clear and concise roadmap </w:t>
      </w:r>
      <w:r w:rsidRPr="00473EA6">
        <w:rPr>
          <w:rFonts w:ascii="Times New Roman" w:hAnsi="Times New Roman" w:cs="Times New Roman"/>
          <w:bCs/>
          <w:sz w:val="20"/>
          <w:szCs w:val="20"/>
          <w:lang w:val="en-US"/>
        </w:rPr>
        <w:t>can be suggested to GPs, especially to discuss transition during medical appointments, to see AYA between</w:t>
      </w:r>
      <w:r>
        <w:rPr>
          <w:rFonts w:ascii="Times New Roman" w:hAnsi="Times New Roman" w:cs="Times New Roman"/>
          <w:bCs/>
          <w:sz w:val="20"/>
          <w:szCs w:val="20"/>
          <w:lang w:val="en-US"/>
        </w:rPr>
        <w:t xml:space="preserve"> </w:t>
      </w:r>
      <w:r w:rsidRPr="00473EA6">
        <w:rPr>
          <w:rFonts w:ascii="Times New Roman" w:hAnsi="Times New Roman" w:cs="Times New Roman"/>
          <w:bCs/>
          <w:sz w:val="20"/>
          <w:szCs w:val="20"/>
          <w:lang w:val="en-US"/>
        </w:rPr>
        <w:t xml:space="preserve">hospital appointments, and to schedule regular consultations dedicated to </w:t>
      </w:r>
      <w:r>
        <w:rPr>
          <w:rFonts w:ascii="Times New Roman" w:hAnsi="Times New Roman" w:cs="Times New Roman"/>
          <w:bCs/>
          <w:sz w:val="20"/>
          <w:szCs w:val="20"/>
          <w:lang w:val="en-US"/>
        </w:rPr>
        <w:t>CC</w:t>
      </w:r>
      <w:r w:rsidRPr="00473EA6">
        <w:rPr>
          <w:rFonts w:ascii="Times New Roman" w:hAnsi="Times New Roman" w:cs="Times New Roman"/>
          <w:bCs/>
          <w:sz w:val="20"/>
          <w:szCs w:val="20"/>
          <w:lang w:val="en-US"/>
        </w:rPr>
        <w:t xml:space="preserve"> and transition.</w:t>
      </w:r>
      <w:r>
        <w:rPr>
          <w:rFonts w:ascii="Times New Roman" w:hAnsi="Times New Roman" w:cs="Times New Roman"/>
          <w:bCs/>
          <w:sz w:val="20"/>
          <w:szCs w:val="20"/>
          <w:lang w:val="en-US"/>
        </w:rPr>
        <w:t xml:space="preserve"> </w:t>
      </w:r>
      <w:r w:rsidRPr="00473EA6">
        <w:rPr>
          <w:rFonts w:ascii="Times New Roman" w:hAnsi="Times New Roman" w:cs="Times New Roman"/>
          <w:bCs/>
          <w:sz w:val="20"/>
          <w:szCs w:val="20"/>
          <w:lang w:val="en-US"/>
        </w:rPr>
        <w:t>The privileged relationship that GPs have with AYA</w:t>
      </w:r>
      <w:r w:rsidR="005E3A89">
        <w:rPr>
          <w:rFonts w:ascii="Times New Roman" w:hAnsi="Times New Roman" w:cs="Times New Roman"/>
          <w:bCs/>
          <w:sz w:val="20"/>
          <w:szCs w:val="20"/>
          <w:lang w:val="en-US"/>
        </w:rPr>
        <w:t>s</w:t>
      </w:r>
      <w:r w:rsidRPr="00473EA6">
        <w:rPr>
          <w:rFonts w:ascii="Times New Roman" w:hAnsi="Times New Roman" w:cs="Times New Roman"/>
          <w:bCs/>
          <w:sz w:val="20"/>
          <w:szCs w:val="20"/>
          <w:lang w:val="en-US"/>
        </w:rPr>
        <w:t xml:space="preserve"> can help to resolve risky situations of breakdown in care by re-establishing trust with the medical system and redirecting AYA</w:t>
      </w:r>
      <w:r w:rsidR="005E3A89">
        <w:rPr>
          <w:rFonts w:ascii="Times New Roman" w:hAnsi="Times New Roman" w:cs="Times New Roman"/>
          <w:bCs/>
          <w:sz w:val="20"/>
          <w:szCs w:val="20"/>
          <w:lang w:val="en-US"/>
        </w:rPr>
        <w:t>s</w:t>
      </w:r>
      <w:r w:rsidRPr="00473EA6">
        <w:rPr>
          <w:rFonts w:ascii="Times New Roman" w:hAnsi="Times New Roman" w:cs="Times New Roman"/>
          <w:bCs/>
          <w:sz w:val="20"/>
          <w:szCs w:val="20"/>
          <w:lang w:val="en-US"/>
        </w:rPr>
        <w:t xml:space="preserve"> to adult specialists.</w:t>
      </w:r>
      <w:r w:rsidR="0013267C">
        <w:rPr>
          <w:rFonts w:ascii="Times New Roman" w:hAnsi="Times New Roman" w:cs="Times New Roman"/>
          <w:bCs/>
          <w:sz w:val="20"/>
          <w:szCs w:val="20"/>
          <w:lang w:val="en-US"/>
        </w:rPr>
        <w:t xml:space="preserve"> </w:t>
      </w:r>
      <w:r w:rsidR="0013267C" w:rsidRPr="0013267C">
        <w:rPr>
          <w:rFonts w:ascii="Times New Roman" w:hAnsi="Times New Roman" w:cs="Times New Roman"/>
          <w:bCs/>
          <w:sz w:val="20"/>
          <w:szCs w:val="20"/>
          <w:highlight w:val="yellow"/>
          <w:lang w:val="en-US"/>
        </w:rPr>
        <w:t xml:space="preserve">This relationship, which persists even after the transfer to adult care, provides stability for </w:t>
      </w:r>
      <w:r w:rsidR="005E3A89">
        <w:rPr>
          <w:rFonts w:ascii="Times New Roman" w:hAnsi="Times New Roman" w:cs="Times New Roman"/>
          <w:bCs/>
          <w:sz w:val="20"/>
          <w:szCs w:val="20"/>
          <w:highlight w:val="yellow"/>
          <w:lang w:val="en-US"/>
        </w:rPr>
        <w:t xml:space="preserve">AYAs </w:t>
      </w:r>
      <w:r w:rsidR="0013267C" w:rsidRPr="0013267C">
        <w:rPr>
          <w:rFonts w:ascii="Times New Roman" w:hAnsi="Times New Roman" w:cs="Times New Roman"/>
          <w:bCs/>
          <w:sz w:val="20"/>
          <w:szCs w:val="20"/>
          <w:highlight w:val="yellow"/>
          <w:lang w:val="en-US"/>
        </w:rPr>
        <w:t>and helps guide them through the transition process.</w:t>
      </w:r>
    </w:p>
    <w:p w14:paraId="6B5608E6" w14:textId="77777777" w:rsidR="00D317F0" w:rsidRDefault="00D317F0" w:rsidP="00D317F0">
      <w:pPr>
        <w:spacing w:before="200" w:after="120"/>
        <w:jc w:val="both"/>
        <w:rPr>
          <w:rFonts w:ascii="Times New Roman" w:hAnsi="Times New Roman" w:cs="Times New Roman"/>
          <w:bCs/>
          <w:sz w:val="20"/>
          <w:szCs w:val="20"/>
          <w:lang w:val="en-US"/>
        </w:rPr>
      </w:pPr>
      <w:r w:rsidRPr="00B9091B">
        <w:rPr>
          <w:rFonts w:ascii="Times New Roman" w:hAnsi="Times New Roman" w:cs="Times New Roman"/>
          <w:bCs/>
          <w:sz w:val="20"/>
          <w:szCs w:val="20"/>
          <w:lang w:val="en-US"/>
        </w:rPr>
        <w:lastRenderedPageBreak/>
        <w:t>This study is one of the first to explore the role of GP</w:t>
      </w:r>
      <w:r>
        <w:rPr>
          <w:rFonts w:ascii="Times New Roman" w:hAnsi="Times New Roman" w:cs="Times New Roman"/>
          <w:bCs/>
          <w:sz w:val="20"/>
          <w:szCs w:val="20"/>
          <w:lang w:val="en-US"/>
        </w:rPr>
        <w:t>s</w:t>
      </w:r>
      <w:r w:rsidRPr="00B9091B">
        <w:rPr>
          <w:rFonts w:ascii="Times New Roman" w:hAnsi="Times New Roman" w:cs="Times New Roman"/>
          <w:bCs/>
          <w:sz w:val="20"/>
          <w:szCs w:val="20"/>
          <w:lang w:val="en-US"/>
        </w:rPr>
        <w:t xml:space="preserve"> during transition</w:t>
      </w:r>
      <w:r>
        <w:rPr>
          <w:rFonts w:ascii="Times New Roman" w:hAnsi="Times New Roman" w:cs="Times New Roman"/>
          <w:bCs/>
          <w:sz w:val="20"/>
          <w:szCs w:val="20"/>
          <w:lang w:val="en-US"/>
        </w:rPr>
        <w:t xml:space="preserve">. </w:t>
      </w:r>
      <w:r w:rsidRPr="00B9091B">
        <w:rPr>
          <w:rFonts w:ascii="Times New Roman" w:hAnsi="Times New Roman" w:cs="Times New Roman"/>
          <w:bCs/>
          <w:sz w:val="20"/>
          <w:szCs w:val="20"/>
          <w:lang w:val="en-US"/>
        </w:rPr>
        <w:t>We obtained more accurate responses due to a mixed-method research design</w:t>
      </w:r>
      <w:r>
        <w:rPr>
          <w:rFonts w:ascii="Times New Roman" w:hAnsi="Times New Roman" w:cs="Times New Roman"/>
          <w:bCs/>
          <w:sz w:val="20"/>
          <w:szCs w:val="20"/>
          <w:lang w:val="en-US"/>
        </w:rPr>
        <w:t xml:space="preserve">. </w:t>
      </w:r>
      <w:r w:rsidRPr="00B9091B">
        <w:rPr>
          <w:rFonts w:ascii="Times New Roman" w:hAnsi="Times New Roman" w:cs="Times New Roman"/>
          <w:bCs/>
          <w:sz w:val="20"/>
          <w:szCs w:val="20"/>
          <w:lang w:val="en-US"/>
        </w:rPr>
        <w:t>The inclusion of a large number of subjects and the high response rate of physicians contributed to a robust statistical power.</w:t>
      </w:r>
      <w:r>
        <w:rPr>
          <w:rFonts w:ascii="Times New Roman" w:hAnsi="Times New Roman" w:cs="Times New Roman"/>
          <w:bCs/>
          <w:sz w:val="20"/>
          <w:szCs w:val="20"/>
          <w:lang w:val="en-US"/>
        </w:rPr>
        <w:t xml:space="preserve"> </w:t>
      </w:r>
      <w:r w:rsidRPr="00B9091B">
        <w:rPr>
          <w:rFonts w:ascii="Times New Roman" w:hAnsi="Times New Roman" w:cs="Times New Roman"/>
          <w:bCs/>
          <w:sz w:val="20"/>
          <w:szCs w:val="20"/>
          <w:lang w:val="en-US"/>
        </w:rPr>
        <w:t>In addition, semi-structured interviews facilitated spontaneity and free expression.</w:t>
      </w:r>
      <w:r>
        <w:rPr>
          <w:rFonts w:ascii="Times New Roman" w:hAnsi="Times New Roman" w:cs="Times New Roman"/>
          <w:bCs/>
          <w:sz w:val="20"/>
          <w:szCs w:val="20"/>
          <w:lang w:val="en-US"/>
        </w:rPr>
        <w:t xml:space="preserve"> </w:t>
      </w:r>
      <w:r w:rsidRPr="007B64A2">
        <w:rPr>
          <w:rFonts w:ascii="Times New Roman" w:hAnsi="Times New Roman" w:cs="Times New Roman"/>
          <w:bCs/>
          <w:sz w:val="20"/>
          <w:szCs w:val="20"/>
          <w:lang w:val="en-US"/>
        </w:rPr>
        <w:t>Doctors' speeches were also liberated by the fact that the investigator of this study was also a GP.</w:t>
      </w:r>
      <w:r>
        <w:rPr>
          <w:rFonts w:ascii="Times New Roman" w:hAnsi="Times New Roman" w:cs="Times New Roman"/>
          <w:bCs/>
          <w:sz w:val="20"/>
          <w:szCs w:val="20"/>
          <w:lang w:val="en-US"/>
        </w:rPr>
        <w:t xml:space="preserve"> </w:t>
      </w:r>
      <w:r w:rsidRPr="007B64A2">
        <w:rPr>
          <w:rFonts w:ascii="Times New Roman" w:hAnsi="Times New Roman" w:cs="Times New Roman"/>
          <w:bCs/>
          <w:sz w:val="20"/>
          <w:szCs w:val="20"/>
          <w:lang w:val="en-US"/>
        </w:rPr>
        <w:t>The results of this study can be applied not only to the healthcare system of a large city in France but also to other regions where access to healthcare may be more challenging, rendering certain guidelines even more relevant.</w:t>
      </w:r>
      <w:r>
        <w:rPr>
          <w:rFonts w:ascii="Times New Roman" w:hAnsi="Times New Roman" w:cs="Times New Roman"/>
          <w:bCs/>
          <w:sz w:val="20"/>
          <w:szCs w:val="20"/>
          <w:lang w:val="en-US"/>
        </w:rPr>
        <w:t xml:space="preserve"> </w:t>
      </w:r>
      <w:r w:rsidRPr="007B64A2">
        <w:rPr>
          <w:rFonts w:ascii="Times New Roman" w:hAnsi="Times New Roman" w:cs="Times New Roman"/>
          <w:bCs/>
          <w:sz w:val="20"/>
          <w:szCs w:val="20"/>
          <w:lang w:val="en-US"/>
        </w:rPr>
        <w:t xml:space="preserve">The included </w:t>
      </w:r>
      <w:r>
        <w:rPr>
          <w:rFonts w:ascii="Times New Roman" w:hAnsi="Times New Roman" w:cs="Times New Roman"/>
          <w:bCs/>
          <w:sz w:val="20"/>
          <w:szCs w:val="20"/>
          <w:lang w:val="en-US"/>
        </w:rPr>
        <w:t>CC</w:t>
      </w:r>
      <w:r w:rsidRPr="007B64A2">
        <w:rPr>
          <w:rFonts w:ascii="Times New Roman" w:hAnsi="Times New Roman" w:cs="Times New Roman"/>
          <w:bCs/>
          <w:sz w:val="20"/>
          <w:szCs w:val="20"/>
          <w:lang w:val="en-US"/>
        </w:rPr>
        <w:t xml:space="preserve">s are interesting transition models due to their frequencies and health consequences for AYA in case of </w:t>
      </w:r>
      <w:r>
        <w:rPr>
          <w:rFonts w:ascii="Times New Roman" w:hAnsi="Times New Roman" w:cs="Times New Roman"/>
          <w:bCs/>
          <w:sz w:val="20"/>
          <w:szCs w:val="20"/>
          <w:lang w:val="en-US"/>
        </w:rPr>
        <w:t>breakdowns in care</w:t>
      </w:r>
      <w:r w:rsidRPr="007B64A2">
        <w:rPr>
          <w:rFonts w:ascii="Times New Roman" w:hAnsi="Times New Roman" w:cs="Times New Roman"/>
          <w:bCs/>
          <w:sz w:val="20"/>
          <w:szCs w:val="20"/>
          <w:lang w:val="en-US"/>
        </w:rPr>
        <w:t>, as well as the improvement of AYA's survival into adulthood.</w:t>
      </w:r>
    </w:p>
    <w:p w14:paraId="5EA04E39" w14:textId="77777777" w:rsidR="00D317F0" w:rsidRDefault="00D317F0" w:rsidP="00D317F0">
      <w:pPr>
        <w:spacing w:before="200" w:after="120"/>
        <w:jc w:val="both"/>
        <w:rPr>
          <w:rFonts w:ascii="Times New Roman" w:hAnsi="Times New Roman" w:cs="Times New Roman"/>
          <w:bCs/>
          <w:sz w:val="20"/>
          <w:szCs w:val="20"/>
          <w:lang w:val="en-US"/>
        </w:rPr>
      </w:pPr>
      <w:r w:rsidRPr="00D95A3B">
        <w:rPr>
          <w:rFonts w:ascii="Times New Roman" w:hAnsi="Times New Roman" w:cs="Times New Roman"/>
          <w:bCs/>
          <w:sz w:val="20"/>
          <w:szCs w:val="20"/>
          <w:lang w:val="en-US"/>
        </w:rPr>
        <w:t>However, there are some limitations to our study. This is a single-center study conducted in a Parisian university hospital; therefore, follow-up and transition modalities may vary in non-teaching provincial hospitals.</w:t>
      </w:r>
      <w:r>
        <w:rPr>
          <w:rFonts w:ascii="Times New Roman" w:hAnsi="Times New Roman" w:cs="Times New Roman"/>
          <w:bCs/>
          <w:sz w:val="20"/>
          <w:szCs w:val="20"/>
          <w:lang w:val="en-US"/>
        </w:rPr>
        <w:t xml:space="preserve"> </w:t>
      </w:r>
      <w:r w:rsidRPr="00D95A3B">
        <w:rPr>
          <w:rFonts w:ascii="Times New Roman" w:hAnsi="Times New Roman" w:cs="Times New Roman"/>
          <w:bCs/>
          <w:sz w:val="20"/>
          <w:szCs w:val="20"/>
          <w:lang w:val="en-US"/>
        </w:rPr>
        <w:t>Several interesting variables could not be studied due to a high rate of missing data in the medical records and during interviews with GP</w:t>
      </w:r>
      <w:r>
        <w:rPr>
          <w:rFonts w:ascii="Times New Roman" w:hAnsi="Times New Roman" w:cs="Times New Roman"/>
          <w:bCs/>
          <w:sz w:val="20"/>
          <w:szCs w:val="20"/>
          <w:lang w:val="en-US"/>
        </w:rPr>
        <w:t>s: t</w:t>
      </w:r>
      <w:r w:rsidRPr="00D95A3B">
        <w:rPr>
          <w:rFonts w:ascii="Times New Roman" w:hAnsi="Times New Roman" w:cs="Times New Roman"/>
          <w:bCs/>
          <w:sz w:val="20"/>
          <w:szCs w:val="20"/>
          <w:lang w:val="en-US"/>
        </w:rPr>
        <w:t>hese incomplete responses are associated with a lack of time for GPs, and moreover, a memory bias may have influenced the responses of some physicians.</w:t>
      </w:r>
      <w:r>
        <w:rPr>
          <w:rFonts w:ascii="Times New Roman" w:hAnsi="Times New Roman" w:cs="Times New Roman"/>
          <w:bCs/>
          <w:sz w:val="20"/>
          <w:szCs w:val="20"/>
          <w:lang w:val="en-US"/>
        </w:rPr>
        <w:t xml:space="preserve"> </w:t>
      </w:r>
      <w:r w:rsidRPr="00D95A3B">
        <w:rPr>
          <w:rFonts w:ascii="Times New Roman" w:hAnsi="Times New Roman" w:cs="Times New Roman"/>
          <w:bCs/>
          <w:sz w:val="20"/>
          <w:szCs w:val="20"/>
          <w:lang w:val="en-US"/>
        </w:rPr>
        <w:t>Some important topics were not addressed in this study, such as training GPs in adolescent medicine.</w:t>
      </w:r>
      <w:r>
        <w:rPr>
          <w:rFonts w:ascii="Times New Roman" w:hAnsi="Times New Roman" w:cs="Times New Roman"/>
          <w:bCs/>
          <w:sz w:val="20"/>
          <w:szCs w:val="20"/>
          <w:lang w:val="en-US"/>
        </w:rPr>
        <w:t xml:space="preserve"> </w:t>
      </w:r>
      <w:r w:rsidRPr="00D95A3B">
        <w:rPr>
          <w:rFonts w:ascii="Times New Roman" w:hAnsi="Times New Roman" w:cs="Times New Roman"/>
          <w:bCs/>
          <w:sz w:val="20"/>
          <w:szCs w:val="20"/>
          <w:lang w:val="en-US"/>
        </w:rPr>
        <w:t>Finally, the roles of non-hospital pediatricians were not studied here because few AYA (less than 10%) were followed by them</w:t>
      </w:r>
      <w:r>
        <w:rPr>
          <w:rFonts w:ascii="Times New Roman" w:hAnsi="Times New Roman" w:cs="Times New Roman"/>
          <w:bCs/>
          <w:sz w:val="20"/>
          <w:szCs w:val="20"/>
          <w:lang w:val="en-US"/>
        </w:rPr>
        <w:t>: i</w:t>
      </w:r>
      <w:r w:rsidRPr="00D95A3B">
        <w:rPr>
          <w:rFonts w:ascii="Times New Roman" w:hAnsi="Times New Roman" w:cs="Times New Roman"/>
          <w:bCs/>
          <w:sz w:val="20"/>
          <w:szCs w:val="20"/>
          <w:lang w:val="en-US"/>
        </w:rPr>
        <w:t>t raises questions about whether they assisted in AYA's transition to an adult hospital unit and whether they facilitated handover to GPs.</w:t>
      </w:r>
    </w:p>
    <w:p w14:paraId="46E5C57C" w14:textId="36FDCBB4" w:rsidR="00D317F0" w:rsidRDefault="00D317F0" w:rsidP="00D317F0">
      <w:pPr>
        <w:spacing w:before="200" w:after="120"/>
        <w:jc w:val="both"/>
        <w:rPr>
          <w:rFonts w:ascii="Times New Roman" w:hAnsi="Times New Roman" w:cs="Times New Roman"/>
          <w:bCs/>
          <w:sz w:val="20"/>
          <w:szCs w:val="20"/>
          <w:lang w:val="en-US"/>
        </w:rPr>
      </w:pPr>
      <w:r w:rsidRPr="00D95A3B">
        <w:rPr>
          <w:rFonts w:ascii="Times New Roman" w:hAnsi="Times New Roman" w:cs="Times New Roman"/>
          <w:bCs/>
          <w:sz w:val="20"/>
          <w:szCs w:val="20"/>
          <w:lang w:val="en-US"/>
        </w:rPr>
        <w:t>In conclusion, half of</w:t>
      </w:r>
      <w:r w:rsidR="00CC3E97">
        <w:rPr>
          <w:rFonts w:ascii="Times New Roman" w:hAnsi="Times New Roman" w:cs="Times New Roman"/>
          <w:bCs/>
          <w:sz w:val="20"/>
          <w:szCs w:val="20"/>
          <w:lang w:val="en-US"/>
        </w:rPr>
        <w:t xml:space="preserve"> </w:t>
      </w:r>
      <w:r w:rsidRPr="00D95A3B">
        <w:rPr>
          <w:rFonts w:ascii="Times New Roman" w:hAnsi="Times New Roman" w:cs="Times New Roman"/>
          <w:bCs/>
          <w:sz w:val="20"/>
          <w:szCs w:val="20"/>
          <w:lang w:val="en-US"/>
        </w:rPr>
        <w:t>AYA</w:t>
      </w:r>
      <w:r w:rsidR="007A5C21">
        <w:rPr>
          <w:rFonts w:ascii="Times New Roman" w:hAnsi="Times New Roman" w:cs="Times New Roman"/>
          <w:bCs/>
          <w:sz w:val="20"/>
          <w:szCs w:val="20"/>
          <w:lang w:val="en-US"/>
        </w:rPr>
        <w:t>s</w:t>
      </w:r>
      <w:r w:rsidRPr="00D95A3B">
        <w:rPr>
          <w:rFonts w:ascii="Times New Roman" w:hAnsi="Times New Roman" w:cs="Times New Roman"/>
          <w:bCs/>
          <w:sz w:val="20"/>
          <w:szCs w:val="20"/>
          <w:lang w:val="en-US"/>
        </w:rPr>
        <w:t xml:space="preserve"> were followed by a GP during transition, and less than a quarter of GPs were involved </w:t>
      </w:r>
      <w:r w:rsidR="00CC3E97" w:rsidRPr="00CC3E97">
        <w:rPr>
          <w:rFonts w:ascii="Times New Roman" w:hAnsi="Times New Roman" w:cs="Times New Roman"/>
          <w:bCs/>
          <w:sz w:val="20"/>
          <w:szCs w:val="20"/>
          <w:lang w:val="en-US"/>
        </w:rPr>
        <w:t>in the AYA's CC management</w:t>
      </w:r>
      <w:r w:rsidRPr="00D95A3B">
        <w:rPr>
          <w:rFonts w:ascii="Times New Roman" w:hAnsi="Times New Roman" w:cs="Times New Roman"/>
          <w:bCs/>
          <w:sz w:val="20"/>
          <w:szCs w:val="20"/>
          <w:lang w:val="en-US"/>
        </w:rPr>
        <w:t>.</w:t>
      </w:r>
      <w:r>
        <w:rPr>
          <w:rFonts w:ascii="Times New Roman" w:hAnsi="Times New Roman" w:cs="Times New Roman"/>
          <w:bCs/>
          <w:sz w:val="20"/>
          <w:szCs w:val="20"/>
          <w:lang w:val="en-US"/>
        </w:rPr>
        <w:t xml:space="preserve"> </w:t>
      </w:r>
      <w:r w:rsidRPr="00D95A3B">
        <w:rPr>
          <w:rFonts w:ascii="Times New Roman" w:hAnsi="Times New Roman" w:cs="Times New Roman"/>
          <w:bCs/>
          <w:sz w:val="20"/>
          <w:szCs w:val="20"/>
          <w:lang w:val="en-US"/>
        </w:rPr>
        <w:t>However, GPs believe</w:t>
      </w:r>
      <w:r>
        <w:rPr>
          <w:rFonts w:ascii="Times New Roman" w:hAnsi="Times New Roman" w:cs="Times New Roman"/>
          <w:bCs/>
          <w:sz w:val="20"/>
          <w:szCs w:val="20"/>
          <w:lang w:val="en-US"/>
        </w:rPr>
        <w:t>d</w:t>
      </w:r>
      <w:r w:rsidRPr="00D95A3B">
        <w:rPr>
          <w:rFonts w:ascii="Times New Roman" w:hAnsi="Times New Roman" w:cs="Times New Roman"/>
          <w:bCs/>
          <w:sz w:val="20"/>
          <w:szCs w:val="20"/>
          <w:lang w:val="en-US"/>
        </w:rPr>
        <w:t xml:space="preserve"> they have a key role during transition and appear</w:t>
      </w:r>
      <w:r>
        <w:rPr>
          <w:rFonts w:ascii="Times New Roman" w:hAnsi="Times New Roman" w:cs="Times New Roman"/>
          <w:bCs/>
          <w:sz w:val="20"/>
          <w:szCs w:val="20"/>
          <w:lang w:val="en-US"/>
        </w:rPr>
        <w:t>ed</w:t>
      </w:r>
      <w:r w:rsidRPr="00D95A3B">
        <w:rPr>
          <w:rFonts w:ascii="Times New Roman" w:hAnsi="Times New Roman" w:cs="Times New Roman"/>
          <w:bCs/>
          <w:sz w:val="20"/>
          <w:szCs w:val="20"/>
          <w:lang w:val="en-US"/>
        </w:rPr>
        <w:t xml:space="preserve"> to be more involved</w:t>
      </w:r>
      <w:r>
        <w:rPr>
          <w:rFonts w:ascii="Times New Roman" w:hAnsi="Times New Roman" w:cs="Times New Roman"/>
          <w:bCs/>
          <w:sz w:val="20"/>
          <w:szCs w:val="20"/>
          <w:lang w:val="en-US"/>
        </w:rPr>
        <w:t xml:space="preserve"> </w:t>
      </w:r>
      <w:r w:rsidRPr="00CC3E97">
        <w:rPr>
          <w:rFonts w:ascii="Times New Roman" w:hAnsi="Times New Roman" w:cs="Times New Roman"/>
          <w:bCs/>
          <w:sz w:val="20"/>
          <w:szCs w:val="20"/>
          <w:highlight w:val="yellow"/>
          <w:lang w:val="en-US"/>
        </w:rPr>
        <w:t>when th</w:t>
      </w:r>
      <w:r w:rsidR="00CC3E97" w:rsidRPr="00CC3E97">
        <w:rPr>
          <w:rFonts w:ascii="Times New Roman" w:hAnsi="Times New Roman" w:cs="Times New Roman"/>
          <w:bCs/>
          <w:sz w:val="20"/>
          <w:szCs w:val="20"/>
          <w:highlight w:val="yellow"/>
          <w:lang w:val="en-US"/>
        </w:rPr>
        <w:t>e</w:t>
      </w:r>
      <w:r w:rsidRPr="00CC3E97">
        <w:rPr>
          <w:rFonts w:ascii="Times New Roman" w:hAnsi="Times New Roman" w:cs="Times New Roman"/>
          <w:bCs/>
          <w:sz w:val="20"/>
          <w:szCs w:val="20"/>
          <w:highlight w:val="yellow"/>
          <w:lang w:val="en-US"/>
        </w:rPr>
        <w:t xml:space="preserve"> CC </w:t>
      </w:r>
      <w:r w:rsidR="00CC5C63" w:rsidRPr="00CC3E97">
        <w:rPr>
          <w:rFonts w:ascii="Times New Roman" w:hAnsi="Times New Roman" w:cs="Times New Roman"/>
          <w:bCs/>
          <w:sz w:val="20"/>
          <w:szCs w:val="20"/>
          <w:highlight w:val="yellow"/>
          <w:lang w:val="en-US"/>
        </w:rPr>
        <w:t>was</w:t>
      </w:r>
      <w:r w:rsidRPr="00CC3E97">
        <w:rPr>
          <w:rFonts w:ascii="Times New Roman" w:hAnsi="Times New Roman" w:cs="Times New Roman"/>
          <w:bCs/>
          <w:sz w:val="20"/>
          <w:szCs w:val="20"/>
          <w:highlight w:val="yellow"/>
          <w:lang w:val="en-US"/>
        </w:rPr>
        <w:t xml:space="preserve"> destabilized</w:t>
      </w:r>
      <w:r w:rsidRPr="00D95A3B">
        <w:rPr>
          <w:rFonts w:ascii="Times New Roman" w:hAnsi="Times New Roman" w:cs="Times New Roman"/>
          <w:bCs/>
          <w:sz w:val="20"/>
          <w:szCs w:val="20"/>
          <w:lang w:val="en-US"/>
        </w:rPr>
        <w:t>.</w:t>
      </w:r>
      <w:r>
        <w:rPr>
          <w:rFonts w:ascii="Times New Roman" w:hAnsi="Times New Roman" w:cs="Times New Roman"/>
          <w:bCs/>
          <w:sz w:val="20"/>
          <w:szCs w:val="20"/>
          <w:lang w:val="en-US"/>
        </w:rPr>
        <w:t xml:space="preserve"> </w:t>
      </w:r>
      <w:r w:rsidRPr="00D95A3B">
        <w:rPr>
          <w:rFonts w:ascii="Times New Roman" w:hAnsi="Times New Roman" w:cs="Times New Roman"/>
          <w:bCs/>
          <w:sz w:val="20"/>
          <w:szCs w:val="20"/>
          <w:lang w:val="en-US"/>
        </w:rPr>
        <w:t xml:space="preserve">It is therefore important to enhance communication between hospital specialists and GPs </w:t>
      </w:r>
      <w:r w:rsidRPr="00CC3E97">
        <w:rPr>
          <w:rFonts w:ascii="Times New Roman" w:hAnsi="Times New Roman" w:cs="Times New Roman"/>
          <w:bCs/>
          <w:sz w:val="20"/>
          <w:szCs w:val="20"/>
          <w:highlight w:val="yellow"/>
          <w:lang w:val="en-US"/>
        </w:rPr>
        <w:t xml:space="preserve">to </w:t>
      </w:r>
      <w:r w:rsidR="00CC3E97" w:rsidRPr="00CC3E97">
        <w:rPr>
          <w:rFonts w:ascii="Times New Roman" w:hAnsi="Times New Roman" w:cs="Times New Roman"/>
          <w:bCs/>
          <w:sz w:val="20"/>
          <w:szCs w:val="20"/>
          <w:highlight w:val="yellow"/>
          <w:lang w:val="en-US"/>
        </w:rPr>
        <w:t>foster their involvement</w:t>
      </w:r>
      <w:r w:rsidRPr="00D95A3B">
        <w:rPr>
          <w:rFonts w:ascii="Times New Roman" w:hAnsi="Times New Roman" w:cs="Times New Roman"/>
          <w:bCs/>
          <w:sz w:val="20"/>
          <w:szCs w:val="20"/>
          <w:lang w:val="en-US"/>
        </w:rPr>
        <w:t xml:space="preserve"> in the transition process.</w:t>
      </w:r>
      <w:r>
        <w:rPr>
          <w:rFonts w:ascii="Times New Roman" w:hAnsi="Times New Roman" w:cs="Times New Roman"/>
          <w:bCs/>
          <w:sz w:val="20"/>
          <w:szCs w:val="20"/>
          <w:lang w:val="en-US"/>
        </w:rPr>
        <w:t xml:space="preserve"> </w:t>
      </w:r>
      <w:r w:rsidRPr="004E73FD">
        <w:rPr>
          <w:rFonts w:ascii="Times New Roman" w:hAnsi="Times New Roman" w:cs="Times New Roman"/>
          <w:bCs/>
          <w:sz w:val="20"/>
          <w:szCs w:val="20"/>
          <w:lang w:val="en-US"/>
        </w:rPr>
        <w:t>Continuing this work to explore the perspectives of hospital specialists, AYA</w:t>
      </w:r>
      <w:r w:rsidR="007A5C21">
        <w:rPr>
          <w:rFonts w:ascii="Times New Roman" w:hAnsi="Times New Roman" w:cs="Times New Roman"/>
          <w:bCs/>
          <w:sz w:val="20"/>
          <w:szCs w:val="20"/>
          <w:lang w:val="en-US"/>
        </w:rPr>
        <w:t>s</w:t>
      </w:r>
      <w:r w:rsidRPr="004E73FD">
        <w:rPr>
          <w:rFonts w:ascii="Times New Roman" w:hAnsi="Times New Roman" w:cs="Times New Roman"/>
          <w:bCs/>
          <w:sz w:val="20"/>
          <w:szCs w:val="20"/>
          <w:lang w:val="en-US"/>
        </w:rPr>
        <w:t>, and their parents would be valuable in further elucidating the roles of various stakeholders in AYAs</w:t>
      </w:r>
      <w:r w:rsidR="007A5C21">
        <w:rPr>
          <w:rFonts w:ascii="Times New Roman" w:hAnsi="Times New Roman" w:cs="Times New Roman"/>
          <w:bCs/>
          <w:sz w:val="20"/>
          <w:szCs w:val="20"/>
          <w:lang w:val="en-US"/>
        </w:rPr>
        <w:t>’</w:t>
      </w:r>
      <w:r w:rsidRPr="004E73FD">
        <w:rPr>
          <w:rFonts w:ascii="Times New Roman" w:hAnsi="Times New Roman" w:cs="Times New Roman"/>
          <w:bCs/>
          <w:sz w:val="20"/>
          <w:szCs w:val="20"/>
          <w:lang w:val="en-US"/>
        </w:rPr>
        <w:t xml:space="preserve"> health.</w:t>
      </w:r>
    </w:p>
    <w:p w14:paraId="77D60BA6" w14:textId="77777777" w:rsidR="00D317F0" w:rsidRPr="00A30CFC" w:rsidRDefault="00D317F0" w:rsidP="0020403E">
      <w:pPr>
        <w:spacing w:before="240" w:after="120"/>
        <w:jc w:val="both"/>
        <w:rPr>
          <w:rFonts w:ascii="Times New Roman" w:hAnsi="Times New Roman" w:cs="Times New Roman"/>
          <w:bCs/>
          <w:sz w:val="20"/>
          <w:szCs w:val="20"/>
          <w:lang w:val="en-US"/>
        </w:rPr>
      </w:pPr>
      <w:r w:rsidRPr="009F5EAF">
        <w:rPr>
          <w:rFonts w:ascii="Times New Roman" w:hAnsi="Times New Roman" w:cs="Times New Roman"/>
          <w:b/>
          <w:sz w:val="20"/>
          <w:szCs w:val="20"/>
          <w:lang w:val="en-US"/>
        </w:rPr>
        <w:t>BIBLIOGRAPHY</w:t>
      </w:r>
    </w:p>
    <w:p w14:paraId="57E0BCF7" w14:textId="77777777" w:rsidR="00A559C0" w:rsidRPr="00A559C0" w:rsidRDefault="00D317F0" w:rsidP="00A559C0">
      <w:pPr>
        <w:pStyle w:val="Bibliographie"/>
        <w:rPr>
          <w:rFonts w:ascii="Times New Roman" w:hAnsi="Times New Roman" w:cs="Times New Roman"/>
          <w:sz w:val="20"/>
          <w:lang w:val="en-US"/>
        </w:rPr>
      </w:pPr>
      <w:r w:rsidRPr="009F5EAF">
        <w:rPr>
          <w:b/>
          <w:sz w:val="20"/>
          <w:szCs w:val="20"/>
          <w:lang w:val="en-US"/>
        </w:rPr>
        <w:fldChar w:fldCharType="begin"/>
      </w:r>
      <w:r w:rsidR="008123DF">
        <w:rPr>
          <w:b/>
          <w:sz w:val="20"/>
          <w:szCs w:val="20"/>
          <w:lang w:val="en-US"/>
        </w:rPr>
        <w:instrText xml:space="preserve"> ADDIN ZOTERO_BIBL {"uncited":[],"omitted":[],"custom":[]} CSL_BIBLIOGRAPHY </w:instrText>
      </w:r>
      <w:r w:rsidRPr="009F5EAF">
        <w:rPr>
          <w:b/>
          <w:sz w:val="20"/>
          <w:szCs w:val="20"/>
          <w:lang w:val="en-US"/>
        </w:rPr>
        <w:fldChar w:fldCharType="separate"/>
      </w:r>
      <w:r w:rsidR="00A559C0" w:rsidRPr="00A559C0">
        <w:rPr>
          <w:rFonts w:ascii="Times New Roman" w:hAnsi="Times New Roman" w:cs="Times New Roman"/>
          <w:sz w:val="20"/>
          <w:lang w:val="en-US"/>
        </w:rPr>
        <w:t xml:space="preserve">1. </w:t>
      </w:r>
      <w:r w:rsidR="00A559C0" w:rsidRPr="00A559C0">
        <w:rPr>
          <w:rFonts w:ascii="Times New Roman" w:hAnsi="Times New Roman" w:cs="Times New Roman"/>
          <w:sz w:val="20"/>
          <w:lang w:val="en-US"/>
        </w:rPr>
        <w:tab/>
        <w:t>Blum RW (1995) Transition to adult health care: setting the stage. J Adolesc Health 17:3–5. https://doi.org/10.1016/1054-139X(95)00073-2</w:t>
      </w:r>
    </w:p>
    <w:p w14:paraId="63BE3ACD"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 </w:t>
      </w:r>
      <w:r w:rsidRPr="00A559C0">
        <w:rPr>
          <w:rFonts w:ascii="Times New Roman" w:hAnsi="Times New Roman" w:cs="Times New Roman"/>
          <w:sz w:val="20"/>
          <w:lang w:val="en-US"/>
        </w:rPr>
        <w:tab/>
        <w:t>Hardelid P, Dattani N, Gilbert R (2014) Estimating the prevalence of chronic conditions in children who die in England, Scotland and Wales: a data linkage cohort study. BMJ Open 4:e005331. https://doi.org/10.1136/bmjopen-2014-005331</w:t>
      </w:r>
    </w:p>
    <w:p w14:paraId="13E2B9F8"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3. </w:t>
      </w:r>
      <w:r w:rsidRPr="00A559C0">
        <w:rPr>
          <w:rFonts w:ascii="Times New Roman" w:hAnsi="Times New Roman" w:cs="Times New Roman"/>
          <w:sz w:val="20"/>
          <w:lang w:val="en-US"/>
        </w:rPr>
        <w:tab/>
        <w:t>Perrin JM, Anderson LE, Van Cleave J (2014) The rise in chronic conditions among infants, children, and youth can be met with continued health system innovations. Health Aff (Millwood) 33:2099–2105. https://doi.org/10.1377/hlthaff.2014.0832</w:t>
      </w:r>
    </w:p>
    <w:p w14:paraId="7C051D5B"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4. </w:t>
      </w:r>
      <w:r w:rsidRPr="00A559C0">
        <w:rPr>
          <w:rFonts w:ascii="Times New Roman" w:hAnsi="Times New Roman" w:cs="Times New Roman"/>
          <w:sz w:val="20"/>
          <w:lang w:val="en-US"/>
        </w:rPr>
        <w:tab/>
        <w:t>Blum RW, Garell D, Hodgman CH, et al (1993) Transition from child-centered to adult health-care systems for adolescents with chronic conditions. A position paper of the Society for Adolescent Medicine. J Adolesc Health 14:570–576. https://doi.org/10.1016/1054-139x(93)90143-d</w:t>
      </w:r>
    </w:p>
    <w:p w14:paraId="6B442A16"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5. </w:t>
      </w:r>
      <w:r w:rsidRPr="00A559C0">
        <w:rPr>
          <w:rFonts w:ascii="Times New Roman" w:hAnsi="Times New Roman" w:cs="Times New Roman"/>
          <w:sz w:val="20"/>
          <w:lang w:val="en-US"/>
        </w:rPr>
        <w:tab/>
        <w:t>Surís J-C, Bélanger RE, Ambresin A-E, et al (2011) Extra burden of psychosomatic complaints among adolescents suffering from chronic conditions. J Dev Behav Pediatr 32:328–331. https://doi.org/10.1097/DBP.0b013e3181fa5727</w:t>
      </w:r>
    </w:p>
    <w:p w14:paraId="310F7BEA"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6. </w:t>
      </w:r>
      <w:r w:rsidRPr="00A559C0">
        <w:rPr>
          <w:rFonts w:ascii="Times New Roman" w:hAnsi="Times New Roman" w:cs="Times New Roman"/>
          <w:sz w:val="20"/>
          <w:lang w:val="en-US"/>
        </w:rPr>
        <w:tab/>
        <w:t>Suris J-C, Akre C (2015) Key elements for, and indicators of, a successful transition: an international Delphi study. J Adolesc Health 56:612–618. https://doi.org/10.1016/j.jadohealth.2015.02.007</w:t>
      </w:r>
    </w:p>
    <w:p w14:paraId="3A118578"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7. </w:t>
      </w:r>
      <w:r w:rsidRPr="00A559C0">
        <w:rPr>
          <w:rFonts w:ascii="Times New Roman" w:hAnsi="Times New Roman" w:cs="Times New Roman"/>
          <w:sz w:val="20"/>
          <w:lang w:val="en-US"/>
        </w:rPr>
        <w:tab/>
        <w:t>Le Roux E, Mellerio H, Jacquin P, et al (2019) Practical generic guidelines for paediatric-to-adult transition for adolescents with chronic disease. Eur J Public Health 29:442–448. https://doi.org/10.1093/eurpub/cky258</w:t>
      </w:r>
    </w:p>
    <w:p w14:paraId="4D3A0EAE"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8. </w:t>
      </w:r>
      <w:r w:rsidRPr="00A559C0">
        <w:rPr>
          <w:rFonts w:ascii="Times New Roman" w:hAnsi="Times New Roman" w:cs="Times New Roman"/>
          <w:sz w:val="20"/>
          <w:lang w:val="en-US"/>
        </w:rPr>
        <w:tab/>
        <w:t>Rachas A, Tuppin P, Meyer L, et al (2018) Excess mortality and hospitalizations in transitional-age youths with a long-term disease: A national population-based cohort study. PLoS One 13:e0193729. https://doi.org/10.1371/journal.pone.0193729</w:t>
      </w:r>
    </w:p>
    <w:p w14:paraId="47520AFE"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lastRenderedPageBreak/>
        <w:t xml:space="preserve">9. </w:t>
      </w:r>
      <w:r w:rsidRPr="00A559C0">
        <w:rPr>
          <w:rFonts w:ascii="Times New Roman" w:hAnsi="Times New Roman" w:cs="Times New Roman"/>
          <w:sz w:val="20"/>
          <w:lang w:val="en-US"/>
        </w:rPr>
        <w:tab/>
        <w:t>Jarvis S, Flemming K, Richardson G, Fraser L (2022) Adult healthcare is associated with more emergency healthcare for young people with life-limiting conditions. Pediatr Res 92:1458–1469. https://doi.org/10.1038/s41390-022-01975-3</w:t>
      </w:r>
    </w:p>
    <w:p w14:paraId="317C8DB0"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10. </w:t>
      </w:r>
      <w:r w:rsidRPr="00A559C0">
        <w:rPr>
          <w:rFonts w:ascii="Times New Roman" w:hAnsi="Times New Roman" w:cs="Times New Roman"/>
          <w:sz w:val="20"/>
          <w:lang w:val="en-US"/>
        </w:rPr>
        <w:tab/>
        <w:t>Samuel SM, Nettel-Aguirre A, Soo A, et al (2014) Avoidable hospitalizations in youth with kidney failure after transfer to or with only adult care. Pediatrics 133:e993-1000. https://doi.org/10.1542/peds.2013-2345</w:t>
      </w:r>
    </w:p>
    <w:p w14:paraId="1254637F"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11. </w:t>
      </w:r>
      <w:r w:rsidRPr="00A559C0">
        <w:rPr>
          <w:rFonts w:ascii="Times New Roman" w:hAnsi="Times New Roman" w:cs="Times New Roman"/>
          <w:sz w:val="20"/>
          <w:lang w:val="en-US"/>
        </w:rPr>
        <w:tab/>
        <w:t>Agwu AL, Lee L, Fleishman JA, et al (2015) Aging and loss to follow-up among youth living with human immunodeficiency virus in the HIV Research Network. J Adolesc Health 56:345–351. https://doi.org/10.1016/j.jadohealth.2014.11.009</w:t>
      </w:r>
    </w:p>
    <w:p w14:paraId="4A79A859"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12. </w:t>
      </w:r>
      <w:r w:rsidRPr="00A559C0">
        <w:rPr>
          <w:rFonts w:ascii="Times New Roman" w:hAnsi="Times New Roman" w:cs="Times New Roman"/>
          <w:sz w:val="20"/>
          <w:lang w:val="en-US"/>
        </w:rPr>
        <w:tab/>
        <w:t>Blum R, Hirsch D, Kastner TA, et al (2002) A consensus statement on health care transitions for young adults with special health care needs. Pediatrics 110:1304–1306</w:t>
      </w:r>
    </w:p>
    <w:p w14:paraId="383C346D"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13. </w:t>
      </w:r>
      <w:r w:rsidRPr="00A559C0">
        <w:rPr>
          <w:rFonts w:ascii="Times New Roman" w:hAnsi="Times New Roman" w:cs="Times New Roman"/>
          <w:sz w:val="20"/>
          <w:lang w:val="en-US"/>
        </w:rPr>
        <w:tab/>
        <w:t>Scal P (2002) Transition for youth with chronic conditions: primary care physicians’ approaches. Pediatrics 110:1315–1321</w:t>
      </w:r>
    </w:p>
    <w:p w14:paraId="78B4081F"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14. </w:t>
      </w:r>
      <w:r w:rsidRPr="00A559C0">
        <w:rPr>
          <w:rFonts w:ascii="Times New Roman" w:hAnsi="Times New Roman" w:cs="Times New Roman"/>
          <w:sz w:val="20"/>
          <w:lang w:val="en-US"/>
        </w:rPr>
        <w:tab/>
        <w:t>Toulany A, Gorter JW, Harrison M (2022) A call for action: Recommendations to improve transition to adult care for youth with complex health care needs. Paediatr Child Health 27:297–309. https://doi.org/10.1093/pch/pxac047</w:t>
      </w:r>
    </w:p>
    <w:p w14:paraId="2DA874E4"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15. </w:t>
      </w:r>
      <w:r w:rsidRPr="00A559C0">
        <w:rPr>
          <w:rFonts w:ascii="Times New Roman" w:hAnsi="Times New Roman" w:cs="Times New Roman"/>
          <w:sz w:val="20"/>
          <w:lang w:val="en-US"/>
        </w:rPr>
        <w:tab/>
        <w:t>White PH, Cooley WC (2018) Supporting the Health Care Transition From Adolescence to Adulthood in the Medical Home. Pediatrics 142(5):e20182587. https://doi.org/10.1542/peds.2018-2587</w:t>
      </w:r>
    </w:p>
    <w:p w14:paraId="32990A66"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16. </w:t>
      </w:r>
      <w:r w:rsidRPr="00A559C0">
        <w:rPr>
          <w:rFonts w:ascii="Times New Roman" w:hAnsi="Times New Roman" w:cs="Times New Roman"/>
          <w:sz w:val="20"/>
          <w:lang w:val="en-US"/>
        </w:rPr>
        <w:tab/>
        <w:t>Jarvis S, Parslow RC, Hewitt C, et al (2020) GPs’ role in caring for children and young people with life-limiting conditions: a retrospective cohort study. Br J Gen Pract 70:e221–e229. https://doi.org/10.3399/bjgp20X708233</w:t>
      </w:r>
    </w:p>
    <w:p w14:paraId="3430AE0B"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17. </w:t>
      </w:r>
      <w:r w:rsidRPr="00A559C0">
        <w:rPr>
          <w:rFonts w:ascii="Times New Roman" w:hAnsi="Times New Roman" w:cs="Times New Roman"/>
          <w:sz w:val="20"/>
          <w:lang w:val="en-US"/>
        </w:rPr>
        <w:tab/>
        <w:t>Han AX, Whitehouse SR, Tsai S, et al (2018) Perceptions of the family physician from adolescents and their caregivers preparing to transition to adult care. BMC Fam Pract 19:140. https://doi.org/10.1186/s12875-018-0830-6</w:t>
      </w:r>
    </w:p>
    <w:p w14:paraId="4A919E4F"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18. </w:t>
      </w:r>
      <w:r w:rsidRPr="00A559C0">
        <w:rPr>
          <w:rFonts w:ascii="Times New Roman" w:hAnsi="Times New Roman" w:cs="Times New Roman"/>
          <w:sz w:val="20"/>
          <w:lang w:val="en-US"/>
        </w:rPr>
        <w:tab/>
        <w:t>Colver A, Rapley T, Parr JR, et al (2020) Facilitating transition of young people with long-term health conditions from children’s to adults’ healthcare services - implications of a 5-year research  programme. Clin Med (Lond) 20:74–80. https://doi.org/10.7861/clinmed.2019-0077</w:t>
      </w:r>
    </w:p>
    <w:p w14:paraId="4F730D06"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19. </w:t>
      </w:r>
      <w:r w:rsidRPr="00A559C0">
        <w:rPr>
          <w:rFonts w:ascii="Times New Roman" w:hAnsi="Times New Roman" w:cs="Times New Roman"/>
          <w:sz w:val="20"/>
          <w:lang w:val="en-US"/>
        </w:rPr>
        <w:tab/>
        <w:t>(2009) Paediatric Chronic Disease Transition Framework. WA Child and Youth Health Network Department of Health, State of Western Australia</w:t>
      </w:r>
    </w:p>
    <w:p w14:paraId="0BC76E3C"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20. </w:t>
      </w:r>
      <w:r w:rsidRPr="00A559C0">
        <w:rPr>
          <w:rFonts w:ascii="Times New Roman" w:hAnsi="Times New Roman" w:cs="Times New Roman"/>
          <w:sz w:val="20"/>
          <w:lang w:val="en-US"/>
        </w:rPr>
        <w:tab/>
        <w:t>(2016) A Guideline for Transition From Paediatric to Adult Health Care for Youth with Special Health Care Needs: A National Approach. National Transitions Community Practice Canadian Association of Paediatric Health Centres</w:t>
      </w:r>
    </w:p>
    <w:p w14:paraId="7CDC991C"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21. </w:t>
      </w:r>
      <w:r w:rsidRPr="00A559C0">
        <w:rPr>
          <w:rFonts w:ascii="Times New Roman" w:hAnsi="Times New Roman" w:cs="Times New Roman"/>
          <w:sz w:val="20"/>
          <w:lang w:val="en-US"/>
        </w:rPr>
        <w:tab/>
        <w:t>(2017) Provincial Guidelines for Transitional Care of Paediatric Epilepsy Programs to Adult. Epilepsy Implementation Task Force Critical Care Services Ontario</w:t>
      </w:r>
    </w:p>
    <w:p w14:paraId="35EAB28C"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22. </w:t>
      </w:r>
      <w:r w:rsidRPr="00A559C0">
        <w:rPr>
          <w:rFonts w:ascii="Times New Roman" w:hAnsi="Times New Roman" w:cs="Times New Roman"/>
          <w:sz w:val="20"/>
          <w:lang w:val="en-US"/>
        </w:rPr>
        <w:tab/>
        <w:t>Singh SP, Anderson B, Liabo K, Ganeshamoorthy T (2016) Supporting young people in their transition to adults’ services: summary of NICE guidance. British Medical Journal</w:t>
      </w:r>
    </w:p>
    <w:p w14:paraId="07D06394"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23. </w:t>
      </w:r>
      <w:r w:rsidRPr="00A559C0">
        <w:rPr>
          <w:rFonts w:ascii="Times New Roman" w:hAnsi="Times New Roman" w:cs="Times New Roman"/>
          <w:sz w:val="20"/>
          <w:lang w:val="en-US"/>
        </w:rPr>
        <w:tab/>
        <w:t>(2021) Demographic trends and regional disparities in general practitioner density: Annual report 2021. Île-de-France Regional Health Agency (ARS)</w:t>
      </w:r>
    </w:p>
    <w:p w14:paraId="6088D983"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24. </w:t>
      </w:r>
      <w:r w:rsidRPr="00A559C0">
        <w:rPr>
          <w:rFonts w:ascii="Times New Roman" w:hAnsi="Times New Roman" w:cs="Times New Roman"/>
          <w:sz w:val="20"/>
          <w:lang w:val="en-US"/>
        </w:rPr>
        <w:tab/>
        <w:t>(2022) Medical zoning: map of areas eligible for GP installation and retention incentives. In: Île-de-France Regional Health Agency (ARS). https://www.iledefrance.ars.sante.fr/zonage-medecins-2022-carte-des-zones-concernees-par-les-aides-linstallation-et-au-maintien-des</w:t>
      </w:r>
    </w:p>
    <w:p w14:paraId="7D0D71FE"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25. </w:t>
      </w:r>
      <w:r w:rsidRPr="00A559C0">
        <w:rPr>
          <w:rFonts w:ascii="Times New Roman" w:hAnsi="Times New Roman" w:cs="Times New Roman"/>
          <w:sz w:val="20"/>
          <w:lang w:val="en-US"/>
        </w:rPr>
        <w:tab/>
        <w:t>Gusmano MK, Weisz D, Rodwin VG, et al (2014) Disparities in access to health care in three French regions. Health Policy 114:31–40. https://doi.org/10.1016/j.healthpol.2013.07.011</w:t>
      </w:r>
    </w:p>
    <w:p w14:paraId="07DB23B3"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lastRenderedPageBreak/>
        <w:t xml:space="preserve">26. </w:t>
      </w:r>
      <w:r w:rsidRPr="00A559C0">
        <w:rPr>
          <w:rFonts w:ascii="Times New Roman" w:hAnsi="Times New Roman" w:cs="Times New Roman"/>
          <w:sz w:val="20"/>
          <w:lang w:val="en-US"/>
        </w:rPr>
        <w:tab/>
        <w:t>Barlet M, Le Guen N In 2018, areas with low general practitioner supply affected nearly 6% of the French population. Directorate for Research, Studies, Evaluation and Statistics (DREES), French Ministry of Health Studies and Results:November 2020</w:t>
      </w:r>
    </w:p>
    <w:p w14:paraId="7CF53868"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27. </w:t>
      </w:r>
      <w:r w:rsidRPr="00A559C0">
        <w:rPr>
          <w:rFonts w:ascii="Times New Roman" w:hAnsi="Times New Roman" w:cs="Times New Roman"/>
          <w:sz w:val="20"/>
          <w:lang w:val="en-US"/>
        </w:rPr>
        <w:tab/>
        <w:t>Sánchez-Sagrado T (2016) [Primary care in France]. Semergen 42:58–62. https://doi.org/10.1016/j.semerg.2015.07.004</w:t>
      </w:r>
    </w:p>
    <w:p w14:paraId="6681D854"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28. </w:t>
      </w:r>
      <w:r w:rsidRPr="00A559C0">
        <w:rPr>
          <w:rFonts w:ascii="Times New Roman" w:hAnsi="Times New Roman" w:cs="Times New Roman"/>
          <w:sz w:val="20"/>
          <w:lang w:val="en-US"/>
        </w:rPr>
        <w:tab/>
        <w:t>Mitchell S, Harding S, Samani M, et al (2021) Experiences of general practice of children with complex and palliative care needs and their families: a qualitative study. BMJ Open 11:e041476. https://doi.org/10.1136/bmjopen-2020-041476</w:t>
      </w:r>
    </w:p>
    <w:p w14:paraId="1E54F3BF"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29. </w:t>
      </w:r>
      <w:r w:rsidRPr="00A559C0">
        <w:rPr>
          <w:rFonts w:ascii="Times New Roman" w:hAnsi="Times New Roman" w:cs="Times New Roman"/>
          <w:sz w:val="20"/>
          <w:lang w:val="en-US"/>
        </w:rPr>
        <w:tab/>
        <w:t>Schraeder KE, Dwyer-Matzky K, Blom T (2022) A qualitative analysis of multidisciplinary pediatric subspecialty providers’ perspectives on transitioning to adult-oriented care. Journal of Primary Care &amp; Community Health 1–9</w:t>
      </w:r>
    </w:p>
    <w:p w14:paraId="3C17A913" w14:textId="77777777" w:rsidR="00A559C0" w:rsidRPr="00A559C0"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30. </w:t>
      </w:r>
      <w:r w:rsidRPr="00A559C0">
        <w:rPr>
          <w:rFonts w:ascii="Times New Roman" w:hAnsi="Times New Roman" w:cs="Times New Roman"/>
          <w:sz w:val="20"/>
          <w:lang w:val="en-US"/>
        </w:rPr>
        <w:tab/>
        <w:t>Davin-Casalena B, Scronias D, Videau Y, Verger P (2024) How general practitioners in France are coping with increased healthcare demand and physician shortages. A panel data survey and hierarchical clustering. Health Policy 149:105175. https://doi.org/10.1016/j.healthpol.2024.105175</w:t>
      </w:r>
    </w:p>
    <w:p w14:paraId="72BE0AB3" w14:textId="77777777" w:rsidR="00A559C0" w:rsidRPr="00390746" w:rsidRDefault="00A559C0" w:rsidP="00A559C0">
      <w:pPr>
        <w:pStyle w:val="Bibliographie"/>
        <w:rPr>
          <w:rFonts w:ascii="Times New Roman" w:hAnsi="Times New Roman" w:cs="Times New Roman"/>
          <w:sz w:val="20"/>
          <w:lang w:val="en-US"/>
        </w:rPr>
      </w:pPr>
      <w:r w:rsidRPr="00A559C0">
        <w:rPr>
          <w:rFonts w:ascii="Times New Roman" w:hAnsi="Times New Roman" w:cs="Times New Roman"/>
          <w:sz w:val="20"/>
          <w:lang w:val="en-US"/>
        </w:rPr>
        <w:t xml:space="preserve">31. </w:t>
      </w:r>
      <w:r w:rsidRPr="00A559C0">
        <w:rPr>
          <w:rFonts w:ascii="Times New Roman" w:hAnsi="Times New Roman" w:cs="Times New Roman"/>
          <w:sz w:val="20"/>
          <w:lang w:val="en-US"/>
        </w:rPr>
        <w:tab/>
        <w:t xml:space="preserve">Fraser LK, Murtagh FE, Aldridge J, et al (2021) Health of mothers of children with a life-limiting condition: a comparative cohort study. </w:t>
      </w:r>
      <w:r w:rsidRPr="00390746">
        <w:rPr>
          <w:rFonts w:ascii="Times New Roman" w:hAnsi="Times New Roman" w:cs="Times New Roman"/>
          <w:sz w:val="20"/>
          <w:lang w:val="en-US"/>
        </w:rPr>
        <w:t>Arch Dis Child 106:987–993. https://doi.org/10.1136/archdischild-2020-320655</w:t>
      </w:r>
    </w:p>
    <w:p w14:paraId="7BE07BCB" w14:textId="522B9F1B" w:rsidR="00D317F0" w:rsidRPr="00B1703E" w:rsidRDefault="00D317F0" w:rsidP="0020403E">
      <w:pPr>
        <w:pStyle w:val="Bibliographie"/>
        <w:spacing w:before="240" w:after="120"/>
        <w:rPr>
          <w:rFonts w:ascii="Times New Roman" w:hAnsi="Times New Roman" w:cs="Times New Roman"/>
          <w:b/>
          <w:sz w:val="20"/>
          <w:szCs w:val="20"/>
          <w:lang w:val="en-US"/>
        </w:rPr>
      </w:pPr>
      <w:r w:rsidRPr="009F5EAF">
        <w:rPr>
          <w:rFonts w:ascii="Times New Roman" w:hAnsi="Times New Roman" w:cs="Times New Roman"/>
          <w:b/>
          <w:sz w:val="20"/>
          <w:szCs w:val="20"/>
          <w:lang w:val="en-US"/>
        </w:rPr>
        <w:fldChar w:fldCharType="end"/>
      </w:r>
      <w:r w:rsidRPr="00B1703E">
        <w:rPr>
          <w:rFonts w:ascii="Times New Roman" w:hAnsi="Times New Roman" w:cs="Times New Roman"/>
          <w:b/>
          <w:sz w:val="20"/>
          <w:szCs w:val="20"/>
          <w:lang w:val="en-US"/>
        </w:rPr>
        <w:t xml:space="preserve">STATEMENTS &amp; </w:t>
      </w:r>
      <w:r w:rsidR="0059089C" w:rsidRPr="00B1703E">
        <w:rPr>
          <w:rFonts w:ascii="Times New Roman" w:hAnsi="Times New Roman" w:cs="Times New Roman"/>
          <w:b/>
          <w:sz w:val="20"/>
          <w:szCs w:val="20"/>
          <w:lang w:val="en-US"/>
        </w:rPr>
        <w:t>DECLARATIONS:</w:t>
      </w:r>
    </w:p>
    <w:p w14:paraId="6DFA0C86" w14:textId="77777777" w:rsidR="00D317F0" w:rsidRPr="00686DEE" w:rsidRDefault="00D317F0" w:rsidP="00D317F0">
      <w:pPr>
        <w:spacing w:before="120" w:after="0"/>
        <w:jc w:val="both"/>
        <w:rPr>
          <w:rFonts w:ascii="Times New Roman" w:hAnsi="Times New Roman" w:cs="Times New Roman"/>
          <w:bCs/>
          <w:sz w:val="20"/>
          <w:szCs w:val="20"/>
          <w:lang w:val="en-US"/>
        </w:rPr>
      </w:pPr>
      <w:r w:rsidRPr="00857407">
        <w:rPr>
          <w:rFonts w:ascii="Times New Roman" w:hAnsi="Times New Roman" w:cs="Times New Roman"/>
          <w:bCs/>
          <w:i/>
          <w:iCs/>
          <w:sz w:val="20"/>
          <w:szCs w:val="20"/>
          <w:lang w:val="en-US"/>
        </w:rPr>
        <w:t>Funding:</w:t>
      </w:r>
      <w:r w:rsidRPr="00686DEE">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T</w:t>
      </w:r>
      <w:r w:rsidRPr="00686DEE">
        <w:rPr>
          <w:rFonts w:ascii="Times New Roman" w:hAnsi="Times New Roman" w:cs="Times New Roman"/>
          <w:bCs/>
          <w:sz w:val="20"/>
          <w:szCs w:val="20"/>
          <w:lang w:val="en-US"/>
        </w:rPr>
        <w:t>he authors declare that no funds, grants, or other support were received during the preparation of this manuscript.</w:t>
      </w:r>
    </w:p>
    <w:p w14:paraId="2CBF56F5" w14:textId="77777777" w:rsidR="00D317F0" w:rsidRPr="00686DEE" w:rsidRDefault="00D317F0" w:rsidP="00D317F0">
      <w:pPr>
        <w:spacing w:before="120" w:after="0"/>
        <w:jc w:val="both"/>
        <w:rPr>
          <w:rFonts w:ascii="Times New Roman" w:hAnsi="Times New Roman" w:cs="Times New Roman"/>
          <w:bCs/>
          <w:sz w:val="20"/>
          <w:szCs w:val="20"/>
          <w:lang w:val="en-US"/>
        </w:rPr>
      </w:pPr>
      <w:r w:rsidRPr="00857407">
        <w:rPr>
          <w:rFonts w:ascii="Times New Roman" w:hAnsi="Times New Roman" w:cs="Times New Roman"/>
          <w:bCs/>
          <w:i/>
          <w:iCs/>
          <w:sz w:val="20"/>
          <w:szCs w:val="20"/>
          <w:lang w:val="en-US"/>
        </w:rPr>
        <w:t>Competing Interests:</w:t>
      </w:r>
      <w:r w:rsidRPr="00686DEE">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T</w:t>
      </w:r>
      <w:r w:rsidRPr="00686DEE">
        <w:rPr>
          <w:rFonts w:ascii="Times New Roman" w:hAnsi="Times New Roman" w:cs="Times New Roman"/>
          <w:bCs/>
          <w:sz w:val="20"/>
          <w:szCs w:val="20"/>
          <w:lang w:val="en-US"/>
        </w:rPr>
        <w:t>he authors have no relevant financial or non-financial interests to disclose.</w:t>
      </w:r>
    </w:p>
    <w:p w14:paraId="4377CC98" w14:textId="77777777" w:rsidR="00D317F0" w:rsidRPr="00686DEE" w:rsidRDefault="00D317F0" w:rsidP="00D317F0">
      <w:pPr>
        <w:spacing w:before="120" w:after="0"/>
        <w:jc w:val="both"/>
        <w:rPr>
          <w:rFonts w:ascii="Times New Roman" w:hAnsi="Times New Roman" w:cs="Times New Roman"/>
          <w:bCs/>
          <w:sz w:val="20"/>
          <w:szCs w:val="20"/>
          <w:lang w:val="en-US"/>
        </w:rPr>
      </w:pPr>
      <w:r w:rsidRPr="00857407">
        <w:rPr>
          <w:rFonts w:ascii="Times New Roman" w:hAnsi="Times New Roman" w:cs="Times New Roman"/>
          <w:bCs/>
          <w:i/>
          <w:iCs/>
          <w:sz w:val="20"/>
          <w:szCs w:val="20"/>
          <w:lang w:val="en-US"/>
        </w:rPr>
        <w:t>Availability of data and material:</w:t>
      </w:r>
      <w:r w:rsidRPr="00686DEE">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T</w:t>
      </w:r>
      <w:r w:rsidRPr="00686DEE">
        <w:rPr>
          <w:rFonts w:ascii="Times New Roman" w:hAnsi="Times New Roman" w:cs="Times New Roman"/>
          <w:bCs/>
          <w:sz w:val="20"/>
          <w:szCs w:val="20"/>
          <w:lang w:val="en-US"/>
        </w:rPr>
        <w:t>he authors will be able to share all data and material for future research, under request.</w:t>
      </w:r>
    </w:p>
    <w:p w14:paraId="65F0CA05" w14:textId="77777777" w:rsidR="00D317F0" w:rsidRPr="00857407" w:rsidRDefault="00D317F0" w:rsidP="00D317F0">
      <w:pPr>
        <w:spacing w:before="120" w:after="0" w:line="240" w:lineRule="auto"/>
        <w:jc w:val="both"/>
        <w:rPr>
          <w:rStyle w:val="lev"/>
          <w:rFonts w:ascii="Times New Roman" w:eastAsia="Times New Roman" w:hAnsi="Times New Roman"/>
          <w:b w:val="0"/>
          <w:bCs w:val="0"/>
          <w:i/>
          <w:sz w:val="20"/>
          <w:szCs w:val="20"/>
          <w:lang w:val="en-US"/>
        </w:rPr>
      </w:pPr>
      <w:r w:rsidRPr="00857407">
        <w:rPr>
          <w:rStyle w:val="lev"/>
          <w:rFonts w:ascii="Times New Roman" w:eastAsia="Times New Roman" w:hAnsi="Times New Roman"/>
          <w:b w:val="0"/>
          <w:bCs w:val="0"/>
          <w:i/>
          <w:sz w:val="20"/>
          <w:szCs w:val="20"/>
          <w:lang w:val="en-US"/>
        </w:rPr>
        <w:t>Authors’ contribution:</w:t>
      </w:r>
    </w:p>
    <w:p w14:paraId="618303BF" w14:textId="17790DB9" w:rsidR="00D317F0" w:rsidRPr="008138EA" w:rsidRDefault="00D317F0" w:rsidP="00D317F0">
      <w:pPr>
        <w:spacing w:after="0" w:line="240" w:lineRule="auto"/>
        <w:jc w:val="both"/>
        <w:rPr>
          <w:rStyle w:val="lev"/>
          <w:rFonts w:ascii="Times New Roman" w:eastAsia="Times New Roman" w:hAnsi="Times New Roman"/>
          <w:b w:val="0"/>
          <w:bCs w:val="0"/>
          <w:sz w:val="20"/>
          <w:szCs w:val="20"/>
          <w:lang w:val="en-US"/>
        </w:rPr>
      </w:pPr>
      <w:r w:rsidRPr="008138EA">
        <w:rPr>
          <w:rStyle w:val="lev"/>
          <w:rFonts w:ascii="Times New Roman" w:eastAsia="Times New Roman" w:hAnsi="Times New Roman"/>
          <w:b w:val="0"/>
          <w:bCs w:val="0"/>
          <w:sz w:val="20"/>
          <w:szCs w:val="20"/>
          <w:lang w:val="en-US"/>
        </w:rPr>
        <w:t>Dr. Puyraimond-Zemmour conceptualized and designed the study, collected data from medical records, conducted interviews with general practitioners (GPs), performed data analysis, drafted the initial manuscript, and reviewed and revised it.</w:t>
      </w:r>
    </w:p>
    <w:p w14:paraId="7A339FBC" w14:textId="10488A21" w:rsidR="00D317F0" w:rsidRPr="008138EA" w:rsidRDefault="00D317F0" w:rsidP="00D317F0">
      <w:pPr>
        <w:spacing w:after="0" w:line="240" w:lineRule="auto"/>
        <w:jc w:val="both"/>
        <w:rPr>
          <w:rStyle w:val="lev"/>
          <w:rFonts w:ascii="Times New Roman" w:eastAsia="Times New Roman" w:hAnsi="Times New Roman"/>
          <w:b w:val="0"/>
          <w:bCs w:val="0"/>
          <w:sz w:val="20"/>
          <w:szCs w:val="20"/>
          <w:lang w:val="en-US"/>
        </w:rPr>
      </w:pPr>
      <w:r w:rsidRPr="008138EA">
        <w:rPr>
          <w:rStyle w:val="lev"/>
          <w:rFonts w:ascii="Times New Roman" w:eastAsia="Times New Roman" w:hAnsi="Times New Roman"/>
          <w:b w:val="0"/>
          <w:bCs w:val="0"/>
          <w:sz w:val="20"/>
          <w:szCs w:val="20"/>
          <w:lang w:val="en-US"/>
        </w:rPr>
        <w:t>Dr. Jacquin and Dr. Mellerio contributed to the study's conceptualization and design, and critically reviewed and revised the manuscript.</w:t>
      </w:r>
      <w:r w:rsidR="00893219">
        <w:rPr>
          <w:rStyle w:val="lev"/>
          <w:rFonts w:ascii="Times New Roman" w:eastAsia="Times New Roman" w:hAnsi="Times New Roman"/>
          <w:b w:val="0"/>
          <w:bCs w:val="0"/>
          <w:sz w:val="20"/>
          <w:szCs w:val="20"/>
          <w:lang w:val="en-US"/>
        </w:rPr>
        <w:t xml:space="preserve"> </w:t>
      </w:r>
      <w:r w:rsidR="00893219" w:rsidRPr="00893219">
        <w:rPr>
          <w:rStyle w:val="lev"/>
          <w:rFonts w:ascii="Times New Roman" w:eastAsia="Times New Roman" w:hAnsi="Times New Roman"/>
          <w:b w:val="0"/>
          <w:bCs w:val="0"/>
          <w:sz w:val="20"/>
          <w:szCs w:val="20"/>
          <w:lang w:val="en-US"/>
        </w:rPr>
        <w:t xml:space="preserve">Dr. Mellerio </w:t>
      </w:r>
      <w:r w:rsidR="00893219">
        <w:rPr>
          <w:rStyle w:val="lev"/>
          <w:rFonts w:ascii="Times New Roman" w:eastAsia="Times New Roman" w:hAnsi="Times New Roman"/>
          <w:b w:val="0"/>
          <w:bCs w:val="0"/>
          <w:sz w:val="20"/>
          <w:szCs w:val="20"/>
          <w:lang w:val="en-US"/>
        </w:rPr>
        <w:t xml:space="preserve">also </w:t>
      </w:r>
      <w:r w:rsidR="00893219" w:rsidRPr="00893219">
        <w:rPr>
          <w:rStyle w:val="lev"/>
          <w:rFonts w:ascii="Times New Roman" w:eastAsia="Times New Roman" w:hAnsi="Times New Roman"/>
          <w:b w:val="0"/>
          <w:bCs w:val="0"/>
          <w:sz w:val="20"/>
          <w:szCs w:val="20"/>
          <w:lang w:val="en-US"/>
        </w:rPr>
        <w:t>supervised and reviewed the statistical analyses</w:t>
      </w:r>
      <w:r w:rsidR="006B5890">
        <w:rPr>
          <w:rStyle w:val="lev"/>
          <w:rFonts w:ascii="Times New Roman" w:eastAsia="Times New Roman" w:hAnsi="Times New Roman"/>
          <w:b w:val="0"/>
          <w:bCs w:val="0"/>
          <w:sz w:val="20"/>
          <w:szCs w:val="20"/>
          <w:lang w:val="en-US"/>
        </w:rPr>
        <w:t>.</w:t>
      </w:r>
    </w:p>
    <w:p w14:paraId="2983D7F9" w14:textId="77777777" w:rsidR="00D317F0" w:rsidRPr="008138EA" w:rsidRDefault="00D317F0" w:rsidP="00D317F0">
      <w:pPr>
        <w:spacing w:after="0" w:line="240" w:lineRule="auto"/>
        <w:jc w:val="both"/>
        <w:rPr>
          <w:rStyle w:val="lev"/>
          <w:rFonts w:ascii="Times New Roman" w:eastAsia="Times New Roman" w:hAnsi="Times New Roman"/>
          <w:b w:val="0"/>
          <w:bCs w:val="0"/>
          <w:sz w:val="20"/>
          <w:szCs w:val="20"/>
          <w:lang w:val="en-US"/>
        </w:rPr>
      </w:pPr>
      <w:r w:rsidRPr="008138EA">
        <w:rPr>
          <w:rStyle w:val="lev"/>
          <w:rFonts w:ascii="Times New Roman" w:eastAsia="Times New Roman" w:hAnsi="Times New Roman"/>
          <w:b w:val="0"/>
          <w:bCs w:val="0"/>
          <w:sz w:val="20"/>
          <w:szCs w:val="20"/>
          <w:lang w:val="en-US"/>
        </w:rPr>
        <w:t>Pr. Auvin, Dr. Bismuth, Dr. Holvoet, and Dr. Martinez-Vinson coordinated and supervised data collection.</w:t>
      </w:r>
    </w:p>
    <w:p w14:paraId="42013BDB" w14:textId="77777777" w:rsidR="00D317F0" w:rsidRDefault="00D317F0" w:rsidP="00D317F0">
      <w:pPr>
        <w:spacing w:after="0" w:line="240" w:lineRule="auto"/>
        <w:jc w:val="both"/>
        <w:rPr>
          <w:rStyle w:val="lev"/>
          <w:rFonts w:ascii="Times New Roman" w:eastAsia="Times New Roman" w:hAnsi="Times New Roman"/>
          <w:b w:val="0"/>
          <w:bCs w:val="0"/>
          <w:sz w:val="20"/>
          <w:szCs w:val="20"/>
          <w:lang w:val="en-US"/>
        </w:rPr>
      </w:pPr>
      <w:r w:rsidRPr="008138EA">
        <w:rPr>
          <w:rStyle w:val="lev"/>
          <w:rFonts w:ascii="Times New Roman" w:eastAsia="Times New Roman" w:hAnsi="Times New Roman"/>
          <w:b w:val="0"/>
          <w:bCs w:val="0"/>
          <w:sz w:val="20"/>
          <w:szCs w:val="20"/>
        </w:rPr>
        <w:t xml:space="preserve">Pr. Zerr, Pr. Meinzer, and Pr. </w:t>
      </w:r>
      <w:r w:rsidRPr="008138EA">
        <w:rPr>
          <w:rStyle w:val="lev"/>
          <w:rFonts w:ascii="Times New Roman" w:eastAsia="Times New Roman" w:hAnsi="Times New Roman"/>
          <w:b w:val="0"/>
          <w:bCs w:val="0"/>
          <w:sz w:val="20"/>
          <w:szCs w:val="20"/>
          <w:lang w:val="en-US"/>
        </w:rPr>
        <w:t>Koehl critically reviewed the manuscript.</w:t>
      </w:r>
    </w:p>
    <w:p w14:paraId="44621694" w14:textId="35AE5358" w:rsidR="00D317F0" w:rsidRPr="006D7FE1" w:rsidRDefault="00D317F0" w:rsidP="00D317F0">
      <w:pPr>
        <w:spacing w:before="120" w:after="0" w:line="240" w:lineRule="auto"/>
        <w:jc w:val="both"/>
        <w:rPr>
          <w:rFonts w:ascii="Times New Roman" w:hAnsi="Times New Roman"/>
          <w:sz w:val="20"/>
          <w:szCs w:val="20"/>
          <w:lang w:val="en-US"/>
        </w:rPr>
      </w:pPr>
      <w:r w:rsidRPr="00857407">
        <w:rPr>
          <w:rFonts w:ascii="Times New Roman" w:hAnsi="Times New Roman"/>
          <w:i/>
          <w:sz w:val="20"/>
          <w:szCs w:val="20"/>
          <w:lang w:val="en-US"/>
        </w:rPr>
        <w:t>Ethics approval:</w:t>
      </w:r>
      <w:r w:rsidRPr="00D760FE">
        <w:rPr>
          <w:rFonts w:ascii="Times New Roman" w:hAnsi="Times New Roman"/>
          <w:sz w:val="20"/>
          <w:szCs w:val="20"/>
          <w:lang w:val="en-US"/>
        </w:rPr>
        <w:t xml:space="preserve"> </w:t>
      </w:r>
      <w:r w:rsidR="006D7FE1" w:rsidRPr="006D7FE1">
        <w:rPr>
          <w:rFonts w:ascii="Times New Roman" w:hAnsi="Times New Roman"/>
          <w:sz w:val="20"/>
          <w:szCs w:val="20"/>
          <w:lang w:val="en-US"/>
        </w:rPr>
        <w:t>This study was conducted in accordance with the principles of the Declaration of Helsinki. The research involved human participants and received approval from the Ethics Committee of Robert Debré Hospital (Approval No. 2019/432).</w:t>
      </w:r>
    </w:p>
    <w:p w14:paraId="0208F354" w14:textId="0ACAB847" w:rsidR="00D317F0" w:rsidRDefault="00D317F0" w:rsidP="00D317F0">
      <w:pPr>
        <w:spacing w:before="120" w:after="0" w:line="240" w:lineRule="auto"/>
        <w:jc w:val="both"/>
        <w:rPr>
          <w:rFonts w:ascii="Times New Roman" w:hAnsi="Times New Roman"/>
          <w:sz w:val="20"/>
          <w:szCs w:val="20"/>
          <w:lang w:val="en-US"/>
        </w:rPr>
      </w:pPr>
      <w:r w:rsidRPr="00857407">
        <w:rPr>
          <w:rFonts w:ascii="Times New Roman" w:hAnsi="Times New Roman"/>
          <w:i/>
          <w:sz w:val="20"/>
          <w:szCs w:val="20"/>
          <w:lang w:val="en-US"/>
        </w:rPr>
        <w:t>Consent to participate:</w:t>
      </w:r>
      <w:r>
        <w:rPr>
          <w:rFonts w:ascii="Times New Roman" w:hAnsi="Times New Roman"/>
          <w:i/>
          <w:sz w:val="20"/>
          <w:szCs w:val="20"/>
          <w:lang w:val="en-US"/>
        </w:rPr>
        <w:t xml:space="preserve"> </w:t>
      </w:r>
      <w:r w:rsidRPr="00686DEE">
        <w:rPr>
          <w:rFonts w:ascii="Times New Roman" w:hAnsi="Times New Roman"/>
          <w:sz w:val="20"/>
          <w:szCs w:val="20"/>
          <w:lang w:val="en-US"/>
        </w:rPr>
        <w:t>All participants (or their parents or legal tutors if participants were minors) were informed about the research through an information letter, which stated the opposition procedure.</w:t>
      </w:r>
      <w:r>
        <w:rPr>
          <w:rFonts w:ascii="Times New Roman" w:hAnsi="Times New Roman"/>
          <w:sz w:val="20"/>
          <w:szCs w:val="20"/>
          <w:lang w:val="en-US"/>
        </w:rPr>
        <w:t xml:space="preserve"> I</w:t>
      </w:r>
      <w:r w:rsidRPr="00686DEE">
        <w:rPr>
          <w:rFonts w:ascii="Times New Roman" w:hAnsi="Times New Roman"/>
          <w:sz w:val="20"/>
          <w:szCs w:val="20"/>
          <w:lang w:val="en-US"/>
        </w:rPr>
        <w:t>nformation letter</w:t>
      </w:r>
      <w:r>
        <w:rPr>
          <w:rFonts w:ascii="Times New Roman" w:hAnsi="Times New Roman"/>
          <w:sz w:val="20"/>
          <w:szCs w:val="20"/>
          <w:lang w:val="en-US"/>
        </w:rPr>
        <w:t>s</w:t>
      </w:r>
      <w:r w:rsidRPr="00686DEE">
        <w:rPr>
          <w:rFonts w:ascii="Times New Roman" w:hAnsi="Times New Roman"/>
          <w:sz w:val="20"/>
          <w:szCs w:val="20"/>
          <w:lang w:val="en-US"/>
        </w:rPr>
        <w:t xml:space="preserve"> specified that the data collected for this research would be published in an anonymized form.</w:t>
      </w:r>
    </w:p>
    <w:p w14:paraId="1E0C2994" w14:textId="4CDF2B5C" w:rsidR="00D317F0" w:rsidRPr="00D317F0" w:rsidRDefault="00D317F0" w:rsidP="00D317F0">
      <w:pPr>
        <w:spacing w:before="200" w:after="0"/>
        <w:jc w:val="both"/>
        <w:rPr>
          <w:rFonts w:ascii="Times New Roman" w:hAnsi="Times New Roman" w:cs="Times New Roman"/>
          <w:bCs/>
          <w:sz w:val="20"/>
          <w:szCs w:val="20"/>
          <w:lang w:val="en-US"/>
        </w:rPr>
      </w:pPr>
      <w:r w:rsidRPr="00D317F0">
        <w:rPr>
          <w:rFonts w:ascii="Times New Roman" w:hAnsi="Times New Roman" w:cs="Times New Roman"/>
          <w:bCs/>
          <w:i/>
          <w:iCs/>
          <w:sz w:val="20"/>
          <w:szCs w:val="20"/>
          <w:lang w:val="en-US"/>
        </w:rPr>
        <w:t>Acknowledgments:</w:t>
      </w:r>
      <w:r w:rsidRPr="009F399D">
        <w:rPr>
          <w:rFonts w:ascii="Times New Roman" w:hAnsi="Times New Roman" w:cs="Times New Roman"/>
          <w:b/>
          <w:sz w:val="20"/>
          <w:szCs w:val="20"/>
          <w:lang w:val="en-US"/>
        </w:rPr>
        <w:t xml:space="preserve"> </w:t>
      </w:r>
      <w:r w:rsidRPr="009F399D">
        <w:rPr>
          <w:rFonts w:ascii="Times New Roman" w:hAnsi="Times New Roman" w:cs="Times New Roman"/>
          <w:bCs/>
          <w:sz w:val="20"/>
          <w:szCs w:val="20"/>
          <w:lang w:val="en-US"/>
        </w:rPr>
        <w:t>The authors are deeply grateful to Pr. Albert Faye (Department of General Pediatrics, Pediatric Internal Medicine, Rheumatology, and Infectious Diseases, Robert-Debré Hospital, AP-HP, Paris, France) for his pivotal role in bringing this project to life. They also wish to thank all the general practitioners</w:t>
      </w:r>
      <w:r>
        <w:rPr>
          <w:rFonts w:ascii="Times New Roman" w:hAnsi="Times New Roman" w:cs="Times New Roman"/>
          <w:bCs/>
          <w:sz w:val="20"/>
          <w:szCs w:val="20"/>
          <w:lang w:val="en-US"/>
        </w:rPr>
        <w:t xml:space="preserve"> </w:t>
      </w:r>
      <w:r w:rsidRPr="009F399D">
        <w:rPr>
          <w:rFonts w:ascii="Times New Roman" w:hAnsi="Times New Roman" w:cs="Times New Roman"/>
          <w:bCs/>
          <w:sz w:val="20"/>
          <w:szCs w:val="20"/>
          <w:lang w:val="en-US"/>
        </w:rPr>
        <w:t>who participated in this study.</w:t>
      </w:r>
    </w:p>
    <w:p w14:paraId="1790059B" w14:textId="0196F256" w:rsidR="00D317F0" w:rsidRPr="001C4A5F" w:rsidRDefault="00D317F0" w:rsidP="0020403E">
      <w:pPr>
        <w:pStyle w:val="Bibliographie"/>
        <w:spacing w:before="240" w:after="120"/>
        <w:rPr>
          <w:rFonts w:ascii="Times New Roman" w:hAnsi="Times New Roman" w:cs="Times New Roman"/>
          <w:b/>
          <w:sz w:val="20"/>
          <w:szCs w:val="20"/>
          <w:lang w:val="en-US"/>
        </w:rPr>
      </w:pPr>
      <w:r>
        <w:rPr>
          <w:rFonts w:ascii="Times New Roman" w:hAnsi="Times New Roman" w:cs="Times New Roman"/>
          <w:b/>
          <w:sz w:val="20"/>
          <w:szCs w:val="20"/>
          <w:lang w:val="en-US"/>
        </w:rPr>
        <w:t>TABLES</w:t>
      </w:r>
    </w:p>
    <w:tbl>
      <w:tblPr>
        <w:tblStyle w:val="Grilledutableau"/>
        <w:tblW w:w="0" w:type="auto"/>
        <w:tblLayout w:type="fixed"/>
        <w:tblLook w:val="04A0" w:firstRow="1" w:lastRow="0" w:firstColumn="1" w:lastColumn="0" w:noHBand="0" w:noVBand="1"/>
      </w:tblPr>
      <w:tblGrid>
        <w:gridCol w:w="5387"/>
        <w:gridCol w:w="2410"/>
        <w:gridCol w:w="1178"/>
      </w:tblGrid>
      <w:tr w:rsidR="00D317F0" w:rsidRPr="00195268" w14:paraId="5E9A8F1E" w14:textId="77777777" w:rsidTr="007E4584">
        <w:trPr>
          <w:trHeight w:val="226"/>
        </w:trPr>
        <w:tc>
          <w:tcPr>
            <w:tcW w:w="8975" w:type="dxa"/>
            <w:gridSpan w:val="3"/>
            <w:tcBorders>
              <w:top w:val="nil"/>
              <w:left w:val="nil"/>
              <w:right w:val="nil"/>
            </w:tcBorders>
          </w:tcPr>
          <w:p w14:paraId="0B33D5B7" w14:textId="3935B8A4" w:rsidR="00D317F0" w:rsidRPr="00C04F98" w:rsidRDefault="00D317F0" w:rsidP="007E4584">
            <w:pPr>
              <w:jc w:val="both"/>
              <w:rPr>
                <w:rFonts w:ascii="Times New Roman" w:hAnsi="Times New Roman" w:cs="Times New Roman"/>
                <w:b/>
                <w:sz w:val="20"/>
                <w:szCs w:val="20"/>
                <w:lang w:val="en-US"/>
              </w:rPr>
            </w:pPr>
            <w:r w:rsidRPr="00C04F98">
              <w:rPr>
                <w:rFonts w:ascii="Times New Roman" w:hAnsi="Times New Roman" w:cs="Times New Roman"/>
                <w:b/>
                <w:color w:val="131313"/>
                <w:sz w:val="20"/>
                <w:szCs w:val="20"/>
                <w:lang w:val="en-US"/>
              </w:rPr>
              <w:t xml:space="preserve">Table 1. Sample characteristics of </w:t>
            </w:r>
            <w:r>
              <w:rPr>
                <w:rFonts w:ascii="Times New Roman" w:hAnsi="Times New Roman" w:cs="Times New Roman"/>
                <w:b/>
                <w:color w:val="131313"/>
                <w:sz w:val="20"/>
                <w:szCs w:val="20"/>
                <w:lang w:val="en-US"/>
              </w:rPr>
              <w:t>AYA</w:t>
            </w:r>
            <w:r w:rsidRPr="00C04F98">
              <w:rPr>
                <w:rFonts w:ascii="Times New Roman" w:hAnsi="Times New Roman" w:cs="Times New Roman"/>
                <w:b/>
                <w:color w:val="131313"/>
                <w:sz w:val="20"/>
                <w:szCs w:val="20"/>
                <w:lang w:val="en-US"/>
              </w:rPr>
              <w:t xml:space="preserve"> participants</w:t>
            </w:r>
          </w:p>
        </w:tc>
      </w:tr>
      <w:tr w:rsidR="00D317F0" w:rsidRPr="00C04F98" w14:paraId="7C392A74" w14:textId="77777777" w:rsidTr="007E4584">
        <w:trPr>
          <w:trHeight w:val="216"/>
        </w:trPr>
        <w:tc>
          <w:tcPr>
            <w:tcW w:w="5387" w:type="dxa"/>
            <w:tcBorders>
              <w:left w:val="nil"/>
              <w:right w:val="nil"/>
            </w:tcBorders>
          </w:tcPr>
          <w:p w14:paraId="6A71503B" w14:textId="77777777" w:rsidR="00D317F0" w:rsidRPr="00C04F98" w:rsidRDefault="00D317F0" w:rsidP="007E4584">
            <w:pPr>
              <w:jc w:val="both"/>
              <w:rPr>
                <w:rFonts w:ascii="Times New Roman" w:hAnsi="Times New Roman" w:cs="Times New Roman"/>
                <w:b/>
                <w:sz w:val="20"/>
                <w:szCs w:val="20"/>
                <w:lang w:val="en-US"/>
              </w:rPr>
            </w:pPr>
            <w:r w:rsidRPr="00C04F98">
              <w:rPr>
                <w:rFonts w:ascii="Times New Roman" w:hAnsi="Times New Roman" w:cs="Times New Roman"/>
                <w:sz w:val="20"/>
                <w:szCs w:val="20"/>
                <w:lang w:val="en-US"/>
              </w:rPr>
              <w:t>Characteristics</w:t>
            </w:r>
          </w:p>
        </w:tc>
        <w:tc>
          <w:tcPr>
            <w:tcW w:w="2410" w:type="dxa"/>
            <w:tcBorders>
              <w:left w:val="nil"/>
              <w:right w:val="nil"/>
            </w:tcBorders>
          </w:tcPr>
          <w:p w14:paraId="181FDB93" w14:textId="77777777" w:rsidR="00D317F0" w:rsidRPr="00C04F98" w:rsidRDefault="00D317F0" w:rsidP="007E4584">
            <w:pPr>
              <w:jc w:val="both"/>
              <w:rPr>
                <w:rFonts w:ascii="Times New Roman" w:hAnsi="Times New Roman" w:cs="Times New Roman"/>
                <w:b/>
                <w:sz w:val="20"/>
                <w:szCs w:val="20"/>
                <w:lang w:val="en-US"/>
              </w:rPr>
            </w:pPr>
            <w:r w:rsidRPr="00C04F98">
              <w:rPr>
                <w:rFonts w:ascii="Times New Roman" w:hAnsi="Times New Roman" w:cs="Times New Roman"/>
                <w:sz w:val="20"/>
                <w:szCs w:val="20"/>
                <w:lang w:val="en-US"/>
              </w:rPr>
              <w:t>n (%) or mean (SD) (range)</w:t>
            </w:r>
          </w:p>
        </w:tc>
        <w:tc>
          <w:tcPr>
            <w:tcW w:w="1178" w:type="dxa"/>
            <w:tcBorders>
              <w:left w:val="nil"/>
              <w:right w:val="nil"/>
            </w:tcBorders>
          </w:tcPr>
          <w:p w14:paraId="19375EB6" w14:textId="77777777" w:rsidR="00D317F0" w:rsidRPr="00C04F98" w:rsidRDefault="00D317F0" w:rsidP="007E4584">
            <w:pPr>
              <w:jc w:val="both"/>
              <w:rPr>
                <w:rFonts w:ascii="Times New Roman" w:hAnsi="Times New Roman" w:cs="Times New Roman"/>
                <w:b/>
                <w:sz w:val="20"/>
                <w:szCs w:val="20"/>
                <w:lang w:val="en-US"/>
              </w:rPr>
            </w:pPr>
            <w:r w:rsidRPr="00C04F98">
              <w:rPr>
                <w:rFonts w:ascii="Times New Roman" w:hAnsi="Times New Roman" w:cs="Times New Roman"/>
                <w:sz w:val="20"/>
                <w:szCs w:val="20"/>
                <w:lang w:val="en-US"/>
              </w:rPr>
              <w:t>Available data</w:t>
            </w:r>
            <w:r>
              <w:rPr>
                <w:rFonts w:ascii="Times New Roman" w:hAnsi="Times New Roman" w:cs="Times New Roman"/>
                <w:sz w:val="20"/>
                <w:szCs w:val="20"/>
                <w:lang w:val="en-US"/>
              </w:rPr>
              <w:t xml:space="preserve"> (AD)</w:t>
            </w:r>
          </w:p>
        </w:tc>
      </w:tr>
      <w:tr w:rsidR="00D317F0" w:rsidRPr="00C04F98" w14:paraId="350DA830" w14:textId="77777777" w:rsidTr="007E4584">
        <w:trPr>
          <w:trHeight w:val="226"/>
        </w:trPr>
        <w:tc>
          <w:tcPr>
            <w:tcW w:w="5387" w:type="dxa"/>
            <w:tcBorders>
              <w:left w:val="nil"/>
              <w:right w:val="nil"/>
            </w:tcBorders>
          </w:tcPr>
          <w:p w14:paraId="381EA92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Male</w:t>
            </w:r>
            <w:r>
              <w:rPr>
                <w:rFonts w:ascii="Times New Roman" w:hAnsi="Times New Roman" w:cs="Times New Roman"/>
                <w:sz w:val="20"/>
                <w:szCs w:val="20"/>
                <w:lang w:val="en-US"/>
              </w:rPr>
              <w:t xml:space="preserve"> gender</w:t>
            </w:r>
            <w:r w:rsidRPr="00C04F98">
              <w:rPr>
                <w:rFonts w:ascii="Times New Roman" w:hAnsi="Times New Roman" w:cs="Times New Roman"/>
                <w:sz w:val="20"/>
                <w:szCs w:val="20"/>
                <w:lang w:val="en-US"/>
              </w:rPr>
              <w:t>, n (%)</w:t>
            </w:r>
          </w:p>
        </w:tc>
        <w:tc>
          <w:tcPr>
            <w:tcW w:w="2410" w:type="dxa"/>
            <w:tcBorders>
              <w:left w:val="nil"/>
              <w:right w:val="nil"/>
            </w:tcBorders>
          </w:tcPr>
          <w:p w14:paraId="0B4B8D7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67 (59.8)</w:t>
            </w:r>
          </w:p>
        </w:tc>
        <w:tc>
          <w:tcPr>
            <w:tcW w:w="1178" w:type="dxa"/>
            <w:tcBorders>
              <w:left w:val="nil"/>
              <w:right w:val="nil"/>
            </w:tcBorders>
          </w:tcPr>
          <w:p w14:paraId="6C7DE6D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tc>
      </w:tr>
      <w:tr w:rsidR="00D317F0" w:rsidRPr="00C04F98" w14:paraId="648BE8EB" w14:textId="77777777" w:rsidTr="007E4584">
        <w:trPr>
          <w:trHeight w:val="669"/>
        </w:trPr>
        <w:tc>
          <w:tcPr>
            <w:tcW w:w="5387" w:type="dxa"/>
            <w:tcBorders>
              <w:left w:val="nil"/>
              <w:right w:val="nil"/>
            </w:tcBorders>
          </w:tcPr>
          <w:p w14:paraId="67FA0A6F" w14:textId="77777777" w:rsidR="00D317F0" w:rsidRPr="00C04F98" w:rsidRDefault="00D317F0" w:rsidP="007E4584">
            <w:pPr>
              <w:rPr>
                <w:rFonts w:ascii="Times New Roman" w:hAnsi="Times New Roman" w:cs="Times New Roman"/>
                <w:b/>
                <w:bCs/>
                <w:sz w:val="20"/>
                <w:szCs w:val="20"/>
                <w:lang w:val="en-US"/>
              </w:rPr>
            </w:pPr>
            <w:r w:rsidRPr="00C04F98">
              <w:rPr>
                <w:rFonts w:ascii="Times New Roman" w:hAnsi="Times New Roman" w:cs="Times New Roman"/>
                <w:sz w:val="20"/>
                <w:szCs w:val="20"/>
                <w:lang w:val="en-US"/>
              </w:rPr>
              <w:lastRenderedPageBreak/>
              <w:t>Age (in years)</w:t>
            </w:r>
          </w:p>
          <w:p w14:paraId="7E6F2BB9"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at diagnosis, mean (SD) (range)</w:t>
            </w:r>
          </w:p>
          <w:p w14:paraId="09ED4B86"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during transfer, mean (SD) (range)</w:t>
            </w:r>
          </w:p>
        </w:tc>
        <w:tc>
          <w:tcPr>
            <w:tcW w:w="2410" w:type="dxa"/>
            <w:tcBorders>
              <w:left w:val="nil"/>
              <w:right w:val="nil"/>
            </w:tcBorders>
          </w:tcPr>
          <w:p w14:paraId="6F771C22" w14:textId="77777777" w:rsidR="00D317F0" w:rsidRPr="00C04F98" w:rsidRDefault="00D317F0" w:rsidP="007E4584">
            <w:pPr>
              <w:rPr>
                <w:rFonts w:ascii="Times New Roman" w:hAnsi="Times New Roman" w:cs="Times New Roman"/>
                <w:sz w:val="20"/>
                <w:szCs w:val="20"/>
                <w:lang w:val="en-US"/>
              </w:rPr>
            </w:pPr>
          </w:p>
          <w:p w14:paraId="477F36F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7.5 (5.9) (0.0; 17.1)</w:t>
            </w:r>
          </w:p>
          <w:p w14:paraId="766D84D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18.7 (1.0) (16.5; 21.2)</w:t>
            </w:r>
          </w:p>
        </w:tc>
        <w:tc>
          <w:tcPr>
            <w:tcW w:w="1178" w:type="dxa"/>
            <w:tcBorders>
              <w:left w:val="nil"/>
              <w:right w:val="nil"/>
            </w:tcBorders>
          </w:tcPr>
          <w:p w14:paraId="628D17E5" w14:textId="77777777" w:rsidR="00D317F0" w:rsidRPr="00C04F98" w:rsidRDefault="00D317F0" w:rsidP="007E4584">
            <w:pPr>
              <w:rPr>
                <w:rFonts w:ascii="Times New Roman" w:hAnsi="Times New Roman" w:cs="Times New Roman"/>
                <w:sz w:val="20"/>
                <w:szCs w:val="20"/>
                <w:lang w:val="en-US"/>
              </w:rPr>
            </w:pPr>
          </w:p>
          <w:p w14:paraId="59DAA19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104</w:t>
            </w:r>
          </w:p>
          <w:p w14:paraId="337682F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tc>
      </w:tr>
      <w:tr w:rsidR="00D317F0" w:rsidRPr="00C04F98" w14:paraId="6F0CD804" w14:textId="77777777" w:rsidTr="007E4584">
        <w:trPr>
          <w:trHeight w:val="176"/>
        </w:trPr>
        <w:tc>
          <w:tcPr>
            <w:tcW w:w="5387" w:type="dxa"/>
            <w:tcBorders>
              <w:left w:val="nil"/>
              <w:right w:val="nil"/>
            </w:tcBorders>
          </w:tcPr>
          <w:p w14:paraId="6673645F" w14:textId="0ED4AE7D"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Living in </w:t>
            </w:r>
            <w:r w:rsidR="003C69A1" w:rsidRPr="003C69A1">
              <w:rPr>
                <w:rFonts w:ascii="Times New Roman" w:hAnsi="Times New Roman" w:cs="Times New Roman"/>
                <w:sz w:val="20"/>
                <w:szCs w:val="20"/>
                <w:highlight w:val="yellow"/>
                <w:lang w:val="en-US"/>
              </w:rPr>
              <w:t>medically underserved areas</w:t>
            </w:r>
            <w:r w:rsidRPr="00C04F98">
              <w:rPr>
                <w:rFonts w:ascii="Times New Roman" w:hAnsi="Times New Roman" w:cs="Times New Roman"/>
                <w:sz w:val="20"/>
                <w:szCs w:val="20"/>
                <w:lang w:val="en-US"/>
              </w:rPr>
              <w:t>, n (%)</w:t>
            </w:r>
          </w:p>
        </w:tc>
        <w:tc>
          <w:tcPr>
            <w:tcW w:w="2410" w:type="dxa"/>
            <w:tcBorders>
              <w:left w:val="nil"/>
              <w:right w:val="nil"/>
            </w:tcBorders>
          </w:tcPr>
          <w:p w14:paraId="73DE8B0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55 (49.1)</w:t>
            </w:r>
          </w:p>
        </w:tc>
        <w:tc>
          <w:tcPr>
            <w:tcW w:w="1178" w:type="dxa"/>
            <w:tcBorders>
              <w:left w:val="nil"/>
              <w:right w:val="nil"/>
            </w:tcBorders>
          </w:tcPr>
          <w:p w14:paraId="3B8817F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tc>
      </w:tr>
      <w:tr w:rsidR="00D317F0" w:rsidRPr="00C04F98" w14:paraId="34DC50E6" w14:textId="77777777" w:rsidTr="007E4584">
        <w:trPr>
          <w:trHeight w:val="226"/>
        </w:trPr>
        <w:tc>
          <w:tcPr>
            <w:tcW w:w="5387" w:type="dxa"/>
            <w:tcBorders>
              <w:left w:val="nil"/>
              <w:right w:val="nil"/>
            </w:tcBorders>
          </w:tcPr>
          <w:p w14:paraId="5AC7F78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With GPs registered in their medical record, n (%)</w:t>
            </w:r>
          </w:p>
        </w:tc>
        <w:tc>
          <w:tcPr>
            <w:tcW w:w="2410" w:type="dxa"/>
            <w:tcBorders>
              <w:left w:val="nil"/>
              <w:right w:val="nil"/>
            </w:tcBorders>
          </w:tcPr>
          <w:p w14:paraId="446EF8F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91 (81.3)</w:t>
            </w:r>
          </w:p>
        </w:tc>
        <w:tc>
          <w:tcPr>
            <w:tcW w:w="1178" w:type="dxa"/>
            <w:tcBorders>
              <w:left w:val="nil"/>
              <w:right w:val="nil"/>
            </w:tcBorders>
          </w:tcPr>
          <w:p w14:paraId="7052D5A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tc>
      </w:tr>
      <w:tr w:rsidR="00D317F0" w:rsidRPr="00C04F98" w14:paraId="7124F9CF" w14:textId="77777777" w:rsidTr="007E4584">
        <w:trPr>
          <w:trHeight w:val="3119"/>
        </w:trPr>
        <w:tc>
          <w:tcPr>
            <w:tcW w:w="5387" w:type="dxa"/>
            <w:tcBorders>
              <w:left w:val="nil"/>
              <w:right w:val="nil"/>
            </w:tcBorders>
          </w:tcPr>
          <w:p w14:paraId="0318558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Type of </w:t>
            </w:r>
            <w:r>
              <w:rPr>
                <w:rFonts w:ascii="Times New Roman" w:hAnsi="Times New Roman" w:cs="Times New Roman"/>
                <w:sz w:val="20"/>
                <w:szCs w:val="20"/>
                <w:lang w:val="en-US"/>
              </w:rPr>
              <w:t>CCs,</w:t>
            </w:r>
            <w:r w:rsidRPr="00C04F98">
              <w:rPr>
                <w:rFonts w:ascii="Times New Roman" w:hAnsi="Times New Roman" w:cs="Times New Roman"/>
                <w:sz w:val="20"/>
                <w:szCs w:val="20"/>
                <w:lang w:val="en-US"/>
              </w:rPr>
              <w:t xml:space="preserve"> n (%)</w:t>
            </w:r>
          </w:p>
          <w:p w14:paraId="579705CC"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Diabetes mellitus</w:t>
            </w:r>
          </w:p>
          <w:p w14:paraId="57C63B73"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type 1, n (%)</w:t>
            </w:r>
          </w:p>
          <w:p w14:paraId="6AE3A189"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other</w:t>
            </w:r>
            <w:r>
              <w:rPr>
                <w:rFonts w:ascii="Times New Roman" w:hAnsi="Times New Roman" w:cs="Times New Roman"/>
                <w:sz w:val="20"/>
                <w:szCs w:val="20"/>
                <w:lang w:val="en-US"/>
              </w:rPr>
              <w:t xml:space="preserve"> types</w:t>
            </w:r>
            <w:r w:rsidRPr="00C04F98">
              <w:rPr>
                <w:rFonts w:ascii="Times New Roman" w:hAnsi="Times New Roman" w:cs="Times New Roman"/>
                <w:sz w:val="20"/>
                <w:szCs w:val="20"/>
                <w:lang w:val="en-US"/>
              </w:rPr>
              <w:t>, n (%)</w:t>
            </w:r>
          </w:p>
          <w:p w14:paraId="39B90127"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Inflammatory bowel disease</w:t>
            </w:r>
          </w:p>
          <w:p w14:paraId="096DFCBA"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Crohn’s disease, n (%)</w:t>
            </w:r>
          </w:p>
          <w:p w14:paraId="5B8530F4"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ulcerative colitis, n (%)</w:t>
            </w:r>
          </w:p>
          <w:p w14:paraId="1FB3E220"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Epilepsy</w:t>
            </w:r>
          </w:p>
          <w:p w14:paraId="52F6A52A"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focal epilepsy, n (%)</w:t>
            </w:r>
          </w:p>
          <w:p w14:paraId="5B2B174B"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multifocal or generalized epilepsy, n (%)</w:t>
            </w:r>
          </w:p>
          <w:p w14:paraId="1F298CB0"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epileptic encephalopathy, n (%)</w:t>
            </w:r>
          </w:p>
          <w:p w14:paraId="1806F9C2"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Sickle cell anemia</w:t>
            </w:r>
          </w:p>
          <w:p w14:paraId="5EA83555"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with SS genotype, n (%)</w:t>
            </w:r>
          </w:p>
          <w:p w14:paraId="7612DE02" w14:textId="77777777" w:rsidR="00D317F0" w:rsidRPr="00C04F98" w:rsidRDefault="00D317F0" w:rsidP="007E4584">
            <w:pPr>
              <w:ind w:left="227"/>
              <w:rPr>
                <w:rFonts w:ascii="Times New Roman" w:hAnsi="Times New Roman" w:cs="Times New Roman"/>
                <w:sz w:val="20"/>
                <w:szCs w:val="20"/>
                <w:lang w:val="en-US"/>
              </w:rPr>
            </w:pPr>
            <w:r w:rsidRPr="00C04F98">
              <w:rPr>
                <w:rFonts w:ascii="Times New Roman" w:hAnsi="Times New Roman" w:cs="Times New Roman"/>
                <w:sz w:val="20"/>
                <w:szCs w:val="20"/>
                <w:lang w:val="en-US"/>
              </w:rPr>
              <w:t>with G6PD deficiency, n (%)</w:t>
            </w:r>
          </w:p>
        </w:tc>
        <w:tc>
          <w:tcPr>
            <w:tcW w:w="2410" w:type="dxa"/>
            <w:tcBorders>
              <w:left w:val="nil"/>
              <w:right w:val="nil"/>
            </w:tcBorders>
          </w:tcPr>
          <w:p w14:paraId="4CDBF4A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 (100)</w:t>
            </w:r>
          </w:p>
          <w:p w14:paraId="2D45834F" w14:textId="77777777" w:rsidR="00D317F0" w:rsidRPr="00C04F98" w:rsidRDefault="00D317F0" w:rsidP="007E4584">
            <w:pPr>
              <w:rPr>
                <w:rFonts w:ascii="Times New Roman" w:hAnsi="Times New Roman" w:cs="Times New Roman"/>
                <w:sz w:val="20"/>
                <w:szCs w:val="20"/>
                <w:lang w:val="en-US"/>
              </w:rPr>
            </w:pPr>
          </w:p>
          <w:p w14:paraId="5ECB42F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26 (86.7)</w:t>
            </w:r>
          </w:p>
          <w:p w14:paraId="36D4F2B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 (13.3)</w:t>
            </w:r>
          </w:p>
          <w:p w14:paraId="226F5EE6" w14:textId="77777777" w:rsidR="00D317F0" w:rsidRPr="00C04F98" w:rsidRDefault="00D317F0" w:rsidP="007E4584">
            <w:pPr>
              <w:rPr>
                <w:rFonts w:ascii="Times New Roman" w:hAnsi="Times New Roman" w:cs="Times New Roman"/>
                <w:sz w:val="20"/>
                <w:szCs w:val="20"/>
                <w:lang w:val="en-US"/>
              </w:rPr>
            </w:pPr>
          </w:p>
          <w:p w14:paraId="259854E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 (90.0)</w:t>
            </w:r>
          </w:p>
          <w:p w14:paraId="5FFEEAD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 (10 .0)</w:t>
            </w:r>
          </w:p>
          <w:p w14:paraId="51849678" w14:textId="77777777" w:rsidR="00D317F0" w:rsidRPr="00C04F98" w:rsidRDefault="00D317F0" w:rsidP="007E4584">
            <w:pPr>
              <w:rPr>
                <w:rFonts w:ascii="Times New Roman" w:hAnsi="Times New Roman" w:cs="Times New Roman"/>
                <w:sz w:val="20"/>
                <w:szCs w:val="20"/>
                <w:lang w:val="en-US"/>
              </w:rPr>
            </w:pPr>
          </w:p>
          <w:p w14:paraId="668D5B4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7 (31.8)</w:t>
            </w:r>
          </w:p>
          <w:p w14:paraId="57F46D6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 (22.7)</w:t>
            </w:r>
          </w:p>
          <w:p w14:paraId="5716708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 (45.5)</w:t>
            </w:r>
          </w:p>
          <w:p w14:paraId="12E87A10" w14:textId="77777777" w:rsidR="00D317F0" w:rsidRPr="00C04F98" w:rsidRDefault="00D317F0" w:rsidP="007E4584">
            <w:pPr>
              <w:rPr>
                <w:rFonts w:ascii="Times New Roman" w:hAnsi="Times New Roman" w:cs="Times New Roman"/>
                <w:sz w:val="20"/>
                <w:szCs w:val="20"/>
                <w:lang w:val="en-US"/>
              </w:rPr>
            </w:pPr>
          </w:p>
          <w:p w14:paraId="7B9F6B0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25 (83.3)</w:t>
            </w:r>
          </w:p>
          <w:p w14:paraId="2DDB27F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 (13.3)</w:t>
            </w:r>
          </w:p>
        </w:tc>
        <w:tc>
          <w:tcPr>
            <w:tcW w:w="1178" w:type="dxa"/>
            <w:tcBorders>
              <w:left w:val="nil"/>
              <w:right w:val="nil"/>
            </w:tcBorders>
          </w:tcPr>
          <w:p w14:paraId="4B982E6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p w14:paraId="2838134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30</w:t>
            </w:r>
          </w:p>
          <w:p w14:paraId="0A498FE6" w14:textId="77777777" w:rsidR="00D317F0" w:rsidRPr="00C04F98" w:rsidRDefault="00D317F0" w:rsidP="007E4584">
            <w:pPr>
              <w:rPr>
                <w:rFonts w:ascii="Times New Roman" w:hAnsi="Times New Roman" w:cs="Times New Roman"/>
                <w:sz w:val="20"/>
                <w:szCs w:val="20"/>
                <w:lang w:val="en-US"/>
              </w:rPr>
            </w:pPr>
          </w:p>
          <w:p w14:paraId="432227FF" w14:textId="77777777" w:rsidR="00D317F0" w:rsidRPr="00C04F98" w:rsidRDefault="00D317F0" w:rsidP="007E4584">
            <w:pPr>
              <w:rPr>
                <w:rFonts w:ascii="Times New Roman" w:hAnsi="Times New Roman" w:cs="Times New Roman"/>
                <w:sz w:val="20"/>
                <w:szCs w:val="20"/>
                <w:lang w:val="en-US"/>
              </w:rPr>
            </w:pPr>
          </w:p>
          <w:p w14:paraId="1065396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30</w:t>
            </w:r>
          </w:p>
          <w:p w14:paraId="16570C9E" w14:textId="77777777" w:rsidR="00D317F0" w:rsidRPr="00C04F98" w:rsidRDefault="00D317F0" w:rsidP="007E4584">
            <w:pPr>
              <w:rPr>
                <w:rFonts w:ascii="Times New Roman" w:hAnsi="Times New Roman" w:cs="Times New Roman"/>
                <w:sz w:val="20"/>
                <w:szCs w:val="20"/>
                <w:lang w:val="en-US"/>
              </w:rPr>
            </w:pPr>
          </w:p>
          <w:p w14:paraId="248BBCBA" w14:textId="77777777" w:rsidR="00D317F0" w:rsidRPr="00C04F98" w:rsidRDefault="00D317F0" w:rsidP="007E4584">
            <w:pPr>
              <w:rPr>
                <w:rFonts w:ascii="Times New Roman" w:hAnsi="Times New Roman" w:cs="Times New Roman"/>
                <w:sz w:val="20"/>
                <w:szCs w:val="20"/>
                <w:lang w:val="en-US"/>
              </w:rPr>
            </w:pPr>
          </w:p>
          <w:p w14:paraId="1FD3EF4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22</w:t>
            </w:r>
          </w:p>
          <w:p w14:paraId="209064F8" w14:textId="77777777" w:rsidR="00D317F0" w:rsidRPr="00C04F98" w:rsidRDefault="00D317F0" w:rsidP="007E4584">
            <w:pPr>
              <w:rPr>
                <w:rFonts w:ascii="Times New Roman" w:hAnsi="Times New Roman" w:cs="Times New Roman"/>
                <w:sz w:val="20"/>
                <w:szCs w:val="20"/>
                <w:lang w:val="en-US"/>
              </w:rPr>
            </w:pPr>
          </w:p>
          <w:p w14:paraId="5E7E4B91" w14:textId="77777777" w:rsidR="00D317F0" w:rsidRPr="00C04F98" w:rsidRDefault="00D317F0" w:rsidP="007E4584">
            <w:pPr>
              <w:rPr>
                <w:rFonts w:ascii="Times New Roman" w:hAnsi="Times New Roman" w:cs="Times New Roman"/>
                <w:sz w:val="20"/>
                <w:szCs w:val="20"/>
                <w:lang w:val="en-US"/>
              </w:rPr>
            </w:pPr>
          </w:p>
          <w:p w14:paraId="2E25F2D6" w14:textId="77777777" w:rsidR="00D317F0" w:rsidRPr="00C04F98" w:rsidRDefault="00D317F0" w:rsidP="007E4584">
            <w:pPr>
              <w:rPr>
                <w:rFonts w:ascii="Times New Roman" w:hAnsi="Times New Roman" w:cs="Times New Roman"/>
                <w:sz w:val="20"/>
                <w:szCs w:val="20"/>
                <w:lang w:val="en-US"/>
              </w:rPr>
            </w:pPr>
          </w:p>
          <w:p w14:paraId="00E1CA9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30</w:t>
            </w:r>
          </w:p>
        </w:tc>
      </w:tr>
      <w:tr w:rsidR="00D317F0" w:rsidRPr="00C04F98" w14:paraId="1A44980A" w14:textId="77777777" w:rsidTr="007E4584">
        <w:trPr>
          <w:trHeight w:val="895"/>
        </w:trPr>
        <w:tc>
          <w:tcPr>
            <w:tcW w:w="5387" w:type="dxa"/>
            <w:tcBorders>
              <w:left w:val="nil"/>
              <w:right w:val="nil"/>
            </w:tcBorders>
          </w:tcPr>
          <w:p w14:paraId="329071F0"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Of which:</w:t>
            </w:r>
          </w:p>
          <w:p w14:paraId="6A6FCD3E"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severe </w:t>
            </w:r>
            <w:r>
              <w:rPr>
                <w:rFonts w:ascii="Times New Roman" w:hAnsi="Times New Roman" w:cs="Times New Roman"/>
                <w:sz w:val="20"/>
                <w:szCs w:val="20"/>
                <w:lang w:val="en-US"/>
              </w:rPr>
              <w:t>CC</w:t>
            </w:r>
            <w:r w:rsidRPr="00C04F98">
              <w:rPr>
                <w:rFonts w:ascii="Times New Roman" w:hAnsi="Times New Roman" w:cs="Times New Roman"/>
                <w:sz w:val="20"/>
                <w:szCs w:val="20"/>
                <w:lang w:val="en-US"/>
              </w:rPr>
              <w:t>, n (%)</w:t>
            </w:r>
          </w:p>
          <w:p w14:paraId="5E21A12F"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stable </w:t>
            </w:r>
            <w:r>
              <w:rPr>
                <w:rFonts w:ascii="Times New Roman" w:hAnsi="Times New Roman" w:cs="Times New Roman"/>
                <w:sz w:val="20"/>
                <w:szCs w:val="20"/>
                <w:lang w:val="en-US"/>
              </w:rPr>
              <w:t>CC</w:t>
            </w:r>
            <w:r w:rsidRPr="00C04F98">
              <w:rPr>
                <w:rFonts w:ascii="Times New Roman" w:hAnsi="Times New Roman" w:cs="Times New Roman"/>
                <w:sz w:val="20"/>
                <w:szCs w:val="20"/>
                <w:lang w:val="en-US"/>
              </w:rPr>
              <w:t>, n (%)</w:t>
            </w:r>
          </w:p>
          <w:p w14:paraId="4B3163DC"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complex treatments, n (%)</w:t>
            </w:r>
          </w:p>
        </w:tc>
        <w:tc>
          <w:tcPr>
            <w:tcW w:w="2410" w:type="dxa"/>
            <w:tcBorders>
              <w:left w:val="nil"/>
              <w:right w:val="nil"/>
            </w:tcBorders>
          </w:tcPr>
          <w:p w14:paraId="40D0DC51" w14:textId="77777777" w:rsidR="00D317F0" w:rsidRPr="00C04F98" w:rsidRDefault="00D317F0" w:rsidP="007E4584">
            <w:pPr>
              <w:rPr>
                <w:rFonts w:ascii="Times New Roman" w:hAnsi="Times New Roman" w:cs="Times New Roman"/>
                <w:sz w:val="20"/>
                <w:szCs w:val="20"/>
                <w:lang w:val="en-US"/>
              </w:rPr>
            </w:pPr>
          </w:p>
          <w:p w14:paraId="27A0F0C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79 (70.5)</w:t>
            </w:r>
          </w:p>
          <w:p w14:paraId="64411A7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69 (61.6)</w:t>
            </w:r>
          </w:p>
          <w:p w14:paraId="30A0445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86 (76.8)</w:t>
            </w:r>
          </w:p>
        </w:tc>
        <w:tc>
          <w:tcPr>
            <w:tcW w:w="1178" w:type="dxa"/>
            <w:tcBorders>
              <w:left w:val="nil"/>
              <w:right w:val="nil"/>
            </w:tcBorders>
          </w:tcPr>
          <w:p w14:paraId="0F6A3E35" w14:textId="77777777" w:rsidR="00D317F0" w:rsidRPr="00C04F98" w:rsidRDefault="00D317F0" w:rsidP="007E4584">
            <w:pPr>
              <w:rPr>
                <w:rFonts w:ascii="Times New Roman" w:hAnsi="Times New Roman" w:cs="Times New Roman"/>
                <w:sz w:val="20"/>
                <w:szCs w:val="20"/>
                <w:lang w:val="en-US"/>
              </w:rPr>
            </w:pPr>
          </w:p>
          <w:p w14:paraId="79E13C1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p w14:paraId="50CBFB9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p w14:paraId="3C801F7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tc>
      </w:tr>
      <w:tr w:rsidR="00D317F0" w:rsidRPr="00C04F98" w14:paraId="558630B6" w14:textId="77777777" w:rsidTr="007E4584">
        <w:trPr>
          <w:trHeight w:val="669"/>
        </w:trPr>
        <w:tc>
          <w:tcPr>
            <w:tcW w:w="5387" w:type="dxa"/>
            <w:tcBorders>
              <w:left w:val="nil"/>
              <w:right w:val="nil"/>
            </w:tcBorders>
          </w:tcPr>
          <w:p w14:paraId="54896FC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Length of follow-up before transfer (in years)</w:t>
            </w:r>
          </w:p>
          <w:p w14:paraId="37911AD4" w14:textId="77777777" w:rsidR="00D317F0" w:rsidRPr="00C04F98" w:rsidRDefault="00D317F0" w:rsidP="007E4584">
            <w:pPr>
              <w:ind w:left="113"/>
              <w:rPr>
                <w:rFonts w:ascii="Times New Roman" w:hAnsi="Times New Roman" w:cs="Times New Roman"/>
                <w:sz w:val="20"/>
                <w:szCs w:val="20"/>
                <w:lang w:val="en-US"/>
              </w:rPr>
            </w:pPr>
            <w:r>
              <w:rPr>
                <w:rFonts w:ascii="Times New Roman" w:hAnsi="Times New Roman" w:cs="Times New Roman"/>
                <w:sz w:val="20"/>
                <w:szCs w:val="20"/>
                <w:lang w:val="en-US"/>
              </w:rPr>
              <w:t xml:space="preserve">in </w:t>
            </w:r>
            <w:r w:rsidRPr="00C04F98">
              <w:rPr>
                <w:rFonts w:ascii="Times New Roman" w:hAnsi="Times New Roman" w:cs="Times New Roman"/>
                <w:sz w:val="20"/>
                <w:szCs w:val="20"/>
                <w:lang w:val="en-US"/>
              </w:rPr>
              <w:t>pediatric hospital, mean (SD) (range)</w:t>
            </w:r>
          </w:p>
          <w:p w14:paraId="54BEF714" w14:textId="77777777" w:rsidR="00D317F0" w:rsidRPr="00C04F98" w:rsidRDefault="00D317F0" w:rsidP="007E4584">
            <w:pPr>
              <w:ind w:left="113"/>
              <w:rPr>
                <w:rFonts w:ascii="Times New Roman" w:hAnsi="Times New Roman" w:cs="Times New Roman"/>
                <w:sz w:val="20"/>
                <w:szCs w:val="20"/>
                <w:lang w:val="en-US"/>
              </w:rPr>
            </w:pPr>
            <w:r>
              <w:rPr>
                <w:rFonts w:ascii="Times New Roman" w:hAnsi="Times New Roman" w:cs="Times New Roman"/>
                <w:sz w:val="20"/>
                <w:szCs w:val="20"/>
                <w:lang w:val="en-US"/>
              </w:rPr>
              <w:t xml:space="preserve">with the </w:t>
            </w:r>
            <w:r w:rsidRPr="00C04F98">
              <w:rPr>
                <w:rFonts w:ascii="Times New Roman" w:hAnsi="Times New Roman" w:cs="Times New Roman"/>
                <w:sz w:val="20"/>
                <w:szCs w:val="20"/>
                <w:lang w:val="en-US"/>
              </w:rPr>
              <w:t>GP, mean (SD) (range)</w:t>
            </w:r>
          </w:p>
        </w:tc>
        <w:tc>
          <w:tcPr>
            <w:tcW w:w="2410" w:type="dxa"/>
            <w:tcBorders>
              <w:left w:val="nil"/>
              <w:right w:val="nil"/>
            </w:tcBorders>
          </w:tcPr>
          <w:p w14:paraId="3D199FB8" w14:textId="77777777" w:rsidR="00D317F0" w:rsidRPr="00C04F98" w:rsidRDefault="00D317F0" w:rsidP="007E4584">
            <w:pPr>
              <w:rPr>
                <w:rFonts w:ascii="Times New Roman" w:hAnsi="Times New Roman" w:cs="Times New Roman"/>
                <w:sz w:val="20"/>
                <w:szCs w:val="20"/>
                <w:lang w:val="en-US"/>
              </w:rPr>
            </w:pPr>
          </w:p>
          <w:p w14:paraId="1B112D7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8.8 (5.3) (1.0; 20.5)</w:t>
            </w:r>
          </w:p>
          <w:p w14:paraId="7D08E21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9.2 (5.8) (0.0; 18.7)</w:t>
            </w:r>
          </w:p>
        </w:tc>
        <w:tc>
          <w:tcPr>
            <w:tcW w:w="1178" w:type="dxa"/>
            <w:tcBorders>
              <w:left w:val="nil"/>
              <w:right w:val="nil"/>
            </w:tcBorders>
          </w:tcPr>
          <w:p w14:paraId="58D7C78E" w14:textId="77777777" w:rsidR="00D317F0" w:rsidRPr="00C04F98" w:rsidRDefault="00D317F0" w:rsidP="007E4584">
            <w:pPr>
              <w:rPr>
                <w:rFonts w:ascii="Times New Roman" w:hAnsi="Times New Roman" w:cs="Times New Roman"/>
                <w:sz w:val="20"/>
                <w:szCs w:val="20"/>
                <w:lang w:val="en-US"/>
              </w:rPr>
            </w:pPr>
          </w:p>
          <w:p w14:paraId="690F7C0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p w14:paraId="1215485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75</w:t>
            </w:r>
          </w:p>
        </w:tc>
      </w:tr>
      <w:tr w:rsidR="00D317F0" w:rsidRPr="00C04F98" w14:paraId="452B07B3" w14:textId="77777777" w:rsidTr="007E4584">
        <w:trPr>
          <w:trHeight w:val="886"/>
        </w:trPr>
        <w:tc>
          <w:tcPr>
            <w:tcW w:w="5387" w:type="dxa"/>
            <w:tcBorders>
              <w:left w:val="nil"/>
              <w:right w:val="nil"/>
            </w:tcBorders>
          </w:tcPr>
          <w:p w14:paraId="1807ABE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Regular</w:t>
            </w:r>
            <w:r>
              <w:rPr>
                <w:rFonts w:ascii="Times New Roman" w:hAnsi="Times New Roman" w:cs="Times New Roman"/>
                <w:sz w:val="20"/>
                <w:szCs w:val="20"/>
                <w:lang w:val="en-US"/>
              </w:rPr>
              <w:t>ity of the</w:t>
            </w:r>
            <w:r w:rsidRPr="00C04F98">
              <w:rPr>
                <w:rFonts w:ascii="Times New Roman" w:hAnsi="Times New Roman" w:cs="Times New Roman"/>
                <w:sz w:val="20"/>
                <w:szCs w:val="20"/>
                <w:lang w:val="en-US"/>
              </w:rPr>
              <w:t xml:space="preserve"> follow-up during transition (number of medical appointments in the two years </w:t>
            </w:r>
            <w:r>
              <w:rPr>
                <w:rFonts w:ascii="Times New Roman" w:hAnsi="Times New Roman" w:cs="Times New Roman"/>
                <w:sz w:val="20"/>
                <w:szCs w:val="20"/>
                <w:lang w:val="en-US"/>
              </w:rPr>
              <w:t>preceding the</w:t>
            </w:r>
            <w:r w:rsidRPr="00C04F98">
              <w:rPr>
                <w:rFonts w:ascii="Times New Roman" w:hAnsi="Times New Roman" w:cs="Times New Roman"/>
                <w:sz w:val="20"/>
                <w:szCs w:val="20"/>
                <w:lang w:val="en-US"/>
              </w:rPr>
              <w:t xml:space="preserve"> transfer)</w:t>
            </w:r>
          </w:p>
          <w:p w14:paraId="795AAB6F" w14:textId="77777777" w:rsidR="00D317F0" w:rsidRPr="00C04F98" w:rsidRDefault="00D317F0" w:rsidP="007E4584">
            <w:pPr>
              <w:ind w:left="113"/>
              <w:rPr>
                <w:rFonts w:ascii="Times New Roman" w:hAnsi="Times New Roman" w:cs="Times New Roman"/>
                <w:strike/>
                <w:sz w:val="20"/>
                <w:szCs w:val="20"/>
                <w:lang w:val="en-US"/>
              </w:rPr>
            </w:pPr>
            <w:r>
              <w:rPr>
                <w:rFonts w:ascii="Times New Roman" w:hAnsi="Times New Roman" w:cs="Times New Roman"/>
                <w:sz w:val="20"/>
                <w:szCs w:val="20"/>
                <w:lang w:val="en-US"/>
              </w:rPr>
              <w:t xml:space="preserve">in </w:t>
            </w:r>
            <w:r w:rsidRPr="00C04F98">
              <w:rPr>
                <w:rFonts w:ascii="Times New Roman" w:hAnsi="Times New Roman" w:cs="Times New Roman"/>
                <w:sz w:val="20"/>
                <w:szCs w:val="20"/>
                <w:lang w:val="en-US"/>
              </w:rPr>
              <w:t>pediatric hospital, mean (SD) (range)</w:t>
            </w:r>
          </w:p>
          <w:p w14:paraId="266FBE75" w14:textId="77777777" w:rsidR="00D317F0" w:rsidRPr="00C04F98" w:rsidRDefault="00D317F0" w:rsidP="007E4584">
            <w:pPr>
              <w:ind w:left="113"/>
              <w:rPr>
                <w:rFonts w:ascii="Times New Roman" w:hAnsi="Times New Roman" w:cs="Times New Roman"/>
                <w:sz w:val="20"/>
                <w:szCs w:val="20"/>
                <w:lang w:val="en-US"/>
              </w:rPr>
            </w:pPr>
            <w:r>
              <w:rPr>
                <w:rFonts w:ascii="Times New Roman" w:hAnsi="Times New Roman" w:cs="Times New Roman"/>
                <w:sz w:val="20"/>
                <w:szCs w:val="20"/>
                <w:lang w:val="en-US"/>
              </w:rPr>
              <w:t xml:space="preserve">with the </w:t>
            </w:r>
            <w:r w:rsidRPr="00C04F98">
              <w:rPr>
                <w:rFonts w:ascii="Times New Roman" w:hAnsi="Times New Roman" w:cs="Times New Roman"/>
                <w:sz w:val="20"/>
                <w:szCs w:val="20"/>
                <w:lang w:val="en-US"/>
              </w:rPr>
              <w:t>GP, mean (SD) (range)</w:t>
            </w:r>
          </w:p>
        </w:tc>
        <w:tc>
          <w:tcPr>
            <w:tcW w:w="2410" w:type="dxa"/>
            <w:tcBorders>
              <w:left w:val="nil"/>
              <w:right w:val="nil"/>
            </w:tcBorders>
          </w:tcPr>
          <w:p w14:paraId="27EA4F2B" w14:textId="77777777" w:rsidR="00D317F0" w:rsidRPr="00C04F98" w:rsidRDefault="00D317F0" w:rsidP="007E4584">
            <w:pPr>
              <w:rPr>
                <w:rFonts w:ascii="Times New Roman" w:hAnsi="Times New Roman" w:cs="Times New Roman"/>
                <w:sz w:val="20"/>
                <w:szCs w:val="20"/>
                <w:lang w:val="en-US"/>
              </w:rPr>
            </w:pPr>
          </w:p>
          <w:p w14:paraId="62EBF518" w14:textId="77777777" w:rsidR="00D317F0" w:rsidRPr="00C04F98" w:rsidRDefault="00D317F0" w:rsidP="007E4584">
            <w:pPr>
              <w:rPr>
                <w:rFonts w:ascii="Times New Roman" w:hAnsi="Times New Roman" w:cs="Times New Roman"/>
                <w:sz w:val="20"/>
                <w:szCs w:val="20"/>
                <w:lang w:val="en-US"/>
              </w:rPr>
            </w:pPr>
          </w:p>
          <w:p w14:paraId="112676B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7.7 (5.0) (1.0; 27.0)</w:t>
            </w:r>
          </w:p>
          <w:p w14:paraId="0BA4C13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5.8 (4.9) (1.0; 30.0)</w:t>
            </w:r>
          </w:p>
        </w:tc>
        <w:tc>
          <w:tcPr>
            <w:tcW w:w="1178" w:type="dxa"/>
            <w:tcBorders>
              <w:left w:val="nil"/>
              <w:right w:val="nil"/>
            </w:tcBorders>
          </w:tcPr>
          <w:p w14:paraId="4A943A8F" w14:textId="77777777" w:rsidR="00D317F0" w:rsidRPr="00C04F98" w:rsidRDefault="00D317F0" w:rsidP="007E4584">
            <w:pPr>
              <w:rPr>
                <w:rFonts w:ascii="Times New Roman" w:hAnsi="Times New Roman" w:cs="Times New Roman"/>
                <w:sz w:val="20"/>
                <w:szCs w:val="20"/>
                <w:lang w:val="en-US"/>
              </w:rPr>
            </w:pPr>
          </w:p>
          <w:p w14:paraId="33975DE9" w14:textId="77777777" w:rsidR="00D317F0" w:rsidRPr="00C04F98" w:rsidRDefault="00D317F0" w:rsidP="007E4584">
            <w:pPr>
              <w:rPr>
                <w:rFonts w:ascii="Times New Roman" w:hAnsi="Times New Roman" w:cs="Times New Roman"/>
                <w:sz w:val="20"/>
                <w:szCs w:val="20"/>
                <w:lang w:val="en-US"/>
              </w:rPr>
            </w:pPr>
          </w:p>
          <w:p w14:paraId="50FA84F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p w14:paraId="35CAEE76"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78</w:t>
            </w:r>
          </w:p>
        </w:tc>
      </w:tr>
      <w:tr w:rsidR="00D317F0" w:rsidRPr="00C04F98" w14:paraId="296E07C0" w14:textId="77777777" w:rsidTr="007E4584">
        <w:trPr>
          <w:trHeight w:val="226"/>
        </w:trPr>
        <w:tc>
          <w:tcPr>
            <w:tcW w:w="5387" w:type="dxa"/>
            <w:tcBorders>
              <w:left w:val="nil"/>
              <w:right w:val="nil"/>
            </w:tcBorders>
          </w:tcPr>
          <w:p w14:paraId="1ED327E9" w14:textId="77777777" w:rsidR="00D317F0" w:rsidRPr="00C04F98" w:rsidRDefault="00D317F0" w:rsidP="007E4584">
            <w:pPr>
              <w:rPr>
                <w:rFonts w:ascii="Times New Roman" w:hAnsi="Times New Roman" w:cs="Times New Roman"/>
                <w:b/>
                <w:bCs/>
                <w:sz w:val="20"/>
                <w:szCs w:val="20"/>
                <w:lang w:val="en-US"/>
              </w:rPr>
            </w:pPr>
            <w:r w:rsidRPr="00C04F98">
              <w:rPr>
                <w:rFonts w:ascii="Times New Roman" w:hAnsi="Times New Roman" w:cs="Times New Roman"/>
                <w:sz w:val="20"/>
                <w:szCs w:val="20"/>
                <w:lang w:val="en-US"/>
              </w:rPr>
              <w:t xml:space="preserve">Adherence to hospital-based monitoring during transition, n (%) </w:t>
            </w:r>
          </w:p>
        </w:tc>
        <w:tc>
          <w:tcPr>
            <w:tcW w:w="2410" w:type="dxa"/>
            <w:tcBorders>
              <w:left w:val="nil"/>
              <w:right w:val="nil"/>
            </w:tcBorders>
          </w:tcPr>
          <w:p w14:paraId="25AECCD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82 (73.2)</w:t>
            </w:r>
          </w:p>
        </w:tc>
        <w:tc>
          <w:tcPr>
            <w:tcW w:w="1178" w:type="dxa"/>
            <w:tcBorders>
              <w:left w:val="nil"/>
              <w:right w:val="nil"/>
            </w:tcBorders>
          </w:tcPr>
          <w:p w14:paraId="3DF6357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tc>
      </w:tr>
      <w:tr w:rsidR="00D317F0" w:rsidRPr="00C04F98" w14:paraId="187943DF" w14:textId="77777777" w:rsidTr="007E4584">
        <w:trPr>
          <w:trHeight w:val="226"/>
        </w:trPr>
        <w:tc>
          <w:tcPr>
            <w:tcW w:w="5387" w:type="dxa"/>
            <w:tcBorders>
              <w:left w:val="nil"/>
              <w:right w:val="nil"/>
            </w:tcBorders>
          </w:tcPr>
          <w:p w14:paraId="7D2C0B5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Number of </w:t>
            </w:r>
            <w:r>
              <w:rPr>
                <w:rFonts w:ascii="Times New Roman" w:hAnsi="Times New Roman" w:cs="Times New Roman"/>
                <w:sz w:val="20"/>
                <w:szCs w:val="20"/>
                <w:lang w:val="en-US"/>
              </w:rPr>
              <w:t xml:space="preserve">hospital </w:t>
            </w:r>
            <w:r w:rsidRPr="00C04F98">
              <w:rPr>
                <w:rFonts w:ascii="Times New Roman" w:hAnsi="Times New Roman" w:cs="Times New Roman"/>
                <w:sz w:val="20"/>
                <w:szCs w:val="20"/>
                <w:lang w:val="en-US"/>
              </w:rPr>
              <w:t>appointments missed or canceled</w:t>
            </w:r>
            <w:r>
              <w:rPr>
                <w:rFonts w:ascii="Times New Roman" w:hAnsi="Times New Roman" w:cs="Times New Roman"/>
                <w:sz w:val="20"/>
                <w:szCs w:val="20"/>
                <w:lang w:val="en-US"/>
              </w:rPr>
              <w:t xml:space="preserve"> per AYA </w:t>
            </w:r>
            <w:r w:rsidRPr="00C04F98">
              <w:rPr>
                <w:rFonts w:ascii="Times New Roman" w:hAnsi="Times New Roman" w:cs="Times New Roman"/>
                <w:sz w:val="20"/>
                <w:szCs w:val="20"/>
                <w:lang w:val="en-US"/>
              </w:rPr>
              <w:t>during the two years before transfer, mean (SD) (range)</w:t>
            </w:r>
          </w:p>
        </w:tc>
        <w:tc>
          <w:tcPr>
            <w:tcW w:w="2410" w:type="dxa"/>
            <w:tcBorders>
              <w:left w:val="nil"/>
              <w:right w:val="nil"/>
            </w:tcBorders>
          </w:tcPr>
          <w:p w14:paraId="1DBC0A7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1.25 (1.7) (0; 10)</w:t>
            </w:r>
          </w:p>
        </w:tc>
        <w:tc>
          <w:tcPr>
            <w:tcW w:w="1178" w:type="dxa"/>
            <w:tcBorders>
              <w:left w:val="nil"/>
              <w:right w:val="nil"/>
            </w:tcBorders>
          </w:tcPr>
          <w:p w14:paraId="51E9FC1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tc>
      </w:tr>
      <w:tr w:rsidR="00D317F0" w:rsidRPr="00C04F98" w14:paraId="58756504" w14:textId="77777777" w:rsidTr="007E4584">
        <w:trPr>
          <w:trHeight w:val="678"/>
        </w:trPr>
        <w:tc>
          <w:tcPr>
            <w:tcW w:w="5387" w:type="dxa"/>
            <w:tcBorders>
              <w:left w:val="nil"/>
              <w:right w:val="nil"/>
            </w:tcBorders>
          </w:tcPr>
          <w:p w14:paraId="7F2D6DF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Written up to date medical summery</w:t>
            </w:r>
            <w:r>
              <w:rPr>
                <w:rFonts w:ascii="Times New Roman" w:hAnsi="Times New Roman" w:cs="Times New Roman"/>
                <w:sz w:val="20"/>
                <w:szCs w:val="20"/>
                <w:lang w:val="en-US"/>
              </w:rPr>
              <w:t xml:space="preserve"> (</w:t>
            </w:r>
            <w:r w:rsidRPr="002A2EEF">
              <w:rPr>
                <w:rFonts w:ascii="Times New Roman" w:hAnsi="Times New Roman" w:cs="Times New Roman"/>
                <w:sz w:val="20"/>
                <w:szCs w:val="20"/>
                <w:lang w:val="en-US"/>
              </w:rPr>
              <w:t>discharge letter</w:t>
            </w:r>
            <w:r>
              <w:rPr>
                <w:rFonts w:ascii="Times New Roman" w:hAnsi="Times New Roman" w:cs="Times New Roman"/>
                <w:sz w:val="20"/>
                <w:szCs w:val="20"/>
                <w:lang w:val="en-US"/>
              </w:rPr>
              <w:t>)</w:t>
            </w:r>
          </w:p>
          <w:p w14:paraId="0CE19B05"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present, n (%)</w:t>
            </w:r>
          </w:p>
          <w:p w14:paraId="4604B81A" w14:textId="77777777" w:rsidR="00D317F0" w:rsidRPr="007B21F2"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send to GPs, n (%)</w:t>
            </w:r>
          </w:p>
        </w:tc>
        <w:tc>
          <w:tcPr>
            <w:tcW w:w="2410" w:type="dxa"/>
            <w:tcBorders>
              <w:left w:val="nil"/>
              <w:right w:val="nil"/>
            </w:tcBorders>
          </w:tcPr>
          <w:p w14:paraId="3E179A82" w14:textId="77777777" w:rsidR="00D317F0" w:rsidRPr="004546DC" w:rsidRDefault="00D317F0" w:rsidP="007E4584">
            <w:pPr>
              <w:rPr>
                <w:rFonts w:ascii="Times New Roman" w:hAnsi="Times New Roman" w:cs="Times New Roman"/>
                <w:sz w:val="20"/>
                <w:szCs w:val="20"/>
                <w:lang w:val="en-US"/>
              </w:rPr>
            </w:pPr>
          </w:p>
          <w:p w14:paraId="2A8F37A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100 (89.3)</w:t>
            </w:r>
          </w:p>
          <w:p w14:paraId="5356037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65 (58.0)</w:t>
            </w:r>
          </w:p>
        </w:tc>
        <w:tc>
          <w:tcPr>
            <w:tcW w:w="1178" w:type="dxa"/>
            <w:tcBorders>
              <w:left w:val="nil"/>
              <w:right w:val="nil"/>
            </w:tcBorders>
          </w:tcPr>
          <w:p w14:paraId="25D0B0BF" w14:textId="77777777" w:rsidR="00D317F0" w:rsidRPr="00C04F98" w:rsidRDefault="00D317F0" w:rsidP="007E4584">
            <w:pPr>
              <w:rPr>
                <w:rFonts w:ascii="Times New Roman" w:hAnsi="Times New Roman" w:cs="Times New Roman"/>
                <w:sz w:val="20"/>
                <w:szCs w:val="20"/>
                <w:lang w:val="en-US"/>
              </w:rPr>
            </w:pPr>
          </w:p>
          <w:p w14:paraId="52195D2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p w14:paraId="3217DC9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112</w:t>
            </w:r>
          </w:p>
        </w:tc>
      </w:tr>
    </w:tbl>
    <w:p w14:paraId="5D8F1282" w14:textId="77777777" w:rsidR="00D317F0" w:rsidRPr="00C04F98" w:rsidRDefault="00D317F0" w:rsidP="00D317F0">
      <w:pPr>
        <w:spacing w:after="120" w:line="259" w:lineRule="auto"/>
        <w:jc w:val="both"/>
        <w:rPr>
          <w:rFonts w:ascii="Times New Roman" w:hAnsi="Times New Roman" w:cs="Times New Roman"/>
          <w:sz w:val="20"/>
          <w:szCs w:val="20"/>
          <w:lang w:val="en-US"/>
        </w:rPr>
      </w:pPr>
    </w:p>
    <w:tbl>
      <w:tblPr>
        <w:tblStyle w:val="Grilledutableau"/>
        <w:tblW w:w="91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820"/>
        <w:gridCol w:w="1701"/>
        <w:gridCol w:w="709"/>
        <w:gridCol w:w="1417"/>
        <w:gridCol w:w="533"/>
      </w:tblGrid>
      <w:tr w:rsidR="00D317F0" w:rsidRPr="00195268" w14:paraId="49023EB5" w14:textId="77777777" w:rsidTr="007E4584">
        <w:tc>
          <w:tcPr>
            <w:tcW w:w="9180" w:type="dxa"/>
            <w:gridSpan w:val="5"/>
          </w:tcPr>
          <w:p w14:paraId="54C5F2D9" w14:textId="77777777" w:rsidR="00D317F0" w:rsidRPr="00C04F98" w:rsidRDefault="00D317F0" w:rsidP="007E4584">
            <w:pPr>
              <w:rPr>
                <w:rFonts w:ascii="Times New Roman" w:hAnsi="Times New Roman" w:cs="Times New Roman"/>
                <w:b/>
                <w:sz w:val="20"/>
                <w:szCs w:val="20"/>
                <w:lang w:val="en-US"/>
              </w:rPr>
            </w:pPr>
            <w:r w:rsidRPr="00C04F98">
              <w:rPr>
                <w:rFonts w:ascii="Times New Roman" w:hAnsi="Times New Roman" w:cs="Times New Roman"/>
                <w:b/>
                <w:color w:val="131313"/>
                <w:sz w:val="20"/>
                <w:szCs w:val="20"/>
                <w:lang w:val="en-US"/>
              </w:rPr>
              <w:t xml:space="preserve">Table </w:t>
            </w:r>
            <w:r>
              <w:rPr>
                <w:rFonts w:ascii="Times New Roman" w:hAnsi="Times New Roman" w:cs="Times New Roman"/>
                <w:b/>
                <w:color w:val="131313"/>
                <w:sz w:val="20"/>
                <w:szCs w:val="20"/>
                <w:lang w:val="en-US"/>
              </w:rPr>
              <w:t>2</w:t>
            </w:r>
            <w:r w:rsidRPr="00C04F98">
              <w:rPr>
                <w:rFonts w:ascii="Times New Roman" w:hAnsi="Times New Roman" w:cs="Times New Roman"/>
                <w:b/>
                <w:color w:val="131313"/>
                <w:sz w:val="20"/>
                <w:szCs w:val="20"/>
                <w:lang w:val="en-US"/>
              </w:rPr>
              <w:t>. Sample characteristics of general practitioners</w:t>
            </w:r>
          </w:p>
        </w:tc>
      </w:tr>
      <w:tr w:rsidR="00D317F0" w:rsidRPr="00C04F98" w14:paraId="405EF30B" w14:textId="77777777" w:rsidTr="007E4584">
        <w:tc>
          <w:tcPr>
            <w:tcW w:w="4820" w:type="dxa"/>
          </w:tcPr>
          <w:p w14:paraId="762C715B" w14:textId="77777777" w:rsidR="00D317F0" w:rsidRPr="00C04F98" w:rsidRDefault="00D317F0" w:rsidP="007E4584">
            <w:pPr>
              <w:rPr>
                <w:rFonts w:ascii="Times New Roman" w:hAnsi="Times New Roman" w:cs="Times New Roman"/>
                <w:sz w:val="20"/>
                <w:szCs w:val="20"/>
                <w:lang w:val="en-US"/>
              </w:rPr>
            </w:pPr>
          </w:p>
        </w:tc>
        <w:tc>
          <w:tcPr>
            <w:tcW w:w="2410" w:type="dxa"/>
            <w:gridSpan w:val="2"/>
          </w:tcPr>
          <w:p w14:paraId="22059477" w14:textId="0ED09CF8" w:rsidR="00D317F0" w:rsidRPr="00C04F98" w:rsidRDefault="00D317F0" w:rsidP="007E4584">
            <w:pPr>
              <w:jc w:val="center"/>
              <w:rPr>
                <w:rFonts w:ascii="Times New Roman" w:hAnsi="Times New Roman" w:cs="Times New Roman"/>
                <w:sz w:val="20"/>
                <w:szCs w:val="20"/>
                <w:lang w:val="en-US"/>
              </w:rPr>
            </w:pPr>
            <w:r w:rsidRPr="00C04F98">
              <w:rPr>
                <w:rFonts w:ascii="Times New Roman" w:hAnsi="Times New Roman" w:cs="Times New Roman"/>
                <w:sz w:val="20"/>
                <w:szCs w:val="20"/>
                <w:lang w:val="en-US"/>
              </w:rPr>
              <w:t>Quan</w:t>
            </w:r>
            <w:r w:rsidR="00A93C60">
              <w:rPr>
                <w:rFonts w:ascii="Times New Roman" w:hAnsi="Times New Roman" w:cs="Times New Roman"/>
                <w:sz w:val="20"/>
                <w:szCs w:val="20"/>
                <w:lang w:val="en-US"/>
              </w:rPr>
              <w:t>tit</w:t>
            </w:r>
            <w:r w:rsidRPr="00C04F98">
              <w:rPr>
                <w:rFonts w:ascii="Times New Roman" w:hAnsi="Times New Roman" w:cs="Times New Roman"/>
                <w:sz w:val="20"/>
                <w:szCs w:val="20"/>
                <w:lang w:val="en-US"/>
              </w:rPr>
              <w:t>ative data</w:t>
            </w:r>
          </w:p>
        </w:tc>
        <w:tc>
          <w:tcPr>
            <w:tcW w:w="1950" w:type="dxa"/>
            <w:gridSpan w:val="2"/>
          </w:tcPr>
          <w:p w14:paraId="4B1D5BFE" w14:textId="77777777" w:rsidR="00D317F0" w:rsidRPr="00C04F98" w:rsidRDefault="00D317F0" w:rsidP="007E4584">
            <w:pPr>
              <w:jc w:val="center"/>
              <w:rPr>
                <w:rFonts w:ascii="Times New Roman" w:hAnsi="Times New Roman" w:cs="Times New Roman"/>
                <w:sz w:val="20"/>
                <w:szCs w:val="20"/>
                <w:lang w:val="en-US"/>
              </w:rPr>
            </w:pPr>
            <w:r w:rsidRPr="00C04F98">
              <w:rPr>
                <w:rFonts w:ascii="Times New Roman" w:hAnsi="Times New Roman" w:cs="Times New Roman"/>
                <w:sz w:val="20"/>
                <w:szCs w:val="20"/>
                <w:lang w:val="en-US"/>
              </w:rPr>
              <w:t>Qualitative data</w:t>
            </w:r>
          </w:p>
        </w:tc>
      </w:tr>
      <w:tr w:rsidR="00D317F0" w:rsidRPr="00C04F98" w14:paraId="3606DF4F" w14:textId="77777777" w:rsidTr="007E4584">
        <w:tc>
          <w:tcPr>
            <w:tcW w:w="4820" w:type="dxa"/>
          </w:tcPr>
          <w:p w14:paraId="159EC9A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Characteristics</w:t>
            </w:r>
          </w:p>
        </w:tc>
        <w:tc>
          <w:tcPr>
            <w:tcW w:w="1701" w:type="dxa"/>
          </w:tcPr>
          <w:p w14:paraId="07AC0C8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n (%) or mean (SD) (range)</w:t>
            </w:r>
          </w:p>
        </w:tc>
        <w:tc>
          <w:tcPr>
            <w:tcW w:w="709" w:type="dxa"/>
          </w:tcPr>
          <w:p w14:paraId="6E6860BD"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AD</w:t>
            </w:r>
          </w:p>
        </w:tc>
        <w:tc>
          <w:tcPr>
            <w:tcW w:w="1417" w:type="dxa"/>
          </w:tcPr>
          <w:p w14:paraId="3554357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n (%) or mean (SD) (range)</w:t>
            </w:r>
          </w:p>
        </w:tc>
        <w:tc>
          <w:tcPr>
            <w:tcW w:w="533" w:type="dxa"/>
          </w:tcPr>
          <w:p w14:paraId="7A94B594"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AD</w:t>
            </w:r>
          </w:p>
        </w:tc>
      </w:tr>
      <w:tr w:rsidR="00D317F0" w:rsidRPr="00C04F98" w14:paraId="5EA3EDE3" w14:textId="77777777" w:rsidTr="007E4584">
        <w:tc>
          <w:tcPr>
            <w:tcW w:w="4820" w:type="dxa"/>
          </w:tcPr>
          <w:p w14:paraId="40B1ACF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Total</w:t>
            </w:r>
          </w:p>
        </w:tc>
        <w:tc>
          <w:tcPr>
            <w:tcW w:w="1701" w:type="dxa"/>
          </w:tcPr>
          <w:p w14:paraId="7B44922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102 (100 %)</w:t>
            </w:r>
          </w:p>
        </w:tc>
        <w:tc>
          <w:tcPr>
            <w:tcW w:w="709" w:type="dxa"/>
          </w:tcPr>
          <w:p w14:paraId="10A8FFDA" w14:textId="77777777" w:rsidR="00D317F0" w:rsidRPr="00C04F98" w:rsidRDefault="00D317F0" w:rsidP="007E4584">
            <w:pPr>
              <w:rPr>
                <w:rFonts w:ascii="Times New Roman" w:hAnsi="Times New Roman" w:cs="Times New Roman"/>
                <w:sz w:val="20"/>
                <w:szCs w:val="20"/>
                <w:lang w:val="en-US"/>
              </w:rPr>
            </w:pPr>
          </w:p>
        </w:tc>
        <w:tc>
          <w:tcPr>
            <w:tcW w:w="1417" w:type="dxa"/>
          </w:tcPr>
          <w:p w14:paraId="3E6BFB8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 (100 %)</w:t>
            </w:r>
          </w:p>
        </w:tc>
        <w:tc>
          <w:tcPr>
            <w:tcW w:w="533" w:type="dxa"/>
          </w:tcPr>
          <w:p w14:paraId="4F9D3FC3" w14:textId="77777777" w:rsidR="00D317F0" w:rsidRPr="00C04F98" w:rsidRDefault="00D317F0" w:rsidP="007E4584">
            <w:pPr>
              <w:rPr>
                <w:rFonts w:ascii="Times New Roman" w:hAnsi="Times New Roman" w:cs="Times New Roman"/>
                <w:sz w:val="20"/>
                <w:szCs w:val="20"/>
                <w:lang w:val="en-US"/>
              </w:rPr>
            </w:pPr>
          </w:p>
        </w:tc>
      </w:tr>
      <w:tr w:rsidR="00D317F0" w:rsidRPr="00C04F98" w14:paraId="6C6B562C" w14:textId="77777777" w:rsidTr="007E4584">
        <w:tc>
          <w:tcPr>
            <w:tcW w:w="4820" w:type="dxa"/>
          </w:tcPr>
          <w:p w14:paraId="51E9F355" w14:textId="77777777" w:rsidR="00D317F0" w:rsidRPr="00C04F98" w:rsidRDefault="00D317F0" w:rsidP="007E4584">
            <w:pPr>
              <w:rPr>
                <w:rFonts w:ascii="Times New Roman" w:hAnsi="Times New Roman" w:cs="Times New Roman"/>
                <w:sz w:val="20"/>
                <w:szCs w:val="20"/>
              </w:rPr>
            </w:pPr>
            <w:r w:rsidRPr="00C04F98">
              <w:rPr>
                <w:rFonts w:ascii="Times New Roman" w:hAnsi="Times New Roman" w:cs="Times New Roman"/>
                <w:sz w:val="20"/>
                <w:szCs w:val="20"/>
              </w:rPr>
              <w:t>Attending GPs (</w:t>
            </w:r>
            <w:r w:rsidRPr="00592855">
              <w:rPr>
                <w:rFonts w:ascii="Times New Roman" w:hAnsi="Times New Roman" w:cs="Times New Roman"/>
                <w:i/>
                <w:iCs/>
                <w:sz w:val="20"/>
                <w:szCs w:val="20"/>
              </w:rPr>
              <w:t>médecins traitants</w:t>
            </w:r>
            <w:r w:rsidRPr="00C04F98">
              <w:rPr>
                <w:rFonts w:ascii="Times New Roman" w:hAnsi="Times New Roman" w:cs="Times New Roman"/>
                <w:sz w:val="20"/>
                <w:szCs w:val="20"/>
              </w:rPr>
              <w:t>), n (%)</w:t>
            </w:r>
          </w:p>
        </w:tc>
        <w:tc>
          <w:tcPr>
            <w:tcW w:w="1701" w:type="dxa"/>
          </w:tcPr>
          <w:p w14:paraId="1728E3D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53 (60.9)</w:t>
            </w:r>
          </w:p>
        </w:tc>
        <w:tc>
          <w:tcPr>
            <w:tcW w:w="709" w:type="dxa"/>
          </w:tcPr>
          <w:p w14:paraId="16BA62E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87</w:t>
            </w:r>
          </w:p>
        </w:tc>
        <w:tc>
          <w:tcPr>
            <w:tcW w:w="1417" w:type="dxa"/>
          </w:tcPr>
          <w:p w14:paraId="0771656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21 (77.8)</w:t>
            </w:r>
          </w:p>
        </w:tc>
        <w:tc>
          <w:tcPr>
            <w:tcW w:w="533" w:type="dxa"/>
          </w:tcPr>
          <w:p w14:paraId="244B00D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w:t>
            </w:r>
          </w:p>
        </w:tc>
      </w:tr>
      <w:tr w:rsidR="00D317F0" w:rsidRPr="00C04F98" w14:paraId="65DAB602" w14:textId="77777777" w:rsidTr="007E4584">
        <w:tc>
          <w:tcPr>
            <w:tcW w:w="4820" w:type="dxa"/>
          </w:tcPr>
          <w:p w14:paraId="6CD5C6A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No attending and no referring GPs, n (%)</w:t>
            </w:r>
          </w:p>
        </w:tc>
        <w:tc>
          <w:tcPr>
            <w:tcW w:w="1701" w:type="dxa"/>
          </w:tcPr>
          <w:p w14:paraId="6033BBE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30 (34.9)</w:t>
            </w:r>
          </w:p>
        </w:tc>
        <w:tc>
          <w:tcPr>
            <w:tcW w:w="709" w:type="dxa"/>
          </w:tcPr>
          <w:p w14:paraId="3BBB894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86</w:t>
            </w:r>
          </w:p>
        </w:tc>
        <w:tc>
          <w:tcPr>
            <w:tcW w:w="1417" w:type="dxa"/>
          </w:tcPr>
          <w:p w14:paraId="248DF07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 (18.5)</w:t>
            </w:r>
          </w:p>
        </w:tc>
        <w:tc>
          <w:tcPr>
            <w:tcW w:w="533" w:type="dxa"/>
          </w:tcPr>
          <w:p w14:paraId="744DC06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w:t>
            </w:r>
          </w:p>
        </w:tc>
      </w:tr>
      <w:tr w:rsidR="00D317F0" w:rsidRPr="00C04F98" w14:paraId="772D0FC6" w14:textId="77777777" w:rsidTr="007E4584">
        <w:tc>
          <w:tcPr>
            <w:tcW w:w="4820" w:type="dxa"/>
          </w:tcPr>
          <w:p w14:paraId="12856A55" w14:textId="77777777" w:rsidR="00D317F0" w:rsidRPr="00A46CF4" w:rsidRDefault="00D317F0" w:rsidP="007E4584">
            <w:pPr>
              <w:rPr>
                <w:rFonts w:ascii="Times New Roman" w:hAnsi="Times New Roman" w:cs="Times New Roman"/>
                <w:sz w:val="20"/>
                <w:szCs w:val="20"/>
                <w:lang w:val="en-US"/>
              </w:rPr>
            </w:pPr>
            <w:r w:rsidRPr="00A46CF4">
              <w:rPr>
                <w:rFonts w:ascii="Times New Roman" w:hAnsi="Times New Roman" w:cs="Times New Roman"/>
                <w:sz w:val="20"/>
                <w:szCs w:val="20"/>
                <w:lang w:val="en-US"/>
              </w:rPr>
              <w:t>GPs of reference (</w:t>
            </w:r>
            <w:r w:rsidRPr="00592855">
              <w:rPr>
                <w:rFonts w:ascii="Times New Roman" w:hAnsi="Times New Roman" w:cs="Times New Roman"/>
                <w:i/>
                <w:iCs/>
                <w:sz w:val="20"/>
                <w:szCs w:val="20"/>
                <w:lang w:val="en-US"/>
              </w:rPr>
              <w:t>médecins référents</w:t>
            </w:r>
            <w:r w:rsidRPr="00A46CF4">
              <w:rPr>
                <w:rFonts w:ascii="Times New Roman" w:hAnsi="Times New Roman" w:cs="Times New Roman"/>
                <w:sz w:val="20"/>
                <w:szCs w:val="20"/>
                <w:lang w:val="en-US"/>
              </w:rPr>
              <w:t>), n (%)</w:t>
            </w:r>
          </w:p>
          <w:p w14:paraId="234CFF2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Involvement </w:t>
            </w:r>
            <w:r w:rsidRPr="007B74B6">
              <w:rPr>
                <w:rFonts w:ascii="Times New Roman" w:hAnsi="Times New Roman" w:cs="Times New Roman"/>
                <w:sz w:val="20"/>
                <w:szCs w:val="20"/>
                <w:lang w:val="en-US"/>
              </w:rPr>
              <w:t>in AYA's CC management</w:t>
            </w:r>
          </w:p>
          <w:p w14:paraId="5BE5E89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Involvement in the transfer to adult </w:t>
            </w:r>
            <w:r>
              <w:rPr>
                <w:rFonts w:ascii="Times New Roman" w:hAnsi="Times New Roman" w:cs="Times New Roman"/>
                <w:sz w:val="20"/>
                <w:szCs w:val="20"/>
                <w:lang w:val="en-US"/>
              </w:rPr>
              <w:t>health care</w:t>
            </w:r>
          </w:p>
          <w:p w14:paraId="1E19C0A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    </w:t>
            </w:r>
            <w:r>
              <w:rPr>
                <w:rFonts w:ascii="Times New Roman" w:hAnsi="Times New Roman" w:cs="Times New Roman"/>
                <w:sz w:val="20"/>
                <w:szCs w:val="20"/>
                <w:lang w:val="en-US"/>
              </w:rPr>
              <w:t>existing communication</w:t>
            </w:r>
            <w:r w:rsidRPr="00C04F98">
              <w:rPr>
                <w:rFonts w:ascii="Times New Roman" w:hAnsi="Times New Roman" w:cs="Times New Roman"/>
                <w:sz w:val="20"/>
                <w:szCs w:val="20"/>
                <w:lang w:val="en-US"/>
              </w:rPr>
              <w:t xml:space="preserve"> between </w:t>
            </w:r>
            <w:r>
              <w:rPr>
                <w:rFonts w:ascii="Times New Roman" w:hAnsi="Times New Roman" w:cs="Times New Roman"/>
                <w:sz w:val="20"/>
                <w:szCs w:val="20"/>
                <w:lang w:val="en-US"/>
              </w:rPr>
              <w:t>GPOR</w:t>
            </w:r>
            <w:r w:rsidRPr="00C04F98">
              <w:rPr>
                <w:rFonts w:ascii="Times New Roman" w:hAnsi="Times New Roman" w:cs="Times New Roman"/>
                <w:sz w:val="20"/>
                <w:szCs w:val="20"/>
                <w:lang w:val="en-US"/>
              </w:rPr>
              <w:t>s and hospital</w:t>
            </w:r>
          </w:p>
          <w:p w14:paraId="5CFFA20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    troubles due to a lack of </w:t>
            </w:r>
            <w:r>
              <w:rPr>
                <w:rFonts w:ascii="Times New Roman" w:hAnsi="Times New Roman" w:cs="Times New Roman"/>
                <w:sz w:val="20"/>
                <w:szCs w:val="20"/>
                <w:lang w:val="en-US"/>
              </w:rPr>
              <w:t>health care</w:t>
            </w:r>
            <w:r w:rsidRPr="00C04F98">
              <w:rPr>
                <w:rFonts w:ascii="Times New Roman" w:hAnsi="Times New Roman" w:cs="Times New Roman"/>
                <w:sz w:val="20"/>
                <w:szCs w:val="20"/>
                <w:lang w:val="en-US"/>
              </w:rPr>
              <w:t xml:space="preserve"> data</w:t>
            </w:r>
          </w:p>
          <w:p w14:paraId="55F8A41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    the need to call a hospital practitioner</w:t>
            </w:r>
          </w:p>
          <w:p w14:paraId="3EBBD841"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CCs</w:t>
            </w:r>
            <w:r w:rsidRPr="00C04F98">
              <w:rPr>
                <w:rFonts w:ascii="Times New Roman" w:hAnsi="Times New Roman" w:cs="Times New Roman"/>
                <w:sz w:val="20"/>
                <w:szCs w:val="20"/>
                <w:lang w:val="en-US"/>
              </w:rPr>
              <w:t xml:space="preserve"> follow-up by the </w:t>
            </w:r>
            <w:r>
              <w:rPr>
                <w:rFonts w:ascii="Times New Roman" w:hAnsi="Times New Roman" w:cs="Times New Roman"/>
                <w:sz w:val="20"/>
                <w:szCs w:val="20"/>
                <w:lang w:val="en-US"/>
              </w:rPr>
              <w:t>GPOR</w:t>
            </w:r>
            <w:r w:rsidRPr="00C04F98">
              <w:rPr>
                <w:rFonts w:ascii="Times New Roman" w:hAnsi="Times New Roman" w:cs="Times New Roman"/>
                <w:sz w:val="20"/>
                <w:szCs w:val="20"/>
                <w:lang w:val="en-US"/>
              </w:rPr>
              <w:t>s</w:t>
            </w:r>
          </w:p>
          <w:p w14:paraId="4763FD8B"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diabetes mellitus</w:t>
            </w:r>
          </w:p>
          <w:p w14:paraId="6202A5B8"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inflammatory bowel disease</w:t>
            </w:r>
          </w:p>
          <w:p w14:paraId="1A9C7716"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epilepsy</w:t>
            </w:r>
          </w:p>
          <w:p w14:paraId="7F914867"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sickle cell anemia</w:t>
            </w:r>
          </w:p>
          <w:p w14:paraId="0393873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Reasons of the last two consultations</w:t>
            </w:r>
          </w:p>
          <w:p w14:paraId="4DB6FCC1" w14:textId="77777777" w:rsidR="00D317F0"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chronic</w:t>
            </w:r>
            <w:r>
              <w:rPr>
                <w:rFonts w:ascii="Times New Roman" w:hAnsi="Times New Roman" w:cs="Times New Roman"/>
                <w:sz w:val="20"/>
                <w:szCs w:val="20"/>
                <w:lang w:val="en-US"/>
              </w:rPr>
              <w:t xml:space="preserve"> condition</w:t>
            </w:r>
          </w:p>
          <w:p w14:paraId="000B65AA"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intercurrent infection</w:t>
            </w:r>
          </w:p>
          <w:p w14:paraId="5047CD4D"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prevention</w:t>
            </w:r>
          </w:p>
          <w:p w14:paraId="6D9BD2B2"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other</w:t>
            </w:r>
          </w:p>
        </w:tc>
        <w:tc>
          <w:tcPr>
            <w:tcW w:w="1701" w:type="dxa"/>
          </w:tcPr>
          <w:p w14:paraId="0DEEE85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54 (57.4)</w:t>
            </w:r>
          </w:p>
          <w:p w14:paraId="2153CD7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18 (35.3)</w:t>
            </w:r>
          </w:p>
          <w:p w14:paraId="26FEE84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 (4.3)</w:t>
            </w:r>
          </w:p>
          <w:p w14:paraId="1C21207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40 (81.6)</w:t>
            </w:r>
          </w:p>
          <w:p w14:paraId="3DE8468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 (8.9)</w:t>
            </w:r>
          </w:p>
          <w:p w14:paraId="12E7AC0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 (4.9)</w:t>
            </w:r>
          </w:p>
          <w:p w14:paraId="5CC028DE" w14:textId="77777777" w:rsidR="00D317F0" w:rsidRPr="00C04F98" w:rsidRDefault="00D317F0" w:rsidP="007E4584">
            <w:pPr>
              <w:rPr>
                <w:rFonts w:ascii="Times New Roman" w:hAnsi="Times New Roman" w:cs="Times New Roman"/>
                <w:sz w:val="20"/>
                <w:szCs w:val="20"/>
                <w:lang w:val="en-US"/>
              </w:rPr>
            </w:pPr>
          </w:p>
          <w:p w14:paraId="52ECA4B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17 (31.5)</w:t>
            </w:r>
          </w:p>
          <w:p w14:paraId="5B76DE2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16 (29.6)</w:t>
            </w:r>
          </w:p>
          <w:p w14:paraId="7A36A0A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 (11.1)</w:t>
            </w:r>
          </w:p>
          <w:p w14:paraId="1CBD9F2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15 (27.8)</w:t>
            </w:r>
          </w:p>
          <w:p w14:paraId="319054E5" w14:textId="77777777" w:rsidR="00D317F0" w:rsidRPr="00C04F98" w:rsidRDefault="00D317F0" w:rsidP="007E4584">
            <w:pPr>
              <w:rPr>
                <w:rFonts w:ascii="Times New Roman" w:hAnsi="Times New Roman" w:cs="Times New Roman"/>
                <w:sz w:val="20"/>
                <w:szCs w:val="20"/>
                <w:lang w:val="en-US"/>
              </w:rPr>
            </w:pPr>
          </w:p>
          <w:p w14:paraId="09159CF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17 (19.8)</w:t>
            </w:r>
          </w:p>
          <w:p w14:paraId="1D33D6C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31 (36.0)</w:t>
            </w:r>
          </w:p>
          <w:p w14:paraId="68C2328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7 (8.1)</w:t>
            </w:r>
          </w:p>
          <w:p w14:paraId="7D1865E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31 (36.0)</w:t>
            </w:r>
          </w:p>
        </w:tc>
        <w:tc>
          <w:tcPr>
            <w:tcW w:w="709" w:type="dxa"/>
          </w:tcPr>
          <w:p w14:paraId="2C09AC4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94</w:t>
            </w:r>
          </w:p>
          <w:p w14:paraId="0A23E31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51</w:t>
            </w:r>
          </w:p>
          <w:p w14:paraId="1DCC7A8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47</w:t>
            </w:r>
          </w:p>
          <w:p w14:paraId="48860A6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49</w:t>
            </w:r>
          </w:p>
          <w:p w14:paraId="5948E39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45</w:t>
            </w:r>
          </w:p>
          <w:p w14:paraId="5C4FBBB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41</w:t>
            </w:r>
          </w:p>
          <w:p w14:paraId="79E2687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54</w:t>
            </w:r>
          </w:p>
          <w:p w14:paraId="7DCDEA5A" w14:textId="77777777" w:rsidR="00D317F0" w:rsidRPr="00C04F98" w:rsidRDefault="00D317F0" w:rsidP="007E4584">
            <w:pPr>
              <w:rPr>
                <w:rFonts w:ascii="Times New Roman" w:hAnsi="Times New Roman" w:cs="Times New Roman"/>
                <w:sz w:val="20"/>
                <w:szCs w:val="20"/>
                <w:lang w:val="en-US"/>
              </w:rPr>
            </w:pPr>
          </w:p>
          <w:p w14:paraId="5FA47229" w14:textId="77777777" w:rsidR="00D317F0" w:rsidRPr="00C04F98" w:rsidRDefault="00D317F0" w:rsidP="007E4584">
            <w:pPr>
              <w:rPr>
                <w:rFonts w:ascii="Times New Roman" w:hAnsi="Times New Roman" w:cs="Times New Roman"/>
                <w:sz w:val="20"/>
                <w:szCs w:val="20"/>
                <w:lang w:val="en-US"/>
              </w:rPr>
            </w:pPr>
          </w:p>
          <w:p w14:paraId="42BC6549" w14:textId="77777777" w:rsidR="00D317F0" w:rsidRPr="00C04F98" w:rsidRDefault="00D317F0" w:rsidP="007E4584">
            <w:pPr>
              <w:rPr>
                <w:rFonts w:ascii="Times New Roman" w:hAnsi="Times New Roman" w:cs="Times New Roman"/>
                <w:sz w:val="20"/>
                <w:szCs w:val="20"/>
                <w:lang w:val="en-US"/>
              </w:rPr>
            </w:pPr>
          </w:p>
          <w:p w14:paraId="50868BEB" w14:textId="77777777" w:rsidR="00D317F0" w:rsidRPr="00C04F98" w:rsidRDefault="00D317F0" w:rsidP="007E4584">
            <w:pPr>
              <w:rPr>
                <w:rFonts w:ascii="Times New Roman" w:hAnsi="Times New Roman" w:cs="Times New Roman"/>
                <w:sz w:val="20"/>
                <w:szCs w:val="20"/>
                <w:lang w:val="en-US"/>
              </w:rPr>
            </w:pPr>
          </w:p>
          <w:p w14:paraId="54B28D8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86</w:t>
            </w:r>
          </w:p>
        </w:tc>
        <w:tc>
          <w:tcPr>
            <w:tcW w:w="1417" w:type="dxa"/>
          </w:tcPr>
          <w:p w14:paraId="60EBBDF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21 (77.8)</w:t>
            </w:r>
          </w:p>
          <w:p w14:paraId="4EE2C13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 (50.0)</w:t>
            </w:r>
          </w:p>
          <w:p w14:paraId="6C1AF55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 (5.3)</w:t>
            </w:r>
          </w:p>
          <w:p w14:paraId="61437B8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16 (80.0)</w:t>
            </w:r>
          </w:p>
          <w:p w14:paraId="74E5B67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 (15.8)</w:t>
            </w:r>
          </w:p>
          <w:p w14:paraId="2B94D7D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 (10.5)</w:t>
            </w:r>
          </w:p>
          <w:p w14:paraId="0828C4A6" w14:textId="77777777" w:rsidR="00D317F0" w:rsidRPr="00C04F98" w:rsidRDefault="00D317F0" w:rsidP="007E4584">
            <w:pPr>
              <w:rPr>
                <w:rFonts w:ascii="Times New Roman" w:hAnsi="Times New Roman" w:cs="Times New Roman"/>
                <w:sz w:val="20"/>
                <w:szCs w:val="20"/>
                <w:lang w:val="en-US"/>
              </w:rPr>
            </w:pPr>
          </w:p>
          <w:p w14:paraId="1F0CC59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 (37.0)</w:t>
            </w:r>
          </w:p>
          <w:p w14:paraId="4805B91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 (18.5)</w:t>
            </w:r>
          </w:p>
          <w:p w14:paraId="1E9A121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 (7.4)</w:t>
            </w:r>
          </w:p>
          <w:p w14:paraId="17B44CA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 (37.0)</w:t>
            </w:r>
          </w:p>
          <w:p w14:paraId="7AEC7B46" w14:textId="77777777" w:rsidR="00D317F0" w:rsidRPr="00C04F98" w:rsidRDefault="00D317F0" w:rsidP="007E4584">
            <w:pPr>
              <w:rPr>
                <w:rFonts w:ascii="Times New Roman" w:hAnsi="Times New Roman" w:cs="Times New Roman"/>
                <w:sz w:val="20"/>
                <w:szCs w:val="20"/>
                <w:lang w:val="en-US"/>
              </w:rPr>
            </w:pPr>
          </w:p>
          <w:p w14:paraId="5D4234D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 (22.9)</w:t>
            </w:r>
          </w:p>
          <w:p w14:paraId="4FF3465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 (31.4)</w:t>
            </w:r>
          </w:p>
          <w:p w14:paraId="42DF91E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 (5.7)</w:t>
            </w:r>
          </w:p>
          <w:p w14:paraId="15ED8AF6"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14 (40.0)</w:t>
            </w:r>
          </w:p>
        </w:tc>
        <w:tc>
          <w:tcPr>
            <w:tcW w:w="533" w:type="dxa"/>
          </w:tcPr>
          <w:p w14:paraId="54F8C7B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27</w:t>
            </w:r>
          </w:p>
          <w:p w14:paraId="6713D60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20</w:t>
            </w:r>
          </w:p>
          <w:p w14:paraId="7F07D7F6"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19</w:t>
            </w:r>
          </w:p>
          <w:p w14:paraId="6AF4E26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20</w:t>
            </w:r>
          </w:p>
          <w:p w14:paraId="4F9DF11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19</w:t>
            </w:r>
          </w:p>
          <w:p w14:paraId="7935F1D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19</w:t>
            </w:r>
          </w:p>
          <w:p w14:paraId="258AB43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21</w:t>
            </w:r>
          </w:p>
          <w:p w14:paraId="552FB0EA" w14:textId="77777777" w:rsidR="00D317F0" w:rsidRPr="00C04F98" w:rsidRDefault="00D317F0" w:rsidP="007E4584">
            <w:pPr>
              <w:rPr>
                <w:rFonts w:ascii="Times New Roman" w:hAnsi="Times New Roman" w:cs="Times New Roman"/>
                <w:sz w:val="20"/>
                <w:szCs w:val="20"/>
                <w:lang w:val="en-US"/>
              </w:rPr>
            </w:pPr>
          </w:p>
          <w:p w14:paraId="21A2D72D" w14:textId="77777777" w:rsidR="00D317F0" w:rsidRPr="00C04F98" w:rsidRDefault="00D317F0" w:rsidP="007E4584">
            <w:pPr>
              <w:rPr>
                <w:rFonts w:ascii="Times New Roman" w:hAnsi="Times New Roman" w:cs="Times New Roman"/>
                <w:sz w:val="20"/>
                <w:szCs w:val="20"/>
                <w:lang w:val="en-US"/>
              </w:rPr>
            </w:pPr>
          </w:p>
          <w:p w14:paraId="7F25AED6" w14:textId="77777777" w:rsidR="00D317F0" w:rsidRPr="00C04F98" w:rsidRDefault="00D317F0" w:rsidP="007E4584">
            <w:pPr>
              <w:rPr>
                <w:rFonts w:ascii="Times New Roman" w:hAnsi="Times New Roman" w:cs="Times New Roman"/>
                <w:sz w:val="20"/>
                <w:szCs w:val="20"/>
                <w:lang w:val="en-US"/>
              </w:rPr>
            </w:pPr>
          </w:p>
          <w:p w14:paraId="63B1519C" w14:textId="77777777" w:rsidR="00D317F0" w:rsidRPr="00C04F98" w:rsidRDefault="00D317F0" w:rsidP="007E4584">
            <w:pPr>
              <w:rPr>
                <w:rFonts w:ascii="Times New Roman" w:hAnsi="Times New Roman" w:cs="Times New Roman"/>
                <w:sz w:val="20"/>
                <w:szCs w:val="20"/>
                <w:lang w:val="en-US"/>
              </w:rPr>
            </w:pPr>
          </w:p>
          <w:p w14:paraId="2494AFE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35</w:t>
            </w:r>
          </w:p>
        </w:tc>
      </w:tr>
      <w:tr w:rsidR="00D317F0" w:rsidRPr="00C04F98" w14:paraId="53CFD6E8" w14:textId="77777777" w:rsidTr="007E4584">
        <w:tc>
          <w:tcPr>
            <w:tcW w:w="4820" w:type="dxa"/>
          </w:tcPr>
          <w:p w14:paraId="16C31D7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Male</w:t>
            </w:r>
            <w:r>
              <w:rPr>
                <w:rFonts w:ascii="Times New Roman" w:hAnsi="Times New Roman" w:cs="Times New Roman"/>
                <w:sz w:val="20"/>
                <w:szCs w:val="20"/>
                <w:lang w:val="en-US"/>
              </w:rPr>
              <w:t xml:space="preserve"> gender</w:t>
            </w:r>
            <w:r w:rsidRPr="00C04F98">
              <w:rPr>
                <w:rFonts w:ascii="Times New Roman" w:hAnsi="Times New Roman" w:cs="Times New Roman"/>
                <w:sz w:val="20"/>
                <w:szCs w:val="20"/>
                <w:lang w:val="en-US"/>
              </w:rPr>
              <w:t>, n (%)</w:t>
            </w:r>
          </w:p>
        </w:tc>
        <w:tc>
          <w:tcPr>
            <w:tcW w:w="1701" w:type="dxa"/>
          </w:tcPr>
          <w:p w14:paraId="564EEFF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68 (66.7)</w:t>
            </w:r>
          </w:p>
        </w:tc>
        <w:tc>
          <w:tcPr>
            <w:tcW w:w="709" w:type="dxa"/>
          </w:tcPr>
          <w:p w14:paraId="2D57DED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101</w:t>
            </w:r>
          </w:p>
        </w:tc>
        <w:tc>
          <w:tcPr>
            <w:tcW w:w="1417" w:type="dxa"/>
          </w:tcPr>
          <w:p w14:paraId="1F0CECB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15 (55.6)</w:t>
            </w:r>
          </w:p>
        </w:tc>
        <w:tc>
          <w:tcPr>
            <w:tcW w:w="533" w:type="dxa"/>
          </w:tcPr>
          <w:p w14:paraId="4DE1358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w:t>
            </w:r>
          </w:p>
        </w:tc>
      </w:tr>
      <w:tr w:rsidR="00D317F0" w:rsidRPr="00C04F98" w14:paraId="4D656939" w14:textId="77777777" w:rsidTr="007E4584">
        <w:tc>
          <w:tcPr>
            <w:tcW w:w="4820" w:type="dxa"/>
          </w:tcPr>
          <w:p w14:paraId="6774721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Age in years, mean (SD) (range)</w:t>
            </w:r>
          </w:p>
        </w:tc>
        <w:tc>
          <w:tcPr>
            <w:tcW w:w="1701" w:type="dxa"/>
          </w:tcPr>
          <w:p w14:paraId="79491D0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57.6 (9.5) (30; 72)</w:t>
            </w:r>
          </w:p>
        </w:tc>
        <w:tc>
          <w:tcPr>
            <w:tcW w:w="709" w:type="dxa"/>
          </w:tcPr>
          <w:p w14:paraId="04EBF62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80</w:t>
            </w:r>
          </w:p>
        </w:tc>
        <w:tc>
          <w:tcPr>
            <w:tcW w:w="1417" w:type="dxa"/>
          </w:tcPr>
          <w:p w14:paraId="6B500BC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55.1 (8.6) (33; 67)</w:t>
            </w:r>
          </w:p>
        </w:tc>
        <w:tc>
          <w:tcPr>
            <w:tcW w:w="533" w:type="dxa"/>
          </w:tcPr>
          <w:p w14:paraId="78E03BD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w:t>
            </w:r>
          </w:p>
        </w:tc>
      </w:tr>
      <w:tr w:rsidR="00D317F0" w:rsidRPr="00C04F98" w14:paraId="70CF6199" w14:textId="77777777" w:rsidTr="007E4584">
        <w:tc>
          <w:tcPr>
            <w:tcW w:w="4820" w:type="dxa"/>
          </w:tcPr>
          <w:p w14:paraId="468284C0" w14:textId="10ED6431"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Practicing in </w:t>
            </w:r>
            <w:r w:rsidR="003C69A1" w:rsidRPr="003C69A1">
              <w:rPr>
                <w:rFonts w:ascii="Times New Roman" w:hAnsi="Times New Roman" w:cs="Times New Roman"/>
                <w:sz w:val="20"/>
                <w:szCs w:val="20"/>
                <w:highlight w:val="yellow"/>
                <w:lang w:val="en-US"/>
              </w:rPr>
              <w:t>medically underserved areas</w:t>
            </w:r>
            <w:r w:rsidRPr="00C04F98">
              <w:rPr>
                <w:rFonts w:ascii="Times New Roman" w:hAnsi="Times New Roman" w:cs="Times New Roman"/>
                <w:sz w:val="20"/>
                <w:szCs w:val="20"/>
                <w:lang w:val="en-US"/>
              </w:rPr>
              <w:t>, n, (%)</w:t>
            </w:r>
          </w:p>
        </w:tc>
        <w:tc>
          <w:tcPr>
            <w:tcW w:w="1701" w:type="dxa"/>
          </w:tcPr>
          <w:p w14:paraId="182B99D0"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83</w:t>
            </w:r>
            <w:r w:rsidRPr="00C04F98">
              <w:rPr>
                <w:rFonts w:ascii="Times New Roman" w:hAnsi="Times New Roman" w:cs="Times New Roman"/>
                <w:sz w:val="20"/>
                <w:szCs w:val="20"/>
                <w:lang w:val="en-US"/>
              </w:rPr>
              <w:t xml:space="preserve"> </w:t>
            </w:r>
            <w:r>
              <w:rPr>
                <w:rFonts w:ascii="Times New Roman" w:hAnsi="Times New Roman" w:cs="Times New Roman"/>
                <w:sz w:val="20"/>
                <w:szCs w:val="20"/>
                <w:lang w:val="en-US"/>
              </w:rPr>
              <w:t>(81.4</w:t>
            </w:r>
            <w:r w:rsidRPr="00C04F98">
              <w:rPr>
                <w:rFonts w:ascii="Times New Roman" w:hAnsi="Times New Roman" w:cs="Times New Roman"/>
                <w:sz w:val="20"/>
                <w:szCs w:val="20"/>
                <w:lang w:val="en-US"/>
              </w:rPr>
              <w:t>)</w:t>
            </w:r>
          </w:p>
        </w:tc>
        <w:tc>
          <w:tcPr>
            <w:tcW w:w="709" w:type="dxa"/>
          </w:tcPr>
          <w:p w14:paraId="5BB86EC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102</w:t>
            </w:r>
          </w:p>
        </w:tc>
        <w:tc>
          <w:tcPr>
            <w:tcW w:w="1417" w:type="dxa"/>
          </w:tcPr>
          <w:p w14:paraId="4D7F3E5B"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25</w:t>
            </w:r>
            <w:r w:rsidRPr="00C04F98">
              <w:rPr>
                <w:rFonts w:ascii="Times New Roman" w:hAnsi="Times New Roman" w:cs="Times New Roman"/>
                <w:sz w:val="20"/>
                <w:szCs w:val="20"/>
                <w:lang w:val="en-US"/>
              </w:rPr>
              <w:t xml:space="preserve"> (</w:t>
            </w:r>
            <w:r>
              <w:rPr>
                <w:rFonts w:ascii="Times New Roman" w:hAnsi="Times New Roman" w:cs="Times New Roman"/>
                <w:sz w:val="20"/>
                <w:szCs w:val="20"/>
                <w:lang w:val="en-US"/>
              </w:rPr>
              <w:t>92.6</w:t>
            </w:r>
            <w:r w:rsidRPr="00C04F98">
              <w:rPr>
                <w:rFonts w:ascii="Times New Roman" w:hAnsi="Times New Roman" w:cs="Times New Roman"/>
                <w:sz w:val="20"/>
                <w:szCs w:val="20"/>
                <w:lang w:val="en-US"/>
              </w:rPr>
              <w:t>)</w:t>
            </w:r>
          </w:p>
        </w:tc>
        <w:tc>
          <w:tcPr>
            <w:tcW w:w="533" w:type="dxa"/>
          </w:tcPr>
          <w:p w14:paraId="2588166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w:t>
            </w:r>
          </w:p>
        </w:tc>
      </w:tr>
      <w:tr w:rsidR="00D317F0" w:rsidRPr="00C04F98" w14:paraId="4453961B" w14:textId="77777777" w:rsidTr="007E4584">
        <w:tc>
          <w:tcPr>
            <w:tcW w:w="4820" w:type="dxa"/>
          </w:tcPr>
          <w:p w14:paraId="5EE02D08"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GPs’</w:t>
            </w:r>
            <w:r w:rsidRPr="00C04F98">
              <w:rPr>
                <w:rFonts w:ascii="Times New Roman" w:hAnsi="Times New Roman" w:cs="Times New Roman"/>
                <w:sz w:val="20"/>
                <w:szCs w:val="20"/>
                <w:lang w:val="en-US"/>
              </w:rPr>
              <w:t xml:space="preserve"> medical practices</w:t>
            </w:r>
          </w:p>
          <w:p w14:paraId="592C6EE3" w14:textId="63635325" w:rsidR="00D317F0" w:rsidRPr="00441C4E" w:rsidRDefault="00441C4E" w:rsidP="007E4584">
            <w:pPr>
              <w:ind w:left="113"/>
              <w:rPr>
                <w:rFonts w:ascii="Times New Roman" w:hAnsi="Times New Roman" w:cs="Times New Roman"/>
                <w:sz w:val="20"/>
                <w:szCs w:val="20"/>
                <w:highlight w:val="yellow"/>
                <w:lang w:val="en-US"/>
              </w:rPr>
            </w:pPr>
            <w:r w:rsidRPr="00441C4E">
              <w:rPr>
                <w:rFonts w:ascii="Times New Roman" w:hAnsi="Times New Roman" w:cs="Times New Roman"/>
                <w:sz w:val="20"/>
                <w:szCs w:val="20"/>
                <w:highlight w:val="yellow"/>
                <w:lang w:val="en-US"/>
              </w:rPr>
              <w:t>self-employed</w:t>
            </w:r>
            <w:r w:rsidR="00D317F0" w:rsidRPr="00441C4E">
              <w:rPr>
                <w:rFonts w:ascii="Times New Roman" w:hAnsi="Times New Roman" w:cs="Times New Roman"/>
                <w:sz w:val="20"/>
                <w:szCs w:val="20"/>
                <w:highlight w:val="yellow"/>
                <w:lang w:val="en-US"/>
              </w:rPr>
              <w:t>, n (%)</w:t>
            </w:r>
          </w:p>
          <w:p w14:paraId="18A6D249" w14:textId="5702E5FF" w:rsidR="00D317F0" w:rsidRPr="00441C4E" w:rsidRDefault="00441C4E" w:rsidP="007E4584">
            <w:pPr>
              <w:ind w:left="113"/>
              <w:rPr>
                <w:rFonts w:ascii="Times New Roman" w:hAnsi="Times New Roman" w:cs="Times New Roman"/>
                <w:sz w:val="20"/>
                <w:szCs w:val="20"/>
                <w:highlight w:val="yellow"/>
                <w:lang w:val="en-US"/>
              </w:rPr>
            </w:pPr>
            <w:r w:rsidRPr="00441C4E">
              <w:rPr>
                <w:rFonts w:ascii="Times New Roman" w:hAnsi="Times New Roman" w:cs="Times New Roman"/>
                <w:sz w:val="20"/>
                <w:szCs w:val="20"/>
                <w:highlight w:val="yellow"/>
                <w:lang w:val="en-US"/>
              </w:rPr>
              <w:t>salaried status</w:t>
            </w:r>
            <w:r w:rsidR="00D317F0" w:rsidRPr="00441C4E">
              <w:rPr>
                <w:rFonts w:ascii="Times New Roman" w:hAnsi="Times New Roman" w:cs="Times New Roman"/>
                <w:sz w:val="20"/>
                <w:szCs w:val="20"/>
                <w:highlight w:val="yellow"/>
                <w:lang w:val="en-US"/>
              </w:rPr>
              <w:t>, n (%)</w:t>
            </w:r>
          </w:p>
          <w:p w14:paraId="52DDE980" w14:textId="6F81088D" w:rsidR="00D317F0" w:rsidRPr="00C04F98" w:rsidRDefault="00D317F0" w:rsidP="007E4584">
            <w:pPr>
              <w:ind w:left="113"/>
              <w:rPr>
                <w:rFonts w:ascii="Times New Roman" w:hAnsi="Times New Roman" w:cs="Times New Roman"/>
                <w:sz w:val="20"/>
                <w:szCs w:val="20"/>
                <w:lang w:val="en-US"/>
              </w:rPr>
            </w:pPr>
            <w:r w:rsidRPr="00441C4E">
              <w:rPr>
                <w:rFonts w:ascii="Times New Roman" w:hAnsi="Times New Roman" w:cs="Times New Roman"/>
                <w:sz w:val="20"/>
                <w:szCs w:val="20"/>
                <w:highlight w:val="yellow"/>
                <w:lang w:val="en-US"/>
              </w:rPr>
              <w:t>mixed (</w:t>
            </w:r>
            <w:r w:rsidR="00441C4E" w:rsidRPr="00441C4E">
              <w:rPr>
                <w:rFonts w:ascii="Times New Roman" w:hAnsi="Times New Roman" w:cs="Times New Roman"/>
                <w:sz w:val="20"/>
                <w:szCs w:val="20"/>
                <w:highlight w:val="yellow"/>
                <w:lang w:val="en-US"/>
              </w:rPr>
              <w:t>self-employed and salaried</w:t>
            </w:r>
            <w:r w:rsidRPr="00441C4E">
              <w:rPr>
                <w:rFonts w:ascii="Times New Roman" w:hAnsi="Times New Roman" w:cs="Times New Roman"/>
                <w:sz w:val="20"/>
                <w:szCs w:val="20"/>
                <w:highlight w:val="yellow"/>
                <w:lang w:val="en-US"/>
              </w:rPr>
              <w:t>), n (%)</w:t>
            </w:r>
          </w:p>
        </w:tc>
        <w:tc>
          <w:tcPr>
            <w:tcW w:w="1701" w:type="dxa"/>
          </w:tcPr>
          <w:p w14:paraId="2653A912" w14:textId="77777777" w:rsidR="00D317F0" w:rsidRPr="00C04F98" w:rsidRDefault="00D317F0" w:rsidP="007E4584">
            <w:pPr>
              <w:rPr>
                <w:rFonts w:ascii="Times New Roman" w:hAnsi="Times New Roman" w:cs="Times New Roman"/>
                <w:sz w:val="20"/>
                <w:szCs w:val="20"/>
                <w:lang w:val="en-US"/>
              </w:rPr>
            </w:pPr>
          </w:p>
          <w:p w14:paraId="7289DBA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66 (81.5)</w:t>
            </w:r>
          </w:p>
          <w:p w14:paraId="2DBC4D6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12 (14.8)</w:t>
            </w:r>
          </w:p>
          <w:p w14:paraId="2BF2BAB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 (3.7)</w:t>
            </w:r>
          </w:p>
        </w:tc>
        <w:tc>
          <w:tcPr>
            <w:tcW w:w="709" w:type="dxa"/>
          </w:tcPr>
          <w:p w14:paraId="19F2DFB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81</w:t>
            </w:r>
          </w:p>
        </w:tc>
        <w:tc>
          <w:tcPr>
            <w:tcW w:w="1417" w:type="dxa"/>
          </w:tcPr>
          <w:p w14:paraId="157C6CE2" w14:textId="77777777" w:rsidR="00D317F0" w:rsidRPr="00C04F98" w:rsidRDefault="00D317F0" w:rsidP="007E4584">
            <w:pPr>
              <w:rPr>
                <w:rFonts w:ascii="Times New Roman" w:hAnsi="Times New Roman" w:cs="Times New Roman"/>
                <w:sz w:val="20"/>
                <w:szCs w:val="20"/>
                <w:lang w:val="en-US"/>
              </w:rPr>
            </w:pPr>
          </w:p>
          <w:p w14:paraId="6169DCF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22 (81.5)</w:t>
            </w:r>
          </w:p>
          <w:p w14:paraId="354DBDE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 (14.8)</w:t>
            </w:r>
          </w:p>
          <w:p w14:paraId="027C05A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 (3.7)</w:t>
            </w:r>
          </w:p>
        </w:tc>
        <w:tc>
          <w:tcPr>
            <w:tcW w:w="533" w:type="dxa"/>
          </w:tcPr>
          <w:p w14:paraId="6AF2190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w:t>
            </w:r>
          </w:p>
          <w:p w14:paraId="64B8272C" w14:textId="77777777" w:rsidR="00D317F0" w:rsidRPr="00C04F98" w:rsidRDefault="00D317F0" w:rsidP="007E4584">
            <w:pPr>
              <w:rPr>
                <w:rFonts w:ascii="Times New Roman" w:hAnsi="Times New Roman" w:cs="Times New Roman"/>
                <w:sz w:val="20"/>
                <w:szCs w:val="20"/>
                <w:lang w:val="en-US"/>
              </w:rPr>
            </w:pPr>
          </w:p>
          <w:p w14:paraId="07C3A1EC" w14:textId="77777777" w:rsidR="00D317F0" w:rsidRPr="00C04F98" w:rsidRDefault="00D317F0" w:rsidP="007E4584">
            <w:pPr>
              <w:rPr>
                <w:rFonts w:ascii="Times New Roman" w:hAnsi="Times New Roman" w:cs="Times New Roman"/>
                <w:sz w:val="20"/>
                <w:szCs w:val="20"/>
                <w:lang w:val="en-US"/>
              </w:rPr>
            </w:pPr>
          </w:p>
          <w:p w14:paraId="77279387" w14:textId="77777777" w:rsidR="00D317F0" w:rsidRPr="00C04F98" w:rsidRDefault="00D317F0" w:rsidP="007E4584">
            <w:pPr>
              <w:rPr>
                <w:rFonts w:ascii="Times New Roman" w:hAnsi="Times New Roman" w:cs="Times New Roman"/>
                <w:sz w:val="20"/>
                <w:szCs w:val="20"/>
                <w:lang w:val="en-US"/>
              </w:rPr>
            </w:pPr>
          </w:p>
        </w:tc>
      </w:tr>
      <w:tr w:rsidR="00D317F0" w:rsidRPr="00C04F98" w14:paraId="4984765E" w14:textId="77777777" w:rsidTr="007E4584">
        <w:trPr>
          <w:trHeight w:val="308"/>
        </w:trPr>
        <w:tc>
          <w:tcPr>
            <w:tcW w:w="4820" w:type="dxa"/>
          </w:tcPr>
          <w:p w14:paraId="55B27195"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GPs w</w:t>
            </w:r>
            <w:r w:rsidRPr="00C04F98">
              <w:rPr>
                <w:rFonts w:ascii="Times New Roman" w:hAnsi="Times New Roman" w:cs="Times New Roman"/>
                <w:sz w:val="20"/>
                <w:szCs w:val="20"/>
                <w:lang w:val="en-US"/>
              </w:rPr>
              <w:t>ith additional qualification</w:t>
            </w:r>
            <w:r>
              <w:rPr>
                <w:rFonts w:ascii="Times New Roman" w:hAnsi="Times New Roman" w:cs="Times New Roman"/>
                <w:sz w:val="20"/>
                <w:szCs w:val="20"/>
                <w:lang w:val="en-US"/>
              </w:rPr>
              <w:t>s</w:t>
            </w:r>
          </w:p>
          <w:p w14:paraId="39BC50EC" w14:textId="77777777" w:rsidR="00D317F0" w:rsidRPr="00C04F98" w:rsidRDefault="00D317F0" w:rsidP="007E4584">
            <w:pPr>
              <w:ind w:left="142"/>
              <w:rPr>
                <w:rFonts w:ascii="Times New Roman" w:hAnsi="Times New Roman" w:cs="Times New Roman"/>
                <w:sz w:val="20"/>
                <w:szCs w:val="20"/>
                <w:lang w:val="en-US"/>
              </w:rPr>
            </w:pPr>
            <w:r>
              <w:rPr>
                <w:rFonts w:ascii="Times New Roman" w:hAnsi="Times New Roman" w:cs="Times New Roman"/>
                <w:sz w:val="20"/>
                <w:szCs w:val="20"/>
                <w:lang w:val="en-US"/>
              </w:rPr>
              <w:t>pe</w:t>
            </w:r>
            <w:r w:rsidRPr="00C04F98">
              <w:rPr>
                <w:rFonts w:ascii="Times New Roman" w:hAnsi="Times New Roman" w:cs="Times New Roman"/>
                <w:sz w:val="20"/>
                <w:szCs w:val="20"/>
                <w:lang w:val="en-US"/>
              </w:rPr>
              <w:t>diatr</w:t>
            </w:r>
            <w:r>
              <w:rPr>
                <w:rFonts w:ascii="Times New Roman" w:hAnsi="Times New Roman" w:cs="Times New Roman"/>
                <w:sz w:val="20"/>
                <w:szCs w:val="20"/>
                <w:lang w:val="en-US"/>
              </w:rPr>
              <w:t xml:space="preserve">ic </w:t>
            </w:r>
            <w:r w:rsidRPr="00C04F98">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04F98">
              <w:rPr>
                <w:rFonts w:ascii="Times New Roman" w:hAnsi="Times New Roman" w:cs="Times New Roman"/>
                <w:sz w:val="20"/>
                <w:szCs w:val="20"/>
                <w:lang w:val="en-US"/>
              </w:rPr>
              <w:t>psychology</w:t>
            </w:r>
            <w:r>
              <w:rPr>
                <w:rFonts w:ascii="Times New Roman" w:hAnsi="Times New Roman" w:cs="Times New Roman"/>
                <w:sz w:val="20"/>
                <w:szCs w:val="20"/>
                <w:lang w:val="en-US"/>
              </w:rPr>
              <w:t xml:space="preserve"> </w:t>
            </w:r>
            <w:r w:rsidRPr="00C04F98">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04F98">
              <w:rPr>
                <w:rFonts w:ascii="Times New Roman" w:hAnsi="Times New Roman" w:cs="Times New Roman"/>
                <w:sz w:val="20"/>
                <w:szCs w:val="20"/>
                <w:lang w:val="en-US"/>
              </w:rPr>
              <w:t>diabetology, n (%)</w:t>
            </w:r>
          </w:p>
        </w:tc>
        <w:tc>
          <w:tcPr>
            <w:tcW w:w="1701" w:type="dxa"/>
          </w:tcPr>
          <w:p w14:paraId="087947E0" w14:textId="77777777" w:rsidR="00D317F0" w:rsidRPr="00C04F98" w:rsidRDefault="00D317F0" w:rsidP="007E4584">
            <w:pPr>
              <w:rPr>
                <w:rFonts w:ascii="Times New Roman" w:hAnsi="Times New Roman" w:cs="Times New Roman"/>
                <w:sz w:val="20"/>
                <w:szCs w:val="20"/>
                <w:lang w:val="en-US"/>
              </w:rPr>
            </w:pPr>
          </w:p>
          <w:p w14:paraId="2FC7238F"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5</w:t>
            </w:r>
            <w:r w:rsidRPr="00C04F98">
              <w:rPr>
                <w:rFonts w:ascii="Times New Roman" w:hAnsi="Times New Roman" w:cs="Times New Roman"/>
                <w:sz w:val="20"/>
                <w:szCs w:val="20"/>
                <w:lang w:val="en-US"/>
              </w:rPr>
              <w:t xml:space="preserve"> (</w:t>
            </w:r>
            <w:r>
              <w:rPr>
                <w:rFonts w:ascii="Times New Roman" w:hAnsi="Times New Roman" w:cs="Times New Roman"/>
                <w:sz w:val="20"/>
                <w:szCs w:val="20"/>
                <w:lang w:val="en-US"/>
              </w:rPr>
              <w:t>6.3</w:t>
            </w:r>
            <w:r w:rsidRPr="00C04F98">
              <w:rPr>
                <w:rFonts w:ascii="Times New Roman" w:hAnsi="Times New Roman" w:cs="Times New Roman"/>
                <w:sz w:val="20"/>
                <w:szCs w:val="20"/>
                <w:lang w:val="en-US"/>
              </w:rPr>
              <w:t>)</w:t>
            </w:r>
          </w:p>
        </w:tc>
        <w:tc>
          <w:tcPr>
            <w:tcW w:w="709" w:type="dxa"/>
          </w:tcPr>
          <w:p w14:paraId="05ABEDDC"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80</w:t>
            </w:r>
          </w:p>
        </w:tc>
        <w:tc>
          <w:tcPr>
            <w:tcW w:w="1417" w:type="dxa"/>
          </w:tcPr>
          <w:p w14:paraId="2FD0BA49" w14:textId="77777777" w:rsidR="00D317F0" w:rsidRPr="00C04F98" w:rsidRDefault="00D317F0" w:rsidP="007E4584">
            <w:pPr>
              <w:rPr>
                <w:rFonts w:ascii="Times New Roman" w:hAnsi="Times New Roman" w:cs="Times New Roman"/>
                <w:sz w:val="20"/>
                <w:szCs w:val="20"/>
                <w:lang w:val="en-US"/>
              </w:rPr>
            </w:pPr>
          </w:p>
          <w:p w14:paraId="7587402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 (3.7)</w:t>
            </w:r>
          </w:p>
        </w:tc>
        <w:tc>
          <w:tcPr>
            <w:tcW w:w="533" w:type="dxa"/>
          </w:tcPr>
          <w:p w14:paraId="60B637B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w:t>
            </w:r>
          </w:p>
        </w:tc>
      </w:tr>
      <w:tr w:rsidR="00D317F0" w:rsidRPr="008731E2" w14:paraId="6D981991" w14:textId="77777777" w:rsidTr="007E4584">
        <w:tc>
          <w:tcPr>
            <w:tcW w:w="9180" w:type="dxa"/>
            <w:gridSpan w:val="5"/>
          </w:tcPr>
          <w:p w14:paraId="79BDDCE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A</w:t>
            </w:r>
            <w:r>
              <w:rPr>
                <w:rFonts w:ascii="Times New Roman" w:hAnsi="Times New Roman" w:cs="Times New Roman"/>
                <w:sz w:val="20"/>
                <w:szCs w:val="20"/>
                <w:lang w:val="en-US"/>
              </w:rPr>
              <w:t>-</w:t>
            </w:r>
            <w:r w:rsidRPr="00C04F98">
              <w:rPr>
                <w:rFonts w:ascii="Times New Roman" w:hAnsi="Times New Roman" w:cs="Times New Roman"/>
                <w:sz w:val="20"/>
                <w:szCs w:val="20"/>
                <w:lang w:val="en-US"/>
              </w:rPr>
              <w:t>GP</w:t>
            </w:r>
            <w:r>
              <w:rPr>
                <w:rFonts w:ascii="Times New Roman" w:hAnsi="Times New Roman" w:cs="Times New Roman"/>
                <w:sz w:val="20"/>
                <w:szCs w:val="20"/>
                <w:lang w:val="en-US"/>
              </w:rPr>
              <w:t xml:space="preserve"> (</w:t>
            </w:r>
            <w:r w:rsidRPr="00592855">
              <w:rPr>
                <w:rFonts w:ascii="Times New Roman" w:hAnsi="Times New Roman" w:cs="Times New Roman"/>
                <w:i/>
                <w:iCs/>
                <w:sz w:val="20"/>
                <w:szCs w:val="20"/>
                <w:lang w:val="en-US"/>
              </w:rPr>
              <w:t>médecin traitant</w:t>
            </w:r>
            <w:r>
              <w:rPr>
                <w:rFonts w:ascii="Times New Roman" w:hAnsi="Times New Roman" w:cs="Times New Roman"/>
                <w:sz w:val="20"/>
                <w:szCs w:val="20"/>
                <w:lang w:val="en-US"/>
              </w:rPr>
              <w:t>)</w:t>
            </w:r>
            <w:r w:rsidRPr="00C04F98">
              <w:rPr>
                <w:rFonts w:ascii="Times New Roman" w:hAnsi="Times New Roman" w:cs="Times New Roman"/>
                <w:sz w:val="20"/>
                <w:szCs w:val="20"/>
                <w:lang w:val="en-US"/>
              </w:rPr>
              <w:t>: primary care physician designed by the AYA to the French social security</w:t>
            </w:r>
          </w:p>
          <w:p w14:paraId="03D03AD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GP</w:t>
            </w:r>
            <w:r>
              <w:rPr>
                <w:rFonts w:ascii="Times New Roman" w:hAnsi="Times New Roman" w:cs="Times New Roman"/>
                <w:sz w:val="20"/>
                <w:szCs w:val="20"/>
                <w:lang w:val="en-US"/>
              </w:rPr>
              <w:t>OR (</w:t>
            </w:r>
            <w:r w:rsidRPr="00592855">
              <w:rPr>
                <w:rFonts w:ascii="Times New Roman" w:hAnsi="Times New Roman" w:cs="Times New Roman"/>
                <w:i/>
                <w:iCs/>
                <w:sz w:val="20"/>
                <w:szCs w:val="20"/>
                <w:lang w:val="en-US"/>
              </w:rPr>
              <w:t>médecin référent</w:t>
            </w:r>
            <w:r>
              <w:rPr>
                <w:rFonts w:ascii="Times New Roman" w:hAnsi="Times New Roman" w:cs="Times New Roman"/>
                <w:sz w:val="20"/>
                <w:szCs w:val="20"/>
                <w:lang w:val="en-US"/>
              </w:rPr>
              <w:t>)</w:t>
            </w:r>
            <w:r w:rsidRPr="00C04F98">
              <w:rPr>
                <w:rFonts w:ascii="Times New Roman" w:hAnsi="Times New Roman" w:cs="Times New Roman"/>
                <w:sz w:val="20"/>
                <w:szCs w:val="20"/>
                <w:lang w:val="en-US"/>
              </w:rPr>
              <w:t xml:space="preserve">: </w:t>
            </w:r>
            <w:r>
              <w:rPr>
                <w:rFonts w:ascii="Times New Roman" w:hAnsi="Times New Roman" w:cs="Times New Roman"/>
                <w:sz w:val="20"/>
                <w:szCs w:val="20"/>
                <w:lang w:val="en-US"/>
              </w:rPr>
              <w:t>GP</w:t>
            </w:r>
            <w:r w:rsidRPr="00C04F98">
              <w:rPr>
                <w:rFonts w:ascii="Times New Roman" w:hAnsi="Times New Roman" w:cs="Times New Roman"/>
                <w:sz w:val="20"/>
                <w:szCs w:val="20"/>
                <w:lang w:val="en-US"/>
              </w:rPr>
              <w:t xml:space="preserve"> which met the AYA at least twice in the last </w:t>
            </w:r>
            <w:r>
              <w:rPr>
                <w:rFonts w:ascii="Times New Roman" w:hAnsi="Times New Roman" w:cs="Times New Roman"/>
                <w:sz w:val="20"/>
                <w:szCs w:val="20"/>
                <w:lang w:val="en-US"/>
              </w:rPr>
              <w:t>two</w:t>
            </w:r>
            <w:r w:rsidRPr="00C04F98">
              <w:rPr>
                <w:rFonts w:ascii="Times New Roman" w:hAnsi="Times New Roman" w:cs="Times New Roman"/>
                <w:sz w:val="20"/>
                <w:szCs w:val="20"/>
                <w:lang w:val="en-US"/>
              </w:rPr>
              <w:t xml:space="preserve"> years before the call</w:t>
            </w:r>
          </w:p>
          <w:p w14:paraId="666E61D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Involvement </w:t>
            </w:r>
            <w:r w:rsidRPr="007B74B6">
              <w:rPr>
                <w:rFonts w:ascii="Times New Roman" w:hAnsi="Times New Roman" w:cs="Times New Roman"/>
                <w:sz w:val="20"/>
                <w:szCs w:val="20"/>
                <w:lang w:val="en-US"/>
              </w:rPr>
              <w:t>in CC management</w:t>
            </w:r>
            <w:r w:rsidRPr="00C04F98">
              <w:rPr>
                <w:rFonts w:ascii="Times New Roman" w:hAnsi="Times New Roman" w:cs="Times New Roman"/>
                <w:sz w:val="20"/>
                <w:szCs w:val="20"/>
                <w:lang w:val="en-US"/>
              </w:rPr>
              <w:t xml:space="preserve">: if one of the last </w:t>
            </w:r>
            <w:r>
              <w:rPr>
                <w:rFonts w:ascii="Times New Roman" w:hAnsi="Times New Roman" w:cs="Times New Roman"/>
                <w:sz w:val="20"/>
                <w:szCs w:val="20"/>
                <w:lang w:val="en-US"/>
              </w:rPr>
              <w:t>two</w:t>
            </w:r>
            <w:r w:rsidRPr="00C04F98">
              <w:rPr>
                <w:rFonts w:ascii="Times New Roman" w:hAnsi="Times New Roman" w:cs="Times New Roman"/>
                <w:sz w:val="20"/>
                <w:szCs w:val="20"/>
                <w:lang w:val="en-US"/>
              </w:rPr>
              <w:t xml:space="preserve"> appointments was referring to the </w:t>
            </w:r>
            <w:r>
              <w:rPr>
                <w:rFonts w:ascii="Times New Roman" w:hAnsi="Times New Roman" w:cs="Times New Roman"/>
                <w:sz w:val="20"/>
                <w:szCs w:val="20"/>
                <w:lang w:val="en-US"/>
              </w:rPr>
              <w:t>CC</w:t>
            </w:r>
          </w:p>
          <w:p w14:paraId="33AC21C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Involvement in the tr</w:t>
            </w:r>
            <w:r>
              <w:rPr>
                <w:rFonts w:ascii="Times New Roman" w:hAnsi="Times New Roman" w:cs="Times New Roman"/>
                <w:sz w:val="20"/>
                <w:szCs w:val="20"/>
                <w:lang w:val="en-US"/>
              </w:rPr>
              <w:t>ansition process:</w:t>
            </w:r>
            <w:r w:rsidRPr="00C04F98">
              <w:rPr>
                <w:rFonts w:ascii="Times New Roman" w:hAnsi="Times New Roman" w:cs="Times New Roman"/>
                <w:sz w:val="20"/>
                <w:szCs w:val="20"/>
                <w:lang w:val="en-US"/>
              </w:rPr>
              <w:t xml:space="preserve"> if GP advise</w:t>
            </w:r>
            <w:r>
              <w:rPr>
                <w:rFonts w:ascii="Times New Roman" w:hAnsi="Times New Roman" w:cs="Times New Roman"/>
                <w:sz w:val="20"/>
                <w:szCs w:val="20"/>
                <w:lang w:val="en-US"/>
              </w:rPr>
              <w:t>d</w:t>
            </w:r>
            <w:r w:rsidRPr="00C04F98">
              <w:rPr>
                <w:rFonts w:ascii="Times New Roman" w:hAnsi="Times New Roman" w:cs="Times New Roman"/>
                <w:sz w:val="20"/>
                <w:szCs w:val="20"/>
                <w:lang w:val="en-US"/>
              </w:rPr>
              <w:t xml:space="preserve"> the AYA about an adult unit or a</w:t>
            </w:r>
            <w:r>
              <w:rPr>
                <w:rFonts w:ascii="Times New Roman" w:hAnsi="Times New Roman" w:cs="Times New Roman"/>
                <w:sz w:val="20"/>
                <w:szCs w:val="20"/>
                <w:lang w:val="en-US"/>
              </w:rPr>
              <w:t xml:space="preserve">n adult </w:t>
            </w:r>
            <w:r w:rsidRPr="00C04F98">
              <w:rPr>
                <w:rFonts w:ascii="Times New Roman" w:hAnsi="Times New Roman" w:cs="Times New Roman"/>
                <w:sz w:val="20"/>
                <w:szCs w:val="20"/>
                <w:lang w:val="en-US"/>
              </w:rPr>
              <w:t>specialist</w:t>
            </w:r>
          </w:p>
        </w:tc>
      </w:tr>
    </w:tbl>
    <w:p w14:paraId="7F19C6CF" w14:textId="77777777" w:rsidR="00D317F0" w:rsidRPr="00C04F98" w:rsidRDefault="00D317F0" w:rsidP="00D317F0">
      <w:pPr>
        <w:spacing w:after="120" w:line="259" w:lineRule="auto"/>
        <w:jc w:val="both"/>
        <w:rPr>
          <w:rFonts w:ascii="Times New Roman" w:hAnsi="Times New Roman" w:cs="Times New Roman"/>
          <w:sz w:val="20"/>
          <w:szCs w:val="20"/>
          <w:lang w:val="en-US"/>
        </w:rPr>
      </w:pPr>
    </w:p>
    <w:tbl>
      <w:tblPr>
        <w:tblStyle w:val="Grilledutableau"/>
        <w:tblW w:w="9248" w:type="dxa"/>
        <w:tblInd w:w="-34" w:type="dxa"/>
        <w:tblLayout w:type="fixed"/>
        <w:tblLook w:val="04A0" w:firstRow="1" w:lastRow="0" w:firstColumn="1" w:lastColumn="0" w:noHBand="0" w:noVBand="1"/>
      </w:tblPr>
      <w:tblGrid>
        <w:gridCol w:w="4145"/>
        <w:gridCol w:w="1134"/>
        <w:gridCol w:w="1134"/>
        <w:gridCol w:w="992"/>
        <w:gridCol w:w="1134"/>
        <w:gridCol w:w="709"/>
      </w:tblGrid>
      <w:tr w:rsidR="00D317F0" w:rsidRPr="008731E2" w14:paraId="0E2E9495" w14:textId="77777777" w:rsidTr="007E4584">
        <w:tc>
          <w:tcPr>
            <w:tcW w:w="9248" w:type="dxa"/>
            <w:gridSpan w:val="6"/>
            <w:tcBorders>
              <w:top w:val="nil"/>
              <w:left w:val="nil"/>
              <w:right w:val="nil"/>
            </w:tcBorders>
          </w:tcPr>
          <w:p w14:paraId="1AECEC36" w14:textId="77777777" w:rsidR="00D317F0" w:rsidRPr="00C04F98" w:rsidRDefault="00D317F0" w:rsidP="007E4584">
            <w:pPr>
              <w:rPr>
                <w:rFonts w:ascii="Times New Roman" w:hAnsi="Times New Roman" w:cs="Times New Roman"/>
                <w:b/>
                <w:sz w:val="20"/>
                <w:szCs w:val="20"/>
                <w:lang w:val="en-US"/>
              </w:rPr>
            </w:pPr>
            <w:r w:rsidRPr="00C04F98">
              <w:rPr>
                <w:rFonts w:ascii="Times New Roman" w:hAnsi="Times New Roman" w:cs="Times New Roman"/>
                <w:b/>
                <w:color w:val="131313"/>
                <w:sz w:val="20"/>
                <w:szCs w:val="20"/>
                <w:lang w:val="en-US"/>
              </w:rPr>
              <w:t xml:space="preserve">Table </w:t>
            </w:r>
            <w:r>
              <w:rPr>
                <w:rFonts w:ascii="Times New Roman" w:hAnsi="Times New Roman" w:cs="Times New Roman"/>
                <w:b/>
                <w:color w:val="131313"/>
                <w:sz w:val="20"/>
                <w:szCs w:val="20"/>
                <w:lang w:val="en-US"/>
              </w:rPr>
              <w:t>3</w:t>
            </w:r>
            <w:r w:rsidRPr="00C04F98">
              <w:rPr>
                <w:rFonts w:ascii="Times New Roman" w:hAnsi="Times New Roman" w:cs="Times New Roman"/>
                <w:b/>
                <w:color w:val="131313"/>
                <w:sz w:val="20"/>
                <w:szCs w:val="20"/>
                <w:lang w:val="en-US"/>
              </w:rPr>
              <w:t xml:space="preserve">. Factors influencing </w:t>
            </w:r>
            <w:r>
              <w:rPr>
                <w:rFonts w:ascii="Times New Roman" w:hAnsi="Times New Roman" w:cs="Times New Roman"/>
                <w:b/>
                <w:color w:val="131313"/>
                <w:sz w:val="20"/>
                <w:szCs w:val="20"/>
                <w:lang w:val="en-US"/>
              </w:rPr>
              <w:t>GPOR</w:t>
            </w:r>
            <w:r w:rsidRPr="00C04F98">
              <w:rPr>
                <w:rFonts w:ascii="Times New Roman" w:hAnsi="Times New Roman" w:cs="Times New Roman"/>
                <w:b/>
                <w:color w:val="131313"/>
                <w:sz w:val="20"/>
                <w:szCs w:val="20"/>
                <w:lang w:val="en-US"/>
              </w:rPr>
              <w:t>s</w:t>
            </w:r>
            <w:r>
              <w:rPr>
                <w:rFonts w:ascii="Times New Roman" w:hAnsi="Times New Roman" w:cs="Times New Roman"/>
                <w:b/>
                <w:color w:val="131313"/>
                <w:sz w:val="20"/>
                <w:szCs w:val="20"/>
                <w:lang w:val="en-US"/>
              </w:rPr>
              <w:t xml:space="preserve"> involvements </w:t>
            </w:r>
            <w:r w:rsidRPr="00C04F98">
              <w:rPr>
                <w:rFonts w:ascii="Times New Roman" w:hAnsi="Times New Roman" w:cs="Times New Roman"/>
                <w:b/>
                <w:color w:val="131313"/>
                <w:sz w:val="20"/>
                <w:szCs w:val="20"/>
                <w:lang w:val="en-US"/>
              </w:rPr>
              <w:t>during transition</w:t>
            </w:r>
          </w:p>
        </w:tc>
      </w:tr>
      <w:tr w:rsidR="00D317F0" w:rsidRPr="00C04F98" w14:paraId="3630D564" w14:textId="77777777" w:rsidTr="007E4584">
        <w:tc>
          <w:tcPr>
            <w:tcW w:w="4145" w:type="dxa"/>
            <w:tcBorders>
              <w:left w:val="nil"/>
              <w:right w:val="nil"/>
            </w:tcBorders>
          </w:tcPr>
          <w:p w14:paraId="2C06DE1D"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Characteristics</w:t>
            </w:r>
          </w:p>
        </w:tc>
        <w:tc>
          <w:tcPr>
            <w:tcW w:w="2268" w:type="dxa"/>
            <w:gridSpan w:val="2"/>
            <w:tcBorders>
              <w:left w:val="nil"/>
              <w:right w:val="nil"/>
            </w:tcBorders>
          </w:tcPr>
          <w:p w14:paraId="1E83CB0A"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Descriptive statistics</w:t>
            </w:r>
          </w:p>
        </w:tc>
        <w:tc>
          <w:tcPr>
            <w:tcW w:w="992" w:type="dxa"/>
            <w:tcBorders>
              <w:left w:val="nil"/>
              <w:right w:val="nil"/>
            </w:tcBorders>
          </w:tcPr>
          <w:p w14:paraId="41110391"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Uni</w:t>
            </w:r>
            <w:r>
              <w:rPr>
                <w:rFonts w:ascii="Times New Roman" w:hAnsi="Times New Roman" w:cs="Times New Roman"/>
                <w:bCs/>
                <w:sz w:val="20"/>
                <w:szCs w:val="20"/>
                <w:lang w:val="en-US"/>
              </w:rPr>
              <w:t>-</w:t>
            </w:r>
            <w:r w:rsidRPr="00C04F98">
              <w:rPr>
                <w:rFonts w:ascii="Times New Roman" w:hAnsi="Times New Roman" w:cs="Times New Roman"/>
                <w:bCs/>
                <w:sz w:val="20"/>
                <w:szCs w:val="20"/>
                <w:lang w:val="en-US"/>
              </w:rPr>
              <w:t>variate analysis</w:t>
            </w:r>
          </w:p>
        </w:tc>
        <w:tc>
          <w:tcPr>
            <w:tcW w:w="1134" w:type="dxa"/>
            <w:tcBorders>
              <w:left w:val="nil"/>
              <w:right w:val="nil"/>
            </w:tcBorders>
          </w:tcPr>
          <w:p w14:paraId="44C2AFB6"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Multi</w:t>
            </w:r>
            <w:r>
              <w:rPr>
                <w:rFonts w:ascii="Times New Roman" w:hAnsi="Times New Roman" w:cs="Times New Roman"/>
                <w:bCs/>
                <w:sz w:val="20"/>
                <w:szCs w:val="20"/>
                <w:lang w:val="en-US"/>
              </w:rPr>
              <w:t>-</w:t>
            </w:r>
            <w:r w:rsidRPr="00C04F98">
              <w:rPr>
                <w:rFonts w:ascii="Times New Roman" w:hAnsi="Times New Roman" w:cs="Times New Roman"/>
                <w:bCs/>
                <w:sz w:val="20"/>
                <w:szCs w:val="20"/>
                <w:lang w:val="en-US"/>
              </w:rPr>
              <w:t>variate analysis</w:t>
            </w:r>
          </w:p>
        </w:tc>
        <w:tc>
          <w:tcPr>
            <w:tcW w:w="709" w:type="dxa"/>
            <w:tcBorders>
              <w:left w:val="nil"/>
              <w:right w:val="nil"/>
            </w:tcBorders>
          </w:tcPr>
          <w:p w14:paraId="7BDBB161" w14:textId="77777777" w:rsidR="00D317F0" w:rsidRPr="00C04F98" w:rsidRDefault="00D317F0" w:rsidP="007E4584">
            <w:pPr>
              <w:ind w:right="-113"/>
              <w:rPr>
                <w:rFonts w:ascii="Times New Roman" w:hAnsi="Times New Roman" w:cs="Times New Roman"/>
                <w:bCs/>
                <w:sz w:val="20"/>
                <w:szCs w:val="20"/>
                <w:lang w:val="en-US"/>
              </w:rPr>
            </w:pPr>
          </w:p>
        </w:tc>
      </w:tr>
      <w:tr w:rsidR="00D317F0" w:rsidRPr="00C04F98" w14:paraId="0FD7EEE9" w14:textId="77777777" w:rsidTr="007E4584">
        <w:tc>
          <w:tcPr>
            <w:tcW w:w="4145" w:type="dxa"/>
            <w:tcBorders>
              <w:left w:val="nil"/>
              <w:right w:val="nil"/>
            </w:tcBorders>
          </w:tcPr>
          <w:p w14:paraId="0A77409D" w14:textId="77777777" w:rsidR="00D317F0" w:rsidRPr="00C04F98" w:rsidRDefault="00D317F0" w:rsidP="007E4584">
            <w:pPr>
              <w:rPr>
                <w:rFonts w:ascii="Times New Roman" w:hAnsi="Times New Roman" w:cs="Times New Roman"/>
                <w:bCs/>
                <w:sz w:val="20"/>
                <w:szCs w:val="20"/>
                <w:lang w:val="en-US"/>
              </w:rPr>
            </w:pPr>
          </w:p>
        </w:tc>
        <w:tc>
          <w:tcPr>
            <w:tcW w:w="1134" w:type="dxa"/>
            <w:tcBorders>
              <w:left w:val="nil"/>
              <w:right w:val="nil"/>
            </w:tcBorders>
          </w:tcPr>
          <w:p w14:paraId="1BF66E00"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YES (n=18)</w:t>
            </w:r>
          </w:p>
        </w:tc>
        <w:tc>
          <w:tcPr>
            <w:tcW w:w="1134" w:type="dxa"/>
            <w:tcBorders>
              <w:left w:val="nil"/>
              <w:right w:val="nil"/>
            </w:tcBorders>
          </w:tcPr>
          <w:p w14:paraId="57E6BADC"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NO (n=33)</w:t>
            </w:r>
          </w:p>
        </w:tc>
        <w:tc>
          <w:tcPr>
            <w:tcW w:w="992" w:type="dxa"/>
            <w:tcBorders>
              <w:left w:val="nil"/>
              <w:right w:val="nil"/>
            </w:tcBorders>
          </w:tcPr>
          <w:p w14:paraId="499B60FD"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p-value</w:t>
            </w:r>
          </w:p>
        </w:tc>
        <w:tc>
          <w:tcPr>
            <w:tcW w:w="1134" w:type="dxa"/>
            <w:tcBorders>
              <w:left w:val="nil"/>
              <w:right w:val="nil"/>
            </w:tcBorders>
          </w:tcPr>
          <w:p w14:paraId="68E4A64B"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OR (95%C.I.)</w:t>
            </w:r>
          </w:p>
        </w:tc>
        <w:tc>
          <w:tcPr>
            <w:tcW w:w="709" w:type="dxa"/>
            <w:tcBorders>
              <w:left w:val="nil"/>
              <w:right w:val="nil"/>
            </w:tcBorders>
          </w:tcPr>
          <w:p w14:paraId="26CC8A07" w14:textId="77777777" w:rsidR="00D317F0" w:rsidRPr="00C04F98" w:rsidRDefault="00D317F0" w:rsidP="007E4584">
            <w:pPr>
              <w:ind w:right="-113"/>
              <w:rPr>
                <w:rFonts w:ascii="Times New Roman" w:hAnsi="Times New Roman" w:cs="Times New Roman"/>
                <w:bCs/>
                <w:sz w:val="20"/>
                <w:szCs w:val="20"/>
                <w:lang w:val="en-US"/>
              </w:rPr>
            </w:pPr>
            <w:r w:rsidRPr="00C04F98">
              <w:rPr>
                <w:rFonts w:ascii="Times New Roman" w:hAnsi="Times New Roman" w:cs="Times New Roman"/>
                <w:bCs/>
                <w:sz w:val="20"/>
                <w:szCs w:val="20"/>
                <w:lang w:val="en-US"/>
              </w:rPr>
              <w:t>p-value</w:t>
            </w:r>
          </w:p>
        </w:tc>
      </w:tr>
      <w:tr w:rsidR="00D317F0" w:rsidRPr="00C04F98" w14:paraId="340029EB" w14:textId="77777777" w:rsidTr="007E4584">
        <w:tc>
          <w:tcPr>
            <w:tcW w:w="4145" w:type="dxa"/>
            <w:tcBorders>
              <w:left w:val="nil"/>
              <w:right w:val="nil"/>
            </w:tcBorders>
          </w:tcPr>
          <w:p w14:paraId="69F5153E" w14:textId="667AD0D3"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Gender</w:t>
            </w:r>
            <w:r w:rsidRPr="00C04F98">
              <w:rPr>
                <w:rFonts w:ascii="Times New Roman" w:hAnsi="Times New Roman" w:cs="Times New Roman"/>
                <w:sz w:val="20"/>
                <w:szCs w:val="20"/>
                <w:lang w:val="en-US"/>
              </w:rPr>
              <w:t xml:space="preserve"> of AYA</w:t>
            </w:r>
            <w:r w:rsidR="00A23A72">
              <w:rPr>
                <w:rFonts w:ascii="Times New Roman" w:hAnsi="Times New Roman" w:cs="Times New Roman"/>
                <w:sz w:val="20"/>
                <w:szCs w:val="20"/>
                <w:lang w:val="en-US"/>
              </w:rPr>
              <w:t>s</w:t>
            </w:r>
          </w:p>
          <w:p w14:paraId="7A3CD8FE"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female, n (%)</w:t>
            </w:r>
          </w:p>
          <w:p w14:paraId="0B5D7094"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male, n (%)</w:t>
            </w:r>
          </w:p>
        </w:tc>
        <w:tc>
          <w:tcPr>
            <w:tcW w:w="1134" w:type="dxa"/>
            <w:tcBorders>
              <w:left w:val="nil"/>
              <w:right w:val="nil"/>
            </w:tcBorders>
          </w:tcPr>
          <w:p w14:paraId="1AB48B40" w14:textId="77777777" w:rsidR="00D317F0" w:rsidRPr="00C04F98" w:rsidRDefault="00D317F0" w:rsidP="007E4584">
            <w:pPr>
              <w:rPr>
                <w:rFonts w:ascii="Times New Roman" w:hAnsi="Times New Roman" w:cs="Times New Roman"/>
                <w:sz w:val="20"/>
                <w:szCs w:val="20"/>
                <w:lang w:val="en-US"/>
              </w:rPr>
            </w:pPr>
          </w:p>
          <w:p w14:paraId="1B4ED38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9 (50.0)</w:t>
            </w:r>
          </w:p>
          <w:p w14:paraId="3A16454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9 (50.0)</w:t>
            </w:r>
          </w:p>
        </w:tc>
        <w:tc>
          <w:tcPr>
            <w:tcW w:w="1134" w:type="dxa"/>
            <w:tcBorders>
              <w:left w:val="nil"/>
              <w:right w:val="nil"/>
            </w:tcBorders>
          </w:tcPr>
          <w:p w14:paraId="036D7198" w14:textId="77777777" w:rsidR="00D317F0" w:rsidRPr="00C04F98" w:rsidRDefault="00D317F0" w:rsidP="007E4584">
            <w:pPr>
              <w:rPr>
                <w:rFonts w:ascii="Times New Roman" w:hAnsi="Times New Roman" w:cs="Times New Roman"/>
                <w:sz w:val="20"/>
                <w:szCs w:val="20"/>
                <w:lang w:val="en-US"/>
              </w:rPr>
            </w:pPr>
          </w:p>
          <w:p w14:paraId="18AB86C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15 (45.5)</w:t>
            </w:r>
          </w:p>
          <w:p w14:paraId="075F0AE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18 (54.5)</w:t>
            </w:r>
          </w:p>
        </w:tc>
        <w:tc>
          <w:tcPr>
            <w:tcW w:w="992" w:type="dxa"/>
            <w:tcBorders>
              <w:left w:val="nil"/>
              <w:right w:val="nil"/>
            </w:tcBorders>
            <w:vAlign w:val="center"/>
          </w:tcPr>
          <w:p w14:paraId="64318AF1" w14:textId="77777777" w:rsidR="00D317F0" w:rsidRPr="00C04F98" w:rsidRDefault="00D317F0" w:rsidP="007E4584">
            <w:pPr>
              <w:rPr>
                <w:rFonts w:ascii="Times New Roman" w:hAnsi="Times New Roman" w:cs="Times New Roman"/>
                <w:strike/>
                <w:sz w:val="20"/>
                <w:szCs w:val="20"/>
                <w:lang w:val="en-US"/>
              </w:rPr>
            </w:pPr>
            <w:r w:rsidRPr="00C04F98">
              <w:rPr>
                <w:rFonts w:ascii="Times New Roman" w:hAnsi="Times New Roman" w:cs="Times New Roman"/>
                <w:sz w:val="20"/>
                <w:szCs w:val="20"/>
                <w:lang w:val="en-US"/>
              </w:rPr>
              <w:t xml:space="preserve"> 0.76</w:t>
            </w:r>
          </w:p>
        </w:tc>
        <w:tc>
          <w:tcPr>
            <w:tcW w:w="1134" w:type="dxa"/>
            <w:tcBorders>
              <w:left w:val="nil"/>
              <w:right w:val="nil"/>
            </w:tcBorders>
            <w:vAlign w:val="center"/>
          </w:tcPr>
          <w:p w14:paraId="5BAC2FA4"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77AC9C96" w14:textId="77777777" w:rsidR="00D317F0" w:rsidRPr="00C04F98" w:rsidRDefault="00D317F0" w:rsidP="007E4584">
            <w:pPr>
              <w:rPr>
                <w:rFonts w:ascii="Times New Roman" w:hAnsi="Times New Roman" w:cs="Times New Roman"/>
                <w:sz w:val="20"/>
                <w:szCs w:val="20"/>
                <w:lang w:val="en-US"/>
              </w:rPr>
            </w:pPr>
          </w:p>
        </w:tc>
      </w:tr>
      <w:tr w:rsidR="00D317F0" w:rsidRPr="00C04F98" w14:paraId="603148C6" w14:textId="77777777" w:rsidTr="007E4584">
        <w:tc>
          <w:tcPr>
            <w:tcW w:w="4145" w:type="dxa"/>
            <w:tcBorders>
              <w:left w:val="nil"/>
              <w:right w:val="nil"/>
            </w:tcBorders>
          </w:tcPr>
          <w:p w14:paraId="0554E6EE" w14:textId="53DE662A" w:rsidR="00D317F0" w:rsidRPr="00C04F98" w:rsidRDefault="00D317F0" w:rsidP="007E4584">
            <w:pPr>
              <w:keepNext/>
              <w:keepLines/>
              <w:spacing w:before="40"/>
              <w:outlineLvl w:val="1"/>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AYA living in </w:t>
            </w:r>
            <w:r w:rsidR="003C69A1" w:rsidRPr="003C69A1">
              <w:rPr>
                <w:rFonts w:ascii="Times New Roman" w:hAnsi="Times New Roman" w:cs="Times New Roman"/>
                <w:sz w:val="20"/>
                <w:szCs w:val="20"/>
                <w:highlight w:val="yellow"/>
                <w:lang w:val="en-US"/>
              </w:rPr>
              <w:t>medically underserved areas</w:t>
            </w:r>
          </w:p>
          <w:p w14:paraId="252BE1AC"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yes, n (%)</w:t>
            </w:r>
          </w:p>
          <w:p w14:paraId="1F7D5994"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no, n (%)</w:t>
            </w:r>
          </w:p>
        </w:tc>
        <w:tc>
          <w:tcPr>
            <w:tcW w:w="1134" w:type="dxa"/>
            <w:tcBorders>
              <w:left w:val="nil"/>
              <w:right w:val="nil"/>
            </w:tcBorders>
          </w:tcPr>
          <w:p w14:paraId="26E2514B" w14:textId="77777777" w:rsidR="00D317F0" w:rsidRPr="00C04F98" w:rsidRDefault="00D317F0" w:rsidP="007E4584">
            <w:pPr>
              <w:rPr>
                <w:rFonts w:ascii="Times New Roman" w:hAnsi="Times New Roman" w:cs="Times New Roman"/>
                <w:sz w:val="20"/>
                <w:szCs w:val="20"/>
                <w:lang w:val="en-US"/>
              </w:rPr>
            </w:pPr>
          </w:p>
          <w:p w14:paraId="53556B8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 (33.3)</w:t>
            </w:r>
          </w:p>
          <w:p w14:paraId="0F0A3C16"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12 (66.7)</w:t>
            </w:r>
          </w:p>
        </w:tc>
        <w:tc>
          <w:tcPr>
            <w:tcW w:w="1134" w:type="dxa"/>
            <w:tcBorders>
              <w:left w:val="nil"/>
              <w:right w:val="nil"/>
            </w:tcBorders>
          </w:tcPr>
          <w:p w14:paraId="16AFD403" w14:textId="77777777" w:rsidR="00D317F0" w:rsidRPr="00C04F98" w:rsidRDefault="00D317F0" w:rsidP="007E4584">
            <w:pPr>
              <w:rPr>
                <w:rFonts w:ascii="Times New Roman" w:hAnsi="Times New Roman" w:cs="Times New Roman"/>
                <w:sz w:val="20"/>
                <w:szCs w:val="20"/>
                <w:lang w:val="en-US"/>
              </w:rPr>
            </w:pPr>
          </w:p>
          <w:p w14:paraId="72653D8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17 (51.5)</w:t>
            </w:r>
          </w:p>
          <w:p w14:paraId="30F60DA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16 (48.5)</w:t>
            </w:r>
          </w:p>
        </w:tc>
        <w:tc>
          <w:tcPr>
            <w:tcW w:w="992" w:type="dxa"/>
            <w:tcBorders>
              <w:left w:val="nil"/>
              <w:right w:val="nil"/>
            </w:tcBorders>
            <w:vAlign w:val="center"/>
          </w:tcPr>
          <w:p w14:paraId="6A75AC22" w14:textId="77777777" w:rsidR="00D317F0" w:rsidRPr="00C04F98" w:rsidRDefault="00D317F0" w:rsidP="007E4584">
            <w:pPr>
              <w:keepNext/>
              <w:keepLines/>
              <w:spacing w:before="40"/>
              <w:outlineLvl w:val="1"/>
              <w:rPr>
                <w:rFonts w:ascii="Times New Roman" w:hAnsi="Times New Roman" w:cs="Times New Roman"/>
                <w:strike/>
                <w:sz w:val="20"/>
                <w:szCs w:val="20"/>
                <w:lang w:val="en-US"/>
              </w:rPr>
            </w:pPr>
            <w:r w:rsidRPr="00C04F98">
              <w:rPr>
                <w:rFonts w:ascii="Times New Roman" w:hAnsi="Times New Roman" w:cs="Times New Roman"/>
                <w:sz w:val="20"/>
                <w:szCs w:val="20"/>
                <w:lang w:val="en-US"/>
              </w:rPr>
              <w:t>0.21</w:t>
            </w:r>
          </w:p>
        </w:tc>
        <w:tc>
          <w:tcPr>
            <w:tcW w:w="1134" w:type="dxa"/>
            <w:tcBorders>
              <w:left w:val="nil"/>
              <w:right w:val="nil"/>
            </w:tcBorders>
            <w:vAlign w:val="center"/>
          </w:tcPr>
          <w:p w14:paraId="3F597B9A" w14:textId="77777777" w:rsidR="00D317F0" w:rsidRPr="00C04F98" w:rsidRDefault="00D317F0" w:rsidP="007E4584">
            <w:pPr>
              <w:keepNext/>
              <w:keepLines/>
              <w:spacing w:before="40"/>
              <w:outlineLvl w:val="1"/>
              <w:rPr>
                <w:rFonts w:ascii="Times New Roman" w:hAnsi="Times New Roman" w:cs="Times New Roman"/>
                <w:sz w:val="20"/>
                <w:szCs w:val="20"/>
                <w:lang w:val="en-US"/>
              </w:rPr>
            </w:pPr>
          </w:p>
        </w:tc>
        <w:tc>
          <w:tcPr>
            <w:tcW w:w="709" w:type="dxa"/>
            <w:tcBorders>
              <w:left w:val="nil"/>
              <w:right w:val="nil"/>
            </w:tcBorders>
            <w:vAlign w:val="center"/>
          </w:tcPr>
          <w:p w14:paraId="66E7A852" w14:textId="77777777" w:rsidR="00D317F0" w:rsidRPr="00C04F98" w:rsidRDefault="00D317F0" w:rsidP="007E4584">
            <w:pPr>
              <w:keepNext/>
              <w:keepLines/>
              <w:spacing w:before="40"/>
              <w:outlineLvl w:val="1"/>
              <w:rPr>
                <w:rFonts w:ascii="Times New Roman" w:hAnsi="Times New Roman" w:cs="Times New Roman"/>
                <w:sz w:val="20"/>
                <w:szCs w:val="20"/>
                <w:lang w:val="en-US"/>
              </w:rPr>
            </w:pPr>
          </w:p>
        </w:tc>
      </w:tr>
      <w:tr w:rsidR="00D317F0" w:rsidRPr="00C04F98" w14:paraId="538A036C" w14:textId="77777777" w:rsidTr="007E4584">
        <w:tc>
          <w:tcPr>
            <w:tcW w:w="4145" w:type="dxa"/>
            <w:tcBorders>
              <w:left w:val="nil"/>
              <w:right w:val="nil"/>
            </w:tcBorders>
          </w:tcPr>
          <w:p w14:paraId="5DC1BED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AYA with school difficulties/special education</w:t>
            </w:r>
          </w:p>
          <w:p w14:paraId="6CC392C0"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no, n (%)</w:t>
            </w:r>
          </w:p>
          <w:p w14:paraId="25E1BC9F"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yes, n (%)</w:t>
            </w:r>
          </w:p>
          <w:p w14:paraId="600DF6C0"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na, n</w:t>
            </w:r>
          </w:p>
        </w:tc>
        <w:tc>
          <w:tcPr>
            <w:tcW w:w="1134" w:type="dxa"/>
            <w:tcBorders>
              <w:left w:val="nil"/>
              <w:right w:val="nil"/>
            </w:tcBorders>
          </w:tcPr>
          <w:p w14:paraId="12C01F89" w14:textId="77777777" w:rsidR="00D317F0" w:rsidRPr="00C04F98" w:rsidRDefault="00D317F0" w:rsidP="007E4584">
            <w:pPr>
              <w:rPr>
                <w:rFonts w:ascii="Times New Roman" w:hAnsi="Times New Roman" w:cs="Times New Roman"/>
                <w:sz w:val="20"/>
                <w:szCs w:val="20"/>
                <w:lang w:val="en-US"/>
              </w:rPr>
            </w:pPr>
          </w:p>
          <w:p w14:paraId="6F8680F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 (55.6)</w:t>
            </w:r>
          </w:p>
          <w:p w14:paraId="160D83E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 (44.4)</w:t>
            </w:r>
          </w:p>
          <w:p w14:paraId="1F8A138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9</w:t>
            </w:r>
          </w:p>
        </w:tc>
        <w:tc>
          <w:tcPr>
            <w:tcW w:w="1134" w:type="dxa"/>
            <w:tcBorders>
              <w:left w:val="nil"/>
              <w:right w:val="nil"/>
            </w:tcBorders>
          </w:tcPr>
          <w:p w14:paraId="0F1CF1E0" w14:textId="77777777" w:rsidR="00D317F0" w:rsidRPr="00C04F98" w:rsidRDefault="00D317F0" w:rsidP="007E4584">
            <w:pPr>
              <w:rPr>
                <w:rFonts w:ascii="Times New Roman" w:hAnsi="Times New Roman" w:cs="Times New Roman"/>
                <w:sz w:val="20"/>
                <w:szCs w:val="20"/>
                <w:lang w:val="en-US"/>
              </w:rPr>
            </w:pPr>
          </w:p>
          <w:p w14:paraId="6477D63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7 (38.9)</w:t>
            </w:r>
          </w:p>
          <w:p w14:paraId="6461225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 (61.1)</w:t>
            </w:r>
          </w:p>
          <w:p w14:paraId="7D7040B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15</w:t>
            </w:r>
          </w:p>
        </w:tc>
        <w:tc>
          <w:tcPr>
            <w:tcW w:w="992" w:type="dxa"/>
            <w:tcBorders>
              <w:left w:val="nil"/>
              <w:right w:val="nil"/>
            </w:tcBorders>
            <w:vAlign w:val="center"/>
          </w:tcPr>
          <w:p w14:paraId="566ED09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0.45</w:t>
            </w:r>
          </w:p>
        </w:tc>
        <w:tc>
          <w:tcPr>
            <w:tcW w:w="1134" w:type="dxa"/>
            <w:tcBorders>
              <w:left w:val="nil"/>
              <w:right w:val="nil"/>
            </w:tcBorders>
            <w:vAlign w:val="center"/>
          </w:tcPr>
          <w:p w14:paraId="74462339"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41C23C24" w14:textId="77777777" w:rsidR="00D317F0" w:rsidRPr="00C04F98" w:rsidRDefault="00D317F0" w:rsidP="007E4584">
            <w:pPr>
              <w:rPr>
                <w:rFonts w:ascii="Times New Roman" w:hAnsi="Times New Roman" w:cs="Times New Roman"/>
                <w:sz w:val="20"/>
                <w:szCs w:val="20"/>
                <w:lang w:val="en-US"/>
              </w:rPr>
            </w:pPr>
          </w:p>
        </w:tc>
      </w:tr>
      <w:tr w:rsidR="00D317F0" w:rsidRPr="00C04F98" w14:paraId="5BB9654F" w14:textId="77777777" w:rsidTr="007E4584">
        <w:tc>
          <w:tcPr>
            <w:tcW w:w="4145" w:type="dxa"/>
            <w:tcBorders>
              <w:left w:val="nil"/>
              <w:right w:val="nil"/>
            </w:tcBorders>
          </w:tcPr>
          <w:p w14:paraId="70B237F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AYA with language barrier</w:t>
            </w:r>
          </w:p>
          <w:p w14:paraId="001A4153"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no, n (%)</w:t>
            </w:r>
          </w:p>
          <w:p w14:paraId="0A48B5FE"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yes, n (%)</w:t>
            </w:r>
          </w:p>
          <w:p w14:paraId="227A8487"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na, n</w:t>
            </w:r>
          </w:p>
        </w:tc>
        <w:tc>
          <w:tcPr>
            <w:tcW w:w="1134" w:type="dxa"/>
            <w:tcBorders>
              <w:left w:val="nil"/>
              <w:right w:val="nil"/>
            </w:tcBorders>
          </w:tcPr>
          <w:p w14:paraId="513AFA30" w14:textId="77777777" w:rsidR="00D317F0" w:rsidRPr="00C04F98" w:rsidRDefault="00D317F0" w:rsidP="007E4584">
            <w:pPr>
              <w:rPr>
                <w:rFonts w:ascii="Times New Roman" w:hAnsi="Times New Roman" w:cs="Times New Roman"/>
                <w:sz w:val="20"/>
                <w:szCs w:val="20"/>
                <w:lang w:val="en-US"/>
              </w:rPr>
            </w:pPr>
          </w:p>
          <w:p w14:paraId="5E9CD52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17 (94.4)</w:t>
            </w:r>
          </w:p>
          <w:p w14:paraId="41A9DC8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 (5.6)</w:t>
            </w:r>
          </w:p>
          <w:p w14:paraId="2C7E436B"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0</w:t>
            </w:r>
          </w:p>
        </w:tc>
        <w:tc>
          <w:tcPr>
            <w:tcW w:w="1134" w:type="dxa"/>
            <w:tcBorders>
              <w:left w:val="nil"/>
              <w:right w:val="nil"/>
            </w:tcBorders>
          </w:tcPr>
          <w:p w14:paraId="02ED3CF0" w14:textId="77777777" w:rsidR="00D317F0" w:rsidRPr="00C04F98" w:rsidRDefault="00D317F0" w:rsidP="007E4584">
            <w:pPr>
              <w:rPr>
                <w:rFonts w:ascii="Times New Roman" w:hAnsi="Times New Roman" w:cs="Times New Roman"/>
                <w:sz w:val="20"/>
                <w:szCs w:val="20"/>
                <w:lang w:val="en-US"/>
              </w:rPr>
            </w:pPr>
          </w:p>
          <w:p w14:paraId="6247673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27 (93.1)</w:t>
            </w:r>
          </w:p>
          <w:p w14:paraId="6850041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 (6.9)</w:t>
            </w:r>
          </w:p>
          <w:p w14:paraId="60B91BE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4</w:t>
            </w:r>
          </w:p>
        </w:tc>
        <w:tc>
          <w:tcPr>
            <w:tcW w:w="992" w:type="dxa"/>
            <w:tcBorders>
              <w:left w:val="nil"/>
              <w:right w:val="nil"/>
            </w:tcBorders>
            <w:vAlign w:val="center"/>
          </w:tcPr>
          <w:p w14:paraId="386F4B7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1.00</w:t>
            </w:r>
          </w:p>
        </w:tc>
        <w:tc>
          <w:tcPr>
            <w:tcW w:w="1134" w:type="dxa"/>
            <w:tcBorders>
              <w:left w:val="nil"/>
              <w:right w:val="nil"/>
            </w:tcBorders>
            <w:vAlign w:val="center"/>
          </w:tcPr>
          <w:p w14:paraId="20AE43E9"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586FFFE9" w14:textId="77777777" w:rsidR="00D317F0" w:rsidRPr="00C04F98" w:rsidRDefault="00D317F0" w:rsidP="007E4584">
            <w:pPr>
              <w:rPr>
                <w:rFonts w:ascii="Times New Roman" w:hAnsi="Times New Roman" w:cs="Times New Roman"/>
                <w:sz w:val="20"/>
                <w:szCs w:val="20"/>
                <w:lang w:val="en-US"/>
              </w:rPr>
            </w:pPr>
          </w:p>
        </w:tc>
      </w:tr>
      <w:tr w:rsidR="00D317F0" w:rsidRPr="00C04F98" w14:paraId="3DBFEE5E" w14:textId="77777777" w:rsidTr="007E4584">
        <w:tc>
          <w:tcPr>
            <w:tcW w:w="4145" w:type="dxa"/>
            <w:tcBorders>
              <w:left w:val="nil"/>
              <w:right w:val="nil"/>
            </w:tcBorders>
          </w:tcPr>
          <w:p w14:paraId="7270757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Age at diagnosis</w:t>
            </w:r>
          </w:p>
          <w:p w14:paraId="5F575A67"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child, baby, newborn, n (%)</w:t>
            </w:r>
          </w:p>
          <w:p w14:paraId="35340B25"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adolescent, n (%)</w:t>
            </w:r>
          </w:p>
          <w:p w14:paraId="289C493C"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na, n</w:t>
            </w:r>
          </w:p>
        </w:tc>
        <w:tc>
          <w:tcPr>
            <w:tcW w:w="1134" w:type="dxa"/>
            <w:tcBorders>
              <w:left w:val="nil"/>
              <w:right w:val="nil"/>
            </w:tcBorders>
          </w:tcPr>
          <w:p w14:paraId="0EB23E85" w14:textId="77777777" w:rsidR="00D317F0" w:rsidRPr="00C04F98" w:rsidRDefault="00D317F0" w:rsidP="007E4584">
            <w:pPr>
              <w:rPr>
                <w:rFonts w:ascii="Times New Roman" w:hAnsi="Times New Roman" w:cs="Times New Roman"/>
                <w:sz w:val="20"/>
                <w:szCs w:val="20"/>
                <w:lang w:val="en-US"/>
              </w:rPr>
            </w:pPr>
          </w:p>
          <w:p w14:paraId="67151EE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9 (60.0)</w:t>
            </w:r>
          </w:p>
          <w:p w14:paraId="304E57C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 (40.0)</w:t>
            </w:r>
          </w:p>
          <w:p w14:paraId="488B714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w:t>
            </w:r>
          </w:p>
        </w:tc>
        <w:tc>
          <w:tcPr>
            <w:tcW w:w="1134" w:type="dxa"/>
            <w:tcBorders>
              <w:left w:val="nil"/>
              <w:right w:val="nil"/>
            </w:tcBorders>
          </w:tcPr>
          <w:p w14:paraId="28855270" w14:textId="77777777" w:rsidR="00D317F0" w:rsidRPr="00C04F98" w:rsidRDefault="00D317F0" w:rsidP="007E4584">
            <w:pPr>
              <w:rPr>
                <w:rFonts w:ascii="Times New Roman" w:hAnsi="Times New Roman" w:cs="Times New Roman"/>
                <w:sz w:val="20"/>
                <w:szCs w:val="20"/>
                <w:lang w:val="en-US"/>
              </w:rPr>
            </w:pPr>
          </w:p>
          <w:p w14:paraId="1DB85B8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19 (63.3)</w:t>
            </w:r>
          </w:p>
          <w:p w14:paraId="449BC61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 (36.7)</w:t>
            </w:r>
          </w:p>
          <w:p w14:paraId="270A88B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w:t>
            </w:r>
          </w:p>
        </w:tc>
        <w:tc>
          <w:tcPr>
            <w:tcW w:w="992" w:type="dxa"/>
            <w:tcBorders>
              <w:left w:val="nil"/>
              <w:right w:val="nil"/>
            </w:tcBorders>
            <w:vAlign w:val="center"/>
          </w:tcPr>
          <w:p w14:paraId="5A2AB435"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 0.83</w:t>
            </w:r>
          </w:p>
        </w:tc>
        <w:tc>
          <w:tcPr>
            <w:tcW w:w="1134" w:type="dxa"/>
            <w:tcBorders>
              <w:left w:val="nil"/>
              <w:right w:val="nil"/>
            </w:tcBorders>
            <w:vAlign w:val="center"/>
          </w:tcPr>
          <w:p w14:paraId="33504127"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28E03E3A" w14:textId="77777777" w:rsidR="00D317F0" w:rsidRPr="00C04F98" w:rsidRDefault="00D317F0" w:rsidP="007E4584">
            <w:pPr>
              <w:rPr>
                <w:rFonts w:ascii="Times New Roman" w:hAnsi="Times New Roman" w:cs="Times New Roman"/>
                <w:sz w:val="20"/>
                <w:szCs w:val="20"/>
                <w:lang w:val="en-US"/>
              </w:rPr>
            </w:pPr>
          </w:p>
        </w:tc>
      </w:tr>
      <w:tr w:rsidR="00D317F0" w:rsidRPr="00C04F98" w14:paraId="4E4EBD9A" w14:textId="77777777" w:rsidTr="007E4584">
        <w:tc>
          <w:tcPr>
            <w:tcW w:w="4145" w:type="dxa"/>
            <w:tcBorders>
              <w:left w:val="nil"/>
              <w:right w:val="nil"/>
            </w:tcBorders>
          </w:tcPr>
          <w:p w14:paraId="072867F0"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CCs</w:t>
            </w:r>
            <w:r w:rsidRPr="00C04F98">
              <w:rPr>
                <w:rFonts w:ascii="Times New Roman" w:hAnsi="Times New Roman" w:cs="Times New Roman"/>
                <w:sz w:val="20"/>
                <w:szCs w:val="20"/>
                <w:lang w:val="en-US"/>
              </w:rPr>
              <w:t xml:space="preserve"> follow-up by the </w:t>
            </w:r>
            <w:r>
              <w:rPr>
                <w:rFonts w:ascii="Times New Roman" w:hAnsi="Times New Roman" w:cs="Times New Roman"/>
                <w:sz w:val="20"/>
                <w:szCs w:val="20"/>
                <w:lang w:val="en-US"/>
              </w:rPr>
              <w:t>GPOR</w:t>
            </w:r>
            <w:r w:rsidRPr="00C04F98">
              <w:rPr>
                <w:rFonts w:ascii="Times New Roman" w:hAnsi="Times New Roman" w:cs="Times New Roman"/>
                <w:sz w:val="20"/>
                <w:szCs w:val="20"/>
                <w:lang w:val="en-US"/>
              </w:rPr>
              <w:t>s</w:t>
            </w:r>
          </w:p>
          <w:p w14:paraId="34282938"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diabetes mellitus, n (%)</w:t>
            </w:r>
          </w:p>
          <w:p w14:paraId="03C22AAE"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inflammatory bowel disease, n (%)</w:t>
            </w:r>
          </w:p>
          <w:p w14:paraId="4AEC06D0"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epilepsy, n (%)</w:t>
            </w:r>
          </w:p>
          <w:p w14:paraId="5BCE3CD7"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sickle cell anemia, n (%)</w:t>
            </w:r>
          </w:p>
        </w:tc>
        <w:tc>
          <w:tcPr>
            <w:tcW w:w="1134" w:type="dxa"/>
            <w:tcBorders>
              <w:left w:val="nil"/>
              <w:right w:val="nil"/>
            </w:tcBorders>
          </w:tcPr>
          <w:p w14:paraId="1200F7CC" w14:textId="77777777" w:rsidR="00D317F0" w:rsidRPr="00C04F98" w:rsidRDefault="00D317F0" w:rsidP="007E4584">
            <w:pPr>
              <w:rPr>
                <w:rFonts w:ascii="Times New Roman" w:hAnsi="Times New Roman" w:cs="Times New Roman"/>
                <w:color w:val="000000"/>
                <w:kern w:val="24"/>
                <w:sz w:val="20"/>
                <w:szCs w:val="20"/>
                <w:lang w:val="en-US"/>
              </w:rPr>
            </w:pPr>
          </w:p>
          <w:p w14:paraId="4A2F11F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5 (27.8)</w:t>
            </w:r>
          </w:p>
          <w:p w14:paraId="0AD12E2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5 (27.8)</w:t>
            </w:r>
          </w:p>
          <w:p w14:paraId="15E4B74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 xml:space="preserve">2 (11.1) </w:t>
            </w:r>
          </w:p>
          <w:p w14:paraId="02581D9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 xml:space="preserve">6 (33.3) </w:t>
            </w:r>
          </w:p>
        </w:tc>
        <w:tc>
          <w:tcPr>
            <w:tcW w:w="1134" w:type="dxa"/>
            <w:tcBorders>
              <w:left w:val="nil"/>
              <w:right w:val="nil"/>
            </w:tcBorders>
          </w:tcPr>
          <w:p w14:paraId="097350C5" w14:textId="77777777" w:rsidR="00D317F0" w:rsidRPr="00C04F98" w:rsidRDefault="00D317F0" w:rsidP="007E4584">
            <w:pPr>
              <w:rPr>
                <w:rFonts w:ascii="Times New Roman" w:hAnsi="Times New Roman" w:cs="Times New Roman"/>
                <w:color w:val="000000"/>
                <w:kern w:val="24"/>
                <w:sz w:val="20"/>
                <w:szCs w:val="20"/>
                <w:lang w:val="en-US"/>
              </w:rPr>
            </w:pPr>
          </w:p>
          <w:p w14:paraId="27EE4A2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 xml:space="preserve">11 (33.3) </w:t>
            </w:r>
          </w:p>
          <w:p w14:paraId="7BA031B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 xml:space="preserve">10 (30.3) </w:t>
            </w:r>
          </w:p>
          <w:p w14:paraId="4BA0563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 xml:space="preserve">4 (12.1) </w:t>
            </w:r>
          </w:p>
          <w:p w14:paraId="61177F1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 xml:space="preserve">8 (24.2) </w:t>
            </w:r>
          </w:p>
        </w:tc>
        <w:tc>
          <w:tcPr>
            <w:tcW w:w="992" w:type="dxa"/>
            <w:tcBorders>
              <w:left w:val="nil"/>
              <w:right w:val="nil"/>
            </w:tcBorders>
            <w:vAlign w:val="center"/>
          </w:tcPr>
          <w:p w14:paraId="5D72DD9B" w14:textId="77777777" w:rsidR="00D317F0" w:rsidRPr="00C04F98" w:rsidRDefault="00D317F0" w:rsidP="007E4584">
            <w:pPr>
              <w:rPr>
                <w:rFonts w:ascii="Times New Roman" w:hAnsi="Times New Roman" w:cs="Times New Roman"/>
                <w:strike/>
                <w:sz w:val="20"/>
                <w:szCs w:val="20"/>
                <w:lang w:val="en-US"/>
              </w:rPr>
            </w:pPr>
            <w:r w:rsidRPr="00C04F98">
              <w:rPr>
                <w:rFonts w:ascii="Times New Roman" w:hAnsi="Times New Roman" w:cs="Times New Roman"/>
                <w:sz w:val="20"/>
                <w:szCs w:val="20"/>
                <w:lang w:val="en-US"/>
              </w:rPr>
              <w:t xml:space="preserve"> 0.92</w:t>
            </w:r>
          </w:p>
        </w:tc>
        <w:tc>
          <w:tcPr>
            <w:tcW w:w="1134" w:type="dxa"/>
            <w:tcBorders>
              <w:left w:val="nil"/>
              <w:right w:val="nil"/>
            </w:tcBorders>
            <w:vAlign w:val="center"/>
          </w:tcPr>
          <w:p w14:paraId="1AAC7E1E"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666F1392" w14:textId="77777777" w:rsidR="00D317F0" w:rsidRPr="00C04F98" w:rsidRDefault="00D317F0" w:rsidP="007E4584">
            <w:pPr>
              <w:rPr>
                <w:rFonts w:ascii="Times New Roman" w:hAnsi="Times New Roman" w:cs="Times New Roman"/>
                <w:sz w:val="20"/>
                <w:szCs w:val="20"/>
                <w:lang w:val="en-US"/>
              </w:rPr>
            </w:pPr>
          </w:p>
        </w:tc>
      </w:tr>
      <w:tr w:rsidR="00D317F0" w:rsidRPr="00C04F98" w14:paraId="14452DBB" w14:textId="77777777" w:rsidTr="007E4584">
        <w:tc>
          <w:tcPr>
            <w:tcW w:w="4145" w:type="dxa"/>
            <w:tcBorders>
              <w:left w:val="nil"/>
              <w:right w:val="nil"/>
            </w:tcBorders>
          </w:tcPr>
          <w:p w14:paraId="3DCC968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AYA with </w:t>
            </w:r>
            <w:r>
              <w:rPr>
                <w:rFonts w:ascii="Times New Roman" w:hAnsi="Times New Roman" w:cs="Times New Roman"/>
                <w:sz w:val="20"/>
                <w:szCs w:val="20"/>
                <w:lang w:val="en-US"/>
              </w:rPr>
              <w:t>severe CC</w:t>
            </w:r>
          </w:p>
          <w:p w14:paraId="6CB8CF14"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no, n (%)</w:t>
            </w:r>
          </w:p>
          <w:p w14:paraId="08ED1806" w14:textId="77777777" w:rsidR="00D317F0" w:rsidRPr="00C04F98" w:rsidRDefault="00D317F0" w:rsidP="007E4584">
            <w:pPr>
              <w:ind w:left="142"/>
              <w:rPr>
                <w:rFonts w:ascii="Times New Roman" w:hAnsi="Times New Roman" w:cs="Times New Roman"/>
                <w:sz w:val="20"/>
                <w:szCs w:val="20"/>
                <w:lang w:val="en-US"/>
              </w:rPr>
            </w:pPr>
            <w:r w:rsidRPr="00C04F98">
              <w:rPr>
                <w:rFonts w:ascii="Times New Roman" w:hAnsi="Times New Roman" w:cs="Times New Roman"/>
                <w:sz w:val="20"/>
                <w:szCs w:val="20"/>
                <w:lang w:val="en-US"/>
              </w:rPr>
              <w:t>yes, n (%)</w:t>
            </w:r>
          </w:p>
        </w:tc>
        <w:tc>
          <w:tcPr>
            <w:tcW w:w="1134" w:type="dxa"/>
            <w:tcBorders>
              <w:left w:val="nil"/>
              <w:right w:val="nil"/>
            </w:tcBorders>
          </w:tcPr>
          <w:p w14:paraId="0ABF4512" w14:textId="77777777" w:rsidR="00D317F0" w:rsidRPr="00C04F98" w:rsidRDefault="00D317F0" w:rsidP="007E4584">
            <w:pPr>
              <w:rPr>
                <w:rFonts w:ascii="Times New Roman" w:hAnsi="Times New Roman" w:cs="Times New Roman"/>
                <w:sz w:val="20"/>
                <w:szCs w:val="20"/>
                <w:lang w:val="en-US"/>
              </w:rPr>
            </w:pPr>
          </w:p>
          <w:p w14:paraId="66C9816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6 (33.3)</w:t>
            </w:r>
          </w:p>
          <w:p w14:paraId="5B773426"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12 (66.7)</w:t>
            </w:r>
          </w:p>
        </w:tc>
        <w:tc>
          <w:tcPr>
            <w:tcW w:w="1134" w:type="dxa"/>
            <w:tcBorders>
              <w:left w:val="nil"/>
              <w:right w:val="nil"/>
            </w:tcBorders>
          </w:tcPr>
          <w:p w14:paraId="071871D2" w14:textId="77777777" w:rsidR="00D317F0" w:rsidRPr="00C04F98" w:rsidRDefault="00D317F0" w:rsidP="007E4584">
            <w:pPr>
              <w:rPr>
                <w:rFonts w:ascii="Times New Roman" w:hAnsi="Times New Roman" w:cs="Times New Roman"/>
                <w:sz w:val="20"/>
                <w:szCs w:val="20"/>
                <w:lang w:val="en-US"/>
              </w:rPr>
            </w:pPr>
          </w:p>
          <w:p w14:paraId="4FD33ADD"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11 (33.3)</w:t>
            </w:r>
          </w:p>
          <w:p w14:paraId="7586054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22 (66.7)</w:t>
            </w:r>
          </w:p>
        </w:tc>
        <w:tc>
          <w:tcPr>
            <w:tcW w:w="992" w:type="dxa"/>
            <w:tcBorders>
              <w:left w:val="nil"/>
              <w:right w:val="nil"/>
            </w:tcBorders>
            <w:vAlign w:val="center"/>
          </w:tcPr>
          <w:p w14:paraId="318467B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 1.00</w:t>
            </w:r>
          </w:p>
        </w:tc>
        <w:tc>
          <w:tcPr>
            <w:tcW w:w="1134" w:type="dxa"/>
            <w:tcBorders>
              <w:left w:val="nil"/>
              <w:right w:val="nil"/>
            </w:tcBorders>
            <w:vAlign w:val="center"/>
          </w:tcPr>
          <w:p w14:paraId="3F8B3D2E"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5BB6F0EA" w14:textId="77777777" w:rsidR="00D317F0" w:rsidRPr="00C04F98" w:rsidRDefault="00D317F0" w:rsidP="007E4584">
            <w:pPr>
              <w:rPr>
                <w:rFonts w:ascii="Times New Roman" w:hAnsi="Times New Roman" w:cs="Times New Roman"/>
                <w:sz w:val="20"/>
                <w:szCs w:val="20"/>
                <w:lang w:val="en-US"/>
              </w:rPr>
            </w:pPr>
          </w:p>
        </w:tc>
      </w:tr>
      <w:tr w:rsidR="00D317F0" w:rsidRPr="00C04F98" w14:paraId="798C2331" w14:textId="77777777" w:rsidTr="007E4584">
        <w:tc>
          <w:tcPr>
            <w:tcW w:w="4145" w:type="dxa"/>
            <w:tcBorders>
              <w:left w:val="nil"/>
              <w:right w:val="nil"/>
            </w:tcBorders>
          </w:tcPr>
          <w:p w14:paraId="3CF827EA"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 xml:space="preserve">AYA with </w:t>
            </w:r>
            <w:r>
              <w:rPr>
                <w:rFonts w:ascii="Times New Roman" w:hAnsi="Times New Roman" w:cs="Times New Roman"/>
                <w:bCs/>
                <w:sz w:val="20"/>
                <w:szCs w:val="20"/>
                <w:lang w:val="en-US"/>
              </w:rPr>
              <w:t>stable CC</w:t>
            </w:r>
          </w:p>
          <w:p w14:paraId="172012B4" w14:textId="77777777" w:rsidR="00D317F0" w:rsidRPr="00C04F98" w:rsidRDefault="00D317F0" w:rsidP="007E4584">
            <w:pPr>
              <w:ind w:left="113"/>
              <w:rPr>
                <w:rFonts w:ascii="Times New Roman" w:hAnsi="Times New Roman" w:cs="Times New Roman"/>
                <w:bCs/>
                <w:sz w:val="20"/>
                <w:szCs w:val="20"/>
                <w:lang w:val="en-US"/>
              </w:rPr>
            </w:pPr>
            <w:r w:rsidRPr="00C04F98">
              <w:rPr>
                <w:rFonts w:ascii="Times New Roman" w:hAnsi="Times New Roman" w:cs="Times New Roman"/>
                <w:bCs/>
                <w:sz w:val="20"/>
                <w:szCs w:val="20"/>
                <w:lang w:val="en-US"/>
              </w:rPr>
              <w:t>no, n (%)</w:t>
            </w:r>
          </w:p>
          <w:p w14:paraId="447A3CF0"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bCs/>
                <w:sz w:val="20"/>
                <w:szCs w:val="20"/>
                <w:lang w:val="en-US"/>
              </w:rPr>
              <w:t>yes, n (%)</w:t>
            </w:r>
          </w:p>
        </w:tc>
        <w:tc>
          <w:tcPr>
            <w:tcW w:w="1134" w:type="dxa"/>
            <w:tcBorders>
              <w:left w:val="nil"/>
              <w:right w:val="nil"/>
            </w:tcBorders>
          </w:tcPr>
          <w:p w14:paraId="208089D9" w14:textId="77777777" w:rsidR="00D317F0" w:rsidRPr="00C04F98" w:rsidRDefault="00D317F0" w:rsidP="007E4584">
            <w:pPr>
              <w:rPr>
                <w:rFonts w:ascii="Times New Roman" w:hAnsi="Times New Roman" w:cs="Times New Roman"/>
                <w:bCs/>
                <w:sz w:val="20"/>
                <w:szCs w:val="20"/>
                <w:lang w:val="en-US"/>
              </w:rPr>
            </w:pPr>
          </w:p>
          <w:p w14:paraId="7E350852"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12 (66.7)</w:t>
            </w:r>
          </w:p>
          <w:p w14:paraId="538D1E5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bCs/>
                <w:sz w:val="20"/>
                <w:szCs w:val="20"/>
                <w:lang w:val="en-US"/>
              </w:rPr>
              <w:t>6 (33.3)</w:t>
            </w:r>
          </w:p>
        </w:tc>
        <w:tc>
          <w:tcPr>
            <w:tcW w:w="1134" w:type="dxa"/>
            <w:tcBorders>
              <w:left w:val="nil"/>
              <w:right w:val="nil"/>
            </w:tcBorders>
          </w:tcPr>
          <w:p w14:paraId="67D290E7" w14:textId="77777777" w:rsidR="00D317F0" w:rsidRPr="00C04F98" w:rsidRDefault="00D317F0" w:rsidP="007E4584">
            <w:pPr>
              <w:rPr>
                <w:rFonts w:ascii="Times New Roman" w:hAnsi="Times New Roman" w:cs="Times New Roman"/>
                <w:bCs/>
                <w:sz w:val="20"/>
                <w:szCs w:val="20"/>
                <w:lang w:val="en-US"/>
              </w:rPr>
            </w:pPr>
          </w:p>
          <w:p w14:paraId="140DD3D3"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7 (21.2)</w:t>
            </w:r>
          </w:p>
          <w:p w14:paraId="7183FA5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bCs/>
                <w:sz w:val="20"/>
                <w:szCs w:val="20"/>
                <w:lang w:val="en-US"/>
              </w:rPr>
              <w:t>26 (78.8)</w:t>
            </w:r>
          </w:p>
        </w:tc>
        <w:tc>
          <w:tcPr>
            <w:tcW w:w="992" w:type="dxa"/>
            <w:tcBorders>
              <w:left w:val="nil"/>
              <w:right w:val="nil"/>
            </w:tcBorders>
            <w:vAlign w:val="center"/>
          </w:tcPr>
          <w:p w14:paraId="6F273697" w14:textId="77777777" w:rsidR="00D317F0" w:rsidRPr="00C04F98" w:rsidRDefault="00D317F0" w:rsidP="007E4584">
            <w:pPr>
              <w:rPr>
                <w:rFonts w:ascii="Times New Roman" w:hAnsi="Times New Roman" w:cs="Times New Roman"/>
                <w:strike/>
                <w:sz w:val="20"/>
                <w:szCs w:val="20"/>
                <w:lang w:val="en-US"/>
              </w:rPr>
            </w:pPr>
            <w:r w:rsidRPr="00C04F98">
              <w:rPr>
                <w:rFonts w:ascii="Times New Roman" w:hAnsi="Times New Roman" w:cs="Times New Roman"/>
                <w:bCs/>
                <w:sz w:val="20"/>
                <w:szCs w:val="20"/>
                <w:lang w:val="en-US"/>
              </w:rPr>
              <w:t xml:space="preserve"> &lt;</w:t>
            </w:r>
            <w:r>
              <w:rPr>
                <w:rFonts w:ascii="Times New Roman" w:hAnsi="Times New Roman" w:cs="Times New Roman"/>
                <w:bCs/>
                <w:sz w:val="20"/>
                <w:szCs w:val="20"/>
                <w:lang w:val="en-US"/>
              </w:rPr>
              <w:t xml:space="preserve"> </w:t>
            </w:r>
            <w:r w:rsidRPr="00C04F98">
              <w:rPr>
                <w:rFonts w:ascii="Times New Roman" w:hAnsi="Times New Roman" w:cs="Times New Roman"/>
                <w:bCs/>
                <w:sz w:val="20"/>
                <w:szCs w:val="20"/>
                <w:lang w:val="en-US"/>
              </w:rPr>
              <w:t>0.01</w:t>
            </w:r>
          </w:p>
        </w:tc>
        <w:tc>
          <w:tcPr>
            <w:tcW w:w="1134" w:type="dxa"/>
            <w:tcBorders>
              <w:left w:val="nil"/>
              <w:right w:val="nil"/>
            </w:tcBorders>
            <w:vAlign w:val="center"/>
          </w:tcPr>
          <w:p w14:paraId="4E66232F"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bCs/>
                <w:sz w:val="20"/>
                <w:szCs w:val="20"/>
                <w:lang w:val="en-US"/>
              </w:rPr>
              <w:t>6.9 (1.7; 27.3)</w:t>
            </w:r>
          </w:p>
        </w:tc>
        <w:tc>
          <w:tcPr>
            <w:tcW w:w="709" w:type="dxa"/>
            <w:tcBorders>
              <w:left w:val="nil"/>
              <w:right w:val="nil"/>
            </w:tcBorders>
            <w:vAlign w:val="center"/>
          </w:tcPr>
          <w:p w14:paraId="3F60A44E" w14:textId="77777777" w:rsidR="00D317F0" w:rsidRPr="00C04F98" w:rsidRDefault="00D317F0" w:rsidP="007E4584">
            <w:pPr>
              <w:ind w:right="-106"/>
              <w:rPr>
                <w:rFonts w:ascii="Times New Roman" w:hAnsi="Times New Roman" w:cs="Times New Roman"/>
                <w:sz w:val="20"/>
                <w:szCs w:val="20"/>
                <w:lang w:val="en-US"/>
              </w:rPr>
            </w:pPr>
            <w:r w:rsidRPr="00C04F98">
              <w:rPr>
                <w:rFonts w:ascii="Times New Roman" w:hAnsi="Times New Roman" w:cs="Times New Roman"/>
                <w:bCs/>
                <w:sz w:val="20"/>
                <w:szCs w:val="20"/>
                <w:lang w:val="en-US"/>
              </w:rPr>
              <w:t>&lt;</w:t>
            </w:r>
            <w:r>
              <w:rPr>
                <w:rFonts w:ascii="Times New Roman" w:hAnsi="Times New Roman" w:cs="Times New Roman"/>
                <w:bCs/>
                <w:sz w:val="20"/>
                <w:szCs w:val="20"/>
                <w:lang w:val="en-US"/>
              </w:rPr>
              <w:t xml:space="preserve"> </w:t>
            </w:r>
            <w:r w:rsidRPr="00C04F98">
              <w:rPr>
                <w:rFonts w:ascii="Times New Roman" w:hAnsi="Times New Roman" w:cs="Times New Roman"/>
                <w:bCs/>
                <w:sz w:val="20"/>
                <w:szCs w:val="20"/>
                <w:lang w:val="en-US"/>
              </w:rPr>
              <w:t>0.01</w:t>
            </w:r>
          </w:p>
        </w:tc>
      </w:tr>
      <w:tr w:rsidR="00D317F0" w:rsidRPr="00C04F98" w14:paraId="7D117DCE" w14:textId="77777777" w:rsidTr="007E4584">
        <w:tc>
          <w:tcPr>
            <w:tcW w:w="4145" w:type="dxa"/>
            <w:tcBorders>
              <w:left w:val="nil"/>
              <w:right w:val="nil"/>
            </w:tcBorders>
          </w:tcPr>
          <w:p w14:paraId="102F0D5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AYA with complex treatment</w:t>
            </w:r>
          </w:p>
          <w:p w14:paraId="78202DF4"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no, n (%)</w:t>
            </w:r>
          </w:p>
          <w:p w14:paraId="058FD7F0" w14:textId="77777777" w:rsidR="00D317F0" w:rsidRPr="00C04F98" w:rsidRDefault="00D317F0" w:rsidP="007E4584">
            <w:pPr>
              <w:ind w:left="113"/>
              <w:rPr>
                <w:rFonts w:ascii="Times New Roman" w:hAnsi="Times New Roman" w:cs="Times New Roman"/>
                <w:bCs/>
                <w:sz w:val="20"/>
                <w:szCs w:val="20"/>
                <w:lang w:val="en-US"/>
              </w:rPr>
            </w:pPr>
            <w:r w:rsidRPr="00C04F98">
              <w:rPr>
                <w:rFonts w:ascii="Times New Roman" w:hAnsi="Times New Roman" w:cs="Times New Roman"/>
                <w:sz w:val="20"/>
                <w:szCs w:val="20"/>
                <w:lang w:val="en-US"/>
              </w:rPr>
              <w:t>yes, n (%)</w:t>
            </w:r>
          </w:p>
        </w:tc>
        <w:tc>
          <w:tcPr>
            <w:tcW w:w="1134" w:type="dxa"/>
            <w:tcBorders>
              <w:left w:val="nil"/>
              <w:right w:val="nil"/>
            </w:tcBorders>
          </w:tcPr>
          <w:p w14:paraId="7A5BD40C" w14:textId="77777777" w:rsidR="00D317F0" w:rsidRPr="00C04F98" w:rsidRDefault="00D317F0" w:rsidP="007E4584">
            <w:pPr>
              <w:rPr>
                <w:rFonts w:ascii="Times New Roman" w:hAnsi="Times New Roman" w:cs="Times New Roman"/>
                <w:sz w:val="20"/>
                <w:szCs w:val="20"/>
                <w:lang w:val="en-US"/>
              </w:rPr>
            </w:pPr>
          </w:p>
          <w:p w14:paraId="2FE2C39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 (27.8)</w:t>
            </w:r>
          </w:p>
          <w:p w14:paraId="2976AC82"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sz w:val="20"/>
                <w:szCs w:val="20"/>
                <w:lang w:val="en-US"/>
              </w:rPr>
              <w:t>13 (72.2)</w:t>
            </w:r>
          </w:p>
        </w:tc>
        <w:tc>
          <w:tcPr>
            <w:tcW w:w="1134" w:type="dxa"/>
            <w:tcBorders>
              <w:left w:val="nil"/>
              <w:right w:val="nil"/>
            </w:tcBorders>
          </w:tcPr>
          <w:p w14:paraId="48C4CE98" w14:textId="77777777" w:rsidR="00D317F0" w:rsidRPr="00C04F98" w:rsidRDefault="00D317F0" w:rsidP="007E4584">
            <w:pPr>
              <w:rPr>
                <w:rFonts w:ascii="Times New Roman" w:hAnsi="Times New Roman" w:cs="Times New Roman"/>
                <w:sz w:val="20"/>
                <w:szCs w:val="20"/>
                <w:lang w:val="en-US"/>
              </w:rPr>
            </w:pPr>
          </w:p>
          <w:p w14:paraId="41366F1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 (24.2)</w:t>
            </w:r>
          </w:p>
          <w:p w14:paraId="605199D4"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sz w:val="20"/>
                <w:szCs w:val="20"/>
                <w:lang w:val="en-US"/>
              </w:rPr>
              <w:t>25 (75.8)</w:t>
            </w:r>
          </w:p>
        </w:tc>
        <w:tc>
          <w:tcPr>
            <w:tcW w:w="992" w:type="dxa"/>
            <w:tcBorders>
              <w:left w:val="nil"/>
              <w:right w:val="nil"/>
            </w:tcBorders>
            <w:vAlign w:val="center"/>
          </w:tcPr>
          <w:p w14:paraId="3587423E" w14:textId="77777777" w:rsidR="00D317F0" w:rsidRPr="00C04F98" w:rsidRDefault="00D317F0" w:rsidP="007E4584">
            <w:pPr>
              <w:rPr>
                <w:rFonts w:ascii="Times New Roman" w:hAnsi="Times New Roman" w:cs="Times New Roman"/>
                <w:bCs/>
                <w:strike/>
                <w:sz w:val="20"/>
                <w:szCs w:val="20"/>
                <w:lang w:val="en-US"/>
              </w:rPr>
            </w:pPr>
            <w:r w:rsidRPr="00C04F98">
              <w:rPr>
                <w:rFonts w:ascii="Times New Roman" w:hAnsi="Times New Roman" w:cs="Times New Roman"/>
                <w:sz w:val="20"/>
                <w:szCs w:val="20"/>
                <w:lang w:val="en-US"/>
              </w:rPr>
              <w:t xml:space="preserve"> 1.00</w:t>
            </w:r>
          </w:p>
        </w:tc>
        <w:tc>
          <w:tcPr>
            <w:tcW w:w="1134" w:type="dxa"/>
            <w:tcBorders>
              <w:left w:val="nil"/>
              <w:right w:val="nil"/>
            </w:tcBorders>
            <w:vAlign w:val="center"/>
          </w:tcPr>
          <w:p w14:paraId="21051167" w14:textId="77777777" w:rsidR="00D317F0" w:rsidRPr="00C04F98" w:rsidRDefault="00D317F0" w:rsidP="007E4584">
            <w:pPr>
              <w:rPr>
                <w:rFonts w:ascii="Times New Roman" w:hAnsi="Times New Roman" w:cs="Times New Roman"/>
                <w:bCs/>
                <w:sz w:val="20"/>
                <w:szCs w:val="20"/>
                <w:lang w:val="en-US"/>
              </w:rPr>
            </w:pPr>
          </w:p>
        </w:tc>
        <w:tc>
          <w:tcPr>
            <w:tcW w:w="709" w:type="dxa"/>
            <w:tcBorders>
              <w:left w:val="nil"/>
              <w:right w:val="nil"/>
            </w:tcBorders>
            <w:vAlign w:val="center"/>
          </w:tcPr>
          <w:p w14:paraId="5A795DD4" w14:textId="77777777" w:rsidR="00D317F0" w:rsidRPr="00C04F98" w:rsidRDefault="00D317F0" w:rsidP="007E4584">
            <w:pPr>
              <w:rPr>
                <w:rFonts w:ascii="Times New Roman" w:hAnsi="Times New Roman" w:cs="Times New Roman"/>
                <w:bCs/>
                <w:sz w:val="20"/>
                <w:szCs w:val="20"/>
                <w:lang w:val="en-US"/>
              </w:rPr>
            </w:pPr>
          </w:p>
        </w:tc>
      </w:tr>
      <w:tr w:rsidR="00D317F0" w:rsidRPr="00C04F98" w14:paraId="3A015320" w14:textId="77777777" w:rsidTr="007E4584">
        <w:tc>
          <w:tcPr>
            <w:tcW w:w="4145" w:type="dxa"/>
            <w:tcBorders>
              <w:left w:val="nil"/>
              <w:right w:val="nil"/>
            </w:tcBorders>
          </w:tcPr>
          <w:p w14:paraId="2314485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AYA with </w:t>
            </w:r>
            <w:r>
              <w:rPr>
                <w:rFonts w:ascii="Times New Roman" w:hAnsi="Times New Roman" w:cs="Times New Roman"/>
                <w:sz w:val="20"/>
                <w:szCs w:val="20"/>
                <w:lang w:val="en-US"/>
              </w:rPr>
              <w:t>A-</w:t>
            </w:r>
            <w:r w:rsidRPr="00C04F98">
              <w:rPr>
                <w:rFonts w:ascii="Times New Roman" w:hAnsi="Times New Roman" w:cs="Times New Roman"/>
                <w:sz w:val="20"/>
                <w:szCs w:val="20"/>
                <w:lang w:val="en-US"/>
              </w:rPr>
              <w:t>GPs</w:t>
            </w:r>
          </w:p>
          <w:p w14:paraId="5C27F8DC"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no, n (%)</w:t>
            </w:r>
          </w:p>
          <w:p w14:paraId="0483062A"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yes, n (%)</w:t>
            </w:r>
          </w:p>
          <w:p w14:paraId="31901E80"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na, n</w:t>
            </w:r>
          </w:p>
        </w:tc>
        <w:tc>
          <w:tcPr>
            <w:tcW w:w="1134" w:type="dxa"/>
            <w:tcBorders>
              <w:left w:val="nil"/>
              <w:right w:val="nil"/>
            </w:tcBorders>
          </w:tcPr>
          <w:p w14:paraId="00EED28B" w14:textId="77777777" w:rsidR="00D317F0" w:rsidRPr="00C04F98" w:rsidRDefault="00D317F0" w:rsidP="007E4584">
            <w:pPr>
              <w:rPr>
                <w:rFonts w:ascii="Times New Roman" w:hAnsi="Times New Roman" w:cs="Times New Roman"/>
                <w:sz w:val="20"/>
                <w:szCs w:val="20"/>
                <w:lang w:val="en-US"/>
              </w:rPr>
            </w:pPr>
          </w:p>
          <w:p w14:paraId="650FE14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0 (0.0)</w:t>
            </w:r>
          </w:p>
          <w:p w14:paraId="2D4174C0"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17 (100.0)</w:t>
            </w:r>
          </w:p>
          <w:p w14:paraId="4328AB8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w:t>
            </w:r>
          </w:p>
        </w:tc>
        <w:tc>
          <w:tcPr>
            <w:tcW w:w="1134" w:type="dxa"/>
            <w:tcBorders>
              <w:left w:val="nil"/>
              <w:right w:val="nil"/>
            </w:tcBorders>
          </w:tcPr>
          <w:p w14:paraId="0A49930B" w14:textId="77777777" w:rsidR="00D317F0" w:rsidRPr="00C04F98" w:rsidRDefault="00D317F0" w:rsidP="007E4584">
            <w:pPr>
              <w:rPr>
                <w:rFonts w:ascii="Times New Roman" w:hAnsi="Times New Roman" w:cs="Times New Roman"/>
                <w:sz w:val="20"/>
                <w:szCs w:val="20"/>
                <w:lang w:val="en-US"/>
              </w:rPr>
            </w:pPr>
          </w:p>
          <w:p w14:paraId="439AD28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 (9.4)</w:t>
            </w:r>
          </w:p>
          <w:p w14:paraId="258B7477"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29 (90.6)</w:t>
            </w:r>
          </w:p>
          <w:p w14:paraId="71FFB086"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w:t>
            </w:r>
          </w:p>
        </w:tc>
        <w:tc>
          <w:tcPr>
            <w:tcW w:w="992" w:type="dxa"/>
            <w:tcBorders>
              <w:left w:val="nil"/>
              <w:right w:val="nil"/>
            </w:tcBorders>
            <w:vAlign w:val="center"/>
          </w:tcPr>
          <w:p w14:paraId="792406D4" w14:textId="77777777" w:rsidR="00D317F0" w:rsidRPr="00C04F98" w:rsidRDefault="00D317F0" w:rsidP="007E4584">
            <w:pPr>
              <w:rPr>
                <w:rFonts w:ascii="Times New Roman" w:hAnsi="Times New Roman" w:cs="Times New Roman"/>
                <w:strike/>
                <w:sz w:val="20"/>
                <w:szCs w:val="20"/>
                <w:lang w:val="en-US"/>
              </w:rPr>
            </w:pPr>
            <w:r w:rsidRPr="00C04F98">
              <w:rPr>
                <w:rFonts w:ascii="Times New Roman" w:hAnsi="Times New Roman" w:cs="Times New Roman"/>
                <w:sz w:val="20"/>
                <w:szCs w:val="20"/>
                <w:lang w:val="en-US"/>
              </w:rPr>
              <w:t>0.54</w:t>
            </w:r>
          </w:p>
        </w:tc>
        <w:tc>
          <w:tcPr>
            <w:tcW w:w="1134" w:type="dxa"/>
            <w:tcBorders>
              <w:left w:val="nil"/>
              <w:right w:val="nil"/>
            </w:tcBorders>
            <w:vAlign w:val="center"/>
          </w:tcPr>
          <w:p w14:paraId="7626E07C"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4C7EDD6C" w14:textId="77777777" w:rsidR="00D317F0" w:rsidRPr="00C04F98" w:rsidRDefault="00D317F0" w:rsidP="007E4584">
            <w:pPr>
              <w:rPr>
                <w:rFonts w:ascii="Times New Roman" w:hAnsi="Times New Roman" w:cs="Times New Roman"/>
                <w:sz w:val="20"/>
                <w:szCs w:val="20"/>
                <w:lang w:val="en-US"/>
              </w:rPr>
            </w:pPr>
          </w:p>
        </w:tc>
      </w:tr>
      <w:tr w:rsidR="00D317F0" w:rsidRPr="00C04F98" w14:paraId="0D079ED3" w14:textId="77777777" w:rsidTr="007E4584">
        <w:tc>
          <w:tcPr>
            <w:tcW w:w="4145" w:type="dxa"/>
            <w:tcBorders>
              <w:left w:val="nil"/>
              <w:right w:val="nil"/>
            </w:tcBorders>
          </w:tcPr>
          <w:p w14:paraId="5FDEB2C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GPs with additional qualifications</w:t>
            </w:r>
          </w:p>
          <w:p w14:paraId="7D7CCF42"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no, n (%)</w:t>
            </w:r>
          </w:p>
          <w:p w14:paraId="382810D0" w14:textId="77777777" w:rsidR="00D317F0"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yes, n (%)</w:t>
            </w:r>
          </w:p>
          <w:p w14:paraId="7419BC86"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na, n</w:t>
            </w:r>
          </w:p>
        </w:tc>
        <w:tc>
          <w:tcPr>
            <w:tcW w:w="1134" w:type="dxa"/>
            <w:tcBorders>
              <w:left w:val="nil"/>
              <w:right w:val="nil"/>
            </w:tcBorders>
          </w:tcPr>
          <w:p w14:paraId="1A624D07" w14:textId="77777777" w:rsidR="00D317F0" w:rsidRPr="00C04F98" w:rsidRDefault="00D317F0" w:rsidP="007E4584">
            <w:pPr>
              <w:rPr>
                <w:rFonts w:ascii="Times New Roman" w:hAnsi="Times New Roman" w:cs="Times New Roman"/>
                <w:sz w:val="20"/>
                <w:szCs w:val="20"/>
                <w:lang w:val="en-US"/>
              </w:rPr>
            </w:pPr>
          </w:p>
          <w:p w14:paraId="4831D23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18 (100.0)</w:t>
            </w:r>
          </w:p>
          <w:p w14:paraId="3A599B0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0 (0.0)</w:t>
            </w:r>
          </w:p>
          <w:p w14:paraId="1A9D7E1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0</w:t>
            </w:r>
          </w:p>
        </w:tc>
        <w:tc>
          <w:tcPr>
            <w:tcW w:w="1134" w:type="dxa"/>
            <w:tcBorders>
              <w:left w:val="nil"/>
              <w:right w:val="nil"/>
            </w:tcBorders>
          </w:tcPr>
          <w:p w14:paraId="26FA04D4" w14:textId="77777777" w:rsidR="00D317F0" w:rsidRPr="00C04F98" w:rsidRDefault="00D317F0" w:rsidP="007E4584">
            <w:pPr>
              <w:rPr>
                <w:rFonts w:ascii="Times New Roman" w:hAnsi="Times New Roman" w:cs="Times New Roman"/>
                <w:sz w:val="20"/>
                <w:szCs w:val="20"/>
                <w:lang w:val="en-US"/>
              </w:rPr>
            </w:pPr>
          </w:p>
          <w:p w14:paraId="60980AC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28 (90.3)</w:t>
            </w:r>
          </w:p>
          <w:p w14:paraId="43E1BB3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 (9.7)</w:t>
            </w:r>
          </w:p>
          <w:p w14:paraId="45D75DA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w:t>
            </w:r>
          </w:p>
        </w:tc>
        <w:tc>
          <w:tcPr>
            <w:tcW w:w="992" w:type="dxa"/>
            <w:tcBorders>
              <w:left w:val="nil"/>
              <w:right w:val="nil"/>
            </w:tcBorders>
            <w:vAlign w:val="center"/>
          </w:tcPr>
          <w:p w14:paraId="722FDBF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0.29</w:t>
            </w:r>
          </w:p>
        </w:tc>
        <w:tc>
          <w:tcPr>
            <w:tcW w:w="1134" w:type="dxa"/>
            <w:tcBorders>
              <w:left w:val="nil"/>
              <w:right w:val="nil"/>
            </w:tcBorders>
            <w:vAlign w:val="center"/>
          </w:tcPr>
          <w:p w14:paraId="3116F4A4"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58B403EE" w14:textId="77777777" w:rsidR="00D317F0" w:rsidRPr="00C04F98" w:rsidRDefault="00D317F0" w:rsidP="007E4584">
            <w:pPr>
              <w:rPr>
                <w:rFonts w:ascii="Times New Roman" w:hAnsi="Times New Roman" w:cs="Times New Roman"/>
                <w:sz w:val="20"/>
                <w:szCs w:val="20"/>
                <w:lang w:val="en-US"/>
              </w:rPr>
            </w:pPr>
          </w:p>
        </w:tc>
      </w:tr>
      <w:tr w:rsidR="00D317F0" w:rsidRPr="00C04F98" w14:paraId="07DD6D1D" w14:textId="77777777" w:rsidTr="007E4584">
        <w:tc>
          <w:tcPr>
            <w:tcW w:w="4145" w:type="dxa"/>
            <w:tcBorders>
              <w:left w:val="nil"/>
              <w:right w:val="nil"/>
            </w:tcBorders>
          </w:tcPr>
          <w:p w14:paraId="7864C490" w14:textId="77777777" w:rsidR="00D317F0" w:rsidRPr="00C04F98" w:rsidRDefault="00D317F0" w:rsidP="007E4584">
            <w:pPr>
              <w:ind w:left="113"/>
              <w:rPr>
                <w:rFonts w:ascii="Times New Roman" w:hAnsi="Times New Roman" w:cs="Times New Roman"/>
                <w:b/>
                <w:sz w:val="20"/>
                <w:szCs w:val="20"/>
                <w:lang w:val="en-US"/>
              </w:rPr>
            </w:pPr>
            <w:r w:rsidRPr="00C04F98">
              <w:rPr>
                <w:rFonts w:ascii="Times New Roman" w:hAnsi="Times New Roman" w:cs="Times New Roman"/>
                <w:sz w:val="20"/>
                <w:szCs w:val="20"/>
                <w:lang w:val="en-US"/>
              </w:rPr>
              <w:t>Length of follow-up before transfer (in months), mean (SD)</w:t>
            </w:r>
          </w:p>
        </w:tc>
        <w:tc>
          <w:tcPr>
            <w:tcW w:w="1134" w:type="dxa"/>
            <w:tcBorders>
              <w:left w:val="nil"/>
              <w:right w:val="nil"/>
            </w:tcBorders>
          </w:tcPr>
          <w:p w14:paraId="4CD5C63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132.7 (70.4)</w:t>
            </w:r>
          </w:p>
        </w:tc>
        <w:tc>
          <w:tcPr>
            <w:tcW w:w="1134" w:type="dxa"/>
            <w:tcBorders>
              <w:left w:val="nil"/>
              <w:right w:val="nil"/>
            </w:tcBorders>
          </w:tcPr>
          <w:p w14:paraId="402125A2"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color w:val="000000"/>
                <w:kern w:val="24"/>
                <w:sz w:val="20"/>
                <w:szCs w:val="20"/>
                <w:lang w:val="en-US"/>
              </w:rPr>
              <w:t>120.1 (68.8)</w:t>
            </w:r>
          </w:p>
        </w:tc>
        <w:tc>
          <w:tcPr>
            <w:tcW w:w="992" w:type="dxa"/>
            <w:tcBorders>
              <w:left w:val="nil"/>
              <w:right w:val="nil"/>
            </w:tcBorders>
            <w:vAlign w:val="center"/>
          </w:tcPr>
          <w:p w14:paraId="52AD9DE7" w14:textId="77777777" w:rsidR="00D317F0" w:rsidRPr="00C04F98" w:rsidRDefault="00D317F0" w:rsidP="007E4584">
            <w:pPr>
              <w:rPr>
                <w:rFonts w:ascii="Times New Roman" w:hAnsi="Times New Roman" w:cs="Times New Roman"/>
                <w:strike/>
                <w:sz w:val="20"/>
                <w:szCs w:val="20"/>
                <w:lang w:val="en-US"/>
              </w:rPr>
            </w:pPr>
            <w:r w:rsidRPr="00C04F98">
              <w:rPr>
                <w:rFonts w:eastAsia="+mn-ea"/>
                <w:color w:val="000000"/>
                <w:kern w:val="24"/>
                <w:sz w:val="20"/>
                <w:szCs w:val="20"/>
                <w:lang w:val="en-US"/>
              </w:rPr>
              <w:t>0.54</w:t>
            </w:r>
          </w:p>
        </w:tc>
        <w:tc>
          <w:tcPr>
            <w:tcW w:w="1134" w:type="dxa"/>
            <w:tcBorders>
              <w:left w:val="nil"/>
              <w:right w:val="nil"/>
            </w:tcBorders>
            <w:vAlign w:val="center"/>
          </w:tcPr>
          <w:p w14:paraId="698F8FE4"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43900A06" w14:textId="77777777" w:rsidR="00D317F0" w:rsidRPr="00C04F98" w:rsidRDefault="00D317F0" w:rsidP="007E4584">
            <w:pPr>
              <w:rPr>
                <w:rFonts w:ascii="Times New Roman" w:hAnsi="Times New Roman" w:cs="Times New Roman"/>
                <w:sz w:val="20"/>
                <w:szCs w:val="20"/>
                <w:lang w:val="en-US"/>
              </w:rPr>
            </w:pPr>
          </w:p>
        </w:tc>
      </w:tr>
      <w:tr w:rsidR="00D317F0" w:rsidRPr="00C04F98" w14:paraId="0B95FC8E" w14:textId="77777777" w:rsidTr="007E4584">
        <w:tc>
          <w:tcPr>
            <w:tcW w:w="4145" w:type="dxa"/>
            <w:tcBorders>
              <w:left w:val="nil"/>
              <w:right w:val="nil"/>
            </w:tcBorders>
          </w:tcPr>
          <w:p w14:paraId="54AF985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Presence of </w:t>
            </w:r>
            <w:r>
              <w:rPr>
                <w:rFonts w:ascii="Times New Roman" w:hAnsi="Times New Roman" w:cs="Times New Roman"/>
                <w:sz w:val="20"/>
                <w:szCs w:val="20"/>
                <w:lang w:val="en-US"/>
              </w:rPr>
              <w:t>a discharge letter</w:t>
            </w:r>
          </w:p>
          <w:p w14:paraId="6F746B9D"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no, n (%)</w:t>
            </w:r>
          </w:p>
          <w:p w14:paraId="60516BB5" w14:textId="77777777" w:rsidR="00D317F0" w:rsidRPr="00C04F98" w:rsidRDefault="00D317F0" w:rsidP="007E4584">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C04F98">
              <w:rPr>
                <w:rFonts w:ascii="Times New Roman" w:hAnsi="Times New Roman" w:cs="Times New Roman"/>
                <w:sz w:val="20"/>
                <w:szCs w:val="20"/>
                <w:lang w:val="en-US"/>
              </w:rPr>
              <w:t>yes, n (%)</w:t>
            </w:r>
          </w:p>
        </w:tc>
        <w:tc>
          <w:tcPr>
            <w:tcW w:w="1134" w:type="dxa"/>
            <w:tcBorders>
              <w:left w:val="nil"/>
              <w:right w:val="nil"/>
            </w:tcBorders>
          </w:tcPr>
          <w:p w14:paraId="2E9DDA65" w14:textId="77777777" w:rsidR="00D317F0" w:rsidRPr="00C04F98" w:rsidRDefault="00D317F0" w:rsidP="007E4584">
            <w:pPr>
              <w:rPr>
                <w:rFonts w:ascii="Times New Roman" w:hAnsi="Times New Roman" w:cs="Times New Roman"/>
                <w:sz w:val="20"/>
                <w:szCs w:val="20"/>
                <w:lang w:val="en-US"/>
              </w:rPr>
            </w:pPr>
          </w:p>
          <w:p w14:paraId="78D00DC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 (5.6)</w:t>
            </w:r>
          </w:p>
          <w:p w14:paraId="60ADC198" w14:textId="77777777" w:rsidR="00D317F0" w:rsidRPr="00C04F98" w:rsidRDefault="00D317F0" w:rsidP="007E4584">
            <w:pPr>
              <w:ind w:right="-57"/>
              <w:rPr>
                <w:rFonts w:ascii="Times New Roman" w:hAnsi="Times New Roman" w:cs="Times New Roman"/>
                <w:sz w:val="20"/>
                <w:szCs w:val="20"/>
                <w:lang w:val="en-US"/>
              </w:rPr>
            </w:pPr>
            <w:r w:rsidRPr="00C04F98">
              <w:rPr>
                <w:rFonts w:ascii="Times New Roman" w:hAnsi="Times New Roman" w:cs="Times New Roman"/>
                <w:sz w:val="20"/>
                <w:szCs w:val="20"/>
                <w:lang w:val="en-US"/>
              </w:rPr>
              <w:t>17 (94.4)</w:t>
            </w:r>
          </w:p>
        </w:tc>
        <w:tc>
          <w:tcPr>
            <w:tcW w:w="1134" w:type="dxa"/>
            <w:tcBorders>
              <w:left w:val="nil"/>
              <w:right w:val="nil"/>
            </w:tcBorders>
          </w:tcPr>
          <w:p w14:paraId="04E8BB84" w14:textId="77777777" w:rsidR="00D317F0" w:rsidRPr="00C04F98" w:rsidRDefault="00D317F0" w:rsidP="007E4584">
            <w:pPr>
              <w:rPr>
                <w:rFonts w:ascii="Times New Roman" w:hAnsi="Times New Roman" w:cs="Times New Roman"/>
                <w:sz w:val="20"/>
                <w:szCs w:val="20"/>
                <w:lang w:val="en-US"/>
              </w:rPr>
            </w:pPr>
          </w:p>
          <w:p w14:paraId="6F6E5B8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 (6.1)</w:t>
            </w:r>
          </w:p>
          <w:p w14:paraId="77B9C95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31 (93.9)</w:t>
            </w:r>
          </w:p>
        </w:tc>
        <w:tc>
          <w:tcPr>
            <w:tcW w:w="992" w:type="dxa"/>
            <w:tcBorders>
              <w:left w:val="nil"/>
              <w:right w:val="nil"/>
            </w:tcBorders>
            <w:vAlign w:val="center"/>
          </w:tcPr>
          <w:p w14:paraId="2D6F0313" w14:textId="77777777" w:rsidR="00D317F0" w:rsidRPr="00C04F98" w:rsidRDefault="00D317F0" w:rsidP="007E4584">
            <w:pPr>
              <w:pStyle w:val="NormalWeb"/>
              <w:spacing w:before="0" w:beforeAutospacing="0" w:after="0" w:afterAutospacing="0"/>
              <w:rPr>
                <w:sz w:val="20"/>
                <w:szCs w:val="20"/>
                <w:lang w:val="en-US"/>
              </w:rPr>
            </w:pPr>
            <w:r w:rsidRPr="00C04F98">
              <w:rPr>
                <w:sz w:val="20"/>
                <w:szCs w:val="20"/>
                <w:lang w:val="en-US"/>
              </w:rPr>
              <w:t>1.00</w:t>
            </w:r>
          </w:p>
        </w:tc>
        <w:tc>
          <w:tcPr>
            <w:tcW w:w="1134" w:type="dxa"/>
            <w:tcBorders>
              <w:left w:val="nil"/>
              <w:right w:val="nil"/>
            </w:tcBorders>
            <w:vAlign w:val="center"/>
          </w:tcPr>
          <w:p w14:paraId="16D5C759" w14:textId="77777777" w:rsidR="00D317F0" w:rsidRPr="00C04F98" w:rsidRDefault="00D317F0" w:rsidP="007E4584">
            <w:pPr>
              <w:pStyle w:val="NormalWeb"/>
              <w:spacing w:before="0" w:beforeAutospacing="0" w:after="0" w:afterAutospacing="0"/>
              <w:rPr>
                <w:rFonts w:eastAsia="+mn-ea"/>
                <w:color w:val="000000"/>
                <w:kern w:val="24"/>
                <w:sz w:val="20"/>
                <w:szCs w:val="20"/>
                <w:lang w:val="en-US"/>
              </w:rPr>
            </w:pPr>
          </w:p>
        </w:tc>
        <w:tc>
          <w:tcPr>
            <w:tcW w:w="709" w:type="dxa"/>
            <w:tcBorders>
              <w:left w:val="nil"/>
              <w:right w:val="nil"/>
            </w:tcBorders>
            <w:vAlign w:val="center"/>
          </w:tcPr>
          <w:p w14:paraId="224D53D6" w14:textId="77777777" w:rsidR="00D317F0" w:rsidRPr="00C04F98" w:rsidRDefault="00D317F0" w:rsidP="007E4584">
            <w:pPr>
              <w:pStyle w:val="NormalWeb"/>
              <w:spacing w:before="0" w:beforeAutospacing="0" w:after="0" w:afterAutospacing="0"/>
              <w:rPr>
                <w:rFonts w:eastAsia="+mn-ea"/>
                <w:color w:val="000000"/>
                <w:kern w:val="24"/>
                <w:sz w:val="20"/>
                <w:szCs w:val="20"/>
                <w:lang w:val="en-US"/>
              </w:rPr>
            </w:pPr>
          </w:p>
        </w:tc>
      </w:tr>
      <w:tr w:rsidR="00D317F0" w:rsidRPr="00C04F98" w14:paraId="6AB69AC3" w14:textId="77777777" w:rsidTr="007E4584">
        <w:tc>
          <w:tcPr>
            <w:tcW w:w="4145" w:type="dxa"/>
            <w:tcBorders>
              <w:left w:val="nil"/>
              <w:right w:val="nil"/>
            </w:tcBorders>
          </w:tcPr>
          <w:p w14:paraId="140695D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GPs contact info specified in the discharge letter</w:t>
            </w:r>
          </w:p>
          <w:p w14:paraId="5BAE8901" w14:textId="77777777" w:rsidR="00D317F0"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no, n (%)</w:t>
            </w:r>
          </w:p>
          <w:p w14:paraId="51CAE4E5"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sz w:val="20"/>
                <w:szCs w:val="20"/>
                <w:lang w:val="en-US"/>
              </w:rPr>
              <w:t>yes, n (%)</w:t>
            </w:r>
          </w:p>
        </w:tc>
        <w:tc>
          <w:tcPr>
            <w:tcW w:w="1134" w:type="dxa"/>
            <w:tcBorders>
              <w:left w:val="nil"/>
              <w:right w:val="nil"/>
            </w:tcBorders>
          </w:tcPr>
          <w:p w14:paraId="6FBC16DB" w14:textId="77777777" w:rsidR="00D317F0" w:rsidRPr="00C04F98" w:rsidRDefault="00D317F0" w:rsidP="007E4584">
            <w:pPr>
              <w:rPr>
                <w:rFonts w:ascii="Times New Roman" w:hAnsi="Times New Roman" w:cs="Times New Roman"/>
                <w:sz w:val="20"/>
                <w:szCs w:val="20"/>
                <w:lang w:val="en-US"/>
              </w:rPr>
            </w:pPr>
          </w:p>
          <w:p w14:paraId="1DC5BE74"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5 (27.8)</w:t>
            </w:r>
          </w:p>
          <w:p w14:paraId="46283B63"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13 (72.2)</w:t>
            </w:r>
          </w:p>
        </w:tc>
        <w:tc>
          <w:tcPr>
            <w:tcW w:w="1134" w:type="dxa"/>
            <w:tcBorders>
              <w:left w:val="nil"/>
              <w:right w:val="nil"/>
            </w:tcBorders>
          </w:tcPr>
          <w:p w14:paraId="107B173D" w14:textId="77777777" w:rsidR="00D317F0" w:rsidRPr="00C04F98" w:rsidRDefault="00D317F0" w:rsidP="007E4584">
            <w:pPr>
              <w:rPr>
                <w:rFonts w:ascii="Times New Roman" w:hAnsi="Times New Roman" w:cs="Times New Roman"/>
                <w:sz w:val="20"/>
                <w:szCs w:val="20"/>
                <w:lang w:val="en-US"/>
              </w:rPr>
            </w:pPr>
          </w:p>
          <w:p w14:paraId="5D37439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8 (24.2)</w:t>
            </w:r>
          </w:p>
          <w:p w14:paraId="2C280BA9"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25 (75.8)</w:t>
            </w:r>
          </w:p>
        </w:tc>
        <w:tc>
          <w:tcPr>
            <w:tcW w:w="992" w:type="dxa"/>
            <w:tcBorders>
              <w:left w:val="nil"/>
              <w:right w:val="nil"/>
            </w:tcBorders>
            <w:vAlign w:val="center"/>
          </w:tcPr>
          <w:p w14:paraId="17542126"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sz w:val="20"/>
                <w:szCs w:val="20"/>
                <w:lang w:val="en-US"/>
              </w:rPr>
              <w:t>1.00</w:t>
            </w:r>
          </w:p>
        </w:tc>
        <w:tc>
          <w:tcPr>
            <w:tcW w:w="1134" w:type="dxa"/>
            <w:tcBorders>
              <w:left w:val="nil"/>
              <w:right w:val="nil"/>
            </w:tcBorders>
            <w:vAlign w:val="center"/>
          </w:tcPr>
          <w:p w14:paraId="11885E9D" w14:textId="77777777" w:rsidR="00D317F0" w:rsidRPr="00C04F98" w:rsidRDefault="00D317F0" w:rsidP="007E4584">
            <w:pPr>
              <w:rPr>
                <w:rFonts w:ascii="Times New Roman" w:hAnsi="Times New Roman" w:cs="Times New Roman"/>
                <w:sz w:val="20"/>
                <w:szCs w:val="20"/>
                <w:lang w:val="en-US"/>
              </w:rPr>
            </w:pPr>
          </w:p>
        </w:tc>
        <w:tc>
          <w:tcPr>
            <w:tcW w:w="709" w:type="dxa"/>
            <w:tcBorders>
              <w:left w:val="nil"/>
              <w:right w:val="nil"/>
            </w:tcBorders>
            <w:vAlign w:val="center"/>
          </w:tcPr>
          <w:p w14:paraId="37A25C2A" w14:textId="77777777" w:rsidR="00D317F0" w:rsidRPr="00C04F98" w:rsidRDefault="00D317F0" w:rsidP="007E4584">
            <w:pPr>
              <w:rPr>
                <w:rFonts w:ascii="Times New Roman" w:hAnsi="Times New Roman" w:cs="Times New Roman"/>
                <w:sz w:val="20"/>
                <w:szCs w:val="20"/>
                <w:lang w:val="en-US"/>
              </w:rPr>
            </w:pPr>
          </w:p>
        </w:tc>
      </w:tr>
      <w:tr w:rsidR="00D317F0" w:rsidRPr="00C04F98" w14:paraId="1158C220" w14:textId="77777777" w:rsidTr="007E4584">
        <w:tc>
          <w:tcPr>
            <w:tcW w:w="4145" w:type="dxa"/>
            <w:tcBorders>
              <w:left w:val="nil"/>
              <w:right w:val="nil"/>
            </w:tcBorders>
          </w:tcPr>
          <w:p w14:paraId="7A5C0D11"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 xml:space="preserve">Existing communication between </w:t>
            </w:r>
            <w:r>
              <w:rPr>
                <w:rFonts w:ascii="Times New Roman" w:hAnsi="Times New Roman" w:cs="Times New Roman"/>
                <w:bCs/>
                <w:sz w:val="20"/>
                <w:szCs w:val="20"/>
                <w:lang w:val="en-US"/>
              </w:rPr>
              <w:t>GPOR</w:t>
            </w:r>
            <w:r w:rsidRPr="00C04F98">
              <w:rPr>
                <w:rFonts w:ascii="Times New Roman" w:hAnsi="Times New Roman" w:cs="Times New Roman"/>
                <w:bCs/>
                <w:sz w:val="20"/>
                <w:szCs w:val="20"/>
                <w:lang w:val="en-US"/>
              </w:rPr>
              <w:t>s and hospital</w:t>
            </w:r>
          </w:p>
          <w:p w14:paraId="386E4A66" w14:textId="77777777" w:rsidR="00D317F0" w:rsidRPr="00C04F98" w:rsidRDefault="00D317F0" w:rsidP="007E4584">
            <w:pPr>
              <w:ind w:left="113"/>
              <w:rPr>
                <w:rFonts w:ascii="Times New Roman" w:hAnsi="Times New Roman" w:cs="Times New Roman"/>
                <w:bCs/>
                <w:sz w:val="20"/>
                <w:szCs w:val="20"/>
                <w:lang w:val="en-US"/>
              </w:rPr>
            </w:pPr>
            <w:r w:rsidRPr="00C04F98">
              <w:rPr>
                <w:rFonts w:ascii="Times New Roman" w:hAnsi="Times New Roman" w:cs="Times New Roman"/>
                <w:bCs/>
                <w:sz w:val="20"/>
                <w:szCs w:val="20"/>
                <w:lang w:val="en-US"/>
              </w:rPr>
              <w:t>no, n (%)</w:t>
            </w:r>
          </w:p>
          <w:p w14:paraId="7A290364" w14:textId="77777777" w:rsidR="00D317F0" w:rsidRPr="00C04F98" w:rsidRDefault="00D317F0" w:rsidP="007E4584">
            <w:pPr>
              <w:ind w:left="113"/>
              <w:rPr>
                <w:rFonts w:ascii="Times New Roman" w:hAnsi="Times New Roman" w:cs="Times New Roman"/>
                <w:bCs/>
                <w:sz w:val="20"/>
                <w:szCs w:val="20"/>
                <w:lang w:val="en-US"/>
              </w:rPr>
            </w:pPr>
            <w:r w:rsidRPr="00C04F98">
              <w:rPr>
                <w:rFonts w:ascii="Times New Roman" w:hAnsi="Times New Roman" w:cs="Times New Roman"/>
                <w:bCs/>
                <w:sz w:val="20"/>
                <w:szCs w:val="20"/>
                <w:lang w:val="en-US"/>
              </w:rPr>
              <w:t>yes, n (%)</w:t>
            </w:r>
          </w:p>
          <w:p w14:paraId="12741974" w14:textId="77777777" w:rsidR="00D317F0" w:rsidRPr="00C04F98" w:rsidRDefault="00D317F0" w:rsidP="007E4584">
            <w:pPr>
              <w:ind w:left="113"/>
              <w:rPr>
                <w:rFonts w:ascii="Times New Roman" w:hAnsi="Times New Roman" w:cs="Times New Roman"/>
                <w:sz w:val="20"/>
                <w:szCs w:val="20"/>
                <w:lang w:val="en-US"/>
              </w:rPr>
            </w:pPr>
            <w:r w:rsidRPr="00C04F98">
              <w:rPr>
                <w:rFonts w:ascii="Times New Roman" w:hAnsi="Times New Roman" w:cs="Times New Roman"/>
                <w:bCs/>
                <w:sz w:val="20"/>
                <w:szCs w:val="20"/>
                <w:lang w:val="en-US"/>
              </w:rPr>
              <w:t>na, n</w:t>
            </w:r>
          </w:p>
        </w:tc>
        <w:tc>
          <w:tcPr>
            <w:tcW w:w="1134" w:type="dxa"/>
            <w:tcBorders>
              <w:left w:val="nil"/>
              <w:right w:val="nil"/>
            </w:tcBorders>
          </w:tcPr>
          <w:p w14:paraId="0B013004" w14:textId="77777777" w:rsidR="00D317F0" w:rsidRPr="00C04F98" w:rsidRDefault="00D317F0" w:rsidP="007E4584">
            <w:pPr>
              <w:rPr>
                <w:rFonts w:ascii="Times New Roman" w:hAnsi="Times New Roman" w:cs="Times New Roman"/>
                <w:bCs/>
                <w:sz w:val="20"/>
                <w:szCs w:val="20"/>
                <w:lang w:val="en-US"/>
              </w:rPr>
            </w:pPr>
          </w:p>
          <w:p w14:paraId="479BB7C2" w14:textId="77777777" w:rsidR="00D317F0" w:rsidRDefault="00D317F0" w:rsidP="007E4584">
            <w:pPr>
              <w:rPr>
                <w:rFonts w:ascii="Times New Roman" w:hAnsi="Times New Roman" w:cs="Times New Roman"/>
                <w:bCs/>
                <w:sz w:val="20"/>
                <w:szCs w:val="20"/>
                <w:lang w:val="en-US"/>
              </w:rPr>
            </w:pPr>
          </w:p>
          <w:p w14:paraId="3BE5710F"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1 (5.9)</w:t>
            </w:r>
          </w:p>
          <w:p w14:paraId="6C2F0F48"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16 (94.1)</w:t>
            </w:r>
          </w:p>
          <w:p w14:paraId="646A3E41"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bCs/>
                <w:sz w:val="20"/>
                <w:szCs w:val="20"/>
                <w:lang w:val="en-US"/>
              </w:rPr>
              <w:t>1</w:t>
            </w:r>
          </w:p>
        </w:tc>
        <w:tc>
          <w:tcPr>
            <w:tcW w:w="1134" w:type="dxa"/>
            <w:tcBorders>
              <w:left w:val="nil"/>
              <w:right w:val="nil"/>
            </w:tcBorders>
          </w:tcPr>
          <w:p w14:paraId="5AE3429E" w14:textId="77777777" w:rsidR="00D317F0" w:rsidRPr="00C04F98" w:rsidRDefault="00D317F0" w:rsidP="007E4584">
            <w:pPr>
              <w:rPr>
                <w:rFonts w:ascii="Times New Roman" w:hAnsi="Times New Roman" w:cs="Times New Roman"/>
                <w:bCs/>
                <w:sz w:val="20"/>
                <w:szCs w:val="20"/>
                <w:lang w:val="en-US"/>
              </w:rPr>
            </w:pPr>
          </w:p>
          <w:p w14:paraId="5B7F7CAA" w14:textId="77777777" w:rsidR="00D317F0" w:rsidRDefault="00D317F0" w:rsidP="007E4584">
            <w:pPr>
              <w:rPr>
                <w:rFonts w:ascii="Times New Roman" w:hAnsi="Times New Roman" w:cs="Times New Roman"/>
                <w:bCs/>
                <w:sz w:val="20"/>
                <w:szCs w:val="20"/>
                <w:lang w:val="en-US"/>
              </w:rPr>
            </w:pPr>
          </w:p>
          <w:p w14:paraId="44DE7AB9"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8 (25.8)</w:t>
            </w:r>
          </w:p>
          <w:p w14:paraId="2616D371" w14:textId="77777777" w:rsidR="00D317F0" w:rsidRPr="00C04F98" w:rsidRDefault="00D317F0" w:rsidP="007E4584">
            <w:pPr>
              <w:rPr>
                <w:rFonts w:ascii="Times New Roman" w:hAnsi="Times New Roman" w:cs="Times New Roman"/>
                <w:bCs/>
                <w:sz w:val="20"/>
                <w:szCs w:val="20"/>
                <w:lang w:val="en-US"/>
              </w:rPr>
            </w:pPr>
            <w:r w:rsidRPr="00C04F98">
              <w:rPr>
                <w:rFonts w:ascii="Times New Roman" w:hAnsi="Times New Roman" w:cs="Times New Roman"/>
                <w:bCs/>
                <w:sz w:val="20"/>
                <w:szCs w:val="20"/>
                <w:lang w:val="en-US"/>
              </w:rPr>
              <w:t>23 (74.2)</w:t>
            </w:r>
          </w:p>
          <w:p w14:paraId="54BA4D6C"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bCs/>
                <w:sz w:val="20"/>
                <w:szCs w:val="20"/>
                <w:lang w:val="en-US"/>
              </w:rPr>
              <w:t>2</w:t>
            </w:r>
          </w:p>
        </w:tc>
        <w:tc>
          <w:tcPr>
            <w:tcW w:w="992" w:type="dxa"/>
            <w:tcBorders>
              <w:left w:val="nil"/>
              <w:right w:val="nil"/>
            </w:tcBorders>
            <w:vAlign w:val="center"/>
          </w:tcPr>
          <w:p w14:paraId="0A390AFE"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bCs/>
                <w:sz w:val="20"/>
                <w:szCs w:val="20"/>
                <w:lang w:val="en-US"/>
              </w:rPr>
              <w:t>0.13</w:t>
            </w:r>
          </w:p>
        </w:tc>
        <w:tc>
          <w:tcPr>
            <w:tcW w:w="1134" w:type="dxa"/>
            <w:tcBorders>
              <w:left w:val="nil"/>
              <w:right w:val="nil"/>
            </w:tcBorders>
            <w:vAlign w:val="center"/>
          </w:tcPr>
          <w:p w14:paraId="4967752F" w14:textId="77777777" w:rsidR="00D317F0" w:rsidRDefault="00D317F0" w:rsidP="007E4584">
            <w:pPr>
              <w:rPr>
                <w:rFonts w:ascii="Times New Roman" w:hAnsi="Times New Roman" w:cs="Times New Roman"/>
                <w:bCs/>
                <w:sz w:val="20"/>
                <w:szCs w:val="20"/>
                <w:lang w:val="en-US"/>
              </w:rPr>
            </w:pPr>
          </w:p>
          <w:p w14:paraId="21076DC8"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bCs/>
                <w:sz w:val="20"/>
                <w:szCs w:val="20"/>
                <w:lang w:val="en-US"/>
              </w:rPr>
              <w:t>6.7 (0.7; 68.3)</w:t>
            </w:r>
          </w:p>
        </w:tc>
        <w:tc>
          <w:tcPr>
            <w:tcW w:w="709" w:type="dxa"/>
            <w:tcBorders>
              <w:left w:val="nil"/>
              <w:right w:val="nil"/>
            </w:tcBorders>
            <w:vAlign w:val="center"/>
          </w:tcPr>
          <w:p w14:paraId="350B661A" w14:textId="77777777" w:rsidR="00D317F0" w:rsidRPr="00C04F98" w:rsidRDefault="00D317F0" w:rsidP="007E4584">
            <w:pPr>
              <w:rPr>
                <w:rFonts w:ascii="Times New Roman" w:hAnsi="Times New Roman" w:cs="Times New Roman"/>
                <w:sz w:val="20"/>
                <w:szCs w:val="20"/>
                <w:lang w:val="en-US"/>
              </w:rPr>
            </w:pPr>
            <w:r w:rsidRPr="00C04F98">
              <w:rPr>
                <w:rFonts w:ascii="Times New Roman" w:hAnsi="Times New Roman" w:cs="Times New Roman"/>
                <w:bCs/>
                <w:sz w:val="20"/>
                <w:szCs w:val="20"/>
                <w:lang w:val="en-US"/>
              </w:rPr>
              <w:t>0.11</w:t>
            </w:r>
          </w:p>
        </w:tc>
      </w:tr>
      <w:tr w:rsidR="00D317F0" w:rsidRPr="008731E2" w14:paraId="410A97D0" w14:textId="77777777" w:rsidTr="007E4584">
        <w:tc>
          <w:tcPr>
            <w:tcW w:w="9248" w:type="dxa"/>
            <w:gridSpan w:val="6"/>
            <w:tcBorders>
              <w:left w:val="nil"/>
              <w:bottom w:val="nil"/>
              <w:right w:val="nil"/>
            </w:tcBorders>
            <w:vAlign w:val="center"/>
          </w:tcPr>
          <w:p w14:paraId="151BEE77" w14:textId="77777777" w:rsidR="00D317F0" w:rsidRPr="00C26FB7" w:rsidRDefault="00D317F0" w:rsidP="007E4584">
            <w:pPr>
              <w:rPr>
                <w:rFonts w:ascii="Times New Roman" w:hAnsi="Times New Roman" w:cs="Times New Roman"/>
                <w:bCs/>
                <w:sz w:val="20"/>
                <w:szCs w:val="20"/>
                <w:lang w:val="en-US"/>
              </w:rPr>
            </w:pPr>
            <w:r w:rsidRPr="00C26FB7">
              <w:rPr>
                <w:rFonts w:ascii="Times New Roman" w:hAnsi="Times New Roman" w:cs="Times New Roman"/>
                <w:bCs/>
                <w:sz w:val="20"/>
                <w:szCs w:val="20"/>
                <w:lang w:val="en-US"/>
              </w:rPr>
              <w:t>* Chi2 test if n ≥ 5; Fisher test if n ≤ 5; Student's t-test for means</w:t>
            </w:r>
          </w:p>
          <w:p w14:paraId="6B97FE7B" w14:textId="77777777" w:rsidR="00D317F0" w:rsidRPr="00C467CE" w:rsidRDefault="00D317F0" w:rsidP="007E4584">
            <w:pPr>
              <w:rPr>
                <w:rFonts w:ascii="Times New Roman" w:hAnsi="Times New Roman" w:cs="Times New Roman"/>
                <w:bCs/>
                <w:sz w:val="20"/>
                <w:szCs w:val="20"/>
                <w:lang w:val="en-US"/>
              </w:rPr>
            </w:pPr>
            <w:r w:rsidRPr="00C26FB7">
              <w:rPr>
                <w:rFonts w:ascii="Times New Roman" w:hAnsi="Times New Roman" w:cs="Times New Roman"/>
                <w:bCs/>
                <w:sz w:val="20"/>
                <w:szCs w:val="20"/>
                <w:lang w:val="en-US"/>
              </w:rPr>
              <w:t>Of the 54 GPORs, 3 physicians were not included in the univariate and multivariate analyses because their involvement was not known.</w:t>
            </w:r>
          </w:p>
        </w:tc>
      </w:tr>
    </w:tbl>
    <w:p w14:paraId="3C287D88" w14:textId="77777777" w:rsidR="00E37F40" w:rsidRPr="00E14131" w:rsidRDefault="00E37F40" w:rsidP="00E37F40">
      <w:pPr>
        <w:spacing w:after="120"/>
        <w:jc w:val="both"/>
        <w:rPr>
          <w:rFonts w:ascii="Times New Roman" w:hAnsi="Times New Roman" w:cs="Times New Roman"/>
          <w:b/>
          <w:color w:val="131313"/>
          <w:sz w:val="20"/>
          <w:szCs w:val="20"/>
          <w:highlight w:val="yellow"/>
          <w:lang w:val="en-US"/>
        </w:rPr>
      </w:pPr>
    </w:p>
    <w:p w14:paraId="2269F741" w14:textId="680050C0" w:rsidR="00D317F0" w:rsidRPr="00E2341E" w:rsidRDefault="00D317F0" w:rsidP="00E14131">
      <w:pPr>
        <w:spacing w:after="120"/>
        <w:jc w:val="both"/>
        <w:rPr>
          <w:rFonts w:ascii="Times New Roman" w:hAnsi="Times New Roman" w:cs="Times New Roman"/>
          <w:b/>
          <w:sz w:val="20"/>
          <w:szCs w:val="20"/>
          <w:lang w:val="en-US"/>
        </w:rPr>
      </w:pPr>
      <w:r w:rsidRPr="00E2341E">
        <w:rPr>
          <w:rFonts w:ascii="Times New Roman" w:hAnsi="Times New Roman" w:cs="Times New Roman"/>
          <w:b/>
          <w:sz w:val="20"/>
          <w:szCs w:val="20"/>
          <w:lang w:val="en-US"/>
        </w:rPr>
        <w:t>FIGURES</w:t>
      </w:r>
    </w:p>
    <w:p w14:paraId="563F360E" w14:textId="77777777" w:rsidR="00D317F0" w:rsidRPr="009F5EAF" w:rsidRDefault="00D317F0" w:rsidP="00D317F0">
      <w:pPr>
        <w:spacing w:before="120" w:after="0"/>
        <w:jc w:val="both"/>
        <w:rPr>
          <w:rFonts w:ascii="Times New Roman" w:hAnsi="Times New Roman" w:cs="Times New Roman"/>
          <w:b/>
          <w:sz w:val="20"/>
          <w:szCs w:val="20"/>
          <w:lang w:val="en-US"/>
        </w:rPr>
      </w:pPr>
      <w:r w:rsidRPr="00E2341E">
        <w:rPr>
          <w:rFonts w:ascii="Times New Roman" w:hAnsi="Times New Roman" w:cs="Times New Roman"/>
          <w:b/>
          <w:sz w:val="20"/>
          <w:szCs w:val="20"/>
          <w:lang w:val="en-US"/>
        </w:rPr>
        <w:t xml:space="preserve">Figure 1. </w:t>
      </w:r>
      <w:r w:rsidRPr="009F5EAF">
        <w:rPr>
          <w:rFonts w:ascii="Times New Roman" w:hAnsi="Times New Roman" w:cs="Times New Roman"/>
          <w:b/>
          <w:sz w:val="20"/>
          <w:szCs w:val="20"/>
          <w:lang w:val="en-US"/>
        </w:rPr>
        <w:t>Flowchart</w:t>
      </w:r>
    </w:p>
    <w:p w14:paraId="52098ED4" w14:textId="77777777" w:rsidR="00D317F0" w:rsidRPr="009F5EAF" w:rsidRDefault="00D317F0" w:rsidP="00D317F0">
      <w:pPr>
        <w:spacing w:after="0"/>
        <w:jc w:val="both"/>
        <w:rPr>
          <w:rFonts w:ascii="Times New Roman" w:hAnsi="Times New Roman" w:cs="Times New Roman"/>
          <w:b/>
          <w:lang w:val="en-US"/>
        </w:rPr>
      </w:pPr>
      <w:r>
        <w:rPr>
          <w:rFonts w:ascii="Times New Roman" w:hAnsi="Times New Roman" w:cs="Times New Roman"/>
          <w:b/>
          <w:noProof/>
          <w:lang w:val="en-US"/>
        </w:rPr>
        <w:drawing>
          <wp:inline distT="0" distB="0" distL="0" distR="0" wp14:anchorId="5D73C837" wp14:editId="3DD4D643">
            <wp:extent cx="5729806" cy="3749040"/>
            <wp:effectExtent l="0" t="0" r="444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5568" cy="3752810"/>
                    </a:xfrm>
                    <a:prstGeom prst="rect">
                      <a:avLst/>
                    </a:prstGeom>
                    <a:noFill/>
                    <a:ln>
                      <a:noFill/>
                    </a:ln>
                  </pic:spPr>
                </pic:pic>
              </a:graphicData>
            </a:graphic>
          </wp:inline>
        </w:drawing>
      </w:r>
    </w:p>
    <w:p w14:paraId="53B92964" w14:textId="77777777" w:rsidR="00D317F0" w:rsidRDefault="00D317F0" w:rsidP="00D317F0">
      <w:pPr>
        <w:spacing w:before="120" w:after="0"/>
        <w:jc w:val="both"/>
        <w:rPr>
          <w:rFonts w:ascii="Times New Roman" w:hAnsi="Times New Roman" w:cs="Times New Roman"/>
          <w:b/>
          <w:sz w:val="20"/>
          <w:szCs w:val="20"/>
          <w:lang w:val="en-US"/>
        </w:rPr>
      </w:pPr>
    </w:p>
    <w:p w14:paraId="0175BB05" w14:textId="72492BCB" w:rsidR="00D317F0" w:rsidRPr="009F5EAF" w:rsidRDefault="00D317F0" w:rsidP="00D317F0">
      <w:pPr>
        <w:spacing w:before="120" w:after="0"/>
        <w:jc w:val="both"/>
        <w:rPr>
          <w:rFonts w:ascii="Times New Roman" w:hAnsi="Times New Roman" w:cs="Times New Roman"/>
          <w:b/>
          <w:sz w:val="20"/>
          <w:szCs w:val="20"/>
          <w:lang w:val="en-US"/>
        </w:rPr>
      </w:pPr>
      <w:r w:rsidRPr="009F5EAF">
        <w:rPr>
          <w:rFonts w:ascii="Times New Roman" w:hAnsi="Times New Roman" w:cs="Times New Roman"/>
          <w:b/>
          <w:sz w:val="20"/>
          <w:szCs w:val="20"/>
          <w:lang w:val="en-US"/>
        </w:rPr>
        <w:t>Figure 2. Existence and involvement of GPs and pediatric physicians</w:t>
      </w:r>
    </w:p>
    <w:p w14:paraId="044A7DDD" w14:textId="7F44561E" w:rsidR="00C555E1" w:rsidRPr="00C555E1" w:rsidRDefault="00D317F0" w:rsidP="00C555E1">
      <w:pPr>
        <w:spacing w:after="0"/>
        <w:jc w:val="both"/>
        <w:rPr>
          <w:rFonts w:ascii="Times New Roman" w:hAnsi="Times New Roman" w:cs="Times New Roman"/>
          <w:b/>
          <w:lang w:val="en-US"/>
        </w:rPr>
      </w:pPr>
      <w:r>
        <w:rPr>
          <w:rFonts w:ascii="Times New Roman" w:hAnsi="Times New Roman" w:cs="Times New Roman"/>
          <w:b/>
          <w:noProof/>
          <w:lang w:val="en-US"/>
        </w:rPr>
        <w:lastRenderedPageBreak/>
        <w:drawing>
          <wp:inline distT="0" distB="0" distL="0" distR="0" wp14:anchorId="292C9644" wp14:editId="04F18AC6">
            <wp:extent cx="5753100" cy="2743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43200"/>
                    </a:xfrm>
                    <a:prstGeom prst="rect">
                      <a:avLst/>
                    </a:prstGeom>
                    <a:noFill/>
                    <a:ln>
                      <a:noFill/>
                    </a:ln>
                  </pic:spPr>
                </pic:pic>
              </a:graphicData>
            </a:graphic>
          </wp:inline>
        </w:drawing>
      </w:r>
    </w:p>
    <w:sectPr w:rsidR="00C555E1" w:rsidRPr="00C555E1" w:rsidSect="00046BC3">
      <w:footerReference w:type="default" r:id="rId10"/>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E316" w14:textId="77777777" w:rsidR="007E2085" w:rsidRDefault="007E2085" w:rsidP="009F5EAF">
      <w:pPr>
        <w:spacing w:after="0" w:line="240" w:lineRule="auto"/>
      </w:pPr>
      <w:r>
        <w:separator/>
      </w:r>
    </w:p>
  </w:endnote>
  <w:endnote w:type="continuationSeparator" w:id="0">
    <w:p w14:paraId="242561C1" w14:textId="77777777" w:rsidR="007E2085" w:rsidRDefault="007E2085" w:rsidP="009F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189799"/>
      <w:docPartObj>
        <w:docPartGallery w:val="Page Numbers (Bottom of Page)"/>
        <w:docPartUnique/>
      </w:docPartObj>
    </w:sdtPr>
    <w:sdtEndPr/>
    <w:sdtContent>
      <w:p w14:paraId="3ACCC30E" w14:textId="7CD8C8A9" w:rsidR="00FA007C" w:rsidRDefault="00FA007C">
        <w:pPr>
          <w:pStyle w:val="Pieddepage"/>
          <w:jc w:val="right"/>
        </w:pPr>
        <w:r>
          <w:fldChar w:fldCharType="begin"/>
        </w:r>
        <w:r>
          <w:instrText>PAGE   \* MERGEFORMAT</w:instrText>
        </w:r>
        <w:r>
          <w:fldChar w:fldCharType="separate"/>
        </w:r>
        <w:r>
          <w:t>2</w:t>
        </w:r>
        <w:r>
          <w:fldChar w:fldCharType="end"/>
        </w:r>
      </w:p>
    </w:sdtContent>
  </w:sdt>
  <w:p w14:paraId="4CD62C97" w14:textId="6DF71425" w:rsidR="00FA007C" w:rsidRDefault="00FA00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AFFF" w14:textId="77777777" w:rsidR="007E2085" w:rsidRDefault="007E2085" w:rsidP="009F5EAF">
      <w:pPr>
        <w:spacing w:after="0" w:line="240" w:lineRule="auto"/>
      </w:pPr>
      <w:r>
        <w:separator/>
      </w:r>
    </w:p>
  </w:footnote>
  <w:footnote w:type="continuationSeparator" w:id="0">
    <w:p w14:paraId="5713A2E5" w14:textId="77777777" w:rsidR="007E2085" w:rsidRDefault="007E2085" w:rsidP="009F5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1A"/>
    <w:multiLevelType w:val="hybridMultilevel"/>
    <w:tmpl w:val="16D8A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E2D33"/>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226C3B"/>
    <w:multiLevelType w:val="multilevel"/>
    <w:tmpl w:val="E2300B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E143B"/>
    <w:multiLevelType w:val="multilevel"/>
    <w:tmpl w:val="947E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7363D"/>
    <w:multiLevelType w:val="multilevel"/>
    <w:tmpl w:val="E8E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80DB2"/>
    <w:multiLevelType w:val="hybridMultilevel"/>
    <w:tmpl w:val="EF2AE3B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762714"/>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BC0A30"/>
    <w:multiLevelType w:val="multilevel"/>
    <w:tmpl w:val="F36C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A62F2"/>
    <w:multiLevelType w:val="multilevel"/>
    <w:tmpl w:val="725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929AC"/>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B51D1A"/>
    <w:multiLevelType w:val="hybridMultilevel"/>
    <w:tmpl w:val="8C9A6B80"/>
    <w:lvl w:ilvl="0" w:tplc="86D4D4B4">
      <w:start w:val="21"/>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51F62318"/>
    <w:multiLevelType w:val="hybridMultilevel"/>
    <w:tmpl w:val="61DE1B94"/>
    <w:lvl w:ilvl="0" w:tplc="9B50DC1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315859"/>
    <w:multiLevelType w:val="hybridMultilevel"/>
    <w:tmpl w:val="595C7F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691249"/>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C95ED8"/>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DD65B93"/>
    <w:multiLevelType w:val="multilevel"/>
    <w:tmpl w:val="E1D2F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3"/>
  </w:num>
  <w:num w:numId="4">
    <w:abstractNumId w:val="11"/>
  </w:num>
  <w:num w:numId="5">
    <w:abstractNumId w:val="0"/>
  </w:num>
  <w:num w:numId="6">
    <w:abstractNumId w:val="4"/>
  </w:num>
  <w:num w:numId="7">
    <w:abstractNumId w:val="7"/>
  </w:num>
  <w:num w:numId="8">
    <w:abstractNumId w:val="15"/>
  </w:num>
  <w:num w:numId="9">
    <w:abstractNumId w:val="8"/>
  </w:num>
  <w:num w:numId="10">
    <w:abstractNumId w:val="2"/>
  </w:num>
  <w:num w:numId="11">
    <w:abstractNumId w:val="5"/>
  </w:num>
  <w:num w:numId="12">
    <w:abstractNumId w:val="6"/>
  </w:num>
  <w:num w:numId="13">
    <w:abstractNumId w:val="13"/>
  </w:num>
  <w:num w:numId="14">
    <w:abstractNumId w:val="14"/>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F7"/>
    <w:rsid w:val="0000089B"/>
    <w:rsid w:val="00001213"/>
    <w:rsid w:val="00004145"/>
    <w:rsid w:val="000062AD"/>
    <w:rsid w:val="00006756"/>
    <w:rsid w:val="00011E55"/>
    <w:rsid w:val="0001244A"/>
    <w:rsid w:val="000128E6"/>
    <w:rsid w:val="00013CC5"/>
    <w:rsid w:val="00015848"/>
    <w:rsid w:val="00017048"/>
    <w:rsid w:val="0001756A"/>
    <w:rsid w:val="00021E81"/>
    <w:rsid w:val="0002222B"/>
    <w:rsid w:val="000276BB"/>
    <w:rsid w:val="0002777B"/>
    <w:rsid w:val="000345F8"/>
    <w:rsid w:val="0003536C"/>
    <w:rsid w:val="00035CCF"/>
    <w:rsid w:val="00037D7E"/>
    <w:rsid w:val="0004129F"/>
    <w:rsid w:val="00043AB5"/>
    <w:rsid w:val="00043C03"/>
    <w:rsid w:val="000459E4"/>
    <w:rsid w:val="00045A4B"/>
    <w:rsid w:val="00046BC3"/>
    <w:rsid w:val="00056282"/>
    <w:rsid w:val="0005666A"/>
    <w:rsid w:val="000576D7"/>
    <w:rsid w:val="00060D18"/>
    <w:rsid w:val="00062A9D"/>
    <w:rsid w:val="000649C8"/>
    <w:rsid w:val="0007050B"/>
    <w:rsid w:val="00070A18"/>
    <w:rsid w:val="00071226"/>
    <w:rsid w:val="00075E9D"/>
    <w:rsid w:val="00076FDA"/>
    <w:rsid w:val="000772E0"/>
    <w:rsid w:val="000846DC"/>
    <w:rsid w:val="00087C1B"/>
    <w:rsid w:val="000906A1"/>
    <w:rsid w:val="00091DDE"/>
    <w:rsid w:val="000A0B4E"/>
    <w:rsid w:val="000A7A7F"/>
    <w:rsid w:val="000B079C"/>
    <w:rsid w:val="000B095E"/>
    <w:rsid w:val="000B0AF0"/>
    <w:rsid w:val="000B5AE8"/>
    <w:rsid w:val="000B6F65"/>
    <w:rsid w:val="000B7787"/>
    <w:rsid w:val="000C4751"/>
    <w:rsid w:val="000C6DF8"/>
    <w:rsid w:val="000C7191"/>
    <w:rsid w:val="000D22B0"/>
    <w:rsid w:val="000D425A"/>
    <w:rsid w:val="000D474F"/>
    <w:rsid w:val="000D6F04"/>
    <w:rsid w:val="000D74C5"/>
    <w:rsid w:val="000E1B7B"/>
    <w:rsid w:val="000E2DAC"/>
    <w:rsid w:val="000E344D"/>
    <w:rsid w:val="000E3F45"/>
    <w:rsid w:val="000E5230"/>
    <w:rsid w:val="000E5B46"/>
    <w:rsid w:val="000F3B55"/>
    <w:rsid w:val="000F5E79"/>
    <w:rsid w:val="00100D86"/>
    <w:rsid w:val="00104EA3"/>
    <w:rsid w:val="00110550"/>
    <w:rsid w:val="00110B38"/>
    <w:rsid w:val="00123AE5"/>
    <w:rsid w:val="00123CAC"/>
    <w:rsid w:val="001265C9"/>
    <w:rsid w:val="00130612"/>
    <w:rsid w:val="0013202F"/>
    <w:rsid w:val="0013267C"/>
    <w:rsid w:val="0014013C"/>
    <w:rsid w:val="00140627"/>
    <w:rsid w:val="001416CF"/>
    <w:rsid w:val="00142DCA"/>
    <w:rsid w:val="0014578A"/>
    <w:rsid w:val="00151C9B"/>
    <w:rsid w:val="00154874"/>
    <w:rsid w:val="001552D8"/>
    <w:rsid w:val="00157E64"/>
    <w:rsid w:val="00157FA0"/>
    <w:rsid w:val="0016071A"/>
    <w:rsid w:val="00160AD0"/>
    <w:rsid w:val="00161066"/>
    <w:rsid w:val="00165E6C"/>
    <w:rsid w:val="00171C8F"/>
    <w:rsid w:val="00171E0C"/>
    <w:rsid w:val="00180217"/>
    <w:rsid w:val="0018345F"/>
    <w:rsid w:val="00183921"/>
    <w:rsid w:val="00184E1B"/>
    <w:rsid w:val="00185A3E"/>
    <w:rsid w:val="001919B7"/>
    <w:rsid w:val="00193750"/>
    <w:rsid w:val="00195268"/>
    <w:rsid w:val="001963DF"/>
    <w:rsid w:val="001A148E"/>
    <w:rsid w:val="001A2752"/>
    <w:rsid w:val="001A3690"/>
    <w:rsid w:val="001A7806"/>
    <w:rsid w:val="001A7F66"/>
    <w:rsid w:val="001B3B8C"/>
    <w:rsid w:val="001B518E"/>
    <w:rsid w:val="001B77C2"/>
    <w:rsid w:val="001C0309"/>
    <w:rsid w:val="001C0696"/>
    <w:rsid w:val="001C20DA"/>
    <w:rsid w:val="001C3485"/>
    <w:rsid w:val="001C4A5F"/>
    <w:rsid w:val="001C67C9"/>
    <w:rsid w:val="001D178B"/>
    <w:rsid w:val="001D2740"/>
    <w:rsid w:val="001D30B0"/>
    <w:rsid w:val="001D6E07"/>
    <w:rsid w:val="001D782B"/>
    <w:rsid w:val="001E4667"/>
    <w:rsid w:val="001E580C"/>
    <w:rsid w:val="001F00FD"/>
    <w:rsid w:val="001F429F"/>
    <w:rsid w:val="002002C4"/>
    <w:rsid w:val="002002FE"/>
    <w:rsid w:val="0020041A"/>
    <w:rsid w:val="00203C71"/>
    <w:rsid w:val="00203D35"/>
    <w:rsid w:val="0020403E"/>
    <w:rsid w:val="00211B13"/>
    <w:rsid w:val="002126DA"/>
    <w:rsid w:val="00214296"/>
    <w:rsid w:val="002146E7"/>
    <w:rsid w:val="002167B1"/>
    <w:rsid w:val="0022075C"/>
    <w:rsid w:val="0022177A"/>
    <w:rsid w:val="00223083"/>
    <w:rsid w:val="0022576F"/>
    <w:rsid w:val="00232635"/>
    <w:rsid w:val="00237B32"/>
    <w:rsid w:val="00237DF8"/>
    <w:rsid w:val="002448EA"/>
    <w:rsid w:val="002464FB"/>
    <w:rsid w:val="00247819"/>
    <w:rsid w:val="0025307A"/>
    <w:rsid w:val="00253CF1"/>
    <w:rsid w:val="002554BE"/>
    <w:rsid w:val="00255805"/>
    <w:rsid w:val="00255B28"/>
    <w:rsid w:val="00261BA7"/>
    <w:rsid w:val="00266D64"/>
    <w:rsid w:val="00270A13"/>
    <w:rsid w:val="00273354"/>
    <w:rsid w:val="00276031"/>
    <w:rsid w:val="0027667E"/>
    <w:rsid w:val="0028058C"/>
    <w:rsid w:val="00281570"/>
    <w:rsid w:val="00281872"/>
    <w:rsid w:val="0028281D"/>
    <w:rsid w:val="00282A21"/>
    <w:rsid w:val="0028312D"/>
    <w:rsid w:val="0028378E"/>
    <w:rsid w:val="00283D7C"/>
    <w:rsid w:val="00287DFB"/>
    <w:rsid w:val="00294883"/>
    <w:rsid w:val="0029541E"/>
    <w:rsid w:val="00296488"/>
    <w:rsid w:val="002A13D4"/>
    <w:rsid w:val="002A2EEF"/>
    <w:rsid w:val="002A42B6"/>
    <w:rsid w:val="002A4515"/>
    <w:rsid w:val="002A6D3E"/>
    <w:rsid w:val="002B134A"/>
    <w:rsid w:val="002B3841"/>
    <w:rsid w:val="002B54E5"/>
    <w:rsid w:val="002C201C"/>
    <w:rsid w:val="002C3E59"/>
    <w:rsid w:val="002C61B3"/>
    <w:rsid w:val="002D1973"/>
    <w:rsid w:val="002D462D"/>
    <w:rsid w:val="002D5195"/>
    <w:rsid w:val="002D5836"/>
    <w:rsid w:val="002E0E7A"/>
    <w:rsid w:val="002E18BB"/>
    <w:rsid w:val="002E2538"/>
    <w:rsid w:val="002E6CB0"/>
    <w:rsid w:val="002E73A5"/>
    <w:rsid w:val="002F0783"/>
    <w:rsid w:val="002F091A"/>
    <w:rsid w:val="00301311"/>
    <w:rsid w:val="00304CBA"/>
    <w:rsid w:val="00306162"/>
    <w:rsid w:val="00306F6D"/>
    <w:rsid w:val="00313352"/>
    <w:rsid w:val="0031571B"/>
    <w:rsid w:val="00315CF5"/>
    <w:rsid w:val="0031730F"/>
    <w:rsid w:val="00321E00"/>
    <w:rsid w:val="00322A9E"/>
    <w:rsid w:val="00327645"/>
    <w:rsid w:val="00330793"/>
    <w:rsid w:val="00331375"/>
    <w:rsid w:val="00332B5E"/>
    <w:rsid w:val="00333E53"/>
    <w:rsid w:val="00333F6E"/>
    <w:rsid w:val="00334F7B"/>
    <w:rsid w:val="003376F0"/>
    <w:rsid w:val="00343B55"/>
    <w:rsid w:val="003474E3"/>
    <w:rsid w:val="00347BC9"/>
    <w:rsid w:val="0035146A"/>
    <w:rsid w:val="00351E23"/>
    <w:rsid w:val="00352D8B"/>
    <w:rsid w:val="00363218"/>
    <w:rsid w:val="00365D2A"/>
    <w:rsid w:val="0037267B"/>
    <w:rsid w:val="00373A22"/>
    <w:rsid w:val="00382ECE"/>
    <w:rsid w:val="0038303F"/>
    <w:rsid w:val="0038309A"/>
    <w:rsid w:val="003850A4"/>
    <w:rsid w:val="003861DB"/>
    <w:rsid w:val="00386E84"/>
    <w:rsid w:val="00387DA0"/>
    <w:rsid w:val="00390746"/>
    <w:rsid w:val="00390866"/>
    <w:rsid w:val="00391A44"/>
    <w:rsid w:val="003925F7"/>
    <w:rsid w:val="00393088"/>
    <w:rsid w:val="00394381"/>
    <w:rsid w:val="0039596F"/>
    <w:rsid w:val="0039638E"/>
    <w:rsid w:val="003969FB"/>
    <w:rsid w:val="00396F8E"/>
    <w:rsid w:val="003A5B2E"/>
    <w:rsid w:val="003B07F8"/>
    <w:rsid w:val="003B1354"/>
    <w:rsid w:val="003B3B66"/>
    <w:rsid w:val="003B666D"/>
    <w:rsid w:val="003B7051"/>
    <w:rsid w:val="003C3980"/>
    <w:rsid w:val="003C69A1"/>
    <w:rsid w:val="003D724E"/>
    <w:rsid w:val="003E1DDA"/>
    <w:rsid w:val="003E7ABF"/>
    <w:rsid w:val="00400B82"/>
    <w:rsid w:val="00402894"/>
    <w:rsid w:val="00403DE1"/>
    <w:rsid w:val="0040460B"/>
    <w:rsid w:val="00410D0B"/>
    <w:rsid w:val="004141B4"/>
    <w:rsid w:val="00414817"/>
    <w:rsid w:val="00427AE0"/>
    <w:rsid w:val="00431FC0"/>
    <w:rsid w:val="00433571"/>
    <w:rsid w:val="00437D8A"/>
    <w:rsid w:val="00441C4E"/>
    <w:rsid w:val="00443305"/>
    <w:rsid w:val="00444A07"/>
    <w:rsid w:val="00444F01"/>
    <w:rsid w:val="004546DC"/>
    <w:rsid w:val="00455BC2"/>
    <w:rsid w:val="00455DCA"/>
    <w:rsid w:val="0045712B"/>
    <w:rsid w:val="004619B2"/>
    <w:rsid w:val="00463DC1"/>
    <w:rsid w:val="00463E33"/>
    <w:rsid w:val="00470067"/>
    <w:rsid w:val="0047027C"/>
    <w:rsid w:val="00473EA6"/>
    <w:rsid w:val="00473FFB"/>
    <w:rsid w:val="00475C42"/>
    <w:rsid w:val="00476531"/>
    <w:rsid w:val="00481701"/>
    <w:rsid w:val="00492169"/>
    <w:rsid w:val="004950D9"/>
    <w:rsid w:val="00495471"/>
    <w:rsid w:val="004A2A4F"/>
    <w:rsid w:val="004A312A"/>
    <w:rsid w:val="004A4E5D"/>
    <w:rsid w:val="004A6518"/>
    <w:rsid w:val="004B064E"/>
    <w:rsid w:val="004B1D7F"/>
    <w:rsid w:val="004B5DB2"/>
    <w:rsid w:val="004C0036"/>
    <w:rsid w:val="004C4F48"/>
    <w:rsid w:val="004C5E12"/>
    <w:rsid w:val="004C7F0B"/>
    <w:rsid w:val="004D17B7"/>
    <w:rsid w:val="004D1C31"/>
    <w:rsid w:val="004D4191"/>
    <w:rsid w:val="004D5FD2"/>
    <w:rsid w:val="004D70B9"/>
    <w:rsid w:val="004D7DFC"/>
    <w:rsid w:val="004E06EE"/>
    <w:rsid w:val="004E1BD5"/>
    <w:rsid w:val="004E26F5"/>
    <w:rsid w:val="004E2B0E"/>
    <w:rsid w:val="004E30B6"/>
    <w:rsid w:val="004E35F2"/>
    <w:rsid w:val="004E6102"/>
    <w:rsid w:val="004E73FD"/>
    <w:rsid w:val="004F316E"/>
    <w:rsid w:val="004F7152"/>
    <w:rsid w:val="00503B68"/>
    <w:rsid w:val="00506414"/>
    <w:rsid w:val="00510057"/>
    <w:rsid w:val="0051017F"/>
    <w:rsid w:val="00515419"/>
    <w:rsid w:val="00515571"/>
    <w:rsid w:val="00516221"/>
    <w:rsid w:val="00521CDA"/>
    <w:rsid w:val="0052672A"/>
    <w:rsid w:val="00544CEB"/>
    <w:rsid w:val="00546DC7"/>
    <w:rsid w:val="00547676"/>
    <w:rsid w:val="00547C81"/>
    <w:rsid w:val="005561F4"/>
    <w:rsid w:val="005606AD"/>
    <w:rsid w:val="00572641"/>
    <w:rsid w:val="00575E14"/>
    <w:rsid w:val="005821B5"/>
    <w:rsid w:val="00584A41"/>
    <w:rsid w:val="00584E88"/>
    <w:rsid w:val="005904C5"/>
    <w:rsid w:val="0059089C"/>
    <w:rsid w:val="005921B9"/>
    <w:rsid w:val="00592855"/>
    <w:rsid w:val="00594133"/>
    <w:rsid w:val="00595BE2"/>
    <w:rsid w:val="005A6F75"/>
    <w:rsid w:val="005B2CDE"/>
    <w:rsid w:val="005B350F"/>
    <w:rsid w:val="005B3550"/>
    <w:rsid w:val="005B50FB"/>
    <w:rsid w:val="005B74AF"/>
    <w:rsid w:val="005B7832"/>
    <w:rsid w:val="005B7AD0"/>
    <w:rsid w:val="005C4A59"/>
    <w:rsid w:val="005D0085"/>
    <w:rsid w:val="005D0C86"/>
    <w:rsid w:val="005D3EA9"/>
    <w:rsid w:val="005D5AB5"/>
    <w:rsid w:val="005D6A31"/>
    <w:rsid w:val="005E03D7"/>
    <w:rsid w:val="005E0A3E"/>
    <w:rsid w:val="005E255E"/>
    <w:rsid w:val="005E3479"/>
    <w:rsid w:val="005E3829"/>
    <w:rsid w:val="005E3A89"/>
    <w:rsid w:val="005E782C"/>
    <w:rsid w:val="005F669C"/>
    <w:rsid w:val="00601CBC"/>
    <w:rsid w:val="00602CD1"/>
    <w:rsid w:val="00603E23"/>
    <w:rsid w:val="006111A1"/>
    <w:rsid w:val="00611314"/>
    <w:rsid w:val="006122EF"/>
    <w:rsid w:val="00615BF2"/>
    <w:rsid w:val="0062151E"/>
    <w:rsid w:val="00621BA6"/>
    <w:rsid w:val="00627AF2"/>
    <w:rsid w:val="00633BF2"/>
    <w:rsid w:val="0063689B"/>
    <w:rsid w:val="006379C9"/>
    <w:rsid w:val="00637D84"/>
    <w:rsid w:val="0064074B"/>
    <w:rsid w:val="00644EB1"/>
    <w:rsid w:val="00660F43"/>
    <w:rsid w:val="0066180B"/>
    <w:rsid w:val="006619F2"/>
    <w:rsid w:val="00663AC2"/>
    <w:rsid w:val="00664263"/>
    <w:rsid w:val="00664F16"/>
    <w:rsid w:val="00672231"/>
    <w:rsid w:val="0067282E"/>
    <w:rsid w:val="00672FDF"/>
    <w:rsid w:val="00674C01"/>
    <w:rsid w:val="006755CE"/>
    <w:rsid w:val="00677737"/>
    <w:rsid w:val="00680892"/>
    <w:rsid w:val="00682D39"/>
    <w:rsid w:val="0068397E"/>
    <w:rsid w:val="0068502A"/>
    <w:rsid w:val="00685E8A"/>
    <w:rsid w:val="00686DEE"/>
    <w:rsid w:val="00690E3B"/>
    <w:rsid w:val="00690E56"/>
    <w:rsid w:val="00690EA7"/>
    <w:rsid w:val="00693E62"/>
    <w:rsid w:val="00694FB0"/>
    <w:rsid w:val="00695C16"/>
    <w:rsid w:val="00695C39"/>
    <w:rsid w:val="00696C6D"/>
    <w:rsid w:val="006979D9"/>
    <w:rsid w:val="006A6BD3"/>
    <w:rsid w:val="006B115E"/>
    <w:rsid w:val="006B21CB"/>
    <w:rsid w:val="006B22F0"/>
    <w:rsid w:val="006B5890"/>
    <w:rsid w:val="006C0F53"/>
    <w:rsid w:val="006C3DB5"/>
    <w:rsid w:val="006D3963"/>
    <w:rsid w:val="006D47F4"/>
    <w:rsid w:val="006D6C98"/>
    <w:rsid w:val="006D7FE1"/>
    <w:rsid w:val="006E1956"/>
    <w:rsid w:val="006E3142"/>
    <w:rsid w:val="006E409C"/>
    <w:rsid w:val="006E41A6"/>
    <w:rsid w:val="006E47BA"/>
    <w:rsid w:val="006F5953"/>
    <w:rsid w:val="00702F8E"/>
    <w:rsid w:val="00706467"/>
    <w:rsid w:val="007116A4"/>
    <w:rsid w:val="007125BE"/>
    <w:rsid w:val="00716348"/>
    <w:rsid w:val="00717E2E"/>
    <w:rsid w:val="00722721"/>
    <w:rsid w:val="007242D6"/>
    <w:rsid w:val="00725D89"/>
    <w:rsid w:val="00727229"/>
    <w:rsid w:val="00733180"/>
    <w:rsid w:val="00733928"/>
    <w:rsid w:val="00745993"/>
    <w:rsid w:val="00746C6A"/>
    <w:rsid w:val="00746F1C"/>
    <w:rsid w:val="00751E6E"/>
    <w:rsid w:val="00752D93"/>
    <w:rsid w:val="007543F2"/>
    <w:rsid w:val="00754D1E"/>
    <w:rsid w:val="00754ED8"/>
    <w:rsid w:val="007564C6"/>
    <w:rsid w:val="00757AD7"/>
    <w:rsid w:val="00770891"/>
    <w:rsid w:val="00772002"/>
    <w:rsid w:val="00777534"/>
    <w:rsid w:val="00777766"/>
    <w:rsid w:val="007778B1"/>
    <w:rsid w:val="00777F84"/>
    <w:rsid w:val="00780459"/>
    <w:rsid w:val="007817F9"/>
    <w:rsid w:val="00781A0D"/>
    <w:rsid w:val="0078303E"/>
    <w:rsid w:val="0078354B"/>
    <w:rsid w:val="00795DC7"/>
    <w:rsid w:val="007A12C6"/>
    <w:rsid w:val="007A132A"/>
    <w:rsid w:val="007A2284"/>
    <w:rsid w:val="007A5C21"/>
    <w:rsid w:val="007A5C93"/>
    <w:rsid w:val="007B053E"/>
    <w:rsid w:val="007B21F2"/>
    <w:rsid w:val="007B345E"/>
    <w:rsid w:val="007B5254"/>
    <w:rsid w:val="007B5285"/>
    <w:rsid w:val="007B64A2"/>
    <w:rsid w:val="007B74B6"/>
    <w:rsid w:val="007B7559"/>
    <w:rsid w:val="007C5660"/>
    <w:rsid w:val="007C6239"/>
    <w:rsid w:val="007C65E1"/>
    <w:rsid w:val="007C6A34"/>
    <w:rsid w:val="007D01B9"/>
    <w:rsid w:val="007D10B3"/>
    <w:rsid w:val="007D2699"/>
    <w:rsid w:val="007D4937"/>
    <w:rsid w:val="007E08C1"/>
    <w:rsid w:val="007E0D77"/>
    <w:rsid w:val="007E1588"/>
    <w:rsid w:val="007E2085"/>
    <w:rsid w:val="007E36B9"/>
    <w:rsid w:val="007E55A6"/>
    <w:rsid w:val="007E7E6E"/>
    <w:rsid w:val="007F06F1"/>
    <w:rsid w:val="007F2007"/>
    <w:rsid w:val="00800D49"/>
    <w:rsid w:val="00803E67"/>
    <w:rsid w:val="008076A8"/>
    <w:rsid w:val="008123DF"/>
    <w:rsid w:val="00812A8B"/>
    <w:rsid w:val="008138EA"/>
    <w:rsid w:val="0081438F"/>
    <w:rsid w:val="00815C33"/>
    <w:rsid w:val="008203FA"/>
    <w:rsid w:val="00820EA2"/>
    <w:rsid w:val="008219DB"/>
    <w:rsid w:val="00823605"/>
    <w:rsid w:val="00823A8B"/>
    <w:rsid w:val="00824345"/>
    <w:rsid w:val="0082696B"/>
    <w:rsid w:val="00831ECC"/>
    <w:rsid w:val="00833323"/>
    <w:rsid w:val="0083612F"/>
    <w:rsid w:val="00836527"/>
    <w:rsid w:val="00842B47"/>
    <w:rsid w:val="00843BD9"/>
    <w:rsid w:val="008441F4"/>
    <w:rsid w:val="00845B5F"/>
    <w:rsid w:val="00846ED6"/>
    <w:rsid w:val="00852669"/>
    <w:rsid w:val="008528EA"/>
    <w:rsid w:val="00855D13"/>
    <w:rsid w:val="00857407"/>
    <w:rsid w:val="00861E4D"/>
    <w:rsid w:val="008626A9"/>
    <w:rsid w:val="00863253"/>
    <w:rsid w:val="00863788"/>
    <w:rsid w:val="00863BFF"/>
    <w:rsid w:val="0087137A"/>
    <w:rsid w:val="008731E2"/>
    <w:rsid w:val="0088150E"/>
    <w:rsid w:val="00884039"/>
    <w:rsid w:val="00886CA6"/>
    <w:rsid w:val="008901B7"/>
    <w:rsid w:val="0089132E"/>
    <w:rsid w:val="00893219"/>
    <w:rsid w:val="0089358F"/>
    <w:rsid w:val="0089455D"/>
    <w:rsid w:val="0089706A"/>
    <w:rsid w:val="008A5E1E"/>
    <w:rsid w:val="008A79DB"/>
    <w:rsid w:val="008B12C4"/>
    <w:rsid w:val="008B1B86"/>
    <w:rsid w:val="008B6A68"/>
    <w:rsid w:val="008C4A36"/>
    <w:rsid w:val="008C5777"/>
    <w:rsid w:val="008C5EDC"/>
    <w:rsid w:val="008C7C03"/>
    <w:rsid w:val="008D157E"/>
    <w:rsid w:val="008D43F3"/>
    <w:rsid w:val="008D6291"/>
    <w:rsid w:val="008D73B4"/>
    <w:rsid w:val="008E2CFE"/>
    <w:rsid w:val="008E43E3"/>
    <w:rsid w:val="008E5126"/>
    <w:rsid w:val="008F20A8"/>
    <w:rsid w:val="008F33A0"/>
    <w:rsid w:val="008F59A4"/>
    <w:rsid w:val="008F669A"/>
    <w:rsid w:val="009011B0"/>
    <w:rsid w:val="0090638F"/>
    <w:rsid w:val="00907488"/>
    <w:rsid w:val="00911264"/>
    <w:rsid w:val="00911360"/>
    <w:rsid w:val="009146BC"/>
    <w:rsid w:val="0092309E"/>
    <w:rsid w:val="009245B5"/>
    <w:rsid w:val="00931045"/>
    <w:rsid w:val="0093157E"/>
    <w:rsid w:val="00933F9B"/>
    <w:rsid w:val="00936A74"/>
    <w:rsid w:val="00941B01"/>
    <w:rsid w:val="00947022"/>
    <w:rsid w:val="009474CD"/>
    <w:rsid w:val="009547BF"/>
    <w:rsid w:val="00957260"/>
    <w:rsid w:val="00963289"/>
    <w:rsid w:val="009668F5"/>
    <w:rsid w:val="009748FF"/>
    <w:rsid w:val="00975C34"/>
    <w:rsid w:val="009765F7"/>
    <w:rsid w:val="00980FCE"/>
    <w:rsid w:val="00981ED5"/>
    <w:rsid w:val="00981F64"/>
    <w:rsid w:val="00990885"/>
    <w:rsid w:val="00991BE0"/>
    <w:rsid w:val="009A2ECA"/>
    <w:rsid w:val="009B3A70"/>
    <w:rsid w:val="009C0E21"/>
    <w:rsid w:val="009C163E"/>
    <w:rsid w:val="009C16C9"/>
    <w:rsid w:val="009C1742"/>
    <w:rsid w:val="009C1EC9"/>
    <w:rsid w:val="009C39D6"/>
    <w:rsid w:val="009C5A8A"/>
    <w:rsid w:val="009D20C0"/>
    <w:rsid w:val="009D46A0"/>
    <w:rsid w:val="009D55CD"/>
    <w:rsid w:val="009E3DB3"/>
    <w:rsid w:val="009E4E0A"/>
    <w:rsid w:val="009E686D"/>
    <w:rsid w:val="009F19AE"/>
    <w:rsid w:val="009F1FEC"/>
    <w:rsid w:val="009F2E70"/>
    <w:rsid w:val="009F399D"/>
    <w:rsid w:val="009F5C9E"/>
    <w:rsid w:val="009F5EAF"/>
    <w:rsid w:val="009F6E53"/>
    <w:rsid w:val="009F71BD"/>
    <w:rsid w:val="00A00311"/>
    <w:rsid w:val="00A031E5"/>
    <w:rsid w:val="00A0639A"/>
    <w:rsid w:val="00A10B0D"/>
    <w:rsid w:val="00A10B75"/>
    <w:rsid w:val="00A14128"/>
    <w:rsid w:val="00A144DF"/>
    <w:rsid w:val="00A20F42"/>
    <w:rsid w:val="00A23A72"/>
    <w:rsid w:val="00A270EE"/>
    <w:rsid w:val="00A33884"/>
    <w:rsid w:val="00A378B8"/>
    <w:rsid w:val="00A42B76"/>
    <w:rsid w:val="00A46CF4"/>
    <w:rsid w:val="00A47313"/>
    <w:rsid w:val="00A47B0D"/>
    <w:rsid w:val="00A51F56"/>
    <w:rsid w:val="00A52149"/>
    <w:rsid w:val="00A5372B"/>
    <w:rsid w:val="00A559C0"/>
    <w:rsid w:val="00A5665A"/>
    <w:rsid w:val="00A61307"/>
    <w:rsid w:val="00A620A5"/>
    <w:rsid w:val="00A705C8"/>
    <w:rsid w:val="00A73884"/>
    <w:rsid w:val="00A76F84"/>
    <w:rsid w:val="00A809FE"/>
    <w:rsid w:val="00A8552F"/>
    <w:rsid w:val="00A902C4"/>
    <w:rsid w:val="00A935AC"/>
    <w:rsid w:val="00A93C60"/>
    <w:rsid w:val="00AA071E"/>
    <w:rsid w:val="00AA2A29"/>
    <w:rsid w:val="00AB1F95"/>
    <w:rsid w:val="00AB233F"/>
    <w:rsid w:val="00AB569C"/>
    <w:rsid w:val="00AB6EB5"/>
    <w:rsid w:val="00AC23BF"/>
    <w:rsid w:val="00AC37FC"/>
    <w:rsid w:val="00AC3D09"/>
    <w:rsid w:val="00AC7FD9"/>
    <w:rsid w:val="00AD0FC7"/>
    <w:rsid w:val="00AD3AB7"/>
    <w:rsid w:val="00AD3CC1"/>
    <w:rsid w:val="00AD6FE4"/>
    <w:rsid w:val="00AE2289"/>
    <w:rsid w:val="00AE33E2"/>
    <w:rsid w:val="00AE5862"/>
    <w:rsid w:val="00AE7086"/>
    <w:rsid w:val="00AF2A71"/>
    <w:rsid w:val="00AF43B3"/>
    <w:rsid w:val="00B01167"/>
    <w:rsid w:val="00B0606C"/>
    <w:rsid w:val="00B105BE"/>
    <w:rsid w:val="00B16AF4"/>
    <w:rsid w:val="00B1703E"/>
    <w:rsid w:val="00B21735"/>
    <w:rsid w:val="00B2272B"/>
    <w:rsid w:val="00B27B64"/>
    <w:rsid w:val="00B31907"/>
    <w:rsid w:val="00B40525"/>
    <w:rsid w:val="00B443F1"/>
    <w:rsid w:val="00B45FE2"/>
    <w:rsid w:val="00B51DAF"/>
    <w:rsid w:val="00B55FEF"/>
    <w:rsid w:val="00B56C0C"/>
    <w:rsid w:val="00B63145"/>
    <w:rsid w:val="00B6625F"/>
    <w:rsid w:val="00B70F9F"/>
    <w:rsid w:val="00B733AA"/>
    <w:rsid w:val="00B7435C"/>
    <w:rsid w:val="00B815C5"/>
    <w:rsid w:val="00B865E5"/>
    <w:rsid w:val="00B9091B"/>
    <w:rsid w:val="00B91425"/>
    <w:rsid w:val="00BA1739"/>
    <w:rsid w:val="00BA3400"/>
    <w:rsid w:val="00BA7705"/>
    <w:rsid w:val="00BB1CBB"/>
    <w:rsid w:val="00BB4C0A"/>
    <w:rsid w:val="00BB4E5C"/>
    <w:rsid w:val="00BC05EF"/>
    <w:rsid w:val="00BC1065"/>
    <w:rsid w:val="00BC1876"/>
    <w:rsid w:val="00BC2DFC"/>
    <w:rsid w:val="00BC4208"/>
    <w:rsid w:val="00BC500A"/>
    <w:rsid w:val="00BC60CE"/>
    <w:rsid w:val="00BD033D"/>
    <w:rsid w:val="00BD24C5"/>
    <w:rsid w:val="00BD3D90"/>
    <w:rsid w:val="00BD6E49"/>
    <w:rsid w:val="00BD7707"/>
    <w:rsid w:val="00BE6764"/>
    <w:rsid w:val="00BE6949"/>
    <w:rsid w:val="00BF1389"/>
    <w:rsid w:val="00BF38F2"/>
    <w:rsid w:val="00C02562"/>
    <w:rsid w:val="00C04F98"/>
    <w:rsid w:val="00C071E2"/>
    <w:rsid w:val="00C07CAC"/>
    <w:rsid w:val="00C11A3C"/>
    <w:rsid w:val="00C124EF"/>
    <w:rsid w:val="00C13E56"/>
    <w:rsid w:val="00C149AE"/>
    <w:rsid w:val="00C2530A"/>
    <w:rsid w:val="00C260DE"/>
    <w:rsid w:val="00C26996"/>
    <w:rsid w:val="00C26FB7"/>
    <w:rsid w:val="00C27FFC"/>
    <w:rsid w:val="00C303B0"/>
    <w:rsid w:val="00C34571"/>
    <w:rsid w:val="00C36070"/>
    <w:rsid w:val="00C41C0E"/>
    <w:rsid w:val="00C43E73"/>
    <w:rsid w:val="00C45341"/>
    <w:rsid w:val="00C467CE"/>
    <w:rsid w:val="00C46F89"/>
    <w:rsid w:val="00C532B9"/>
    <w:rsid w:val="00C543A5"/>
    <w:rsid w:val="00C555E1"/>
    <w:rsid w:val="00C60085"/>
    <w:rsid w:val="00C6018F"/>
    <w:rsid w:val="00C62EE9"/>
    <w:rsid w:val="00C6799E"/>
    <w:rsid w:val="00C7137D"/>
    <w:rsid w:val="00C71628"/>
    <w:rsid w:val="00C73888"/>
    <w:rsid w:val="00C739B8"/>
    <w:rsid w:val="00C74795"/>
    <w:rsid w:val="00C80272"/>
    <w:rsid w:val="00C85A7C"/>
    <w:rsid w:val="00C85F42"/>
    <w:rsid w:val="00CA1AA0"/>
    <w:rsid w:val="00CA585B"/>
    <w:rsid w:val="00CA5B78"/>
    <w:rsid w:val="00CA78FC"/>
    <w:rsid w:val="00CA79E4"/>
    <w:rsid w:val="00CB3081"/>
    <w:rsid w:val="00CB3B96"/>
    <w:rsid w:val="00CB4F80"/>
    <w:rsid w:val="00CB6B3C"/>
    <w:rsid w:val="00CC3E97"/>
    <w:rsid w:val="00CC4B44"/>
    <w:rsid w:val="00CC5C63"/>
    <w:rsid w:val="00CC6717"/>
    <w:rsid w:val="00CC6DFD"/>
    <w:rsid w:val="00CC7E7A"/>
    <w:rsid w:val="00CD0362"/>
    <w:rsid w:val="00CD1BC5"/>
    <w:rsid w:val="00CD1DA3"/>
    <w:rsid w:val="00CD573B"/>
    <w:rsid w:val="00CD5A04"/>
    <w:rsid w:val="00CD67D9"/>
    <w:rsid w:val="00CE1028"/>
    <w:rsid w:val="00CE5128"/>
    <w:rsid w:val="00CF13A9"/>
    <w:rsid w:val="00CF4E81"/>
    <w:rsid w:val="00D01CFD"/>
    <w:rsid w:val="00D034AC"/>
    <w:rsid w:val="00D03A77"/>
    <w:rsid w:val="00D04EC8"/>
    <w:rsid w:val="00D12E67"/>
    <w:rsid w:val="00D17402"/>
    <w:rsid w:val="00D208F7"/>
    <w:rsid w:val="00D21760"/>
    <w:rsid w:val="00D22F1F"/>
    <w:rsid w:val="00D2564A"/>
    <w:rsid w:val="00D2664A"/>
    <w:rsid w:val="00D317F0"/>
    <w:rsid w:val="00D33ACC"/>
    <w:rsid w:val="00D42F88"/>
    <w:rsid w:val="00D520E6"/>
    <w:rsid w:val="00D56408"/>
    <w:rsid w:val="00D5645E"/>
    <w:rsid w:val="00D668D4"/>
    <w:rsid w:val="00D73858"/>
    <w:rsid w:val="00D747E7"/>
    <w:rsid w:val="00D80594"/>
    <w:rsid w:val="00D84CF4"/>
    <w:rsid w:val="00D85814"/>
    <w:rsid w:val="00D8622E"/>
    <w:rsid w:val="00D86293"/>
    <w:rsid w:val="00D918D7"/>
    <w:rsid w:val="00D95A3B"/>
    <w:rsid w:val="00D95DBE"/>
    <w:rsid w:val="00DA0D48"/>
    <w:rsid w:val="00DA549E"/>
    <w:rsid w:val="00DA6824"/>
    <w:rsid w:val="00DB08F1"/>
    <w:rsid w:val="00DB0B71"/>
    <w:rsid w:val="00DB0EB6"/>
    <w:rsid w:val="00DB1946"/>
    <w:rsid w:val="00DB1979"/>
    <w:rsid w:val="00DB2B0C"/>
    <w:rsid w:val="00DB40B8"/>
    <w:rsid w:val="00DB7A91"/>
    <w:rsid w:val="00DC070B"/>
    <w:rsid w:val="00DC11CA"/>
    <w:rsid w:val="00DC2C43"/>
    <w:rsid w:val="00DC3904"/>
    <w:rsid w:val="00DC56F4"/>
    <w:rsid w:val="00DC5E34"/>
    <w:rsid w:val="00DC6CD5"/>
    <w:rsid w:val="00DD201A"/>
    <w:rsid w:val="00DE4159"/>
    <w:rsid w:val="00DE4199"/>
    <w:rsid w:val="00DE686C"/>
    <w:rsid w:val="00DF1FD3"/>
    <w:rsid w:val="00DF755A"/>
    <w:rsid w:val="00DF7DD2"/>
    <w:rsid w:val="00E047D5"/>
    <w:rsid w:val="00E064C3"/>
    <w:rsid w:val="00E06CB4"/>
    <w:rsid w:val="00E1045A"/>
    <w:rsid w:val="00E14131"/>
    <w:rsid w:val="00E20AD6"/>
    <w:rsid w:val="00E2341E"/>
    <w:rsid w:val="00E31EAD"/>
    <w:rsid w:val="00E3370B"/>
    <w:rsid w:val="00E34D9C"/>
    <w:rsid w:val="00E37CAF"/>
    <w:rsid w:val="00E37F40"/>
    <w:rsid w:val="00E37F42"/>
    <w:rsid w:val="00E4165E"/>
    <w:rsid w:val="00E441EB"/>
    <w:rsid w:val="00E501F5"/>
    <w:rsid w:val="00E505D1"/>
    <w:rsid w:val="00E57809"/>
    <w:rsid w:val="00E60888"/>
    <w:rsid w:val="00E60C0E"/>
    <w:rsid w:val="00E62A49"/>
    <w:rsid w:val="00E63083"/>
    <w:rsid w:val="00E64057"/>
    <w:rsid w:val="00E64379"/>
    <w:rsid w:val="00E67BDD"/>
    <w:rsid w:val="00E74504"/>
    <w:rsid w:val="00E74DB4"/>
    <w:rsid w:val="00E77810"/>
    <w:rsid w:val="00E8164F"/>
    <w:rsid w:val="00E81CBA"/>
    <w:rsid w:val="00E832B4"/>
    <w:rsid w:val="00E85523"/>
    <w:rsid w:val="00E858C7"/>
    <w:rsid w:val="00E87D6E"/>
    <w:rsid w:val="00E9180D"/>
    <w:rsid w:val="00E92E2A"/>
    <w:rsid w:val="00E962AC"/>
    <w:rsid w:val="00E97675"/>
    <w:rsid w:val="00EA0E37"/>
    <w:rsid w:val="00EA228B"/>
    <w:rsid w:val="00EA2AE7"/>
    <w:rsid w:val="00EA40B0"/>
    <w:rsid w:val="00EA4792"/>
    <w:rsid w:val="00EA4867"/>
    <w:rsid w:val="00EA5D6A"/>
    <w:rsid w:val="00EA60A4"/>
    <w:rsid w:val="00EA6808"/>
    <w:rsid w:val="00EB0B27"/>
    <w:rsid w:val="00EB37A6"/>
    <w:rsid w:val="00EB6919"/>
    <w:rsid w:val="00EC03FE"/>
    <w:rsid w:val="00EC1A85"/>
    <w:rsid w:val="00EC2CD9"/>
    <w:rsid w:val="00EC36C3"/>
    <w:rsid w:val="00ED295F"/>
    <w:rsid w:val="00ED312E"/>
    <w:rsid w:val="00EE0A68"/>
    <w:rsid w:val="00EE1034"/>
    <w:rsid w:val="00EE1AE4"/>
    <w:rsid w:val="00EE63F6"/>
    <w:rsid w:val="00EE6570"/>
    <w:rsid w:val="00EF4156"/>
    <w:rsid w:val="00F005C6"/>
    <w:rsid w:val="00F033BF"/>
    <w:rsid w:val="00F052EA"/>
    <w:rsid w:val="00F05A48"/>
    <w:rsid w:val="00F06960"/>
    <w:rsid w:val="00F07F96"/>
    <w:rsid w:val="00F11F4C"/>
    <w:rsid w:val="00F124FD"/>
    <w:rsid w:val="00F129D8"/>
    <w:rsid w:val="00F2196F"/>
    <w:rsid w:val="00F21F74"/>
    <w:rsid w:val="00F2200B"/>
    <w:rsid w:val="00F22A59"/>
    <w:rsid w:val="00F22BB6"/>
    <w:rsid w:val="00F242CB"/>
    <w:rsid w:val="00F25CFD"/>
    <w:rsid w:val="00F26531"/>
    <w:rsid w:val="00F30BE5"/>
    <w:rsid w:val="00F30ED9"/>
    <w:rsid w:val="00F3248D"/>
    <w:rsid w:val="00F33FA4"/>
    <w:rsid w:val="00F34418"/>
    <w:rsid w:val="00F36BFB"/>
    <w:rsid w:val="00F40C5E"/>
    <w:rsid w:val="00F428F7"/>
    <w:rsid w:val="00F4307D"/>
    <w:rsid w:val="00F4402D"/>
    <w:rsid w:val="00F4598E"/>
    <w:rsid w:val="00F52DF2"/>
    <w:rsid w:val="00F550D2"/>
    <w:rsid w:val="00F55AD8"/>
    <w:rsid w:val="00F57399"/>
    <w:rsid w:val="00F61F52"/>
    <w:rsid w:val="00F62D9C"/>
    <w:rsid w:val="00F642A2"/>
    <w:rsid w:val="00F65F9D"/>
    <w:rsid w:val="00F711E0"/>
    <w:rsid w:val="00F80E57"/>
    <w:rsid w:val="00F819F8"/>
    <w:rsid w:val="00F96802"/>
    <w:rsid w:val="00FA007C"/>
    <w:rsid w:val="00FA0B13"/>
    <w:rsid w:val="00FB6CDC"/>
    <w:rsid w:val="00FC0FE1"/>
    <w:rsid w:val="00FC1E9A"/>
    <w:rsid w:val="00FC6661"/>
    <w:rsid w:val="00FD08D1"/>
    <w:rsid w:val="00FD2468"/>
    <w:rsid w:val="00FD2FCD"/>
    <w:rsid w:val="00FD6620"/>
    <w:rsid w:val="00FE1BDE"/>
    <w:rsid w:val="00FE4B71"/>
    <w:rsid w:val="00FE6A3C"/>
    <w:rsid w:val="00FF0723"/>
    <w:rsid w:val="00FF1826"/>
    <w:rsid w:val="00FF3C5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A9C38"/>
  <w15:docId w15:val="{111C704B-E1A8-4153-AB3C-EA06F4E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67"/>
  </w:style>
  <w:style w:type="paragraph" w:styleId="Titre3">
    <w:name w:val="heading 3"/>
    <w:basedOn w:val="Normal"/>
    <w:link w:val="Titre3Car"/>
    <w:uiPriority w:val="9"/>
    <w:qFormat/>
    <w:rsid w:val="004141B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925F7"/>
    <w:pPr>
      <w:ind w:left="720"/>
      <w:contextualSpacing/>
    </w:pPr>
  </w:style>
  <w:style w:type="table" w:styleId="Grilledutableau">
    <w:name w:val="Table Grid"/>
    <w:basedOn w:val="TableauNormal"/>
    <w:uiPriority w:val="39"/>
    <w:rsid w:val="0028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69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ibliographie">
    <w:name w:val="Bibliography"/>
    <w:basedOn w:val="Normal"/>
    <w:next w:val="Normal"/>
    <w:uiPriority w:val="37"/>
    <w:unhideWhenUsed/>
    <w:rsid w:val="00F61F52"/>
    <w:pPr>
      <w:tabs>
        <w:tab w:val="left" w:pos="504"/>
      </w:tabs>
      <w:spacing w:after="240" w:line="240" w:lineRule="auto"/>
      <w:ind w:left="504" w:hanging="504"/>
    </w:pPr>
  </w:style>
  <w:style w:type="paragraph" w:styleId="Rvision">
    <w:name w:val="Revision"/>
    <w:hidden/>
    <w:uiPriority w:val="99"/>
    <w:semiHidden/>
    <w:rsid w:val="00043C03"/>
    <w:pPr>
      <w:spacing w:after="0" w:line="240" w:lineRule="auto"/>
    </w:pPr>
  </w:style>
  <w:style w:type="paragraph" w:styleId="En-tte">
    <w:name w:val="header"/>
    <w:basedOn w:val="Normal"/>
    <w:link w:val="En-tteCar"/>
    <w:uiPriority w:val="99"/>
    <w:unhideWhenUsed/>
    <w:rsid w:val="009F5EAF"/>
    <w:pPr>
      <w:tabs>
        <w:tab w:val="center" w:pos="4536"/>
        <w:tab w:val="right" w:pos="9072"/>
      </w:tabs>
      <w:spacing w:after="0" w:line="240" w:lineRule="auto"/>
    </w:pPr>
  </w:style>
  <w:style w:type="character" w:customStyle="1" w:styleId="En-tteCar">
    <w:name w:val="En-tête Car"/>
    <w:basedOn w:val="Policepardfaut"/>
    <w:link w:val="En-tte"/>
    <w:uiPriority w:val="99"/>
    <w:rsid w:val="009F5EAF"/>
  </w:style>
  <w:style w:type="paragraph" w:styleId="Pieddepage">
    <w:name w:val="footer"/>
    <w:basedOn w:val="Normal"/>
    <w:link w:val="PieddepageCar"/>
    <w:uiPriority w:val="99"/>
    <w:unhideWhenUsed/>
    <w:rsid w:val="009F5E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5EAF"/>
  </w:style>
  <w:style w:type="character" w:styleId="Marquedecommentaire">
    <w:name w:val="annotation reference"/>
    <w:basedOn w:val="Policepardfaut"/>
    <w:uiPriority w:val="99"/>
    <w:semiHidden/>
    <w:unhideWhenUsed/>
    <w:rsid w:val="001C4A5F"/>
    <w:rPr>
      <w:sz w:val="16"/>
      <w:szCs w:val="16"/>
    </w:rPr>
  </w:style>
  <w:style w:type="paragraph" w:styleId="Commentaire">
    <w:name w:val="annotation text"/>
    <w:basedOn w:val="Normal"/>
    <w:link w:val="CommentaireCar"/>
    <w:uiPriority w:val="99"/>
    <w:semiHidden/>
    <w:unhideWhenUsed/>
    <w:rsid w:val="001C4A5F"/>
    <w:pPr>
      <w:spacing w:line="240" w:lineRule="auto"/>
    </w:pPr>
    <w:rPr>
      <w:sz w:val="20"/>
      <w:szCs w:val="20"/>
    </w:rPr>
  </w:style>
  <w:style w:type="character" w:customStyle="1" w:styleId="CommentaireCar">
    <w:name w:val="Commentaire Car"/>
    <w:basedOn w:val="Policepardfaut"/>
    <w:link w:val="Commentaire"/>
    <w:uiPriority w:val="99"/>
    <w:semiHidden/>
    <w:rsid w:val="001C4A5F"/>
    <w:rPr>
      <w:sz w:val="20"/>
      <w:szCs w:val="20"/>
    </w:rPr>
  </w:style>
  <w:style w:type="paragraph" w:styleId="Objetducommentaire">
    <w:name w:val="annotation subject"/>
    <w:basedOn w:val="Commentaire"/>
    <w:next w:val="Commentaire"/>
    <w:link w:val="ObjetducommentaireCar"/>
    <w:uiPriority w:val="99"/>
    <w:semiHidden/>
    <w:unhideWhenUsed/>
    <w:rsid w:val="001C4A5F"/>
    <w:rPr>
      <w:b/>
      <w:bCs/>
    </w:rPr>
  </w:style>
  <w:style w:type="character" w:customStyle="1" w:styleId="ObjetducommentaireCar">
    <w:name w:val="Objet du commentaire Car"/>
    <w:basedOn w:val="CommentaireCar"/>
    <w:link w:val="Objetducommentaire"/>
    <w:uiPriority w:val="99"/>
    <w:semiHidden/>
    <w:rsid w:val="001C4A5F"/>
    <w:rPr>
      <w:b/>
      <w:bCs/>
      <w:sz w:val="20"/>
      <w:szCs w:val="20"/>
    </w:rPr>
  </w:style>
  <w:style w:type="character" w:styleId="lev">
    <w:name w:val="Strong"/>
    <w:basedOn w:val="Policepardfaut"/>
    <w:uiPriority w:val="22"/>
    <w:qFormat/>
    <w:rsid w:val="00193750"/>
    <w:rPr>
      <w:b/>
      <w:bCs/>
    </w:rPr>
  </w:style>
  <w:style w:type="character" w:styleId="Lienhypertexte">
    <w:name w:val="Hyperlink"/>
    <w:basedOn w:val="Policepardfaut"/>
    <w:uiPriority w:val="99"/>
    <w:unhideWhenUsed/>
    <w:rsid w:val="00B56C0C"/>
    <w:rPr>
      <w:color w:val="0000FF" w:themeColor="hyperlink"/>
      <w:u w:val="single"/>
    </w:rPr>
  </w:style>
  <w:style w:type="character" w:styleId="Mentionnonrsolue">
    <w:name w:val="Unresolved Mention"/>
    <w:basedOn w:val="Policepardfaut"/>
    <w:uiPriority w:val="99"/>
    <w:semiHidden/>
    <w:unhideWhenUsed/>
    <w:rsid w:val="00B56C0C"/>
    <w:rPr>
      <w:color w:val="605E5C"/>
      <w:shd w:val="clear" w:color="auto" w:fill="E1DFDD"/>
    </w:rPr>
  </w:style>
  <w:style w:type="paragraph" w:styleId="Textedebulles">
    <w:name w:val="Balloon Text"/>
    <w:basedOn w:val="Normal"/>
    <w:link w:val="TextedebullesCar"/>
    <w:uiPriority w:val="99"/>
    <w:semiHidden/>
    <w:unhideWhenUsed/>
    <w:rsid w:val="00FA007C"/>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007C"/>
    <w:rPr>
      <w:rFonts w:ascii="Times New Roman" w:hAnsi="Times New Roman" w:cs="Times New Roman"/>
      <w:sz w:val="18"/>
      <w:szCs w:val="18"/>
    </w:rPr>
  </w:style>
  <w:style w:type="character" w:customStyle="1" w:styleId="ParagraphedelisteCar">
    <w:name w:val="Paragraphe de liste Car"/>
    <w:basedOn w:val="Policepardfaut"/>
    <w:link w:val="Paragraphedeliste"/>
    <w:uiPriority w:val="34"/>
    <w:rsid w:val="00237DF8"/>
  </w:style>
  <w:style w:type="character" w:customStyle="1" w:styleId="Titre3Car">
    <w:name w:val="Titre 3 Car"/>
    <w:basedOn w:val="Policepardfaut"/>
    <w:link w:val="Titre3"/>
    <w:uiPriority w:val="9"/>
    <w:rsid w:val="004141B4"/>
    <w:rPr>
      <w:rFonts w:ascii="Times New Roman" w:eastAsia="Times New Roman" w:hAnsi="Times New Roman" w:cs="Times New Roman"/>
      <w:b/>
      <w:bCs/>
      <w:sz w:val="27"/>
      <w:szCs w:val="27"/>
      <w:lang w:eastAsia="fr-FR"/>
    </w:rPr>
  </w:style>
  <w:style w:type="character" w:styleId="Numrodeligne">
    <w:name w:val="line number"/>
    <w:basedOn w:val="Policepardfaut"/>
    <w:uiPriority w:val="99"/>
    <w:semiHidden/>
    <w:unhideWhenUsed/>
    <w:rsid w:val="00E9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7098">
      <w:bodyDiv w:val="1"/>
      <w:marLeft w:val="0"/>
      <w:marRight w:val="0"/>
      <w:marTop w:val="0"/>
      <w:marBottom w:val="0"/>
      <w:divBdr>
        <w:top w:val="none" w:sz="0" w:space="0" w:color="auto"/>
        <w:left w:val="none" w:sz="0" w:space="0" w:color="auto"/>
        <w:bottom w:val="none" w:sz="0" w:space="0" w:color="auto"/>
        <w:right w:val="none" w:sz="0" w:space="0" w:color="auto"/>
      </w:divBdr>
    </w:div>
    <w:div w:id="182669897">
      <w:bodyDiv w:val="1"/>
      <w:marLeft w:val="0"/>
      <w:marRight w:val="0"/>
      <w:marTop w:val="0"/>
      <w:marBottom w:val="0"/>
      <w:divBdr>
        <w:top w:val="none" w:sz="0" w:space="0" w:color="auto"/>
        <w:left w:val="none" w:sz="0" w:space="0" w:color="auto"/>
        <w:bottom w:val="none" w:sz="0" w:space="0" w:color="auto"/>
        <w:right w:val="none" w:sz="0" w:space="0" w:color="auto"/>
      </w:divBdr>
    </w:div>
    <w:div w:id="281306181">
      <w:bodyDiv w:val="1"/>
      <w:marLeft w:val="0"/>
      <w:marRight w:val="0"/>
      <w:marTop w:val="0"/>
      <w:marBottom w:val="0"/>
      <w:divBdr>
        <w:top w:val="none" w:sz="0" w:space="0" w:color="auto"/>
        <w:left w:val="none" w:sz="0" w:space="0" w:color="auto"/>
        <w:bottom w:val="none" w:sz="0" w:space="0" w:color="auto"/>
        <w:right w:val="none" w:sz="0" w:space="0" w:color="auto"/>
      </w:divBdr>
    </w:div>
    <w:div w:id="490295164">
      <w:bodyDiv w:val="1"/>
      <w:marLeft w:val="0"/>
      <w:marRight w:val="0"/>
      <w:marTop w:val="0"/>
      <w:marBottom w:val="0"/>
      <w:divBdr>
        <w:top w:val="none" w:sz="0" w:space="0" w:color="auto"/>
        <w:left w:val="none" w:sz="0" w:space="0" w:color="auto"/>
        <w:bottom w:val="none" w:sz="0" w:space="0" w:color="auto"/>
        <w:right w:val="none" w:sz="0" w:space="0" w:color="auto"/>
      </w:divBdr>
    </w:div>
    <w:div w:id="544026935">
      <w:bodyDiv w:val="1"/>
      <w:marLeft w:val="0"/>
      <w:marRight w:val="0"/>
      <w:marTop w:val="0"/>
      <w:marBottom w:val="0"/>
      <w:divBdr>
        <w:top w:val="none" w:sz="0" w:space="0" w:color="auto"/>
        <w:left w:val="none" w:sz="0" w:space="0" w:color="auto"/>
        <w:bottom w:val="none" w:sz="0" w:space="0" w:color="auto"/>
        <w:right w:val="none" w:sz="0" w:space="0" w:color="auto"/>
      </w:divBdr>
    </w:div>
    <w:div w:id="598954532">
      <w:bodyDiv w:val="1"/>
      <w:marLeft w:val="0"/>
      <w:marRight w:val="0"/>
      <w:marTop w:val="0"/>
      <w:marBottom w:val="0"/>
      <w:divBdr>
        <w:top w:val="none" w:sz="0" w:space="0" w:color="auto"/>
        <w:left w:val="none" w:sz="0" w:space="0" w:color="auto"/>
        <w:bottom w:val="none" w:sz="0" w:space="0" w:color="auto"/>
        <w:right w:val="none" w:sz="0" w:space="0" w:color="auto"/>
      </w:divBdr>
    </w:div>
    <w:div w:id="642274539">
      <w:bodyDiv w:val="1"/>
      <w:marLeft w:val="0"/>
      <w:marRight w:val="0"/>
      <w:marTop w:val="0"/>
      <w:marBottom w:val="0"/>
      <w:divBdr>
        <w:top w:val="none" w:sz="0" w:space="0" w:color="auto"/>
        <w:left w:val="none" w:sz="0" w:space="0" w:color="auto"/>
        <w:bottom w:val="none" w:sz="0" w:space="0" w:color="auto"/>
        <w:right w:val="none" w:sz="0" w:space="0" w:color="auto"/>
      </w:divBdr>
    </w:div>
    <w:div w:id="703211173">
      <w:bodyDiv w:val="1"/>
      <w:marLeft w:val="0"/>
      <w:marRight w:val="0"/>
      <w:marTop w:val="0"/>
      <w:marBottom w:val="0"/>
      <w:divBdr>
        <w:top w:val="none" w:sz="0" w:space="0" w:color="auto"/>
        <w:left w:val="none" w:sz="0" w:space="0" w:color="auto"/>
        <w:bottom w:val="none" w:sz="0" w:space="0" w:color="auto"/>
        <w:right w:val="none" w:sz="0" w:space="0" w:color="auto"/>
      </w:divBdr>
    </w:div>
    <w:div w:id="764686715">
      <w:bodyDiv w:val="1"/>
      <w:marLeft w:val="0"/>
      <w:marRight w:val="0"/>
      <w:marTop w:val="0"/>
      <w:marBottom w:val="0"/>
      <w:divBdr>
        <w:top w:val="none" w:sz="0" w:space="0" w:color="auto"/>
        <w:left w:val="none" w:sz="0" w:space="0" w:color="auto"/>
        <w:bottom w:val="none" w:sz="0" w:space="0" w:color="auto"/>
        <w:right w:val="none" w:sz="0" w:space="0" w:color="auto"/>
      </w:divBdr>
    </w:div>
    <w:div w:id="797987456">
      <w:bodyDiv w:val="1"/>
      <w:marLeft w:val="0"/>
      <w:marRight w:val="0"/>
      <w:marTop w:val="0"/>
      <w:marBottom w:val="0"/>
      <w:divBdr>
        <w:top w:val="none" w:sz="0" w:space="0" w:color="auto"/>
        <w:left w:val="none" w:sz="0" w:space="0" w:color="auto"/>
        <w:bottom w:val="none" w:sz="0" w:space="0" w:color="auto"/>
        <w:right w:val="none" w:sz="0" w:space="0" w:color="auto"/>
      </w:divBdr>
    </w:div>
    <w:div w:id="1091585464">
      <w:bodyDiv w:val="1"/>
      <w:marLeft w:val="0"/>
      <w:marRight w:val="0"/>
      <w:marTop w:val="0"/>
      <w:marBottom w:val="0"/>
      <w:divBdr>
        <w:top w:val="none" w:sz="0" w:space="0" w:color="auto"/>
        <w:left w:val="none" w:sz="0" w:space="0" w:color="auto"/>
        <w:bottom w:val="none" w:sz="0" w:space="0" w:color="auto"/>
        <w:right w:val="none" w:sz="0" w:space="0" w:color="auto"/>
      </w:divBdr>
    </w:div>
    <w:div w:id="1197809332">
      <w:bodyDiv w:val="1"/>
      <w:marLeft w:val="0"/>
      <w:marRight w:val="0"/>
      <w:marTop w:val="0"/>
      <w:marBottom w:val="0"/>
      <w:divBdr>
        <w:top w:val="none" w:sz="0" w:space="0" w:color="auto"/>
        <w:left w:val="none" w:sz="0" w:space="0" w:color="auto"/>
        <w:bottom w:val="none" w:sz="0" w:space="0" w:color="auto"/>
        <w:right w:val="none" w:sz="0" w:space="0" w:color="auto"/>
      </w:divBdr>
    </w:div>
    <w:div w:id="1212307875">
      <w:bodyDiv w:val="1"/>
      <w:marLeft w:val="0"/>
      <w:marRight w:val="0"/>
      <w:marTop w:val="0"/>
      <w:marBottom w:val="0"/>
      <w:divBdr>
        <w:top w:val="none" w:sz="0" w:space="0" w:color="auto"/>
        <w:left w:val="none" w:sz="0" w:space="0" w:color="auto"/>
        <w:bottom w:val="none" w:sz="0" w:space="0" w:color="auto"/>
        <w:right w:val="none" w:sz="0" w:space="0" w:color="auto"/>
      </w:divBdr>
    </w:div>
    <w:div w:id="1213736227">
      <w:bodyDiv w:val="1"/>
      <w:marLeft w:val="0"/>
      <w:marRight w:val="0"/>
      <w:marTop w:val="0"/>
      <w:marBottom w:val="0"/>
      <w:divBdr>
        <w:top w:val="none" w:sz="0" w:space="0" w:color="auto"/>
        <w:left w:val="none" w:sz="0" w:space="0" w:color="auto"/>
        <w:bottom w:val="none" w:sz="0" w:space="0" w:color="auto"/>
        <w:right w:val="none" w:sz="0" w:space="0" w:color="auto"/>
      </w:divBdr>
    </w:div>
    <w:div w:id="1260140499">
      <w:bodyDiv w:val="1"/>
      <w:marLeft w:val="0"/>
      <w:marRight w:val="0"/>
      <w:marTop w:val="0"/>
      <w:marBottom w:val="0"/>
      <w:divBdr>
        <w:top w:val="none" w:sz="0" w:space="0" w:color="auto"/>
        <w:left w:val="none" w:sz="0" w:space="0" w:color="auto"/>
        <w:bottom w:val="none" w:sz="0" w:space="0" w:color="auto"/>
        <w:right w:val="none" w:sz="0" w:space="0" w:color="auto"/>
      </w:divBdr>
    </w:div>
    <w:div w:id="1324817618">
      <w:bodyDiv w:val="1"/>
      <w:marLeft w:val="0"/>
      <w:marRight w:val="0"/>
      <w:marTop w:val="0"/>
      <w:marBottom w:val="0"/>
      <w:divBdr>
        <w:top w:val="none" w:sz="0" w:space="0" w:color="auto"/>
        <w:left w:val="none" w:sz="0" w:space="0" w:color="auto"/>
        <w:bottom w:val="none" w:sz="0" w:space="0" w:color="auto"/>
        <w:right w:val="none" w:sz="0" w:space="0" w:color="auto"/>
      </w:divBdr>
    </w:div>
    <w:div w:id="1437866660">
      <w:bodyDiv w:val="1"/>
      <w:marLeft w:val="0"/>
      <w:marRight w:val="0"/>
      <w:marTop w:val="0"/>
      <w:marBottom w:val="0"/>
      <w:divBdr>
        <w:top w:val="none" w:sz="0" w:space="0" w:color="auto"/>
        <w:left w:val="none" w:sz="0" w:space="0" w:color="auto"/>
        <w:bottom w:val="none" w:sz="0" w:space="0" w:color="auto"/>
        <w:right w:val="none" w:sz="0" w:space="0" w:color="auto"/>
      </w:divBdr>
    </w:div>
    <w:div w:id="1540972231">
      <w:bodyDiv w:val="1"/>
      <w:marLeft w:val="0"/>
      <w:marRight w:val="0"/>
      <w:marTop w:val="0"/>
      <w:marBottom w:val="0"/>
      <w:divBdr>
        <w:top w:val="none" w:sz="0" w:space="0" w:color="auto"/>
        <w:left w:val="none" w:sz="0" w:space="0" w:color="auto"/>
        <w:bottom w:val="none" w:sz="0" w:space="0" w:color="auto"/>
        <w:right w:val="none" w:sz="0" w:space="0" w:color="auto"/>
      </w:divBdr>
    </w:div>
    <w:div w:id="1642812044">
      <w:bodyDiv w:val="1"/>
      <w:marLeft w:val="0"/>
      <w:marRight w:val="0"/>
      <w:marTop w:val="0"/>
      <w:marBottom w:val="0"/>
      <w:divBdr>
        <w:top w:val="none" w:sz="0" w:space="0" w:color="auto"/>
        <w:left w:val="none" w:sz="0" w:space="0" w:color="auto"/>
        <w:bottom w:val="none" w:sz="0" w:space="0" w:color="auto"/>
        <w:right w:val="none" w:sz="0" w:space="0" w:color="auto"/>
      </w:divBdr>
    </w:div>
    <w:div w:id="1708409069">
      <w:bodyDiv w:val="1"/>
      <w:marLeft w:val="0"/>
      <w:marRight w:val="0"/>
      <w:marTop w:val="0"/>
      <w:marBottom w:val="0"/>
      <w:divBdr>
        <w:top w:val="none" w:sz="0" w:space="0" w:color="auto"/>
        <w:left w:val="none" w:sz="0" w:space="0" w:color="auto"/>
        <w:bottom w:val="none" w:sz="0" w:space="0" w:color="auto"/>
        <w:right w:val="none" w:sz="0" w:space="0" w:color="auto"/>
      </w:divBdr>
    </w:div>
    <w:div w:id="1817987935">
      <w:bodyDiv w:val="1"/>
      <w:marLeft w:val="0"/>
      <w:marRight w:val="0"/>
      <w:marTop w:val="0"/>
      <w:marBottom w:val="0"/>
      <w:divBdr>
        <w:top w:val="none" w:sz="0" w:space="0" w:color="auto"/>
        <w:left w:val="none" w:sz="0" w:space="0" w:color="auto"/>
        <w:bottom w:val="none" w:sz="0" w:space="0" w:color="auto"/>
        <w:right w:val="none" w:sz="0" w:space="0" w:color="auto"/>
      </w:divBdr>
    </w:div>
    <w:div w:id="1837719584">
      <w:bodyDiv w:val="1"/>
      <w:marLeft w:val="0"/>
      <w:marRight w:val="0"/>
      <w:marTop w:val="0"/>
      <w:marBottom w:val="0"/>
      <w:divBdr>
        <w:top w:val="none" w:sz="0" w:space="0" w:color="auto"/>
        <w:left w:val="none" w:sz="0" w:space="0" w:color="auto"/>
        <w:bottom w:val="none" w:sz="0" w:space="0" w:color="auto"/>
        <w:right w:val="none" w:sz="0" w:space="0" w:color="auto"/>
      </w:divBdr>
    </w:div>
    <w:div w:id="1923487556">
      <w:bodyDiv w:val="1"/>
      <w:marLeft w:val="0"/>
      <w:marRight w:val="0"/>
      <w:marTop w:val="0"/>
      <w:marBottom w:val="0"/>
      <w:divBdr>
        <w:top w:val="none" w:sz="0" w:space="0" w:color="auto"/>
        <w:left w:val="none" w:sz="0" w:space="0" w:color="auto"/>
        <w:bottom w:val="none" w:sz="0" w:space="0" w:color="auto"/>
        <w:right w:val="none" w:sz="0" w:space="0" w:color="auto"/>
      </w:divBdr>
    </w:div>
    <w:div w:id="1932659413">
      <w:bodyDiv w:val="1"/>
      <w:marLeft w:val="0"/>
      <w:marRight w:val="0"/>
      <w:marTop w:val="0"/>
      <w:marBottom w:val="0"/>
      <w:divBdr>
        <w:top w:val="none" w:sz="0" w:space="0" w:color="auto"/>
        <w:left w:val="none" w:sz="0" w:space="0" w:color="auto"/>
        <w:bottom w:val="none" w:sz="0" w:space="0" w:color="auto"/>
        <w:right w:val="none" w:sz="0" w:space="0" w:color="auto"/>
      </w:divBdr>
    </w:div>
    <w:div w:id="1945843998">
      <w:bodyDiv w:val="1"/>
      <w:marLeft w:val="0"/>
      <w:marRight w:val="0"/>
      <w:marTop w:val="0"/>
      <w:marBottom w:val="0"/>
      <w:divBdr>
        <w:top w:val="none" w:sz="0" w:space="0" w:color="auto"/>
        <w:left w:val="none" w:sz="0" w:space="0" w:color="auto"/>
        <w:bottom w:val="none" w:sz="0" w:space="0" w:color="auto"/>
        <w:right w:val="none" w:sz="0" w:space="0" w:color="auto"/>
      </w:divBdr>
    </w:div>
    <w:div w:id="2077505490">
      <w:bodyDiv w:val="1"/>
      <w:marLeft w:val="0"/>
      <w:marRight w:val="0"/>
      <w:marTop w:val="0"/>
      <w:marBottom w:val="0"/>
      <w:divBdr>
        <w:top w:val="none" w:sz="0" w:space="0" w:color="auto"/>
        <w:left w:val="none" w:sz="0" w:space="0" w:color="auto"/>
        <w:bottom w:val="none" w:sz="0" w:space="0" w:color="auto"/>
        <w:right w:val="none" w:sz="0" w:space="0" w:color="auto"/>
      </w:divBdr>
    </w:div>
    <w:div w:id="2095349570">
      <w:bodyDiv w:val="1"/>
      <w:marLeft w:val="0"/>
      <w:marRight w:val="0"/>
      <w:marTop w:val="0"/>
      <w:marBottom w:val="0"/>
      <w:divBdr>
        <w:top w:val="none" w:sz="0" w:space="0" w:color="auto"/>
        <w:left w:val="none" w:sz="0" w:space="0" w:color="auto"/>
        <w:bottom w:val="none" w:sz="0" w:space="0" w:color="auto"/>
        <w:right w:val="none" w:sz="0" w:space="0" w:color="auto"/>
      </w:divBdr>
    </w:div>
    <w:div w:id="2127500591">
      <w:bodyDiv w:val="1"/>
      <w:marLeft w:val="0"/>
      <w:marRight w:val="0"/>
      <w:marTop w:val="0"/>
      <w:marBottom w:val="0"/>
      <w:divBdr>
        <w:top w:val="none" w:sz="0" w:space="0" w:color="auto"/>
        <w:left w:val="none" w:sz="0" w:space="0" w:color="auto"/>
        <w:bottom w:val="none" w:sz="0" w:space="0" w:color="auto"/>
        <w:right w:val="none" w:sz="0" w:space="0" w:color="auto"/>
      </w:divBdr>
      <w:divsChild>
        <w:div w:id="28263945">
          <w:marLeft w:val="0"/>
          <w:marRight w:val="0"/>
          <w:marTop w:val="0"/>
          <w:marBottom w:val="0"/>
          <w:divBdr>
            <w:top w:val="none" w:sz="0" w:space="0" w:color="auto"/>
            <w:left w:val="none" w:sz="0" w:space="0" w:color="auto"/>
            <w:bottom w:val="none" w:sz="0" w:space="0" w:color="auto"/>
            <w:right w:val="none" w:sz="0" w:space="0" w:color="auto"/>
          </w:divBdr>
          <w:divsChild>
            <w:div w:id="402871605">
              <w:marLeft w:val="0"/>
              <w:marRight w:val="0"/>
              <w:marTop w:val="0"/>
              <w:marBottom w:val="0"/>
              <w:divBdr>
                <w:top w:val="none" w:sz="0" w:space="0" w:color="auto"/>
                <w:left w:val="none" w:sz="0" w:space="0" w:color="auto"/>
                <w:bottom w:val="none" w:sz="0" w:space="0" w:color="auto"/>
                <w:right w:val="none" w:sz="0" w:space="0" w:color="auto"/>
              </w:divBdr>
              <w:divsChild>
                <w:div w:id="1419014322">
                  <w:marLeft w:val="0"/>
                  <w:marRight w:val="0"/>
                  <w:marTop w:val="0"/>
                  <w:marBottom w:val="0"/>
                  <w:divBdr>
                    <w:top w:val="none" w:sz="0" w:space="0" w:color="auto"/>
                    <w:left w:val="none" w:sz="0" w:space="0" w:color="auto"/>
                    <w:bottom w:val="none" w:sz="0" w:space="0" w:color="auto"/>
                    <w:right w:val="none" w:sz="0" w:space="0" w:color="auto"/>
                  </w:divBdr>
                  <w:divsChild>
                    <w:div w:id="17207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784">
          <w:marLeft w:val="0"/>
          <w:marRight w:val="0"/>
          <w:marTop w:val="0"/>
          <w:marBottom w:val="0"/>
          <w:divBdr>
            <w:top w:val="none" w:sz="0" w:space="0" w:color="auto"/>
            <w:left w:val="none" w:sz="0" w:space="0" w:color="auto"/>
            <w:bottom w:val="none" w:sz="0" w:space="0" w:color="auto"/>
            <w:right w:val="none" w:sz="0" w:space="0" w:color="auto"/>
          </w:divBdr>
          <w:divsChild>
            <w:div w:id="767701636">
              <w:marLeft w:val="0"/>
              <w:marRight w:val="0"/>
              <w:marTop w:val="0"/>
              <w:marBottom w:val="0"/>
              <w:divBdr>
                <w:top w:val="none" w:sz="0" w:space="0" w:color="auto"/>
                <w:left w:val="none" w:sz="0" w:space="0" w:color="auto"/>
                <w:bottom w:val="none" w:sz="0" w:space="0" w:color="auto"/>
                <w:right w:val="none" w:sz="0" w:space="0" w:color="auto"/>
              </w:divBdr>
              <w:divsChild>
                <w:div w:id="632178080">
                  <w:marLeft w:val="0"/>
                  <w:marRight w:val="0"/>
                  <w:marTop w:val="0"/>
                  <w:marBottom w:val="0"/>
                  <w:divBdr>
                    <w:top w:val="none" w:sz="0" w:space="0" w:color="auto"/>
                    <w:left w:val="none" w:sz="0" w:space="0" w:color="auto"/>
                    <w:bottom w:val="none" w:sz="0" w:space="0" w:color="auto"/>
                    <w:right w:val="none" w:sz="0" w:space="0" w:color="auto"/>
                  </w:divBdr>
                  <w:divsChild>
                    <w:div w:id="15220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47FD-8FB9-7A4B-A95B-64BC8059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4294963106</TotalTime>
  <Pages>1</Pages>
  <Words>23757</Words>
  <Characters>130664</Characters>
  <Application>Microsoft Office Word</Application>
  <DocSecurity>0</DocSecurity>
  <Lines>1088</Lines>
  <Paragraphs>308</Paragraphs>
  <ScaleCrop>false</ScaleCrop>
  <HeadingPairs>
    <vt:vector size="2" baseType="variant">
      <vt:variant>
        <vt:lpstr>Titre</vt:lpstr>
      </vt:variant>
      <vt:variant>
        <vt:i4>1</vt:i4>
      </vt:variant>
    </vt:vector>
  </HeadingPairs>
  <TitlesOfParts>
    <vt:vector size="1" baseType="lpstr">
      <vt:lpstr/>
    </vt:vector>
  </TitlesOfParts>
  <Company>Razer</Company>
  <LinksUpToDate>false</LinksUpToDate>
  <CharactersWithSpaces>154113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jeremypz@gmail.com</dc:creator>
  <cp:lastModifiedBy>Jérémy Puyraimond-Zemmour</cp:lastModifiedBy>
  <cp:revision>60</cp:revision>
  <dcterms:created xsi:type="dcterms:W3CDTF">2025-04-08T13:51:00Z</dcterms:created>
  <dcterms:modified xsi:type="dcterms:W3CDTF">2025-04-14T16:19:00Z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id="qB8uGv8n"/&gt;&lt;style id="http://www.zotero.org/styles/european-journal-of-pediatrics" hasBibliography="1" bibliographyStyleHasBeenSet="1"/&gt;&lt;prefs&gt;&lt;pref name="fieldType" value="Field"/&gt;&lt;pref name="do</vt:lpwstr>
  </property>
  <property fmtid="{D5CDD505-2E9C-101B-9397-08002B2CF9AE}" pid="3" name="ZOTERO_PREF_2">
    <vt:lpwstr>ntAskDelayCitationUpdates" value="true"/&gt;&lt;/prefs&gt;&lt;/data&gt;</vt:lpwstr>
  </property>
</Properties>
</file>