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6AEAC3" w14:textId="77777777" w:rsidR="00CE24E5" w:rsidRPr="00BC1F4C" w:rsidRDefault="00CE24E5" w:rsidP="00CE24E5">
      <w:pPr>
        <w:spacing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 w:rsidRPr="00BC1F4C">
        <w:rPr>
          <w:rFonts w:ascii="Times New Roman" w:eastAsia="Times New Roman" w:hAnsi="Times New Roman"/>
          <w:i/>
          <w:iCs/>
          <w:sz w:val="24"/>
          <w:szCs w:val="24"/>
        </w:rPr>
        <w:t>Appendix</w:t>
      </w:r>
    </w:p>
    <w:p w14:paraId="71BCF8E1" w14:textId="77777777" w:rsidR="00CE24E5" w:rsidRPr="00BC1F4C" w:rsidRDefault="00CE24E5" w:rsidP="00CE24E5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C1F4C">
        <w:rPr>
          <w:rFonts w:ascii="Times New Roman" w:hAnsi="Times New Roman"/>
          <w:i/>
          <w:sz w:val="24"/>
          <w:szCs w:val="24"/>
        </w:rPr>
        <w:t xml:space="preserve">Immunological assessment </w:t>
      </w:r>
    </w:p>
    <w:p w14:paraId="79A4B8DC" w14:textId="77777777" w:rsidR="00CE24E5" w:rsidRPr="00BC1F4C" w:rsidRDefault="00CE24E5" w:rsidP="00CE24E5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BC1F4C">
        <w:rPr>
          <w:rFonts w:ascii="Times New Roman" w:hAnsi="Times New Roman"/>
          <w:sz w:val="20"/>
          <w:szCs w:val="20"/>
        </w:rPr>
        <w:t>The following panel of antibodies conjugated with fluorescein isothiocyanate (</w:t>
      </w:r>
      <w:proofErr w:type="spellStart"/>
      <w:r w:rsidRPr="00BC1F4C">
        <w:rPr>
          <w:rFonts w:ascii="Times New Roman" w:hAnsi="Times New Roman"/>
          <w:sz w:val="20"/>
          <w:szCs w:val="20"/>
        </w:rPr>
        <w:t>FITC</w:t>
      </w:r>
      <w:proofErr w:type="spellEnd"/>
      <w:r w:rsidRPr="00BC1F4C">
        <w:rPr>
          <w:rFonts w:ascii="Times New Roman" w:hAnsi="Times New Roman"/>
          <w:sz w:val="20"/>
          <w:szCs w:val="20"/>
        </w:rPr>
        <w:t>), phycoerythrin (PE), Peridinin-chloro-</w:t>
      </w:r>
      <w:proofErr w:type="spellStart"/>
      <w:r w:rsidRPr="00BC1F4C">
        <w:rPr>
          <w:rFonts w:ascii="Times New Roman" w:hAnsi="Times New Roman"/>
          <w:sz w:val="20"/>
          <w:szCs w:val="20"/>
        </w:rPr>
        <w:t>phyll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-protein (Per-CP), or allophycocyanin (APC) was used for assays: </w:t>
      </w:r>
      <w:proofErr w:type="spellStart"/>
      <w:r w:rsidRPr="00BC1F4C">
        <w:rPr>
          <w:rFonts w:ascii="Times New Roman" w:hAnsi="Times New Roman"/>
          <w:sz w:val="20"/>
          <w:szCs w:val="20"/>
        </w:rPr>
        <w:t>PPARG-FITC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BC1F4C">
        <w:rPr>
          <w:rFonts w:ascii="Times New Roman" w:hAnsi="Times New Roman"/>
          <w:sz w:val="20"/>
          <w:szCs w:val="20"/>
        </w:rPr>
        <w:t>CD11c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-PE, CD 25 </w:t>
      </w:r>
      <w:proofErr w:type="spellStart"/>
      <w:r w:rsidRPr="00BC1F4C">
        <w:rPr>
          <w:rFonts w:ascii="Times New Roman" w:hAnsi="Times New Roman"/>
          <w:sz w:val="20"/>
          <w:szCs w:val="20"/>
        </w:rPr>
        <w:t>FITC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CD 4 </w:t>
      </w:r>
      <w:proofErr w:type="spellStart"/>
      <w:r w:rsidRPr="00BC1F4C">
        <w:rPr>
          <w:rFonts w:ascii="Times New Roman" w:hAnsi="Times New Roman"/>
          <w:sz w:val="20"/>
          <w:szCs w:val="20"/>
        </w:rPr>
        <w:t>PerCP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CD 71 PE, CD 73, </w:t>
      </w:r>
      <w:proofErr w:type="spellStart"/>
      <w:r w:rsidRPr="00BC1F4C">
        <w:rPr>
          <w:rFonts w:ascii="Times New Roman" w:hAnsi="Times New Roman"/>
          <w:sz w:val="20"/>
          <w:szCs w:val="20"/>
        </w:rPr>
        <w:t>PerCP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Anti- </w:t>
      </w:r>
      <w:proofErr w:type="spellStart"/>
      <w:r w:rsidRPr="00BC1F4C">
        <w:rPr>
          <w:rFonts w:ascii="Times New Roman" w:hAnsi="Times New Roman"/>
          <w:sz w:val="20"/>
          <w:szCs w:val="20"/>
        </w:rPr>
        <w:t>GARP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APC, </w:t>
      </w:r>
      <w:proofErr w:type="spellStart"/>
      <w:r w:rsidRPr="00BC1F4C">
        <w:rPr>
          <w:rFonts w:ascii="Times New Roman" w:hAnsi="Times New Roman"/>
          <w:sz w:val="20"/>
          <w:szCs w:val="20"/>
        </w:rPr>
        <w:t>FOXP3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PE, (all antibodies from Becton Dickinson, San Diego, CA, USA) and </w:t>
      </w:r>
      <w:proofErr w:type="spellStart"/>
      <w:r w:rsidRPr="00BC1F4C">
        <w:rPr>
          <w:rFonts w:ascii="Times New Roman" w:hAnsi="Times New Roman"/>
          <w:sz w:val="20"/>
          <w:szCs w:val="20"/>
        </w:rPr>
        <w:t>SOCS3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(from </w:t>
      </w:r>
      <w:proofErr w:type="spellStart"/>
      <w:r w:rsidRPr="00BC1F4C">
        <w:rPr>
          <w:rFonts w:ascii="Times New Roman" w:hAnsi="Times New Roman"/>
          <w:sz w:val="20"/>
          <w:szCs w:val="20"/>
        </w:rPr>
        <w:t>Abbexa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Cambridge, UK). All procedures were carried out according to the manufacturer's instructions. The cells were incubated with monoclonal antibodies </w:t>
      </w:r>
      <w:proofErr w:type="spellStart"/>
      <w:r w:rsidRPr="00BC1F4C">
        <w:rPr>
          <w:rFonts w:ascii="Times New Roman" w:hAnsi="Times New Roman"/>
          <w:sz w:val="20"/>
          <w:szCs w:val="20"/>
        </w:rPr>
        <w:t>SOCS3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BC1F4C">
        <w:rPr>
          <w:rFonts w:ascii="Times New Roman" w:hAnsi="Times New Roman"/>
          <w:sz w:val="20"/>
          <w:szCs w:val="20"/>
        </w:rPr>
        <w:t>FOXP3</w:t>
      </w:r>
      <w:proofErr w:type="spellEnd"/>
      <w:r w:rsidRPr="00BC1F4C">
        <w:rPr>
          <w:rFonts w:ascii="Times New Roman" w:hAnsi="Times New Roman"/>
          <w:sz w:val="20"/>
          <w:szCs w:val="20"/>
        </w:rPr>
        <w:t>, in the dark at room temperature for 30 minutes. After incubation, the cells were washed in PBS.</w:t>
      </w:r>
    </w:p>
    <w:p w14:paraId="3F54CA21" w14:textId="77777777" w:rsidR="00CE24E5" w:rsidRPr="00BC1F4C" w:rsidRDefault="00CE24E5" w:rsidP="00CE24E5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BC1F4C">
        <w:rPr>
          <w:rFonts w:ascii="Times New Roman" w:hAnsi="Times New Roman"/>
          <w:sz w:val="20"/>
          <w:szCs w:val="20"/>
        </w:rPr>
        <w:t xml:space="preserve">Cells for expression of </w:t>
      </w:r>
      <w:proofErr w:type="spellStart"/>
      <w:r w:rsidRPr="00BC1F4C">
        <w:rPr>
          <w:rFonts w:ascii="Times New Roman" w:hAnsi="Times New Roman"/>
          <w:sz w:val="20"/>
          <w:szCs w:val="20"/>
        </w:rPr>
        <w:t>SOCS3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were incubated with the </w:t>
      </w:r>
      <w:proofErr w:type="spellStart"/>
      <w:r w:rsidRPr="00BC1F4C">
        <w:rPr>
          <w:rFonts w:ascii="Times New Roman" w:hAnsi="Times New Roman"/>
          <w:sz w:val="20"/>
          <w:szCs w:val="20"/>
        </w:rPr>
        <w:t>FITC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Swine Anti Rabbit 2nd order antibody at a 1:20 dilution (</w:t>
      </w:r>
      <w:proofErr w:type="spellStart"/>
      <w:r w:rsidRPr="00BC1F4C">
        <w:rPr>
          <w:rFonts w:ascii="Times New Roman" w:hAnsi="Times New Roman"/>
          <w:sz w:val="20"/>
          <w:szCs w:val="20"/>
        </w:rPr>
        <w:t>DAKO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Denmark), after incubation the cells were washed in PBS and assessed by flow cytometry (BD </w:t>
      </w:r>
      <w:proofErr w:type="spellStart"/>
      <w:r w:rsidRPr="00BC1F4C">
        <w:rPr>
          <w:rFonts w:ascii="Times New Roman" w:hAnsi="Times New Roman"/>
          <w:sz w:val="20"/>
          <w:szCs w:val="20"/>
        </w:rPr>
        <w:t>FACSCanto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II-, San Diego, CA, USA).</w:t>
      </w:r>
    </w:p>
    <w:p w14:paraId="32DB37B8" w14:textId="77777777" w:rsidR="00CE24E5" w:rsidRPr="00BC1F4C" w:rsidRDefault="00CE24E5" w:rsidP="00CE24E5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BC1F4C">
        <w:rPr>
          <w:rFonts w:ascii="Times New Roman" w:hAnsi="Times New Roman"/>
          <w:sz w:val="20"/>
          <w:szCs w:val="20"/>
        </w:rPr>
        <w:t xml:space="preserve">The isolated mononuclear cells were incubated with surface monoclonal antibodies against </w:t>
      </w:r>
      <w:proofErr w:type="spellStart"/>
      <w:r w:rsidRPr="00BC1F4C">
        <w:rPr>
          <w:rFonts w:ascii="Times New Roman" w:hAnsi="Times New Roman"/>
          <w:sz w:val="20"/>
          <w:szCs w:val="20"/>
        </w:rPr>
        <w:t>CD25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BC1F4C">
        <w:rPr>
          <w:rFonts w:ascii="Times New Roman" w:hAnsi="Times New Roman"/>
          <w:sz w:val="20"/>
          <w:szCs w:val="20"/>
        </w:rPr>
        <w:t>CD4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BC1F4C">
        <w:rPr>
          <w:rFonts w:ascii="Times New Roman" w:hAnsi="Times New Roman"/>
          <w:sz w:val="20"/>
          <w:szCs w:val="20"/>
        </w:rPr>
        <w:t>CD71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BC1F4C">
        <w:rPr>
          <w:rFonts w:ascii="Times New Roman" w:hAnsi="Times New Roman"/>
          <w:sz w:val="20"/>
          <w:szCs w:val="20"/>
        </w:rPr>
        <w:t>CD73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BC1F4C">
        <w:rPr>
          <w:rFonts w:ascii="Times New Roman" w:hAnsi="Times New Roman"/>
          <w:sz w:val="20"/>
          <w:szCs w:val="20"/>
        </w:rPr>
        <w:t>GARP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BC1F4C">
        <w:rPr>
          <w:rFonts w:ascii="Times New Roman" w:hAnsi="Times New Roman"/>
          <w:sz w:val="20"/>
          <w:szCs w:val="20"/>
        </w:rPr>
        <w:t>PPARG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BC1F4C">
        <w:rPr>
          <w:rFonts w:ascii="Times New Roman" w:hAnsi="Times New Roman"/>
          <w:sz w:val="20"/>
          <w:szCs w:val="20"/>
        </w:rPr>
        <w:t>CD11c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or intracellular </w:t>
      </w:r>
      <w:proofErr w:type="spellStart"/>
      <w:r w:rsidRPr="00BC1F4C">
        <w:rPr>
          <w:rFonts w:ascii="Times New Roman" w:hAnsi="Times New Roman"/>
          <w:sz w:val="20"/>
          <w:szCs w:val="20"/>
        </w:rPr>
        <w:t>SOCS3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BC1F4C">
        <w:rPr>
          <w:rFonts w:ascii="Times New Roman" w:hAnsi="Times New Roman"/>
          <w:sz w:val="20"/>
          <w:szCs w:val="20"/>
        </w:rPr>
        <w:t>FOXP3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in the dark, at room temperature for 30 minutes. The samples were then washed twice in buffered saline (PBS) (5 min </w:t>
      </w:r>
      <w:proofErr w:type="spellStart"/>
      <w:r w:rsidRPr="00BC1F4C">
        <w:rPr>
          <w:rFonts w:ascii="Times New Roman" w:hAnsi="Times New Roman"/>
          <w:sz w:val="20"/>
          <w:szCs w:val="20"/>
        </w:rPr>
        <w:t>140g</w:t>
      </w:r>
      <w:proofErr w:type="spellEnd"/>
      <w:r w:rsidRPr="00BC1F4C">
        <w:rPr>
          <w:rFonts w:ascii="Times New Roman" w:hAnsi="Times New Roman"/>
          <w:sz w:val="20"/>
          <w:szCs w:val="20"/>
        </w:rPr>
        <w:t>) (PBS) (</w:t>
      </w:r>
      <w:proofErr w:type="spellStart"/>
      <w:r w:rsidRPr="00BC1F4C">
        <w:rPr>
          <w:rFonts w:ascii="Times New Roman" w:hAnsi="Times New Roman"/>
          <w:sz w:val="20"/>
          <w:szCs w:val="20"/>
        </w:rPr>
        <w:t>PAA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Laboratories GmbH, Austria). Cells for evaluating the expression of intracellular antigens were fixed using an intracellular staining kit according to the manufacturer's protocol (BD, San Diego, CA, USA).</w:t>
      </w:r>
    </w:p>
    <w:p w14:paraId="1EF55E9E" w14:textId="77777777" w:rsidR="00CE24E5" w:rsidRPr="00BC1F4C" w:rsidRDefault="00CE24E5" w:rsidP="00CE24E5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BC1F4C">
        <w:rPr>
          <w:rFonts w:ascii="Times New Roman" w:hAnsi="Times New Roman"/>
          <w:sz w:val="20"/>
          <w:szCs w:val="20"/>
        </w:rPr>
        <w:t>Tregs were assessed using the anti-</w:t>
      </w:r>
      <w:proofErr w:type="spellStart"/>
      <w:r w:rsidRPr="00BC1F4C">
        <w:rPr>
          <w:rFonts w:ascii="Times New Roman" w:hAnsi="Times New Roman"/>
          <w:sz w:val="20"/>
          <w:szCs w:val="20"/>
        </w:rPr>
        <w:t>CD25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BC1F4C">
        <w:rPr>
          <w:rFonts w:ascii="Times New Roman" w:hAnsi="Times New Roman"/>
          <w:sz w:val="20"/>
          <w:szCs w:val="20"/>
        </w:rPr>
        <w:t>FITC</w:t>
      </w:r>
      <w:proofErr w:type="spellEnd"/>
      <w:r w:rsidRPr="00BC1F4C">
        <w:rPr>
          <w:rFonts w:ascii="Times New Roman" w:hAnsi="Times New Roman"/>
          <w:sz w:val="20"/>
          <w:szCs w:val="20"/>
        </w:rPr>
        <w:t>-conjugated; Becton Dickinson, San Jose, CA, USA) anti-</w:t>
      </w:r>
      <w:proofErr w:type="spellStart"/>
      <w:r w:rsidRPr="00BC1F4C">
        <w:rPr>
          <w:rFonts w:ascii="Times New Roman" w:hAnsi="Times New Roman"/>
          <w:sz w:val="20"/>
          <w:szCs w:val="20"/>
        </w:rPr>
        <w:t>CD4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BC1F4C">
        <w:rPr>
          <w:rFonts w:ascii="Times New Roman" w:hAnsi="Times New Roman"/>
          <w:sz w:val="20"/>
          <w:szCs w:val="20"/>
        </w:rPr>
        <w:t>PerCP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-conjugated; Becton Dickinson, San Jose, CA, USA) and anti-human </w:t>
      </w:r>
      <w:proofErr w:type="spellStart"/>
      <w:r w:rsidRPr="00BC1F4C">
        <w:rPr>
          <w:rFonts w:ascii="Times New Roman" w:hAnsi="Times New Roman"/>
          <w:sz w:val="20"/>
          <w:szCs w:val="20"/>
        </w:rPr>
        <w:t>FOXP3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antibody monoclonal antibodies (PE-conjugated; Becton Dickinson, San Jose, CA, USA). The peripheral blood mononuclear cells (PBMCs) were isolated from whole blood by density gradient centrifugation on </w:t>
      </w:r>
      <w:proofErr w:type="spellStart"/>
      <w:r w:rsidRPr="00BC1F4C">
        <w:rPr>
          <w:rFonts w:ascii="Times New Roman" w:hAnsi="Times New Roman"/>
          <w:sz w:val="20"/>
          <w:szCs w:val="20"/>
        </w:rPr>
        <w:t>Pancoll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human density-1077 (PAN Biotech, Germany) and cultured in standard mammalian cell culture conditions (</w:t>
      </w:r>
      <w:proofErr w:type="spellStart"/>
      <w:r w:rsidRPr="00BC1F4C">
        <w:rPr>
          <w:rFonts w:ascii="Times New Roman" w:hAnsi="Times New Roman"/>
          <w:sz w:val="20"/>
          <w:szCs w:val="20"/>
        </w:rPr>
        <w:t>37°C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5% carbon dioxide, 80% relative humidity) for </w:t>
      </w:r>
      <w:proofErr w:type="spellStart"/>
      <w:r w:rsidRPr="00BC1F4C">
        <w:rPr>
          <w:rFonts w:ascii="Times New Roman" w:hAnsi="Times New Roman"/>
          <w:sz w:val="20"/>
          <w:szCs w:val="20"/>
        </w:rPr>
        <w:t>72h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 </w:t>
      </w:r>
      <w:proofErr w:type="spellStart"/>
      <w:r w:rsidRPr="00BC1F4C">
        <w:rPr>
          <w:rFonts w:ascii="Times New Roman" w:hAnsi="Times New Roman"/>
          <w:sz w:val="20"/>
          <w:szCs w:val="20"/>
        </w:rPr>
        <w:t>2x106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cells/ml  in the presence of  allergen in concentration 750 </w:t>
      </w:r>
      <w:proofErr w:type="spellStart"/>
      <w:r w:rsidRPr="00BC1F4C">
        <w:rPr>
          <w:rFonts w:ascii="Times New Roman" w:hAnsi="Times New Roman"/>
          <w:sz w:val="20"/>
          <w:szCs w:val="20"/>
        </w:rPr>
        <w:t>SBU</w:t>
      </w:r>
      <w:proofErr w:type="spellEnd"/>
      <w:r w:rsidRPr="00BC1F4C">
        <w:rPr>
          <w:rFonts w:ascii="Times New Roman" w:hAnsi="Times New Roman"/>
          <w:sz w:val="20"/>
          <w:szCs w:val="20"/>
        </w:rPr>
        <w:t>/</w:t>
      </w:r>
      <w:proofErr w:type="spellStart"/>
      <w:r w:rsidRPr="00BC1F4C">
        <w:rPr>
          <w:rFonts w:ascii="Times New Roman" w:hAnsi="Times New Roman"/>
          <w:sz w:val="20"/>
          <w:szCs w:val="20"/>
        </w:rPr>
        <w:t>mL.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 After cell culture cells were centrifuged and washed in the BD Pharmingen™ Stain Buffer (FBS) (5 min/250 g). Then, they were incubated with 20 µl of anti-</w:t>
      </w:r>
      <w:proofErr w:type="spellStart"/>
      <w:r w:rsidRPr="00BC1F4C">
        <w:rPr>
          <w:rFonts w:ascii="Times New Roman" w:hAnsi="Times New Roman"/>
          <w:sz w:val="20"/>
          <w:szCs w:val="20"/>
        </w:rPr>
        <w:t>CD25</w:t>
      </w:r>
      <w:proofErr w:type="spellEnd"/>
      <w:r w:rsidRPr="00BC1F4C">
        <w:rPr>
          <w:rFonts w:ascii="Times New Roman" w:hAnsi="Times New Roman"/>
          <w:sz w:val="20"/>
          <w:szCs w:val="20"/>
        </w:rPr>
        <w:t>/anti-</w:t>
      </w:r>
      <w:proofErr w:type="spellStart"/>
      <w:r w:rsidRPr="00BC1F4C">
        <w:rPr>
          <w:rFonts w:ascii="Times New Roman" w:hAnsi="Times New Roman"/>
          <w:sz w:val="20"/>
          <w:szCs w:val="20"/>
        </w:rPr>
        <w:t>CD4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monoclonal antibody cocktail (for 20 min, at room temperature, in the dark). Afterward, cells were washed in the BD Pharmingen™ Stain Buffer (FBS) and centrifuged (5 min/250 g). Cells were then re-suspended and incubated for 10 min with Human </w:t>
      </w:r>
      <w:proofErr w:type="spellStart"/>
      <w:r w:rsidRPr="00BC1F4C">
        <w:rPr>
          <w:rFonts w:ascii="Times New Roman" w:hAnsi="Times New Roman"/>
          <w:sz w:val="20"/>
          <w:szCs w:val="20"/>
        </w:rPr>
        <w:t>FoxP3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Buffer A (at room temperature, in the dark). After washing the cells </w:t>
      </w:r>
      <w:proofErr w:type="gramStart"/>
      <w:r w:rsidRPr="00BC1F4C">
        <w:rPr>
          <w:rFonts w:ascii="Times New Roman" w:hAnsi="Times New Roman"/>
          <w:sz w:val="20"/>
          <w:szCs w:val="20"/>
        </w:rPr>
        <w:t>twice</w:t>
      </w:r>
      <w:proofErr w:type="gramEnd"/>
      <w:r w:rsidRPr="00BC1F4C">
        <w:rPr>
          <w:rFonts w:ascii="Times New Roman" w:hAnsi="Times New Roman"/>
          <w:sz w:val="20"/>
          <w:szCs w:val="20"/>
        </w:rPr>
        <w:t xml:space="preserve"> the cells and discarding the supernatant, the sample was re-suspended in </w:t>
      </w:r>
      <w:proofErr w:type="spellStart"/>
      <w:r w:rsidRPr="00BC1F4C">
        <w:rPr>
          <w:rFonts w:ascii="Times New Roman" w:hAnsi="Times New Roman"/>
          <w:sz w:val="20"/>
          <w:szCs w:val="20"/>
        </w:rPr>
        <w:t>FoxP3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Buffer C. Incubated for 30 minutes at RT protected from light. After washing the cells </w:t>
      </w:r>
      <w:proofErr w:type="gramStart"/>
      <w:r w:rsidRPr="00BC1F4C">
        <w:rPr>
          <w:rFonts w:ascii="Times New Roman" w:hAnsi="Times New Roman"/>
          <w:sz w:val="20"/>
          <w:szCs w:val="20"/>
        </w:rPr>
        <w:t>twice</w:t>
      </w:r>
      <w:proofErr w:type="gramEnd"/>
      <w:r w:rsidRPr="00BC1F4C">
        <w:rPr>
          <w:rFonts w:ascii="Times New Roman" w:hAnsi="Times New Roman"/>
          <w:sz w:val="20"/>
          <w:szCs w:val="20"/>
        </w:rPr>
        <w:t xml:space="preserve"> the cells and discarding the supernatant, the sample was re-suspended in 20 µl of PE anti-human </w:t>
      </w:r>
      <w:proofErr w:type="spellStart"/>
      <w:r w:rsidRPr="00BC1F4C">
        <w:rPr>
          <w:rFonts w:ascii="Times New Roman" w:hAnsi="Times New Roman"/>
          <w:sz w:val="20"/>
          <w:szCs w:val="20"/>
        </w:rPr>
        <w:t>FOXP3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or the isotype control antibody was added and incubated for 30 min (at room temperature, in the dark). After that, cells were washed twice, re-suspended with cell staining buffer, and the fluorescence was measured using flow cytometry (FACS </w:t>
      </w:r>
      <w:proofErr w:type="spellStart"/>
      <w:r w:rsidRPr="00BC1F4C">
        <w:rPr>
          <w:rFonts w:ascii="Times New Roman" w:hAnsi="Times New Roman"/>
          <w:sz w:val="20"/>
          <w:szCs w:val="20"/>
        </w:rPr>
        <w:t>CantoII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, BD </w:t>
      </w:r>
      <w:proofErr w:type="spellStart"/>
      <w:r w:rsidRPr="00BC1F4C">
        <w:rPr>
          <w:rFonts w:ascii="Times New Roman" w:hAnsi="Times New Roman"/>
          <w:sz w:val="20"/>
          <w:szCs w:val="20"/>
        </w:rPr>
        <w:t>Biosciences,San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Jose, California). Cells expressing </w:t>
      </w:r>
      <w:proofErr w:type="spellStart"/>
      <w:r w:rsidRPr="00BC1F4C">
        <w:rPr>
          <w:rFonts w:ascii="Times New Roman" w:hAnsi="Times New Roman"/>
          <w:sz w:val="20"/>
          <w:szCs w:val="20"/>
        </w:rPr>
        <w:t>CD4</w:t>
      </w:r>
      <w:proofErr w:type="spellEnd"/>
      <w:r w:rsidRPr="00BC1F4C">
        <w:rPr>
          <w:rFonts w:ascii="Times New Roman" w:hAnsi="Times New Roman"/>
          <w:sz w:val="20"/>
          <w:szCs w:val="20"/>
        </w:rPr>
        <w:t>+/</w:t>
      </w:r>
      <w:proofErr w:type="spellStart"/>
      <w:r w:rsidRPr="00BC1F4C">
        <w:rPr>
          <w:rFonts w:ascii="Times New Roman" w:hAnsi="Times New Roman"/>
          <w:sz w:val="20"/>
          <w:szCs w:val="20"/>
        </w:rPr>
        <w:t>CD25high</w:t>
      </w:r>
      <w:proofErr w:type="spellEnd"/>
      <w:r w:rsidRPr="00BC1F4C">
        <w:rPr>
          <w:rFonts w:ascii="Times New Roman" w:hAnsi="Times New Roman"/>
          <w:sz w:val="20"/>
          <w:szCs w:val="20"/>
        </w:rPr>
        <w:t>+/</w:t>
      </w:r>
      <w:proofErr w:type="spellStart"/>
      <w:r w:rsidRPr="00BC1F4C">
        <w:rPr>
          <w:rFonts w:ascii="Times New Roman" w:hAnsi="Times New Roman"/>
          <w:sz w:val="20"/>
          <w:szCs w:val="20"/>
        </w:rPr>
        <w:t>FOXP3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+ were determined as Tregs. The percentage of Tregs among mononuclear cells, which were gated based on SSC and </w:t>
      </w:r>
      <w:proofErr w:type="spellStart"/>
      <w:r w:rsidRPr="00BC1F4C">
        <w:rPr>
          <w:rFonts w:ascii="Times New Roman" w:hAnsi="Times New Roman"/>
          <w:sz w:val="20"/>
          <w:szCs w:val="20"/>
        </w:rPr>
        <w:t>FSC</w:t>
      </w:r>
      <w:proofErr w:type="spellEnd"/>
      <w:r w:rsidRPr="00BC1F4C">
        <w:rPr>
          <w:rFonts w:ascii="Times New Roman" w:hAnsi="Times New Roman"/>
          <w:sz w:val="20"/>
          <w:szCs w:val="20"/>
        </w:rPr>
        <w:t xml:space="preserve"> distribution, was calculated.</w:t>
      </w:r>
    </w:p>
    <w:p w14:paraId="463BA5E5" w14:textId="77777777" w:rsidR="00CE24E5" w:rsidRPr="00BC1F4C" w:rsidRDefault="00CE24E5" w:rsidP="00CE24E5">
      <w:pPr>
        <w:spacing w:line="48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7B08B908" w14:textId="67215947" w:rsidR="00184EDE" w:rsidRDefault="00184EDE"/>
    <w:sectPr w:rsidR="00184E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8BE"/>
    <w:rsid w:val="00184EDE"/>
    <w:rsid w:val="00224B51"/>
    <w:rsid w:val="00472161"/>
    <w:rsid w:val="007917FC"/>
    <w:rsid w:val="00866380"/>
    <w:rsid w:val="00897103"/>
    <w:rsid w:val="008B38BE"/>
    <w:rsid w:val="00C70B2B"/>
    <w:rsid w:val="00CB741F"/>
    <w:rsid w:val="00CE24E5"/>
    <w:rsid w:val="00F1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BA8A2"/>
  <w15:chartTrackingRefBased/>
  <w15:docId w15:val="{3E0D07A6-0BD4-4582-8C97-69FCC8272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41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44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1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2020-12-17T20:14:00Z</dcterms:created>
  <dcterms:modified xsi:type="dcterms:W3CDTF">2020-12-18T13:53:00Z</dcterms:modified>
</cp:coreProperties>
</file>