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80B750" w14:textId="77777777" w:rsidR="00270869" w:rsidRPr="00010E26" w:rsidRDefault="00270869" w:rsidP="00270869">
      <w:pPr>
        <w:spacing w:line="240" w:lineRule="auto"/>
        <w:jc w:val="both"/>
        <w:rPr>
          <w:rFonts w:ascii="Times New Roman" w:eastAsia="Times New Roman" w:hAnsi="Times New Roman"/>
          <w:i/>
          <w:iCs/>
          <w:color w:val="000000"/>
          <w:sz w:val="24"/>
          <w:szCs w:val="24"/>
          <w:lang w:val="en-US"/>
        </w:rPr>
      </w:pPr>
      <w:r w:rsidRPr="00010E26">
        <w:rPr>
          <w:rFonts w:ascii="Times New Roman" w:eastAsia="Times New Roman" w:hAnsi="Times New Roman"/>
          <w:i/>
          <w:iCs/>
          <w:color w:val="000000"/>
          <w:sz w:val="24"/>
          <w:szCs w:val="24"/>
          <w:lang w:val="en-US"/>
        </w:rPr>
        <w:t>Appendix</w:t>
      </w:r>
    </w:p>
    <w:p w14:paraId="70053D5E" w14:textId="77777777" w:rsidR="00270869" w:rsidRPr="00010E26" w:rsidRDefault="00270869" w:rsidP="00270869">
      <w:pPr>
        <w:spacing w:line="240" w:lineRule="auto"/>
        <w:jc w:val="both"/>
        <w:rPr>
          <w:rFonts w:ascii="Times New Roman" w:hAnsi="Times New Roman"/>
          <w:i/>
          <w:color w:val="000000"/>
          <w:sz w:val="24"/>
          <w:szCs w:val="24"/>
          <w:lang w:val="en-US"/>
        </w:rPr>
      </w:pPr>
      <w:r w:rsidRPr="00010E26">
        <w:rPr>
          <w:rFonts w:ascii="Times New Roman" w:hAnsi="Times New Roman"/>
          <w:i/>
          <w:color w:val="000000"/>
          <w:sz w:val="24"/>
          <w:szCs w:val="24"/>
          <w:lang w:val="en-US"/>
        </w:rPr>
        <w:t xml:space="preserve">Immunological assessment </w:t>
      </w:r>
    </w:p>
    <w:p w14:paraId="14104007" w14:textId="77777777" w:rsidR="00270869" w:rsidRPr="00010E26" w:rsidRDefault="00270869" w:rsidP="00270869">
      <w:pPr>
        <w:spacing w:line="240" w:lineRule="auto"/>
        <w:jc w:val="both"/>
        <w:rPr>
          <w:rFonts w:ascii="Times New Roman" w:hAnsi="Times New Roman"/>
          <w:color w:val="000000"/>
          <w:sz w:val="20"/>
          <w:szCs w:val="20"/>
          <w:lang w:val="en-US"/>
        </w:rPr>
      </w:pPr>
      <w:r w:rsidRPr="00010E26">
        <w:rPr>
          <w:rFonts w:ascii="Times New Roman" w:hAnsi="Times New Roman"/>
          <w:color w:val="000000"/>
          <w:sz w:val="20"/>
          <w:szCs w:val="20"/>
          <w:lang w:val="en-US"/>
        </w:rPr>
        <w:t>The following panel of antibodies conjugated with fluorescein isothiocyanate (FITC), phycoerythrin (PE), Peridinin-chloro-</w:t>
      </w:r>
      <w:proofErr w:type="spellStart"/>
      <w:r w:rsidRPr="00010E26">
        <w:rPr>
          <w:rFonts w:ascii="Times New Roman" w:hAnsi="Times New Roman"/>
          <w:color w:val="000000"/>
          <w:sz w:val="20"/>
          <w:szCs w:val="20"/>
          <w:lang w:val="en-US"/>
        </w:rPr>
        <w:t>phyll</w:t>
      </w:r>
      <w:proofErr w:type="spellEnd"/>
      <w:r w:rsidRPr="00010E26">
        <w:rPr>
          <w:rFonts w:ascii="Times New Roman" w:hAnsi="Times New Roman"/>
          <w:color w:val="000000"/>
          <w:sz w:val="20"/>
          <w:szCs w:val="20"/>
          <w:lang w:val="en-US"/>
        </w:rPr>
        <w:t xml:space="preserve">-protein (Per-CP), or allophycocyanin (APC) was used for assays: PPARG-FITC, CD11c-PE, CD 25 FITC, CD 4 </w:t>
      </w:r>
      <w:proofErr w:type="spellStart"/>
      <w:r w:rsidRPr="00010E26">
        <w:rPr>
          <w:rFonts w:ascii="Times New Roman" w:hAnsi="Times New Roman"/>
          <w:color w:val="000000"/>
          <w:sz w:val="20"/>
          <w:szCs w:val="20"/>
          <w:lang w:val="en-US"/>
        </w:rPr>
        <w:t>PerCP</w:t>
      </w:r>
      <w:proofErr w:type="spellEnd"/>
      <w:r w:rsidRPr="00010E26">
        <w:rPr>
          <w:rFonts w:ascii="Times New Roman" w:hAnsi="Times New Roman"/>
          <w:color w:val="000000"/>
          <w:sz w:val="20"/>
          <w:szCs w:val="20"/>
          <w:lang w:val="en-US"/>
        </w:rPr>
        <w:t xml:space="preserve">, CD 71 PE, CD 73, </w:t>
      </w:r>
      <w:proofErr w:type="spellStart"/>
      <w:r w:rsidRPr="00010E26">
        <w:rPr>
          <w:rFonts w:ascii="Times New Roman" w:hAnsi="Times New Roman"/>
          <w:color w:val="000000"/>
          <w:sz w:val="20"/>
          <w:szCs w:val="20"/>
          <w:lang w:val="en-US"/>
        </w:rPr>
        <w:t>PerCP</w:t>
      </w:r>
      <w:proofErr w:type="spellEnd"/>
      <w:r w:rsidRPr="00010E26">
        <w:rPr>
          <w:rFonts w:ascii="Times New Roman" w:hAnsi="Times New Roman"/>
          <w:color w:val="000000"/>
          <w:sz w:val="20"/>
          <w:szCs w:val="20"/>
          <w:lang w:val="en-US"/>
        </w:rPr>
        <w:t xml:space="preserve">, Anti- GARP APC, FOXP3 PE, (all antibodies from Becton Dickinson, San Diego, CA, USA) and SOCS3 (from </w:t>
      </w:r>
      <w:proofErr w:type="spellStart"/>
      <w:r w:rsidRPr="00010E26">
        <w:rPr>
          <w:rFonts w:ascii="Times New Roman" w:hAnsi="Times New Roman"/>
          <w:color w:val="000000"/>
          <w:sz w:val="20"/>
          <w:szCs w:val="20"/>
          <w:lang w:val="en-US"/>
        </w:rPr>
        <w:t>Abbexa</w:t>
      </w:r>
      <w:proofErr w:type="spellEnd"/>
      <w:r w:rsidRPr="00010E26">
        <w:rPr>
          <w:rFonts w:ascii="Times New Roman" w:hAnsi="Times New Roman"/>
          <w:color w:val="000000"/>
          <w:sz w:val="20"/>
          <w:szCs w:val="20"/>
          <w:lang w:val="en-US"/>
        </w:rPr>
        <w:t>, Cambridge, UK). All procedures were carried out according to the manufacturer's instructions. The cells were incubated with monoclonal antibodies SOCS3, FOXP3, in the dark at room temperature for 30 minutes. After incubation, the cells were washed in PBS.</w:t>
      </w:r>
    </w:p>
    <w:p w14:paraId="4E751034" w14:textId="77777777" w:rsidR="00270869" w:rsidRPr="00010E26" w:rsidRDefault="00270869" w:rsidP="00270869">
      <w:pPr>
        <w:spacing w:line="240" w:lineRule="auto"/>
        <w:jc w:val="both"/>
        <w:rPr>
          <w:rFonts w:ascii="Times New Roman" w:hAnsi="Times New Roman"/>
          <w:color w:val="000000"/>
          <w:sz w:val="20"/>
          <w:szCs w:val="20"/>
          <w:lang w:val="en-US"/>
        </w:rPr>
      </w:pPr>
      <w:r w:rsidRPr="00010E26">
        <w:rPr>
          <w:rFonts w:ascii="Times New Roman" w:hAnsi="Times New Roman"/>
          <w:color w:val="000000"/>
          <w:sz w:val="20"/>
          <w:szCs w:val="20"/>
          <w:lang w:val="en-US"/>
        </w:rPr>
        <w:t xml:space="preserve">Cells for expression of SOCS3 were incubated with the FITC Swine Anti Rabbit 2nd order antibody at a 1:20 dilution (DAKO, Denmark), after incubation the cells were washed in PBS and assessed by flow cytometry (BD </w:t>
      </w:r>
      <w:proofErr w:type="spellStart"/>
      <w:r w:rsidRPr="00010E26">
        <w:rPr>
          <w:rFonts w:ascii="Times New Roman" w:hAnsi="Times New Roman"/>
          <w:color w:val="000000"/>
          <w:sz w:val="20"/>
          <w:szCs w:val="20"/>
          <w:lang w:val="en-US"/>
        </w:rPr>
        <w:t>FACSCanto</w:t>
      </w:r>
      <w:proofErr w:type="spellEnd"/>
      <w:r w:rsidRPr="00010E26">
        <w:rPr>
          <w:rFonts w:ascii="Times New Roman" w:hAnsi="Times New Roman"/>
          <w:color w:val="000000"/>
          <w:sz w:val="20"/>
          <w:szCs w:val="20"/>
          <w:lang w:val="en-US"/>
        </w:rPr>
        <w:t xml:space="preserve"> II-, San Diego, CA, USA).</w:t>
      </w:r>
    </w:p>
    <w:p w14:paraId="7BFB758D" w14:textId="77777777" w:rsidR="00270869" w:rsidRPr="00010E26" w:rsidRDefault="00270869" w:rsidP="00270869">
      <w:pPr>
        <w:spacing w:line="240" w:lineRule="auto"/>
        <w:jc w:val="both"/>
        <w:rPr>
          <w:rFonts w:ascii="Times New Roman" w:hAnsi="Times New Roman"/>
          <w:color w:val="000000"/>
          <w:sz w:val="20"/>
          <w:szCs w:val="20"/>
          <w:lang w:val="en-US"/>
        </w:rPr>
      </w:pPr>
      <w:r w:rsidRPr="00010E26">
        <w:rPr>
          <w:rFonts w:ascii="Times New Roman" w:hAnsi="Times New Roman"/>
          <w:color w:val="000000"/>
          <w:sz w:val="20"/>
          <w:szCs w:val="20"/>
          <w:lang w:val="en-US"/>
        </w:rPr>
        <w:t>The isolated mononuclear cells were incubated with surface monoclonal antibodies against CD25, CD4, CD71, CD73, GARP, PPARG, CD11c or intracellular SOCS3, FOXP3 in the dark, at room temperature for 30 minutes. The samples were then washed twice in buffered saline (PBS) (5 min 140g) (PBS) (PAA Laboratories GmbH, Austria). Cells for evaluating the expression of intracellular antigens were fixed using an intracellular staining kit according to the manufacturer's protocol (BD, San Diego, CA, USA).</w:t>
      </w:r>
    </w:p>
    <w:p w14:paraId="78D99A2E" w14:textId="77777777" w:rsidR="00270869" w:rsidRPr="00010E26" w:rsidRDefault="00270869" w:rsidP="00270869">
      <w:pPr>
        <w:spacing w:line="240" w:lineRule="auto"/>
        <w:jc w:val="both"/>
        <w:rPr>
          <w:rFonts w:ascii="Times New Roman" w:hAnsi="Times New Roman"/>
          <w:color w:val="000000"/>
          <w:sz w:val="20"/>
          <w:szCs w:val="20"/>
          <w:lang w:val="en-US"/>
        </w:rPr>
      </w:pPr>
      <w:r w:rsidRPr="00010E26">
        <w:rPr>
          <w:rFonts w:ascii="Times New Roman" w:hAnsi="Times New Roman"/>
          <w:color w:val="000000"/>
          <w:sz w:val="20"/>
          <w:szCs w:val="20"/>
          <w:lang w:val="en-US"/>
        </w:rPr>
        <w:t>Tregs were assessed using the anti-CD25 (FITC-conjugated; Becton Dickinson, San Jose, CA, USA) anti-CD4 (</w:t>
      </w:r>
      <w:proofErr w:type="spellStart"/>
      <w:r w:rsidRPr="00010E26">
        <w:rPr>
          <w:rFonts w:ascii="Times New Roman" w:hAnsi="Times New Roman"/>
          <w:color w:val="000000"/>
          <w:sz w:val="20"/>
          <w:szCs w:val="20"/>
          <w:lang w:val="en-US"/>
        </w:rPr>
        <w:t>PerCP</w:t>
      </w:r>
      <w:proofErr w:type="spellEnd"/>
      <w:r w:rsidRPr="00010E26">
        <w:rPr>
          <w:rFonts w:ascii="Times New Roman" w:hAnsi="Times New Roman"/>
          <w:color w:val="000000"/>
          <w:sz w:val="20"/>
          <w:szCs w:val="20"/>
          <w:lang w:val="en-US"/>
        </w:rPr>
        <w:t xml:space="preserve">-conjugated; Becton Dickinson, San Jose, CA, USA) and anti-human FOXP3 antibody monoclonal antibodies (PE-conjugated; Becton Dickinson, San Jose, CA, USA). The peripheral blood mononuclear cells (PBMCs) were isolated from whole blood by density gradient centrifugation on </w:t>
      </w:r>
      <w:proofErr w:type="spellStart"/>
      <w:r w:rsidRPr="00010E26">
        <w:rPr>
          <w:rFonts w:ascii="Times New Roman" w:hAnsi="Times New Roman"/>
          <w:color w:val="000000"/>
          <w:sz w:val="20"/>
          <w:szCs w:val="20"/>
          <w:lang w:val="en-US"/>
        </w:rPr>
        <w:t>Pancoll</w:t>
      </w:r>
      <w:proofErr w:type="spellEnd"/>
      <w:r w:rsidRPr="00010E26">
        <w:rPr>
          <w:rFonts w:ascii="Times New Roman" w:hAnsi="Times New Roman"/>
          <w:color w:val="000000"/>
          <w:sz w:val="20"/>
          <w:szCs w:val="20"/>
          <w:lang w:val="en-US"/>
        </w:rPr>
        <w:t xml:space="preserve"> human density-1077 (PAN Biotech, Germany) and cultured in standard mammalian cell culture conditions (37°C, 5% carbon dioxide, 80% relative humidity) for 72</w:t>
      </w:r>
      <w:proofErr w:type="gramStart"/>
      <w:r w:rsidRPr="00010E26">
        <w:rPr>
          <w:rFonts w:ascii="Times New Roman" w:hAnsi="Times New Roman"/>
          <w:color w:val="000000"/>
          <w:sz w:val="20"/>
          <w:szCs w:val="20"/>
          <w:lang w:val="en-US"/>
        </w:rPr>
        <w:t>h,  2</w:t>
      </w:r>
      <w:proofErr w:type="gramEnd"/>
      <w:r w:rsidRPr="00010E26">
        <w:rPr>
          <w:rFonts w:ascii="Times New Roman" w:hAnsi="Times New Roman"/>
          <w:color w:val="000000"/>
          <w:sz w:val="20"/>
          <w:szCs w:val="20"/>
          <w:lang w:val="en-US"/>
        </w:rPr>
        <w:t>x106 cells/ml  in the presence of  allergen in concentration 750 SBU/</w:t>
      </w:r>
      <w:proofErr w:type="spellStart"/>
      <w:r w:rsidRPr="00010E26">
        <w:rPr>
          <w:rFonts w:ascii="Times New Roman" w:hAnsi="Times New Roman"/>
          <w:color w:val="000000"/>
          <w:sz w:val="20"/>
          <w:szCs w:val="20"/>
          <w:lang w:val="en-US"/>
        </w:rPr>
        <w:t>mL.</w:t>
      </w:r>
      <w:proofErr w:type="spellEnd"/>
      <w:r w:rsidRPr="00010E26">
        <w:rPr>
          <w:rFonts w:ascii="Times New Roman" w:hAnsi="Times New Roman"/>
          <w:color w:val="000000"/>
          <w:sz w:val="20"/>
          <w:szCs w:val="20"/>
          <w:lang w:val="en-US"/>
        </w:rPr>
        <w:t xml:space="preserve">  After cell culture cells were centrifuged and washed in the BD Pharmingen™ Stain Buffer (FBS) (5 min/250 g). Then, they were incubated with 20 µl of anti-CD25/anti-CD4 monoclonal antibody cocktail (for 20 min, at room temperature, in the dark). Afterward, cells were washed in the BD Pharmingen™ Stain Buffer (FBS) and centrifuged (5 min/250 g). Cells were then re-suspended and incubated for 10 min with Human FoxP3 Buffer A (at room temperature, in the dark). After washing the cells </w:t>
      </w:r>
      <w:proofErr w:type="gramStart"/>
      <w:r w:rsidRPr="00010E26">
        <w:rPr>
          <w:rFonts w:ascii="Times New Roman" w:hAnsi="Times New Roman"/>
          <w:color w:val="000000"/>
          <w:sz w:val="20"/>
          <w:szCs w:val="20"/>
          <w:lang w:val="en-US"/>
        </w:rPr>
        <w:t>twice</w:t>
      </w:r>
      <w:proofErr w:type="gramEnd"/>
      <w:r w:rsidRPr="00010E26">
        <w:rPr>
          <w:rFonts w:ascii="Times New Roman" w:hAnsi="Times New Roman"/>
          <w:color w:val="000000"/>
          <w:sz w:val="20"/>
          <w:szCs w:val="20"/>
          <w:lang w:val="en-US"/>
        </w:rPr>
        <w:t xml:space="preserve"> the cells and discarding the supernatant, the sample was re-suspended in FoxP3 Buffer C. Incubated for 30 minutes at RT protected from light. After washing the cells twice the cells and discarding the supernatant, the sample was re-suspended in 20 µl of PE anti-human FOXP3 or the isotype control antibody was added and incubated for 30 min (at room temperature, in the dark). After that, cells were washed twice, re-suspended with cell staining buffer, and the fluorescence was measured using flow cytometry (FACS </w:t>
      </w:r>
      <w:proofErr w:type="spellStart"/>
      <w:r w:rsidRPr="00010E26">
        <w:rPr>
          <w:rFonts w:ascii="Times New Roman" w:hAnsi="Times New Roman"/>
          <w:color w:val="000000"/>
          <w:sz w:val="20"/>
          <w:szCs w:val="20"/>
          <w:lang w:val="en-US"/>
        </w:rPr>
        <w:t>CantoII</w:t>
      </w:r>
      <w:proofErr w:type="spellEnd"/>
      <w:r w:rsidRPr="00010E26">
        <w:rPr>
          <w:rFonts w:ascii="Times New Roman" w:hAnsi="Times New Roman"/>
          <w:color w:val="000000"/>
          <w:sz w:val="20"/>
          <w:szCs w:val="20"/>
          <w:lang w:val="en-US"/>
        </w:rPr>
        <w:t xml:space="preserve">, BD </w:t>
      </w:r>
      <w:proofErr w:type="spellStart"/>
      <w:proofErr w:type="gramStart"/>
      <w:r w:rsidRPr="00010E26">
        <w:rPr>
          <w:rFonts w:ascii="Times New Roman" w:hAnsi="Times New Roman"/>
          <w:color w:val="000000"/>
          <w:sz w:val="20"/>
          <w:szCs w:val="20"/>
          <w:lang w:val="en-US"/>
        </w:rPr>
        <w:t>Biosciences,San</w:t>
      </w:r>
      <w:proofErr w:type="spellEnd"/>
      <w:proofErr w:type="gramEnd"/>
      <w:r w:rsidRPr="00010E26">
        <w:rPr>
          <w:rFonts w:ascii="Times New Roman" w:hAnsi="Times New Roman"/>
          <w:color w:val="000000"/>
          <w:sz w:val="20"/>
          <w:szCs w:val="20"/>
          <w:lang w:val="en-US"/>
        </w:rPr>
        <w:t xml:space="preserve"> Jose, California). Cells expressing CD4+/CD25high+/FOXP3+ were determined as Tregs. The percentage of Tregs among mononuclear cells, which were gated based on SSC and FSC distribution, was calculated.</w:t>
      </w:r>
    </w:p>
    <w:p w14:paraId="7955C716" w14:textId="77777777" w:rsidR="00222823" w:rsidRDefault="00222823"/>
    <w:sectPr w:rsidR="002228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0869"/>
    <w:rsid w:val="00222823"/>
    <w:rsid w:val="00242694"/>
    <w:rsid w:val="002708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C85CAF"/>
  <w15:chartTrackingRefBased/>
  <w15:docId w15:val="{A661774C-B4BB-46E7-A125-B2DA2457B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0869"/>
    <w:pPr>
      <w:spacing w:after="200" w:line="276" w:lineRule="auto"/>
    </w:pPr>
    <w:rPr>
      <w:rFonts w:ascii="Cambria" w:eastAsia="Cambria" w:hAnsi="Cambria" w:cs="Times New Roman"/>
      <w:lang w:val="pl-P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488</Words>
  <Characters>2784</Characters>
  <Application>Microsoft Office Word</Application>
  <DocSecurity>0</DocSecurity>
  <Lines>23</Lines>
  <Paragraphs>6</Paragraphs>
  <ScaleCrop>false</ScaleCrop>
  <Company/>
  <LinksUpToDate>false</LinksUpToDate>
  <CharactersWithSpaces>3266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2020-08-14T19:15:00Z</dcterms:created>
  <dcterms:modified xsi:type="dcterms:W3CDTF">2020-08-14T19:15:00Z</dcterms:modified>
</cp:coreProperties>
</file>