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4E1CC" w14:textId="23E96721" w:rsidR="005B2B1B" w:rsidRPr="00387450" w:rsidRDefault="00AC0D70">
      <w:pPr>
        <w:rPr>
          <w:sz w:val="22"/>
          <w:szCs w:val="22"/>
        </w:rPr>
      </w:pPr>
      <w:r w:rsidRPr="00387450">
        <w:rPr>
          <w:sz w:val="22"/>
          <w:szCs w:val="22"/>
        </w:rPr>
        <w:t>Supplementary Information 1 – Huang &amp; Fahrbach</w:t>
      </w:r>
    </w:p>
    <w:p w14:paraId="634445E1" w14:textId="04C31421" w:rsidR="00AC0D70" w:rsidRPr="00387450" w:rsidRDefault="00AC0D70">
      <w:pPr>
        <w:rPr>
          <w:sz w:val="22"/>
          <w:szCs w:val="22"/>
        </w:rPr>
      </w:pPr>
      <w:r w:rsidRPr="00387450">
        <w:rPr>
          <w:sz w:val="22"/>
          <w:szCs w:val="22"/>
        </w:rPr>
        <w:t>Methods:</w:t>
      </w:r>
    </w:p>
    <w:p w14:paraId="3B312BB8" w14:textId="2F1F9A10" w:rsidR="00AC0D70" w:rsidRPr="00387450" w:rsidRDefault="00AC0D70" w:rsidP="00AC0D70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87450">
        <w:rPr>
          <w:sz w:val="22"/>
          <w:szCs w:val="22"/>
        </w:rPr>
        <w:t>All test subjects were newly emerged worker honey bees (</w:t>
      </w:r>
      <w:r w:rsidRPr="00387450">
        <w:rPr>
          <w:i/>
          <w:iCs/>
          <w:sz w:val="22"/>
          <w:szCs w:val="22"/>
        </w:rPr>
        <w:t>Apis mellifera</w:t>
      </w:r>
      <w:r w:rsidRPr="00387450">
        <w:rPr>
          <w:sz w:val="22"/>
          <w:szCs w:val="22"/>
        </w:rPr>
        <w:t>) collected directly from a brood frame housed overnight in an incubator.</w:t>
      </w:r>
    </w:p>
    <w:p w14:paraId="6AE263FD" w14:textId="64112441" w:rsidR="00AC0D70" w:rsidRPr="00387450" w:rsidRDefault="00AC0D70" w:rsidP="00AC0D70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87450">
        <w:rPr>
          <w:sz w:val="22"/>
          <w:szCs w:val="22"/>
        </w:rPr>
        <w:t xml:space="preserve">Bees were briefly chilled and injected at the scutal fissure above the flight muscle with 1 ml of phosphate buffered saline (PBS, Sigma P4417) or 40 mM </w:t>
      </w:r>
      <w:proofErr w:type="spellStart"/>
      <w:r w:rsidRPr="00387450">
        <w:rPr>
          <w:sz w:val="22"/>
          <w:szCs w:val="22"/>
        </w:rPr>
        <w:t>epinastine</w:t>
      </w:r>
      <w:proofErr w:type="spellEnd"/>
      <w:r w:rsidR="003A5FF1" w:rsidRPr="00387450">
        <w:rPr>
          <w:sz w:val="22"/>
          <w:szCs w:val="22"/>
        </w:rPr>
        <w:t xml:space="preserve"> hydrochloride </w:t>
      </w:r>
      <w:r w:rsidR="00387450">
        <w:rPr>
          <w:sz w:val="22"/>
          <w:szCs w:val="22"/>
        </w:rPr>
        <w:t>(</w:t>
      </w:r>
      <w:r w:rsidR="003A5FF1" w:rsidRPr="00387450">
        <w:rPr>
          <w:sz w:val="22"/>
          <w:szCs w:val="22"/>
        </w:rPr>
        <w:t>VWR TCE0799</w:t>
      </w:r>
      <w:r w:rsidR="00387450">
        <w:rPr>
          <w:sz w:val="22"/>
          <w:szCs w:val="22"/>
        </w:rPr>
        <w:t xml:space="preserve">) </w:t>
      </w:r>
      <w:r w:rsidR="003A5FF1" w:rsidRPr="00387450">
        <w:rPr>
          <w:sz w:val="22"/>
          <w:szCs w:val="22"/>
        </w:rPr>
        <w:t>dissolved</w:t>
      </w:r>
      <w:r w:rsidRPr="00387450">
        <w:rPr>
          <w:sz w:val="22"/>
          <w:szCs w:val="22"/>
        </w:rPr>
        <w:t xml:space="preserve"> in PBS</w:t>
      </w:r>
      <w:r w:rsidR="00AE760C">
        <w:rPr>
          <w:sz w:val="22"/>
          <w:szCs w:val="22"/>
        </w:rPr>
        <w:t xml:space="preserve">. </w:t>
      </w:r>
      <w:proofErr w:type="spellStart"/>
      <w:r w:rsidR="00AE760C">
        <w:rPr>
          <w:sz w:val="22"/>
          <w:szCs w:val="22"/>
        </w:rPr>
        <w:t>Epinastine</w:t>
      </w:r>
      <w:proofErr w:type="spellEnd"/>
      <w:r w:rsidR="00AE760C">
        <w:rPr>
          <w:sz w:val="22"/>
          <w:szCs w:val="22"/>
        </w:rPr>
        <w:t xml:space="preserve"> is </w:t>
      </w:r>
      <w:r w:rsidR="007E3634">
        <w:rPr>
          <w:sz w:val="22"/>
          <w:szCs w:val="22"/>
        </w:rPr>
        <w:t>a</w:t>
      </w:r>
      <w:r w:rsidR="00AE760C">
        <w:rPr>
          <w:sz w:val="22"/>
          <w:szCs w:val="22"/>
        </w:rPr>
        <w:t xml:space="preserve"> selective</w:t>
      </w:r>
      <w:r w:rsidR="007E3634">
        <w:rPr>
          <w:sz w:val="22"/>
          <w:szCs w:val="22"/>
        </w:rPr>
        <w:t xml:space="preserve"> octopamine antagonist</w:t>
      </w:r>
      <w:r w:rsidR="003168FF">
        <w:rPr>
          <w:sz w:val="22"/>
          <w:szCs w:val="22"/>
        </w:rPr>
        <w:t xml:space="preserve"> </w:t>
      </w:r>
      <w:r w:rsidR="000F1D1C">
        <w:rPr>
          <w:sz w:val="22"/>
          <w:szCs w:val="22"/>
        </w:rPr>
        <w:t xml:space="preserve">previously used in studies of honey bee </w:t>
      </w:r>
      <w:proofErr w:type="gramStart"/>
      <w:r w:rsidR="000F1D1C">
        <w:rPr>
          <w:sz w:val="22"/>
          <w:szCs w:val="22"/>
        </w:rPr>
        <w:t>behavior</w:t>
      </w:r>
      <w:r w:rsidR="003168FF">
        <w:rPr>
          <w:sz w:val="22"/>
          <w:szCs w:val="22"/>
        </w:rPr>
        <w:t>[</w:t>
      </w:r>
      <w:proofErr w:type="gramEnd"/>
      <w:r w:rsidR="003168FF">
        <w:rPr>
          <w:sz w:val="22"/>
          <w:szCs w:val="22"/>
        </w:rPr>
        <w:t>1-3]</w:t>
      </w:r>
      <w:r w:rsidR="003A5FF1" w:rsidRPr="00387450">
        <w:rPr>
          <w:sz w:val="22"/>
          <w:szCs w:val="22"/>
        </w:rPr>
        <w:t>.</w:t>
      </w:r>
    </w:p>
    <w:p w14:paraId="11BF618C" w14:textId="5DF19FA4" w:rsidR="003A5FF1" w:rsidRPr="00387450" w:rsidRDefault="003A5FF1" w:rsidP="00AC0D70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87450">
        <w:rPr>
          <w:sz w:val="22"/>
          <w:szCs w:val="22"/>
        </w:rPr>
        <w:t xml:space="preserve">Post-injection, bees were harnessed and held in an incubator for 1 h, then treated on the abdomen with either </w:t>
      </w:r>
      <w:r w:rsidR="00FA6B0F">
        <w:rPr>
          <w:sz w:val="22"/>
          <w:szCs w:val="22"/>
        </w:rPr>
        <w:t>a</w:t>
      </w:r>
      <w:r w:rsidRPr="00387450">
        <w:rPr>
          <w:sz w:val="22"/>
          <w:szCs w:val="22"/>
        </w:rPr>
        <w:t>mitraz</w:t>
      </w:r>
      <w:r w:rsidR="00FA6B0F">
        <w:rPr>
          <w:sz w:val="22"/>
          <w:szCs w:val="22"/>
        </w:rPr>
        <w:t xml:space="preserve"> dissolved in </w:t>
      </w:r>
      <w:r w:rsidRPr="00387450">
        <w:rPr>
          <w:sz w:val="22"/>
          <w:szCs w:val="22"/>
        </w:rPr>
        <w:t xml:space="preserve">acetone </w:t>
      </w:r>
      <w:r w:rsidR="00FA6B0F">
        <w:rPr>
          <w:sz w:val="22"/>
          <w:szCs w:val="22"/>
        </w:rPr>
        <w:t xml:space="preserve">(hereafter </w:t>
      </w:r>
      <w:r w:rsidR="00AE760C">
        <w:rPr>
          <w:sz w:val="22"/>
          <w:szCs w:val="22"/>
        </w:rPr>
        <w:t xml:space="preserve">referred to </w:t>
      </w:r>
      <w:r w:rsidR="00FA6B0F">
        <w:rPr>
          <w:sz w:val="22"/>
          <w:szCs w:val="22"/>
        </w:rPr>
        <w:t xml:space="preserve">as amitraz) </w:t>
      </w:r>
      <w:r w:rsidRPr="00387450">
        <w:rPr>
          <w:sz w:val="22"/>
          <w:szCs w:val="22"/>
        </w:rPr>
        <w:t xml:space="preserve">or </w:t>
      </w:r>
      <w:r w:rsidR="00FA6B0F">
        <w:rPr>
          <w:sz w:val="22"/>
          <w:szCs w:val="22"/>
        </w:rPr>
        <w:t>the acetone vehicle alone</w:t>
      </w:r>
      <w:r w:rsidR="007E3634">
        <w:rPr>
          <w:sz w:val="22"/>
          <w:szCs w:val="22"/>
        </w:rPr>
        <w:t xml:space="preserve">. These topical treatments were 2 </w:t>
      </w:r>
      <w:r w:rsidR="007E3634" w:rsidRPr="007E3634">
        <w:rPr>
          <w:sz w:val="22"/>
          <w:szCs w:val="22"/>
        </w:rPr>
        <w:t>µl of amitraz dissolved in acetone (0.335 µl/mL)</w:t>
      </w:r>
      <w:r w:rsidR="007E3634">
        <w:rPr>
          <w:sz w:val="22"/>
          <w:szCs w:val="22"/>
        </w:rPr>
        <w:t xml:space="preserve">, or 2 </w:t>
      </w:r>
      <w:r w:rsidR="007E3634" w:rsidRPr="007E3634">
        <w:rPr>
          <w:sz w:val="22"/>
          <w:szCs w:val="22"/>
        </w:rPr>
        <w:t>µl</w:t>
      </w:r>
      <w:r w:rsidR="007E3634">
        <w:rPr>
          <w:sz w:val="22"/>
          <w:szCs w:val="22"/>
        </w:rPr>
        <w:t xml:space="preserve"> of acetone alone.</w:t>
      </w:r>
    </w:p>
    <w:p w14:paraId="0249955D" w14:textId="74806AAB" w:rsidR="003A5FF1" w:rsidRPr="00387450" w:rsidRDefault="003A5FF1" w:rsidP="00AB1CB7">
      <w:pPr>
        <w:pStyle w:val="ListParagraph"/>
        <w:numPr>
          <w:ilvl w:val="0"/>
          <w:numId w:val="3"/>
        </w:numPr>
        <w:spacing w:after="0"/>
        <w:rPr>
          <w:sz w:val="22"/>
          <w:szCs w:val="22"/>
        </w:rPr>
      </w:pPr>
      <w:r w:rsidRPr="00387450">
        <w:rPr>
          <w:sz w:val="22"/>
          <w:szCs w:val="22"/>
        </w:rPr>
        <w:t xml:space="preserve">Post-treatment, bees were returned to the incubator for 2 h, then tested </w:t>
      </w:r>
      <w:r w:rsidR="00E86DD3">
        <w:rPr>
          <w:sz w:val="22"/>
          <w:szCs w:val="22"/>
        </w:rPr>
        <w:t xml:space="preserve">by </w:t>
      </w:r>
      <w:r w:rsidR="007E3634">
        <w:rPr>
          <w:sz w:val="22"/>
          <w:szCs w:val="22"/>
        </w:rPr>
        <w:t>touching</w:t>
      </w:r>
      <w:r w:rsidR="00E86DD3">
        <w:rPr>
          <w:sz w:val="22"/>
          <w:szCs w:val="22"/>
        </w:rPr>
        <w:t xml:space="preserve"> an antenna </w:t>
      </w:r>
      <w:r w:rsidRPr="00387450">
        <w:rPr>
          <w:sz w:val="22"/>
          <w:szCs w:val="22"/>
        </w:rPr>
        <w:t xml:space="preserve">with an ascending series of sucrose solutions (0.3%, 1%, 3%, 10%, 15%, 20%, 30%, and 40%, w/v) to determine </w:t>
      </w:r>
      <w:r w:rsidR="00E86DD3">
        <w:rPr>
          <w:sz w:val="22"/>
          <w:szCs w:val="22"/>
        </w:rPr>
        <w:t xml:space="preserve">the number of responses given in response to </w:t>
      </w:r>
      <w:r w:rsidR="00E86DD3" w:rsidRPr="00387450">
        <w:rPr>
          <w:sz w:val="22"/>
          <w:szCs w:val="22"/>
        </w:rPr>
        <w:t>sucrose</w:t>
      </w:r>
      <w:r w:rsidR="00E86DD3">
        <w:rPr>
          <w:sz w:val="22"/>
          <w:szCs w:val="22"/>
        </w:rPr>
        <w:t xml:space="preserve">, the </w:t>
      </w:r>
      <w:r w:rsidRPr="00387450">
        <w:rPr>
          <w:sz w:val="22"/>
          <w:szCs w:val="22"/>
        </w:rPr>
        <w:t>Gustatory Response Score (GRS)</w:t>
      </w:r>
      <w:r w:rsidR="00E86DD3">
        <w:rPr>
          <w:sz w:val="22"/>
          <w:szCs w:val="22"/>
        </w:rPr>
        <w:t>. The</w:t>
      </w:r>
      <w:r w:rsidRPr="00387450">
        <w:rPr>
          <w:sz w:val="22"/>
          <w:szCs w:val="22"/>
        </w:rPr>
        <w:t xml:space="preserve"> percentage of subjects responding to each sucrose concentration</w:t>
      </w:r>
      <w:r w:rsidR="00E86DD3">
        <w:rPr>
          <w:sz w:val="22"/>
          <w:szCs w:val="22"/>
        </w:rPr>
        <w:t xml:space="preserve"> was also reported.</w:t>
      </w:r>
    </w:p>
    <w:p w14:paraId="041A557E" w14:textId="3CEB3D57" w:rsidR="003A5FF1" w:rsidRPr="00387450" w:rsidRDefault="003A5FF1" w:rsidP="003A5FF1">
      <w:pPr>
        <w:numPr>
          <w:ilvl w:val="0"/>
          <w:numId w:val="3"/>
        </w:numPr>
        <w:rPr>
          <w:sz w:val="22"/>
          <w:szCs w:val="22"/>
        </w:rPr>
      </w:pPr>
      <w:r w:rsidRPr="00387450">
        <w:rPr>
          <w:sz w:val="22"/>
          <w:szCs w:val="22"/>
        </w:rPr>
        <w:t>Sample sizes were PBS and Acetone</w:t>
      </w:r>
      <w:r w:rsidR="0036697F" w:rsidRPr="00387450">
        <w:rPr>
          <w:sz w:val="22"/>
          <w:szCs w:val="22"/>
        </w:rPr>
        <w:t xml:space="preserve"> group</w:t>
      </w:r>
      <w:r w:rsidRPr="00387450">
        <w:rPr>
          <w:sz w:val="22"/>
          <w:szCs w:val="22"/>
        </w:rPr>
        <w:t xml:space="preserve"> (66), PBS and Amitraz</w:t>
      </w:r>
      <w:r w:rsidR="00AE760C">
        <w:rPr>
          <w:sz w:val="22"/>
          <w:szCs w:val="22"/>
        </w:rPr>
        <w:t xml:space="preserve"> </w:t>
      </w:r>
      <w:r w:rsidR="0036697F" w:rsidRPr="00387450">
        <w:rPr>
          <w:sz w:val="22"/>
          <w:szCs w:val="22"/>
        </w:rPr>
        <w:t>group</w:t>
      </w:r>
      <w:r w:rsidRPr="00387450">
        <w:rPr>
          <w:sz w:val="22"/>
          <w:szCs w:val="22"/>
        </w:rPr>
        <w:t xml:space="preserve"> (56), </w:t>
      </w:r>
      <w:proofErr w:type="spellStart"/>
      <w:r w:rsidR="00E86DD3">
        <w:rPr>
          <w:sz w:val="22"/>
          <w:szCs w:val="22"/>
        </w:rPr>
        <w:t>E</w:t>
      </w:r>
      <w:r w:rsidRPr="00387450">
        <w:rPr>
          <w:sz w:val="22"/>
          <w:szCs w:val="22"/>
        </w:rPr>
        <w:t>pinastine</w:t>
      </w:r>
      <w:proofErr w:type="spellEnd"/>
      <w:r w:rsidRPr="00387450">
        <w:rPr>
          <w:sz w:val="22"/>
          <w:szCs w:val="22"/>
        </w:rPr>
        <w:t xml:space="preserve"> and Acetone</w:t>
      </w:r>
      <w:r w:rsidR="0036697F" w:rsidRPr="00387450">
        <w:rPr>
          <w:sz w:val="22"/>
          <w:szCs w:val="22"/>
        </w:rPr>
        <w:t xml:space="preserve"> group</w:t>
      </w:r>
      <w:r w:rsidRPr="00387450">
        <w:rPr>
          <w:sz w:val="22"/>
          <w:szCs w:val="22"/>
        </w:rPr>
        <w:t xml:space="preserve"> (75), </w:t>
      </w:r>
      <w:r w:rsidR="0036697F" w:rsidRPr="00387450">
        <w:rPr>
          <w:sz w:val="22"/>
          <w:szCs w:val="22"/>
        </w:rPr>
        <w:t xml:space="preserve">and </w:t>
      </w:r>
      <w:proofErr w:type="spellStart"/>
      <w:r w:rsidR="00E86DD3">
        <w:rPr>
          <w:sz w:val="22"/>
          <w:szCs w:val="22"/>
        </w:rPr>
        <w:t>E</w:t>
      </w:r>
      <w:r w:rsidRPr="00387450">
        <w:rPr>
          <w:sz w:val="22"/>
          <w:szCs w:val="22"/>
        </w:rPr>
        <w:t>pinastine</w:t>
      </w:r>
      <w:proofErr w:type="spellEnd"/>
      <w:r w:rsidRPr="00387450">
        <w:rPr>
          <w:sz w:val="22"/>
          <w:szCs w:val="22"/>
        </w:rPr>
        <w:t xml:space="preserve"> and Amitraz </w:t>
      </w:r>
      <w:r w:rsidR="0036697F" w:rsidRPr="00387450">
        <w:rPr>
          <w:sz w:val="22"/>
          <w:szCs w:val="22"/>
        </w:rPr>
        <w:t xml:space="preserve">group </w:t>
      </w:r>
      <w:r w:rsidRPr="00387450">
        <w:rPr>
          <w:sz w:val="22"/>
          <w:szCs w:val="22"/>
        </w:rPr>
        <w:t>(47).</w:t>
      </w:r>
    </w:p>
    <w:p w14:paraId="26A58CD2" w14:textId="03659FDE" w:rsidR="003A5FF1" w:rsidRPr="00387450" w:rsidRDefault="003A5FF1" w:rsidP="003A5FF1">
      <w:pPr>
        <w:rPr>
          <w:sz w:val="22"/>
          <w:szCs w:val="22"/>
        </w:rPr>
      </w:pPr>
      <w:r w:rsidRPr="00387450">
        <w:rPr>
          <w:sz w:val="22"/>
          <w:szCs w:val="22"/>
        </w:rPr>
        <w:t xml:space="preserve">Results: </w:t>
      </w:r>
    </w:p>
    <w:p w14:paraId="7B297E0E" w14:textId="3047262B" w:rsidR="0036697F" w:rsidRPr="00387450" w:rsidRDefault="0036697F" w:rsidP="0036697F">
      <w:pPr>
        <w:pStyle w:val="ListParagraph"/>
        <w:numPr>
          <w:ilvl w:val="0"/>
          <w:numId w:val="5"/>
        </w:numPr>
        <w:ind w:left="720"/>
        <w:rPr>
          <w:sz w:val="22"/>
          <w:szCs w:val="22"/>
        </w:rPr>
      </w:pPr>
      <w:r w:rsidRPr="00387450">
        <w:rPr>
          <w:sz w:val="22"/>
          <w:szCs w:val="22"/>
        </w:rPr>
        <w:t xml:space="preserve">Pairwise comparisons of GRS between groups using the Mann-Whitney </w:t>
      </w:r>
      <w:r w:rsidRPr="00D53881">
        <w:rPr>
          <w:i/>
          <w:iCs/>
          <w:sz w:val="22"/>
          <w:szCs w:val="22"/>
        </w:rPr>
        <w:t>U</w:t>
      </w:r>
      <w:r w:rsidRPr="00387450">
        <w:rPr>
          <w:sz w:val="22"/>
          <w:szCs w:val="22"/>
        </w:rPr>
        <w:t xml:space="preserve"> test revealed that, c</w:t>
      </w:r>
      <w:r w:rsidR="00AB6EFA" w:rsidRPr="00387450">
        <w:rPr>
          <w:sz w:val="22"/>
          <w:szCs w:val="22"/>
        </w:rPr>
        <w:t xml:space="preserve">ompared to </w:t>
      </w:r>
      <w:r w:rsidRPr="00387450">
        <w:rPr>
          <w:sz w:val="22"/>
          <w:szCs w:val="22"/>
        </w:rPr>
        <w:t xml:space="preserve">the </w:t>
      </w:r>
      <w:r w:rsidR="00AB6EFA" w:rsidRPr="00387450">
        <w:rPr>
          <w:sz w:val="22"/>
          <w:szCs w:val="22"/>
        </w:rPr>
        <w:t xml:space="preserve">PBS and </w:t>
      </w:r>
      <w:r w:rsidR="006458D1">
        <w:rPr>
          <w:sz w:val="22"/>
          <w:szCs w:val="22"/>
        </w:rPr>
        <w:t>A</w:t>
      </w:r>
      <w:r w:rsidR="00AB6EFA" w:rsidRPr="00387450">
        <w:rPr>
          <w:sz w:val="22"/>
          <w:szCs w:val="22"/>
        </w:rPr>
        <w:t xml:space="preserve">mitraz group, </w:t>
      </w:r>
      <w:r w:rsidRPr="00387450">
        <w:rPr>
          <w:sz w:val="22"/>
          <w:szCs w:val="22"/>
        </w:rPr>
        <w:t xml:space="preserve">the </w:t>
      </w:r>
      <w:r w:rsidR="00AB6EFA" w:rsidRPr="00387450">
        <w:rPr>
          <w:sz w:val="22"/>
          <w:szCs w:val="22"/>
        </w:rPr>
        <w:t xml:space="preserve">PBS and </w:t>
      </w:r>
      <w:r w:rsidR="006458D1">
        <w:rPr>
          <w:sz w:val="22"/>
          <w:szCs w:val="22"/>
        </w:rPr>
        <w:t>A</w:t>
      </w:r>
      <w:r w:rsidR="00AB6EFA" w:rsidRPr="00387450">
        <w:rPr>
          <w:sz w:val="22"/>
          <w:szCs w:val="22"/>
        </w:rPr>
        <w:t>cetone group (</w:t>
      </w:r>
      <w:r w:rsidR="00AB6EFA" w:rsidRPr="00D53881">
        <w:rPr>
          <w:i/>
          <w:iCs/>
          <w:sz w:val="22"/>
          <w:szCs w:val="22"/>
        </w:rPr>
        <w:t>U</w:t>
      </w:r>
      <w:r w:rsidR="00AB6EFA" w:rsidRPr="00387450">
        <w:rPr>
          <w:sz w:val="22"/>
          <w:szCs w:val="22"/>
        </w:rPr>
        <w:t xml:space="preserve">=534.5, </w:t>
      </w:r>
      <w:r w:rsidR="00D53881" w:rsidRPr="00D53881">
        <w:rPr>
          <w:i/>
          <w:iCs/>
          <w:sz w:val="22"/>
          <w:szCs w:val="22"/>
        </w:rPr>
        <w:t>P</w:t>
      </w:r>
      <w:r w:rsidR="00AB6EFA" w:rsidRPr="00387450">
        <w:rPr>
          <w:sz w:val="22"/>
          <w:szCs w:val="22"/>
        </w:rPr>
        <w:t xml:space="preserve">&lt;0.00001), </w:t>
      </w:r>
      <w:r w:rsidRPr="00387450">
        <w:rPr>
          <w:sz w:val="22"/>
          <w:szCs w:val="22"/>
        </w:rPr>
        <w:t xml:space="preserve">the </w:t>
      </w:r>
      <w:proofErr w:type="spellStart"/>
      <w:r w:rsidR="006458D1">
        <w:rPr>
          <w:sz w:val="22"/>
          <w:szCs w:val="22"/>
        </w:rPr>
        <w:t>E</w:t>
      </w:r>
      <w:r w:rsidR="00AB6EFA" w:rsidRPr="00387450">
        <w:rPr>
          <w:sz w:val="22"/>
          <w:szCs w:val="22"/>
        </w:rPr>
        <w:t>pinastine</w:t>
      </w:r>
      <w:proofErr w:type="spellEnd"/>
      <w:r w:rsidR="00AB6EFA" w:rsidRPr="00387450">
        <w:rPr>
          <w:sz w:val="22"/>
          <w:szCs w:val="22"/>
        </w:rPr>
        <w:t xml:space="preserve"> and </w:t>
      </w:r>
      <w:r w:rsidR="006458D1">
        <w:rPr>
          <w:sz w:val="22"/>
          <w:szCs w:val="22"/>
        </w:rPr>
        <w:t>A</w:t>
      </w:r>
      <w:r w:rsidR="00AB6EFA" w:rsidRPr="00387450">
        <w:rPr>
          <w:sz w:val="22"/>
          <w:szCs w:val="22"/>
        </w:rPr>
        <w:t>cetone</w:t>
      </w:r>
      <w:r w:rsidRPr="00387450">
        <w:rPr>
          <w:sz w:val="22"/>
          <w:szCs w:val="22"/>
        </w:rPr>
        <w:t xml:space="preserve"> </w:t>
      </w:r>
      <w:r w:rsidR="00AB6EFA" w:rsidRPr="00387450">
        <w:rPr>
          <w:sz w:val="22"/>
          <w:szCs w:val="22"/>
        </w:rPr>
        <w:t>group (U=300</w:t>
      </w:r>
      <w:r w:rsidR="00AE760C">
        <w:rPr>
          <w:sz w:val="22"/>
          <w:szCs w:val="22"/>
        </w:rPr>
        <w:t>.0</w:t>
      </w:r>
      <w:r w:rsidR="00AB6EFA" w:rsidRPr="00387450">
        <w:rPr>
          <w:sz w:val="22"/>
          <w:szCs w:val="22"/>
        </w:rPr>
        <w:t xml:space="preserve">, </w:t>
      </w:r>
      <w:r w:rsidR="00E02344" w:rsidRPr="00E02344">
        <w:rPr>
          <w:i/>
          <w:iCs/>
          <w:sz w:val="22"/>
          <w:szCs w:val="22"/>
        </w:rPr>
        <w:t>P</w:t>
      </w:r>
      <w:r w:rsidR="00AB6EFA" w:rsidRPr="00387450">
        <w:rPr>
          <w:sz w:val="22"/>
          <w:szCs w:val="22"/>
        </w:rPr>
        <w:t xml:space="preserve">&lt;0.00001), and </w:t>
      </w:r>
      <w:r w:rsidRPr="00387450">
        <w:rPr>
          <w:sz w:val="22"/>
          <w:szCs w:val="22"/>
        </w:rPr>
        <w:t xml:space="preserve">the </w:t>
      </w:r>
      <w:proofErr w:type="spellStart"/>
      <w:r w:rsidR="00E86DD3">
        <w:rPr>
          <w:sz w:val="22"/>
          <w:szCs w:val="22"/>
        </w:rPr>
        <w:t>E</w:t>
      </w:r>
      <w:r w:rsidR="00AB6EFA" w:rsidRPr="00387450">
        <w:rPr>
          <w:sz w:val="22"/>
          <w:szCs w:val="22"/>
        </w:rPr>
        <w:t>pinastine</w:t>
      </w:r>
      <w:proofErr w:type="spellEnd"/>
      <w:r w:rsidR="00AB6EFA" w:rsidRPr="00387450">
        <w:rPr>
          <w:sz w:val="22"/>
          <w:szCs w:val="22"/>
        </w:rPr>
        <w:t xml:space="preserve"> and </w:t>
      </w:r>
      <w:r w:rsidR="00E86DD3">
        <w:rPr>
          <w:sz w:val="22"/>
          <w:szCs w:val="22"/>
        </w:rPr>
        <w:t>A</w:t>
      </w:r>
      <w:r w:rsidR="00AB1CB7">
        <w:rPr>
          <w:sz w:val="22"/>
          <w:szCs w:val="22"/>
        </w:rPr>
        <w:t xml:space="preserve">mitraz </w:t>
      </w:r>
      <w:r w:rsidR="00AB6EFA" w:rsidRPr="00387450">
        <w:rPr>
          <w:sz w:val="22"/>
          <w:szCs w:val="22"/>
        </w:rPr>
        <w:t>group</w:t>
      </w:r>
      <w:r w:rsidR="00AB1CB7">
        <w:rPr>
          <w:sz w:val="22"/>
          <w:szCs w:val="22"/>
        </w:rPr>
        <w:t>s</w:t>
      </w:r>
      <w:r w:rsidR="00AB6EFA" w:rsidRPr="00387450">
        <w:rPr>
          <w:sz w:val="22"/>
          <w:szCs w:val="22"/>
        </w:rPr>
        <w:t xml:space="preserve"> (</w:t>
      </w:r>
      <w:r w:rsidR="00AB6EFA" w:rsidRPr="00D53881">
        <w:rPr>
          <w:i/>
          <w:iCs/>
          <w:sz w:val="22"/>
          <w:szCs w:val="22"/>
        </w:rPr>
        <w:t>U</w:t>
      </w:r>
      <w:r w:rsidR="00AB6EFA" w:rsidRPr="00387450">
        <w:rPr>
          <w:sz w:val="22"/>
          <w:szCs w:val="22"/>
        </w:rPr>
        <w:t xml:space="preserve">=272.5, </w:t>
      </w:r>
      <w:r w:rsidR="00D53881" w:rsidRPr="0099412F">
        <w:rPr>
          <w:i/>
          <w:iCs/>
          <w:sz w:val="22"/>
          <w:szCs w:val="22"/>
        </w:rPr>
        <w:t>P</w:t>
      </w:r>
      <w:r w:rsidR="00AB6EFA" w:rsidRPr="00387450">
        <w:rPr>
          <w:sz w:val="22"/>
          <w:szCs w:val="22"/>
        </w:rPr>
        <w:t xml:space="preserve">&lt;0.00001) </w:t>
      </w:r>
      <w:r w:rsidRPr="00387450">
        <w:rPr>
          <w:sz w:val="22"/>
          <w:szCs w:val="22"/>
        </w:rPr>
        <w:t xml:space="preserve">were significantly </w:t>
      </w:r>
      <w:r w:rsidR="00157808">
        <w:rPr>
          <w:sz w:val="22"/>
          <w:szCs w:val="22"/>
        </w:rPr>
        <w:t>lower</w:t>
      </w:r>
      <w:r w:rsidRPr="00387450">
        <w:rPr>
          <w:sz w:val="22"/>
          <w:szCs w:val="22"/>
        </w:rPr>
        <w:t>.</w:t>
      </w:r>
      <w:r w:rsidR="007E3634">
        <w:rPr>
          <w:sz w:val="22"/>
          <w:szCs w:val="22"/>
        </w:rPr>
        <w:t xml:space="preserve"> These results suggest an enhancing effect of amitraz on sucrose sensitivity at very low concentrations of sucrose that </w:t>
      </w:r>
      <w:r w:rsidR="0099412F">
        <w:rPr>
          <w:sz w:val="22"/>
          <w:szCs w:val="22"/>
        </w:rPr>
        <w:t>was</w:t>
      </w:r>
      <w:r w:rsidR="007E3634">
        <w:rPr>
          <w:sz w:val="22"/>
          <w:szCs w:val="22"/>
        </w:rPr>
        <w:t xml:space="preserve"> blocked by prior treatment with an octopamine antagonist.</w:t>
      </w:r>
    </w:p>
    <w:p w14:paraId="496CB3DD" w14:textId="2C7A0410" w:rsidR="00387450" w:rsidRPr="006458D1" w:rsidRDefault="006458D1" w:rsidP="00C57265">
      <w:pPr>
        <w:pStyle w:val="ListParagraph"/>
        <w:numPr>
          <w:ilvl w:val="0"/>
          <w:numId w:val="5"/>
        </w:numPr>
        <w:ind w:left="720"/>
        <w:rPr>
          <w:sz w:val="22"/>
          <w:szCs w:val="22"/>
        </w:rPr>
      </w:pPr>
      <w:r>
        <w:rPr>
          <w:noProof/>
        </w:rPr>
        <w:t xml:space="preserve">Figure </w:t>
      </w:r>
      <w:r w:rsidR="00F233F3">
        <w:rPr>
          <w:noProof/>
        </w:rPr>
        <w:t>S</w:t>
      </w:r>
      <w:r>
        <w:rPr>
          <w:noProof/>
        </w:rPr>
        <w:t>1</w:t>
      </w:r>
      <w:r w:rsidR="0036697F" w:rsidRPr="006458D1">
        <w:rPr>
          <w:sz w:val="22"/>
          <w:szCs w:val="22"/>
        </w:rPr>
        <w:t xml:space="preserve"> shows the p</w:t>
      </w:r>
      <w:r w:rsidR="00AB6EFA" w:rsidRPr="006458D1">
        <w:rPr>
          <w:sz w:val="22"/>
          <w:szCs w:val="22"/>
        </w:rPr>
        <w:t>ercentage of subjects responding to varying concentrations of sucrose solutions</w:t>
      </w:r>
      <w:r w:rsidR="0036697F" w:rsidRPr="006458D1">
        <w:rPr>
          <w:sz w:val="22"/>
          <w:szCs w:val="22"/>
        </w:rPr>
        <w:t xml:space="preserve">. </w:t>
      </w:r>
    </w:p>
    <w:p w14:paraId="4389C3F9" w14:textId="66F8128A" w:rsidR="00387450" w:rsidRPr="00387450" w:rsidRDefault="006458D1" w:rsidP="00387450">
      <w:pPr>
        <w:pStyle w:val="ListParagraph"/>
        <w:rPr>
          <w:sz w:val="22"/>
          <w:szCs w:val="22"/>
        </w:rPr>
      </w:pPr>
      <w:r w:rsidRPr="00AB6EFA">
        <w:rPr>
          <w:noProof/>
        </w:rPr>
        <w:drawing>
          <wp:anchor distT="0" distB="0" distL="114300" distR="114300" simplePos="0" relativeHeight="251658240" behindDoc="1" locked="0" layoutInCell="1" allowOverlap="1" wp14:anchorId="70B12F0F" wp14:editId="25AD6AD5">
            <wp:simplePos x="0" y="0"/>
            <wp:positionH relativeFrom="column">
              <wp:posOffset>1181100</wp:posOffset>
            </wp:positionH>
            <wp:positionV relativeFrom="paragraph">
              <wp:posOffset>10160</wp:posOffset>
            </wp:positionV>
            <wp:extent cx="3749040" cy="2310130"/>
            <wp:effectExtent l="0" t="0" r="3810" b="0"/>
            <wp:wrapTight wrapText="bothSides">
              <wp:wrapPolygon edited="0">
                <wp:start x="0" y="0"/>
                <wp:lineTo x="0" y="21374"/>
                <wp:lineTo x="21512" y="21374"/>
                <wp:lineTo x="21512" y="0"/>
                <wp:lineTo x="0" y="0"/>
              </wp:wrapPolygon>
            </wp:wrapTight>
            <wp:docPr id="41" name="Google Shape;125;p1" descr="A graph of different colored line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FB905AB4-CD97-4EDE-9E1A-E8603063BFD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Google Shape;125;p1" descr="A graph of different colored lines&#10;&#10;AI-generated content may be incorrect.">
                      <a:extLst>
                        <a:ext uri="{FF2B5EF4-FFF2-40B4-BE49-F238E27FC236}">
                          <a16:creationId xmlns:a16="http://schemas.microsoft.com/office/drawing/2014/main" id="{FB905AB4-CD97-4EDE-9E1A-E8603063BFD4}"/>
                        </a:ext>
                      </a:extLst>
                    </pic:cNvPr>
                    <pic:cNvPicPr preferRelativeResize="0"/>
                  </pic:nvPicPr>
                  <pic:blipFill>
                    <a:blip r:embed="rId5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231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879C6" w14:textId="2FC4CC5C" w:rsidR="00AB6EFA" w:rsidRDefault="00AB6EFA"/>
    <w:p w14:paraId="600F45DF" w14:textId="77777777" w:rsidR="006458D1" w:rsidRPr="006458D1" w:rsidRDefault="006458D1" w:rsidP="006458D1"/>
    <w:p w14:paraId="0A270E26" w14:textId="77777777" w:rsidR="006458D1" w:rsidRPr="006458D1" w:rsidRDefault="006458D1" w:rsidP="006458D1"/>
    <w:p w14:paraId="6DC6D3AD" w14:textId="77777777" w:rsidR="006458D1" w:rsidRPr="006458D1" w:rsidRDefault="006458D1" w:rsidP="006458D1"/>
    <w:p w14:paraId="25E1F84E" w14:textId="77777777" w:rsidR="006458D1" w:rsidRPr="006458D1" w:rsidRDefault="006458D1" w:rsidP="006458D1"/>
    <w:p w14:paraId="2D689EC9" w14:textId="77777777" w:rsidR="006458D1" w:rsidRDefault="006458D1" w:rsidP="006458D1"/>
    <w:p w14:paraId="1F55BBC1" w14:textId="77777777" w:rsidR="006458D1" w:rsidRDefault="006458D1" w:rsidP="006458D1"/>
    <w:p w14:paraId="11B982D7" w14:textId="03A6AE51" w:rsidR="006458D1" w:rsidRDefault="006458D1" w:rsidP="006458D1">
      <w:pPr>
        <w:tabs>
          <w:tab w:val="left" w:pos="1480"/>
          <w:tab w:val="left" w:pos="1890"/>
        </w:tabs>
        <w:ind w:left="360"/>
        <w:rPr>
          <w:sz w:val="22"/>
          <w:szCs w:val="22"/>
        </w:rPr>
      </w:pPr>
      <w:bookmarkStart w:id="0" w:name="_Hlk195285932"/>
      <w:r w:rsidRPr="006458D1">
        <w:rPr>
          <w:sz w:val="22"/>
          <w:szCs w:val="22"/>
        </w:rPr>
        <w:lastRenderedPageBreak/>
        <w:t xml:space="preserve">Figure </w:t>
      </w:r>
      <w:r w:rsidR="00F233F3">
        <w:rPr>
          <w:sz w:val="22"/>
          <w:szCs w:val="22"/>
        </w:rPr>
        <w:t>S1</w:t>
      </w:r>
      <w:r w:rsidRPr="006458D1">
        <w:rPr>
          <w:sz w:val="22"/>
          <w:szCs w:val="22"/>
        </w:rPr>
        <w:t xml:space="preserve">. Percentage of harnessed, newly emerged honey bees responding to a touch on an antenna with </w:t>
      </w:r>
      <w:r w:rsidR="00157808">
        <w:rPr>
          <w:sz w:val="22"/>
          <w:szCs w:val="22"/>
        </w:rPr>
        <w:t xml:space="preserve">reflexive </w:t>
      </w:r>
      <w:r w:rsidRPr="006458D1">
        <w:rPr>
          <w:sz w:val="22"/>
          <w:szCs w:val="22"/>
        </w:rPr>
        <w:t xml:space="preserve">extension of the proboscis. Subjects received an injection of 40 mM </w:t>
      </w:r>
      <w:proofErr w:type="spellStart"/>
      <w:r w:rsidRPr="006458D1">
        <w:rPr>
          <w:sz w:val="22"/>
          <w:szCs w:val="22"/>
        </w:rPr>
        <w:t>epinastine</w:t>
      </w:r>
      <w:proofErr w:type="spellEnd"/>
      <w:r w:rsidRPr="006458D1">
        <w:rPr>
          <w:sz w:val="22"/>
          <w:szCs w:val="22"/>
        </w:rPr>
        <w:t xml:space="preserve"> hydrochloride dissolved in PBS or the PBS vehicle alone one hour prior to topical application of amitraz dissolved in acetone or the acetone solvent alone. Sucrose sensitivity testing began 2 h after the application of amitraz or acetone. Differences in responding were evident at the lower sucrose concentrations (0.3%, 1%, and 3%), but not at higher concentrations. At these concentrations, </w:t>
      </w:r>
      <w:r w:rsidR="00157808">
        <w:rPr>
          <w:sz w:val="22"/>
          <w:szCs w:val="22"/>
        </w:rPr>
        <w:t>the</w:t>
      </w:r>
      <w:r w:rsidRPr="006458D1">
        <w:rPr>
          <w:sz w:val="22"/>
          <w:szCs w:val="22"/>
        </w:rPr>
        <w:t xml:space="preserve"> </w:t>
      </w:r>
      <w:r w:rsidR="00157808">
        <w:rPr>
          <w:sz w:val="22"/>
          <w:szCs w:val="22"/>
        </w:rPr>
        <w:t>increase</w:t>
      </w:r>
      <w:r w:rsidR="000F1D1C">
        <w:rPr>
          <w:sz w:val="22"/>
          <w:szCs w:val="22"/>
        </w:rPr>
        <w:t xml:space="preserve"> in</w:t>
      </w:r>
      <w:r w:rsidRPr="006458D1">
        <w:rPr>
          <w:sz w:val="22"/>
          <w:szCs w:val="22"/>
        </w:rPr>
        <w:t xml:space="preserve"> </w:t>
      </w:r>
      <w:r w:rsidR="00157808">
        <w:rPr>
          <w:sz w:val="22"/>
          <w:szCs w:val="22"/>
        </w:rPr>
        <w:t xml:space="preserve">the </w:t>
      </w:r>
      <w:r w:rsidRPr="006458D1">
        <w:rPr>
          <w:sz w:val="22"/>
          <w:szCs w:val="22"/>
        </w:rPr>
        <w:t>percentage</w:t>
      </w:r>
      <w:r w:rsidR="00157808">
        <w:rPr>
          <w:sz w:val="22"/>
          <w:szCs w:val="22"/>
        </w:rPr>
        <w:t xml:space="preserve"> of subjects</w:t>
      </w:r>
      <w:r w:rsidRPr="006458D1">
        <w:rPr>
          <w:sz w:val="22"/>
          <w:szCs w:val="22"/>
        </w:rPr>
        <w:t xml:space="preserve"> responding 2 h after amitraz exposure </w:t>
      </w:r>
      <w:r w:rsidR="005A6A65">
        <w:rPr>
          <w:sz w:val="22"/>
          <w:szCs w:val="22"/>
        </w:rPr>
        <w:t xml:space="preserve">observed in the </w:t>
      </w:r>
      <w:r w:rsidRPr="006458D1">
        <w:rPr>
          <w:sz w:val="22"/>
          <w:szCs w:val="22"/>
        </w:rPr>
        <w:t xml:space="preserve">PBS and </w:t>
      </w:r>
      <w:r w:rsidR="00654DCB">
        <w:rPr>
          <w:sz w:val="22"/>
          <w:szCs w:val="22"/>
        </w:rPr>
        <w:t>A</w:t>
      </w:r>
      <w:r w:rsidRPr="006458D1">
        <w:rPr>
          <w:sz w:val="22"/>
          <w:szCs w:val="22"/>
        </w:rPr>
        <w:t>mitraz group (orange bars)</w:t>
      </w:r>
      <w:r w:rsidR="005A6A65">
        <w:rPr>
          <w:sz w:val="22"/>
          <w:szCs w:val="22"/>
        </w:rPr>
        <w:t xml:space="preserve"> </w:t>
      </w:r>
      <w:r w:rsidRPr="006458D1">
        <w:rPr>
          <w:sz w:val="22"/>
          <w:szCs w:val="22"/>
        </w:rPr>
        <w:t xml:space="preserve">was blocked by prior treatment with </w:t>
      </w:r>
      <w:proofErr w:type="spellStart"/>
      <w:r w:rsidRPr="006458D1">
        <w:rPr>
          <w:sz w:val="22"/>
          <w:szCs w:val="22"/>
        </w:rPr>
        <w:t>epinastine</w:t>
      </w:r>
      <w:proofErr w:type="spellEnd"/>
      <w:r w:rsidRPr="006458D1">
        <w:rPr>
          <w:sz w:val="22"/>
          <w:szCs w:val="22"/>
        </w:rPr>
        <w:t xml:space="preserve"> (</w:t>
      </w:r>
      <w:proofErr w:type="spellStart"/>
      <w:r w:rsidR="00654DCB">
        <w:rPr>
          <w:sz w:val="22"/>
          <w:szCs w:val="22"/>
        </w:rPr>
        <w:t>E</w:t>
      </w:r>
      <w:r w:rsidRPr="006458D1">
        <w:rPr>
          <w:sz w:val="22"/>
          <w:szCs w:val="22"/>
        </w:rPr>
        <w:t>pinastine</w:t>
      </w:r>
      <w:proofErr w:type="spellEnd"/>
      <w:r w:rsidRPr="006458D1">
        <w:rPr>
          <w:sz w:val="22"/>
          <w:szCs w:val="22"/>
        </w:rPr>
        <w:t xml:space="preserve"> and </w:t>
      </w:r>
      <w:r w:rsidR="00654DCB">
        <w:rPr>
          <w:sz w:val="22"/>
          <w:szCs w:val="22"/>
        </w:rPr>
        <w:t>A</w:t>
      </w:r>
      <w:r w:rsidRPr="006458D1">
        <w:rPr>
          <w:sz w:val="22"/>
          <w:szCs w:val="22"/>
        </w:rPr>
        <w:t xml:space="preserve">mitraz group, yellow bars). </w:t>
      </w:r>
    </w:p>
    <w:bookmarkEnd w:id="0"/>
    <w:p w14:paraId="409082C8" w14:textId="3BA66B0C" w:rsidR="003168FF" w:rsidRDefault="0099412F" w:rsidP="006458D1">
      <w:pPr>
        <w:tabs>
          <w:tab w:val="left" w:pos="1480"/>
          <w:tab w:val="left" w:pos="1890"/>
        </w:tabs>
        <w:ind w:left="360"/>
        <w:rPr>
          <w:sz w:val="22"/>
          <w:szCs w:val="22"/>
        </w:rPr>
      </w:pPr>
      <w:r>
        <w:rPr>
          <w:sz w:val="22"/>
          <w:szCs w:val="22"/>
        </w:rPr>
        <w:t xml:space="preserve">References, </w:t>
      </w:r>
      <w:r w:rsidR="003168FF">
        <w:rPr>
          <w:sz w:val="22"/>
          <w:szCs w:val="22"/>
        </w:rPr>
        <w:t xml:space="preserve">Supplementary Information </w:t>
      </w:r>
      <w:r>
        <w:rPr>
          <w:sz w:val="22"/>
          <w:szCs w:val="22"/>
        </w:rPr>
        <w:t>1</w:t>
      </w:r>
    </w:p>
    <w:p w14:paraId="4D655E88" w14:textId="0703A7BA" w:rsidR="003168FF" w:rsidRDefault="003168FF" w:rsidP="003168FF">
      <w:pPr>
        <w:pStyle w:val="ListParagraph"/>
        <w:numPr>
          <w:ilvl w:val="0"/>
          <w:numId w:val="6"/>
        </w:numPr>
        <w:tabs>
          <w:tab w:val="left" w:pos="1480"/>
          <w:tab w:val="left" w:pos="1890"/>
        </w:tabs>
        <w:rPr>
          <w:sz w:val="22"/>
          <w:szCs w:val="22"/>
        </w:rPr>
      </w:pPr>
      <w:r w:rsidRPr="003168FF">
        <w:rPr>
          <w:sz w:val="22"/>
          <w:szCs w:val="22"/>
        </w:rPr>
        <w:t>Roeder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T</w:t>
      </w:r>
      <w:r w:rsidR="00654DCB">
        <w:rPr>
          <w:sz w:val="22"/>
          <w:szCs w:val="22"/>
        </w:rPr>
        <w:t>.</w:t>
      </w:r>
      <w:r w:rsidRPr="003168FF">
        <w:rPr>
          <w:sz w:val="22"/>
          <w:szCs w:val="22"/>
        </w:rPr>
        <w:t>, Degen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J</w:t>
      </w:r>
      <w:r w:rsidR="00654DCB">
        <w:rPr>
          <w:sz w:val="22"/>
          <w:szCs w:val="22"/>
        </w:rPr>
        <w:t>. &amp;</w:t>
      </w:r>
      <w:r w:rsidRPr="003168FF">
        <w:rPr>
          <w:sz w:val="22"/>
          <w:szCs w:val="22"/>
        </w:rPr>
        <w:t xml:space="preserve"> Gewecke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M. </w:t>
      </w:r>
      <w:proofErr w:type="spellStart"/>
      <w:r w:rsidRPr="003168FF">
        <w:rPr>
          <w:sz w:val="22"/>
          <w:szCs w:val="22"/>
        </w:rPr>
        <w:t>Epinastine</w:t>
      </w:r>
      <w:proofErr w:type="spellEnd"/>
      <w:r w:rsidRPr="003168FF">
        <w:rPr>
          <w:sz w:val="22"/>
          <w:szCs w:val="22"/>
        </w:rPr>
        <w:t xml:space="preserve">, a highly specific antagonist of insect neuronal octopamine receptors. </w:t>
      </w:r>
      <w:r w:rsidRPr="00654DCB">
        <w:rPr>
          <w:i/>
          <w:iCs/>
          <w:sz w:val="22"/>
          <w:szCs w:val="22"/>
        </w:rPr>
        <w:t>Eur</w:t>
      </w:r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J</w:t>
      </w:r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</w:t>
      </w:r>
      <w:proofErr w:type="spellStart"/>
      <w:r w:rsidRPr="00654DCB">
        <w:rPr>
          <w:i/>
          <w:iCs/>
          <w:sz w:val="22"/>
          <w:szCs w:val="22"/>
        </w:rPr>
        <w:t>Pharmacol</w:t>
      </w:r>
      <w:proofErr w:type="spellEnd"/>
      <w:r w:rsidRPr="003168FF">
        <w:rPr>
          <w:sz w:val="22"/>
          <w:szCs w:val="22"/>
        </w:rPr>
        <w:t xml:space="preserve">. </w:t>
      </w:r>
      <w:r w:rsidRPr="00654DCB">
        <w:rPr>
          <w:b/>
          <w:bCs/>
          <w:sz w:val="22"/>
          <w:szCs w:val="22"/>
        </w:rPr>
        <w:t>349</w:t>
      </w:r>
      <w:r w:rsidR="00654DCB">
        <w:rPr>
          <w:sz w:val="22"/>
          <w:szCs w:val="22"/>
        </w:rPr>
        <w:t xml:space="preserve">, </w:t>
      </w:r>
      <w:r w:rsidRPr="003168FF">
        <w:rPr>
          <w:sz w:val="22"/>
          <w:szCs w:val="22"/>
        </w:rPr>
        <w:t>171-</w:t>
      </w:r>
      <w:r w:rsidR="00654DCB">
        <w:rPr>
          <w:sz w:val="22"/>
          <w:szCs w:val="22"/>
        </w:rPr>
        <w:t>17</w:t>
      </w:r>
      <w:r w:rsidRPr="003168FF">
        <w:rPr>
          <w:sz w:val="22"/>
          <w:szCs w:val="22"/>
        </w:rPr>
        <w:t xml:space="preserve">7. </w:t>
      </w:r>
      <w:hyperlink r:id="rId6" w:history="1">
        <w:proofErr w:type="spellStart"/>
        <w:r w:rsidRPr="00654DCB">
          <w:rPr>
            <w:rStyle w:val="Hyperlink"/>
            <w:sz w:val="22"/>
            <w:szCs w:val="22"/>
          </w:rPr>
          <w:t>doi</w:t>
        </w:r>
        <w:proofErr w:type="spellEnd"/>
        <w:r w:rsidRPr="00654DCB">
          <w:rPr>
            <w:rStyle w:val="Hyperlink"/>
            <w:sz w:val="22"/>
            <w:szCs w:val="22"/>
          </w:rPr>
          <w:t>: 10.1016/s0014-2999(98)00192-7</w:t>
        </w:r>
      </w:hyperlink>
      <w:r w:rsidR="00654DCB">
        <w:rPr>
          <w:sz w:val="22"/>
          <w:szCs w:val="22"/>
        </w:rPr>
        <w:t xml:space="preserve"> (1998)</w:t>
      </w:r>
      <w:r w:rsidRPr="003168FF">
        <w:rPr>
          <w:sz w:val="22"/>
          <w:szCs w:val="22"/>
        </w:rPr>
        <w:t>.</w:t>
      </w:r>
    </w:p>
    <w:p w14:paraId="7F4AFD66" w14:textId="1AAED62F" w:rsidR="003168FF" w:rsidRDefault="003168FF" w:rsidP="003168FF">
      <w:pPr>
        <w:pStyle w:val="ListParagraph"/>
        <w:numPr>
          <w:ilvl w:val="0"/>
          <w:numId w:val="6"/>
        </w:numPr>
        <w:tabs>
          <w:tab w:val="left" w:pos="1480"/>
          <w:tab w:val="left" w:pos="1890"/>
        </w:tabs>
        <w:rPr>
          <w:sz w:val="22"/>
          <w:szCs w:val="22"/>
        </w:rPr>
      </w:pPr>
      <w:r w:rsidRPr="003168FF">
        <w:rPr>
          <w:sz w:val="22"/>
          <w:szCs w:val="22"/>
        </w:rPr>
        <w:t>Spivak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M</w:t>
      </w:r>
      <w:r w:rsidR="00654DCB">
        <w:rPr>
          <w:sz w:val="22"/>
          <w:szCs w:val="22"/>
        </w:rPr>
        <w:t>.</w:t>
      </w:r>
      <w:r w:rsidRPr="003168FF">
        <w:rPr>
          <w:sz w:val="22"/>
          <w:szCs w:val="22"/>
        </w:rPr>
        <w:t>, Masterman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R</w:t>
      </w:r>
      <w:r w:rsidR="00654DCB">
        <w:rPr>
          <w:sz w:val="22"/>
          <w:szCs w:val="22"/>
        </w:rPr>
        <w:t>.</w:t>
      </w:r>
      <w:r w:rsidRPr="003168FF">
        <w:rPr>
          <w:sz w:val="22"/>
          <w:szCs w:val="22"/>
        </w:rPr>
        <w:t>, Ross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R</w:t>
      </w:r>
      <w:r w:rsidR="00654DCB">
        <w:rPr>
          <w:sz w:val="22"/>
          <w:szCs w:val="22"/>
        </w:rPr>
        <w:t xml:space="preserve">. &amp; </w:t>
      </w:r>
      <w:r w:rsidRPr="003168FF">
        <w:rPr>
          <w:sz w:val="22"/>
          <w:szCs w:val="22"/>
        </w:rPr>
        <w:t>Mesce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K</w:t>
      </w:r>
      <w:r w:rsidR="00654DCB">
        <w:rPr>
          <w:sz w:val="22"/>
          <w:szCs w:val="22"/>
        </w:rPr>
        <w:t>.</w:t>
      </w:r>
      <w:r w:rsidRPr="003168FF">
        <w:rPr>
          <w:sz w:val="22"/>
          <w:szCs w:val="22"/>
        </w:rPr>
        <w:t>A. Hygienic behavior in the honey bee (</w:t>
      </w:r>
      <w:r w:rsidRPr="00654DCB">
        <w:rPr>
          <w:i/>
          <w:iCs/>
          <w:sz w:val="22"/>
          <w:szCs w:val="22"/>
        </w:rPr>
        <w:t>Apis mellifera</w:t>
      </w:r>
      <w:r w:rsidRPr="003168FF">
        <w:rPr>
          <w:sz w:val="22"/>
          <w:szCs w:val="22"/>
        </w:rPr>
        <w:t xml:space="preserve"> L.) and the modulatory role of octopamine. </w:t>
      </w:r>
      <w:r w:rsidRPr="00654DCB">
        <w:rPr>
          <w:i/>
          <w:iCs/>
          <w:sz w:val="22"/>
          <w:szCs w:val="22"/>
        </w:rPr>
        <w:t>J</w:t>
      </w:r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</w:t>
      </w:r>
      <w:proofErr w:type="spellStart"/>
      <w:r w:rsidRPr="00654DCB">
        <w:rPr>
          <w:i/>
          <w:iCs/>
          <w:sz w:val="22"/>
          <w:szCs w:val="22"/>
        </w:rPr>
        <w:t>Neurobiol</w:t>
      </w:r>
      <w:proofErr w:type="spellEnd"/>
      <w:r w:rsidR="00654DCB" w:rsidRPr="00654DCB">
        <w:rPr>
          <w:i/>
          <w:iCs/>
          <w:sz w:val="22"/>
          <w:szCs w:val="22"/>
        </w:rPr>
        <w:t>.</w:t>
      </w:r>
      <w:r w:rsidRPr="003168FF">
        <w:rPr>
          <w:sz w:val="22"/>
          <w:szCs w:val="22"/>
        </w:rPr>
        <w:t xml:space="preserve"> </w:t>
      </w:r>
      <w:r w:rsidRPr="00654DCB">
        <w:rPr>
          <w:b/>
          <w:bCs/>
          <w:sz w:val="22"/>
          <w:szCs w:val="22"/>
        </w:rPr>
        <w:t>55</w:t>
      </w:r>
      <w:r w:rsidR="00654DCB">
        <w:rPr>
          <w:sz w:val="22"/>
          <w:szCs w:val="22"/>
        </w:rPr>
        <w:t xml:space="preserve">, </w:t>
      </w:r>
      <w:r w:rsidRPr="003168FF">
        <w:rPr>
          <w:sz w:val="22"/>
          <w:szCs w:val="22"/>
        </w:rPr>
        <w:t>341-</w:t>
      </w:r>
      <w:r w:rsidR="00654DCB">
        <w:rPr>
          <w:sz w:val="22"/>
          <w:szCs w:val="22"/>
        </w:rPr>
        <w:t>3</w:t>
      </w:r>
      <w:r w:rsidRPr="003168FF">
        <w:rPr>
          <w:sz w:val="22"/>
          <w:szCs w:val="22"/>
        </w:rPr>
        <w:t xml:space="preserve">54. </w:t>
      </w:r>
      <w:hyperlink r:id="rId7" w:history="1">
        <w:proofErr w:type="spellStart"/>
        <w:r w:rsidRPr="00654DCB">
          <w:rPr>
            <w:rStyle w:val="Hyperlink"/>
            <w:sz w:val="22"/>
            <w:szCs w:val="22"/>
          </w:rPr>
          <w:t>doi</w:t>
        </w:r>
        <w:proofErr w:type="spellEnd"/>
        <w:r w:rsidRPr="00654DCB">
          <w:rPr>
            <w:rStyle w:val="Hyperlink"/>
            <w:sz w:val="22"/>
            <w:szCs w:val="22"/>
          </w:rPr>
          <w:t>: 10.1002/neu.10219</w:t>
        </w:r>
      </w:hyperlink>
      <w:r w:rsidRPr="003168FF">
        <w:rPr>
          <w:sz w:val="22"/>
          <w:szCs w:val="22"/>
        </w:rPr>
        <w:t> </w:t>
      </w:r>
      <w:r w:rsidR="00654DCB">
        <w:rPr>
          <w:sz w:val="22"/>
          <w:szCs w:val="22"/>
        </w:rPr>
        <w:t>(2003)</w:t>
      </w:r>
    </w:p>
    <w:p w14:paraId="6C61C171" w14:textId="4B34B81F" w:rsidR="003168FF" w:rsidRPr="003168FF" w:rsidRDefault="003168FF" w:rsidP="003168FF">
      <w:pPr>
        <w:pStyle w:val="ListParagraph"/>
        <w:numPr>
          <w:ilvl w:val="0"/>
          <w:numId w:val="6"/>
        </w:numPr>
        <w:tabs>
          <w:tab w:val="left" w:pos="1480"/>
          <w:tab w:val="left" w:pos="1890"/>
        </w:tabs>
        <w:rPr>
          <w:sz w:val="22"/>
          <w:szCs w:val="22"/>
        </w:rPr>
      </w:pPr>
      <w:r w:rsidRPr="003168FF">
        <w:rPr>
          <w:sz w:val="22"/>
          <w:szCs w:val="22"/>
        </w:rPr>
        <w:t>Kobayashi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N</w:t>
      </w:r>
      <w:r w:rsidR="00654DCB">
        <w:rPr>
          <w:sz w:val="22"/>
          <w:szCs w:val="22"/>
        </w:rPr>
        <w:t>.</w:t>
      </w:r>
      <w:r w:rsidRPr="003168FF">
        <w:rPr>
          <w:sz w:val="22"/>
          <w:szCs w:val="22"/>
        </w:rPr>
        <w:t>, Hasegawa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Y</w:t>
      </w:r>
      <w:r w:rsidR="00654DCB">
        <w:rPr>
          <w:sz w:val="22"/>
          <w:szCs w:val="22"/>
        </w:rPr>
        <w:t>.</w:t>
      </w:r>
      <w:r w:rsidRPr="003168FF">
        <w:rPr>
          <w:sz w:val="22"/>
          <w:szCs w:val="22"/>
        </w:rPr>
        <w:t>, Okada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R</w:t>
      </w:r>
      <w:r w:rsidR="00654DCB">
        <w:rPr>
          <w:sz w:val="22"/>
          <w:szCs w:val="22"/>
        </w:rPr>
        <w:t xml:space="preserve">. &amp; </w:t>
      </w:r>
      <w:r w:rsidRPr="003168FF">
        <w:rPr>
          <w:sz w:val="22"/>
          <w:szCs w:val="22"/>
        </w:rPr>
        <w:t>Sakura</w:t>
      </w:r>
      <w:r w:rsidR="00654DCB">
        <w:rPr>
          <w:sz w:val="22"/>
          <w:szCs w:val="22"/>
        </w:rPr>
        <w:t>,</w:t>
      </w:r>
      <w:r w:rsidRPr="003168FF">
        <w:rPr>
          <w:sz w:val="22"/>
          <w:szCs w:val="22"/>
        </w:rPr>
        <w:t xml:space="preserve"> M. Visual learning in tethered bees modifies flight orientation and is impaired by </w:t>
      </w:r>
      <w:proofErr w:type="spellStart"/>
      <w:r w:rsidRPr="003168FF">
        <w:rPr>
          <w:sz w:val="22"/>
          <w:szCs w:val="22"/>
        </w:rPr>
        <w:t>epinastine</w:t>
      </w:r>
      <w:proofErr w:type="spellEnd"/>
      <w:r w:rsidRPr="003168FF">
        <w:rPr>
          <w:sz w:val="22"/>
          <w:szCs w:val="22"/>
        </w:rPr>
        <w:t xml:space="preserve">. </w:t>
      </w:r>
      <w:r w:rsidRPr="00654DCB">
        <w:rPr>
          <w:i/>
          <w:iCs/>
          <w:sz w:val="22"/>
          <w:szCs w:val="22"/>
        </w:rPr>
        <w:t>J</w:t>
      </w:r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Comp</w:t>
      </w:r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Physiol</w:t>
      </w:r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A </w:t>
      </w:r>
      <w:proofErr w:type="spellStart"/>
      <w:r w:rsidRPr="00654DCB">
        <w:rPr>
          <w:i/>
          <w:iCs/>
          <w:sz w:val="22"/>
          <w:szCs w:val="22"/>
        </w:rPr>
        <w:t>Neuroethol</w:t>
      </w:r>
      <w:proofErr w:type="spellEnd"/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Sens</w:t>
      </w:r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Neural </w:t>
      </w:r>
      <w:proofErr w:type="spellStart"/>
      <w:r w:rsidRPr="00654DCB">
        <w:rPr>
          <w:i/>
          <w:iCs/>
          <w:sz w:val="22"/>
          <w:szCs w:val="22"/>
        </w:rPr>
        <w:t>Behav</w:t>
      </w:r>
      <w:proofErr w:type="spellEnd"/>
      <w:r w:rsidR="00654DCB" w:rsidRPr="00654DCB">
        <w:rPr>
          <w:i/>
          <w:iCs/>
          <w:sz w:val="22"/>
          <w:szCs w:val="22"/>
        </w:rPr>
        <w:t>.</w:t>
      </w:r>
      <w:r w:rsidRPr="00654DCB">
        <w:rPr>
          <w:i/>
          <w:iCs/>
          <w:sz w:val="22"/>
          <w:szCs w:val="22"/>
        </w:rPr>
        <w:t xml:space="preserve"> Physiol.</w:t>
      </w:r>
      <w:r w:rsidRPr="003168FF">
        <w:rPr>
          <w:sz w:val="22"/>
          <w:szCs w:val="22"/>
        </w:rPr>
        <w:t xml:space="preserve"> </w:t>
      </w:r>
      <w:r w:rsidRPr="00654DCB">
        <w:rPr>
          <w:b/>
          <w:bCs/>
          <w:sz w:val="22"/>
          <w:szCs w:val="22"/>
        </w:rPr>
        <w:t>209</w:t>
      </w:r>
      <w:r w:rsidR="00654DCB">
        <w:rPr>
          <w:sz w:val="22"/>
          <w:szCs w:val="22"/>
        </w:rPr>
        <w:t xml:space="preserve">, </w:t>
      </w:r>
      <w:r w:rsidRPr="003168FF">
        <w:rPr>
          <w:sz w:val="22"/>
          <w:szCs w:val="22"/>
        </w:rPr>
        <w:t xml:space="preserve">529-539. </w:t>
      </w:r>
      <w:hyperlink r:id="rId8" w:history="1">
        <w:proofErr w:type="spellStart"/>
        <w:r w:rsidRPr="00654DCB">
          <w:rPr>
            <w:rStyle w:val="Hyperlink"/>
            <w:sz w:val="22"/>
            <w:szCs w:val="22"/>
          </w:rPr>
          <w:t>doi</w:t>
        </w:r>
        <w:proofErr w:type="spellEnd"/>
        <w:r w:rsidRPr="00654DCB">
          <w:rPr>
            <w:rStyle w:val="Hyperlink"/>
            <w:sz w:val="22"/>
            <w:szCs w:val="22"/>
          </w:rPr>
          <w:t>: 10.1007/s00359-023-01623-z</w:t>
        </w:r>
      </w:hyperlink>
      <w:r w:rsidR="00654DCB">
        <w:rPr>
          <w:sz w:val="22"/>
          <w:szCs w:val="22"/>
        </w:rPr>
        <w:t xml:space="preserve"> (2023).</w:t>
      </w:r>
    </w:p>
    <w:sectPr w:rsidR="003168FF" w:rsidRPr="003168FF" w:rsidSect="00387450">
      <w:pgSz w:w="12240" w:h="15840"/>
      <w:pgMar w:top="90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E2687"/>
    <w:multiLevelType w:val="hybridMultilevel"/>
    <w:tmpl w:val="A0C8C534"/>
    <w:lvl w:ilvl="0" w:tplc="EB164D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C6C9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CE1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BC95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6C26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4E8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0838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423F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A40F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B62094F"/>
    <w:multiLevelType w:val="hybridMultilevel"/>
    <w:tmpl w:val="55401280"/>
    <w:lvl w:ilvl="0" w:tplc="6472D00E">
      <w:start w:val="1"/>
      <w:numFmt w:val="decimal"/>
      <w:lvlText w:val="%1."/>
      <w:lvlJc w:val="left"/>
      <w:pPr>
        <w:ind w:left="720" w:hanging="360"/>
      </w:pPr>
      <w:rPr>
        <w:rFonts w:ascii="Aptos" w:eastAsia="Aptos" w:hAnsi="Aptos" w:cs="Aptos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052859"/>
    <w:multiLevelType w:val="hybridMultilevel"/>
    <w:tmpl w:val="38F45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F52648"/>
    <w:multiLevelType w:val="hybridMultilevel"/>
    <w:tmpl w:val="C0167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C306EA"/>
    <w:multiLevelType w:val="hybridMultilevel"/>
    <w:tmpl w:val="DFECE1E4"/>
    <w:lvl w:ilvl="0" w:tplc="6C149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224A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CEB3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1C2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2CC6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628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02AA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36E0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1E08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62F0DF6"/>
    <w:multiLevelType w:val="hybridMultilevel"/>
    <w:tmpl w:val="85941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647DDC"/>
    <w:multiLevelType w:val="hybridMultilevel"/>
    <w:tmpl w:val="664AA2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99695836">
    <w:abstractNumId w:val="4"/>
  </w:num>
  <w:num w:numId="2" w16cid:durableId="1053650128">
    <w:abstractNumId w:val="0"/>
  </w:num>
  <w:num w:numId="3" w16cid:durableId="227763180">
    <w:abstractNumId w:val="2"/>
  </w:num>
  <w:num w:numId="4" w16cid:durableId="1222328795">
    <w:abstractNumId w:val="5"/>
  </w:num>
  <w:num w:numId="5" w16cid:durableId="1738815937">
    <w:abstractNumId w:val="6"/>
  </w:num>
  <w:num w:numId="6" w16cid:durableId="15079801">
    <w:abstractNumId w:val="3"/>
  </w:num>
  <w:num w:numId="7" w16cid:durableId="936208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EFA"/>
    <w:rsid w:val="00072888"/>
    <w:rsid w:val="00077C33"/>
    <w:rsid w:val="000F1D1C"/>
    <w:rsid w:val="00157808"/>
    <w:rsid w:val="002F5735"/>
    <w:rsid w:val="003168FF"/>
    <w:rsid w:val="0036697F"/>
    <w:rsid w:val="00387450"/>
    <w:rsid w:val="003A5FF1"/>
    <w:rsid w:val="005044FD"/>
    <w:rsid w:val="005710CC"/>
    <w:rsid w:val="005A6A65"/>
    <w:rsid w:val="005B2B1B"/>
    <w:rsid w:val="006458D1"/>
    <w:rsid w:val="00654DCB"/>
    <w:rsid w:val="007E3634"/>
    <w:rsid w:val="009814AE"/>
    <w:rsid w:val="0099412F"/>
    <w:rsid w:val="00AB1CB7"/>
    <w:rsid w:val="00AB6EFA"/>
    <w:rsid w:val="00AC0D70"/>
    <w:rsid w:val="00AE760C"/>
    <w:rsid w:val="00B12547"/>
    <w:rsid w:val="00C61098"/>
    <w:rsid w:val="00D53881"/>
    <w:rsid w:val="00E02344"/>
    <w:rsid w:val="00E86DD3"/>
    <w:rsid w:val="00F233F3"/>
    <w:rsid w:val="00FA6B0F"/>
    <w:rsid w:val="00FA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98257"/>
  <w15:chartTrackingRefBased/>
  <w15:docId w15:val="{F4ECF3D3-436A-4A7E-9900-CA0C9A455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6E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E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E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E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E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E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E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E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E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E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E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E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E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E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E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E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E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E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E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E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E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E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E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E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E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E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E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E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EF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4DC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D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68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356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38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41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37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6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588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3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82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doi:%2010.1007/s00359-023-01623-z" TargetMode="External"/><Relationship Id="rId3" Type="http://schemas.openxmlformats.org/officeDocument/2006/relationships/settings" Target="settings.xml"/><Relationship Id="rId7" Type="http://schemas.openxmlformats.org/officeDocument/2006/relationships/hyperlink" Target="doi:%2010.1002/neu.102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doi:%2010.1016/s0014-2999(98)00192-7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Fahrbach, Susan</dc:creator>
  <cp:keywords/>
  <dc:description/>
  <cp:lastModifiedBy>Fahrbach, Susan</cp:lastModifiedBy>
  <cp:revision>15</cp:revision>
  <dcterms:created xsi:type="dcterms:W3CDTF">2025-03-30T22:08:00Z</dcterms:created>
  <dcterms:modified xsi:type="dcterms:W3CDTF">2025-04-11T21:46:00Z</dcterms:modified>
</cp:coreProperties>
</file>