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37EEC" w14:textId="77777777" w:rsidR="006638B2" w:rsidRDefault="006638B2" w:rsidP="006638B2">
      <w:pPr>
        <w:tabs>
          <w:tab w:val="left" w:pos="1480"/>
          <w:tab w:val="left" w:pos="1890"/>
        </w:tabs>
        <w:ind w:left="360"/>
        <w:rPr>
          <w:sz w:val="22"/>
          <w:szCs w:val="22"/>
        </w:rPr>
      </w:pPr>
      <w:r w:rsidRPr="006458D1">
        <w:rPr>
          <w:sz w:val="22"/>
          <w:szCs w:val="22"/>
        </w:rPr>
        <w:t xml:space="preserve">Figure </w:t>
      </w:r>
      <w:r>
        <w:rPr>
          <w:sz w:val="22"/>
          <w:szCs w:val="22"/>
        </w:rPr>
        <w:t>S1</w:t>
      </w:r>
      <w:r w:rsidRPr="006458D1">
        <w:rPr>
          <w:sz w:val="22"/>
          <w:szCs w:val="22"/>
        </w:rPr>
        <w:t xml:space="preserve">. Percentage of harnessed, newly emerged honey bees responding to a touch on an antenna with </w:t>
      </w:r>
      <w:r>
        <w:rPr>
          <w:sz w:val="22"/>
          <w:szCs w:val="22"/>
        </w:rPr>
        <w:t xml:space="preserve">reflexive </w:t>
      </w:r>
      <w:r w:rsidRPr="006458D1">
        <w:rPr>
          <w:sz w:val="22"/>
          <w:szCs w:val="22"/>
        </w:rPr>
        <w:t xml:space="preserve">extension of the proboscis. Subjects received an injection of 40 mM </w:t>
      </w:r>
      <w:proofErr w:type="spellStart"/>
      <w:r w:rsidRPr="006458D1">
        <w:rPr>
          <w:sz w:val="22"/>
          <w:szCs w:val="22"/>
        </w:rPr>
        <w:t>epinastine</w:t>
      </w:r>
      <w:proofErr w:type="spellEnd"/>
      <w:r w:rsidRPr="006458D1">
        <w:rPr>
          <w:sz w:val="22"/>
          <w:szCs w:val="22"/>
        </w:rPr>
        <w:t xml:space="preserve"> hydrochloride dissolved in PBS or the PBS vehicle alone one hour prior to topical application of amitraz dissolved in acetone or the acetone solvent alone. Sucrose sensitivity testing began 2 h after the application of amitraz or acetone. Differences in responding were evident at the lower sucrose concentrations (0.3%, 1%, and 3%), but not at higher concentrations. At these concentrations, </w:t>
      </w:r>
      <w:r>
        <w:rPr>
          <w:sz w:val="22"/>
          <w:szCs w:val="22"/>
        </w:rPr>
        <w:t>the</w:t>
      </w:r>
      <w:r w:rsidRPr="006458D1">
        <w:rPr>
          <w:sz w:val="22"/>
          <w:szCs w:val="22"/>
        </w:rPr>
        <w:t xml:space="preserve"> </w:t>
      </w:r>
      <w:r>
        <w:rPr>
          <w:sz w:val="22"/>
          <w:szCs w:val="22"/>
        </w:rPr>
        <w:t>increase in</w:t>
      </w:r>
      <w:r w:rsidRPr="006458D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the </w:t>
      </w:r>
      <w:r w:rsidRPr="006458D1">
        <w:rPr>
          <w:sz w:val="22"/>
          <w:szCs w:val="22"/>
        </w:rPr>
        <w:t>percentage</w:t>
      </w:r>
      <w:r>
        <w:rPr>
          <w:sz w:val="22"/>
          <w:szCs w:val="22"/>
        </w:rPr>
        <w:t xml:space="preserve"> of subjects</w:t>
      </w:r>
      <w:r w:rsidRPr="006458D1">
        <w:rPr>
          <w:sz w:val="22"/>
          <w:szCs w:val="22"/>
        </w:rPr>
        <w:t xml:space="preserve"> responding 2 h after amitraz exposure </w:t>
      </w:r>
      <w:r>
        <w:rPr>
          <w:sz w:val="22"/>
          <w:szCs w:val="22"/>
        </w:rPr>
        <w:t xml:space="preserve">observed in the </w:t>
      </w:r>
      <w:r w:rsidRPr="006458D1">
        <w:rPr>
          <w:sz w:val="22"/>
          <w:szCs w:val="22"/>
        </w:rPr>
        <w:t xml:space="preserve">PBS and </w:t>
      </w:r>
      <w:r>
        <w:rPr>
          <w:sz w:val="22"/>
          <w:szCs w:val="22"/>
        </w:rPr>
        <w:t>A</w:t>
      </w:r>
      <w:r w:rsidRPr="006458D1">
        <w:rPr>
          <w:sz w:val="22"/>
          <w:szCs w:val="22"/>
        </w:rPr>
        <w:t>mitraz group (orange bars)</w:t>
      </w:r>
      <w:r>
        <w:rPr>
          <w:sz w:val="22"/>
          <w:szCs w:val="22"/>
        </w:rPr>
        <w:t xml:space="preserve"> </w:t>
      </w:r>
      <w:r w:rsidRPr="006458D1">
        <w:rPr>
          <w:sz w:val="22"/>
          <w:szCs w:val="22"/>
        </w:rPr>
        <w:t xml:space="preserve">was blocked by prior treatment with </w:t>
      </w:r>
      <w:proofErr w:type="spellStart"/>
      <w:r w:rsidRPr="006458D1">
        <w:rPr>
          <w:sz w:val="22"/>
          <w:szCs w:val="22"/>
        </w:rPr>
        <w:t>epinastine</w:t>
      </w:r>
      <w:proofErr w:type="spellEnd"/>
      <w:r w:rsidRPr="006458D1"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E</w:t>
      </w:r>
      <w:r w:rsidRPr="006458D1">
        <w:rPr>
          <w:sz w:val="22"/>
          <w:szCs w:val="22"/>
        </w:rPr>
        <w:t>pinastine</w:t>
      </w:r>
      <w:proofErr w:type="spellEnd"/>
      <w:r w:rsidRPr="006458D1">
        <w:rPr>
          <w:sz w:val="22"/>
          <w:szCs w:val="22"/>
        </w:rPr>
        <w:t xml:space="preserve"> and </w:t>
      </w:r>
      <w:r>
        <w:rPr>
          <w:sz w:val="22"/>
          <w:szCs w:val="22"/>
        </w:rPr>
        <w:t>A</w:t>
      </w:r>
      <w:r w:rsidRPr="006458D1">
        <w:rPr>
          <w:sz w:val="22"/>
          <w:szCs w:val="22"/>
        </w:rPr>
        <w:t xml:space="preserve">mitraz group, yellow bars). </w:t>
      </w:r>
    </w:p>
    <w:p w14:paraId="04A1E17B" w14:textId="77777777" w:rsidR="005B2B1B" w:rsidRDefault="005B2B1B"/>
    <w:sectPr w:rsidR="005B2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8B2"/>
    <w:rsid w:val="005710CC"/>
    <w:rsid w:val="005B2B1B"/>
    <w:rsid w:val="006638B2"/>
    <w:rsid w:val="00DA5110"/>
    <w:rsid w:val="00FA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2140D"/>
  <w15:chartTrackingRefBased/>
  <w15:docId w15:val="{DF8703B5-929A-4FBD-9727-9F283B84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8B2"/>
  </w:style>
  <w:style w:type="paragraph" w:styleId="Heading1">
    <w:name w:val="heading 1"/>
    <w:basedOn w:val="Normal"/>
    <w:next w:val="Normal"/>
    <w:link w:val="Heading1Char"/>
    <w:uiPriority w:val="9"/>
    <w:qFormat/>
    <w:rsid w:val="006638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38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38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38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38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38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38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38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8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38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38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38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38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38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38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38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38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8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38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38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38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38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38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38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38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38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38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38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38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Fahrbach, Susan</dc:creator>
  <cp:keywords/>
  <dc:description/>
  <cp:lastModifiedBy>Fahrbach, Susan</cp:lastModifiedBy>
  <cp:revision>2</cp:revision>
  <dcterms:created xsi:type="dcterms:W3CDTF">2025-04-11T21:46:00Z</dcterms:created>
  <dcterms:modified xsi:type="dcterms:W3CDTF">2025-04-11T21:46:00Z</dcterms:modified>
</cp:coreProperties>
</file>