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94895F" w14:textId="2AB58A64" w:rsidR="00606F51" w:rsidRPr="00CA47DE" w:rsidRDefault="00606F51" w:rsidP="00CA47D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</w:pPr>
      <w:r w:rsidRPr="00CA47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66B764" wp14:editId="70083EC0">
            <wp:extent cx="3628765" cy="8126083"/>
            <wp:effectExtent l="0" t="0" r="0" b="0"/>
            <wp:docPr id="20771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359" cy="813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4536B" w14:textId="4181BF4B" w:rsidR="00606F51" w:rsidRPr="00CA47DE" w:rsidRDefault="00606F51" w:rsidP="00CA47DE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A47D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Fig. 1</w:t>
      </w:r>
      <w:r w:rsidRPr="00CA47D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A47DE">
        <w:rPr>
          <w:rFonts w:ascii="Times New Roman" w:hAnsi="Times New Roman" w:cs="Times New Roman"/>
          <w:i/>
          <w:sz w:val="24"/>
          <w:szCs w:val="24"/>
        </w:rPr>
        <w:t>Kappaphycus</w:t>
      </w:r>
      <w:proofErr w:type="spellEnd"/>
      <w:r w:rsidRPr="00CA47D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A47DE">
        <w:rPr>
          <w:rFonts w:ascii="Times New Roman" w:hAnsi="Times New Roman" w:cs="Times New Roman"/>
          <w:i/>
          <w:sz w:val="24"/>
          <w:szCs w:val="24"/>
        </w:rPr>
        <w:t>alvarezii</w:t>
      </w:r>
      <w:proofErr w:type="spellEnd"/>
    </w:p>
    <w:p w14:paraId="6A8888D2" w14:textId="05F1D6B4" w:rsidR="00606F51" w:rsidRPr="00CA47DE" w:rsidRDefault="00606F51" w:rsidP="00CA47DE">
      <w:pPr>
        <w:jc w:val="both"/>
        <w:rPr>
          <w:rFonts w:ascii="Times New Roman" w:eastAsia="Times New Roman" w:hAnsi="Times New Roman" w:cs="Times New Roman"/>
          <w:iCs/>
          <w:sz w:val="24"/>
          <w:szCs w:val="24"/>
          <w:lang w:val="en-IN" w:eastAsia="en-IN"/>
        </w:rPr>
      </w:pPr>
      <w:r w:rsidRPr="00CA47DE">
        <w:rPr>
          <w:rFonts w:ascii="Times New Roman" w:eastAsia="Times New Roman" w:hAnsi="Times New Roman" w:cs="Times New Roman"/>
          <w:iCs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1CC9452D" wp14:editId="62AC4577">
            <wp:extent cx="5542915" cy="4114165"/>
            <wp:effectExtent l="0" t="0" r="0" b="0"/>
            <wp:docPr id="14778966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411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218A7" w14:textId="77777777" w:rsidR="00606F51" w:rsidRPr="00CA47DE" w:rsidRDefault="00606F51" w:rsidP="00CA47DE">
      <w:pPr>
        <w:pStyle w:val="Body"/>
        <w:jc w:val="both"/>
        <w:rPr>
          <w:rFonts w:cs="Times New Roman"/>
          <w:color w:val="auto"/>
        </w:rPr>
      </w:pPr>
      <w:r w:rsidRPr="00CA47DE">
        <w:rPr>
          <w:rStyle w:val="None"/>
          <w:rFonts w:cs="Times New Roman"/>
          <w:b/>
          <w:bCs/>
          <w:color w:val="auto"/>
        </w:rPr>
        <w:t xml:space="preserve">Fig. 2 </w:t>
      </w:r>
      <w:r w:rsidRPr="00CA47DE">
        <w:rPr>
          <w:rStyle w:val="None"/>
          <w:rFonts w:cs="Times New Roman"/>
          <w:bCs/>
          <w:color w:val="auto"/>
        </w:rPr>
        <w:t>FT-IR analysis of phycoerythrin</w:t>
      </w:r>
    </w:p>
    <w:p w14:paraId="727345CA" w14:textId="77777777" w:rsidR="00606F51" w:rsidRPr="00CA47DE" w:rsidRDefault="00606F51" w:rsidP="00CA47DE">
      <w:pPr>
        <w:pStyle w:val="Body"/>
        <w:jc w:val="both"/>
        <w:rPr>
          <w:rStyle w:val="None"/>
          <w:rFonts w:cs="Times New Roman"/>
          <w:b/>
          <w:color w:val="auto"/>
        </w:rPr>
      </w:pPr>
    </w:p>
    <w:p w14:paraId="532D5C9F" w14:textId="4063E31D" w:rsidR="00606F51" w:rsidRPr="00CA47DE" w:rsidRDefault="00606F51" w:rsidP="00CA47DE">
      <w:pPr>
        <w:pStyle w:val="Body"/>
        <w:jc w:val="both"/>
        <w:rPr>
          <w:rStyle w:val="None"/>
          <w:rFonts w:cs="Times New Roman"/>
          <w:b/>
          <w:color w:val="auto"/>
        </w:rPr>
      </w:pPr>
      <w:r w:rsidRPr="00CA47DE">
        <w:rPr>
          <w:rStyle w:val="None"/>
          <w:rFonts w:cs="Times New Roman"/>
          <w:b/>
          <w:noProof/>
          <w:color w:val="auto"/>
        </w:rPr>
        <w:lastRenderedPageBreak/>
        <w:drawing>
          <wp:inline distT="0" distB="0" distL="0" distR="0" wp14:anchorId="411AB492" wp14:editId="7ED6744E">
            <wp:extent cx="5986145" cy="3994030"/>
            <wp:effectExtent l="0" t="0" r="0" b="0"/>
            <wp:docPr id="18296377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357" cy="399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42F85F" w14:textId="17CB6F23" w:rsidR="00606F51" w:rsidRPr="00CA47DE" w:rsidRDefault="00606F51" w:rsidP="00CA47DE">
      <w:pPr>
        <w:pStyle w:val="Body"/>
        <w:jc w:val="both"/>
        <w:rPr>
          <w:rStyle w:val="None"/>
          <w:rFonts w:cs="Times New Roman"/>
          <w:b/>
          <w:bCs/>
          <w:color w:val="auto"/>
        </w:rPr>
      </w:pPr>
      <w:r w:rsidRPr="00CA47DE">
        <w:rPr>
          <w:rStyle w:val="None"/>
          <w:rFonts w:cs="Times New Roman"/>
          <w:b/>
          <w:color w:val="auto"/>
        </w:rPr>
        <w:t>Fig. 3</w:t>
      </w:r>
      <w:r w:rsidRPr="00CA47DE">
        <w:rPr>
          <w:rStyle w:val="None"/>
          <w:rFonts w:cs="Times New Roman"/>
          <w:color w:val="auto"/>
        </w:rPr>
        <w:t xml:space="preserve"> HPLC analysis of phycoerythrin</w:t>
      </w:r>
    </w:p>
    <w:p w14:paraId="457F9E7E" w14:textId="77777777" w:rsidR="00606F51" w:rsidRPr="00CA47DE" w:rsidRDefault="00606F51" w:rsidP="00CA47DE">
      <w:pPr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en-IN"/>
        </w:rPr>
      </w:pPr>
    </w:p>
    <w:p w14:paraId="22A02B4E" w14:textId="473E8BA2" w:rsidR="00606F51" w:rsidRPr="00CA47DE" w:rsidRDefault="00606F51" w:rsidP="00CA47DE">
      <w:pPr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en-IN"/>
        </w:rPr>
      </w:pPr>
      <w:r w:rsidRPr="00CA47DE">
        <w:rPr>
          <w:rFonts w:ascii="Times New Roman" w:eastAsia="Times New Roman" w:hAnsi="Times New Roman" w:cs="Times New Roman"/>
          <w:iCs/>
          <w:noProof/>
          <w:sz w:val="24"/>
          <w:szCs w:val="24"/>
          <w:lang w:eastAsia="en-IN"/>
        </w:rPr>
        <w:drawing>
          <wp:inline distT="0" distB="0" distL="0" distR="0" wp14:anchorId="654B2C77" wp14:editId="3DB610E5">
            <wp:extent cx="5790565" cy="3656965"/>
            <wp:effectExtent l="0" t="0" r="0" b="0"/>
            <wp:docPr id="14902309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5" cy="365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670319" w14:textId="77777777" w:rsidR="00606F51" w:rsidRPr="00CA47DE" w:rsidRDefault="00606F51" w:rsidP="00CA47DE">
      <w:pPr>
        <w:pStyle w:val="Body"/>
        <w:jc w:val="both"/>
        <w:rPr>
          <w:rStyle w:val="None"/>
          <w:rFonts w:cs="Times New Roman"/>
          <w:color w:val="auto"/>
        </w:rPr>
      </w:pPr>
      <w:r w:rsidRPr="00CA47DE">
        <w:rPr>
          <w:rStyle w:val="None"/>
          <w:rFonts w:cs="Times New Roman"/>
          <w:b/>
          <w:color w:val="auto"/>
        </w:rPr>
        <w:t>Fig. 4</w:t>
      </w:r>
      <w:r w:rsidRPr="00CA47DE">
        <w:rPr>
          <w:rStyle w:val="None"/>
          <w:rFonts w:cs="Times New Roman"/>
          <w:color w:val="auto"/>
        </w:rPr>
        <w:t xml:space="preserve"> GC-MS analysis of phycoerythrin</w:t>
      </w:r>
    </w:p>
    <w:p w14:paraId="2871AAED" w14:textId="2CADC6CA" w:rsidR="00606F51" w:rsidRPr="00CA47DE" w:rsidRDefault="00606F51" w:rsidP="00CA47DE">
      <w:pPr>
        <w:tabs>
          <w:tab w:val="left" w:pos="51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52608" behindDoc="1" locked="0" layoutInCell="1" allowOverlap="1" wp14:anchorId="60BB0F87" wp14:editId="081D8872">
            <wp:simplePos x="0" y="0"/>
            <wp:positionH relativeFrom="column">
              <wp:posOffset>3152775</wp:posOffset>
            </wp:positionH>
            <wp:positionV relativeFrom="paragraph">
              <wp:posOffset>0</wp:posOffset>
            </wp:positionV>
            <wp:extent cx="2486025" cy="1704975"/>
            <wp:effectExtent l="0" t="0" r="0" b="0"/>
            <wp:wrapTight wrapText="bothSides">
              <wp:wrapPolygon edited="0">
                <wp:start x="0" y="0"/>
                <wp:lineTo x="0" y="21479"/>
                <wp:lineTo x="21517" y="21479"/>
                <wp:lineTo x="21517" y="0"/>
                <wp:lineTo x="0" y="0"/>
              </wp:wrapPolygon>
            </wp:wrapTight>
            <wp:docPr id="1456052199" name="Picture 13" descr="A close-up of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052199" name="Picture 13" descr="A close-up of a white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7DE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49536" behindDoc="1" locked="0" layoutInCell="1" allowOverlap="1" wp14:anchorId="034F9BAB" wp14:editId="0D36BDD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86025" cy="1704975"/>
            <wp:effectExtent l="0" t="0" r="0" b="0"/>
            <wp:wrapTight wrapText="bothSides">
              <wp:wrapPolygon edited="0">
                <wp:start x="0" y="0"/>
                <wp:lineTo x="0" y="21479"/>
                <wp:lineTo x="21517" y="21479"/>
                <wp:lineTo x="21517" y="0"/>
                <wp:lineTo x="0" y="0"/>
              </wp:wrapPolygon>
            </wp:wrapTight>
            <wp:docPr id="1199277569" name="Picture 12" descr="A close-up of a grey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277569" name="Picture 12" descr="A close-up of a grey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72076" w14:textId="77777777" w:rsidR="00606F51" w:rsidRPr="00CA47DE" w:rsidRDefault="00606F51" w:rsidP="00CA47DE">
      <w:pPr>
        <w:tabs>
          <w:tab w:val="left" w:pos="513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B652AF5" w14:textId="77777777" w:rsidR="00606F51" w:rsidRPr="00CA47DE" w:rsidRDefault="00606F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2DB58B" w14:textId="77777777" w:rsidR="00606F51" w:rsidRPr="00CA47DE" w:rsidRDefault="00606F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9A8CB4" w14:textId="77777777" w:rsidR="00606F51" w:rsidRPr="00CA47DE" w:rsidRDefault="00606F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14D538" w14:textId="25E77D76" w:rsidR="00606F51" w:rsidRPr="00CA47DE" w:rsidRDefault="00606F51" w:rsidP="00CA47DE">
      <w:pPr>
        <w:tabs>
          <w:tab w:val="left" w:pos="264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752" behindDoc="1" locked="0" layoutInCell="1" allowOverlap="1" wp14:anchorId="201398A2" wp14:editId="345A7491">
            <wp:simplePos x="0" y="0"/>
            <wp:positionH relativeFrom="column">
              <wp:posOffset>3152775</wp:posOffset>
            </wp:positionH>
            <wp:positionV relativeFrom="paragraph">
              <wp:posOffset>200025</wp:posOffset>
            </wp:positionV>
            <wp:extent cx="2552700" cy="1743075"/>
            <wp:effectExtent l="0" t="0" r="0" b="0"/>
            <wp:wrapTight wrapText="bothSides">
              <wp:wrapPolygon edited="0">
                <wp:start x="0" y="0"/>
                <wp:lineTo x="0" y="21482"/>
                <wp:lineTo x="21439" y="21482"/>
                <wp:lineTo x="21439" y="0"/>
                <wp:lineTo x="0" y="0"/>
              </wp:wrapPolygon>
            </wp:wrapTight>
            <wp:docPr id="1609520375" name="Picture 11" descr="A close-up of a microsc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520375" name="Picture 11" descr="A close-up of a microsco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7DE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5680" behindDoc="1" locked="0" layoutInCell="1" allowOverlap="1" wp14:anchorId="2AD34A75" wp14:editId="3ACF0E0A">
            <wp:simplePos x="0" y="0"/>
            <wp:positionH relativeFrom="column">
              <wp:posOffset>9525</wp:posOffset>
            </wp:positionH>
            <wp:positionV relativeFrom="paragraph">
              <wp:posOffset>219075</wp:posOffset>
            </wp:positionV>
            <wp:extent cx="2527300" cy="1724025"/>
            <wp:effectExtent l="0" t="0" r="0" b="0"/>
            <wp:wrapTight wrapText="bothSides">
              <wp:wrapPolygon edited="0">
                <wp:start x="0" y="0"/>
                <wp:lineTo x="0" y="21481"/>
                <wp:lineTo x="21491" y="21481"/>
                <wp:lineTo x="21491" y="0"/>
                <wp:lineTo x="0" y="0"/>
              </wp:wrapPolygon>
            </wp:wrapTight>
            <wp:docPr id="984526072" name="Picture 10" descr="A close-up of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26072" name="Picture 10" descr="A close-up of a white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7DE">
        <w:rPr>
          <w:rFonts w:ascii="Times New Roman" w:hAnsi="Times New Roman" w:cs="Times New Roman"/>
          <w:sz w:val="24"/>
          <w:szCs w:val="24"/>
        </w:rPr>
        <w:t>Control cells</w:t>
      </w:r>
      <w:r w:rsidRPr="00CA47DE">
        <w:rPr>
          <w:rFonts w:ascii="Times New Roman" w:hAnsi="Times New Roman" w:cs="Times New Roman"/>
          <w:sz w:val="24"/>
          <w:szCs w:val="24"/>
        </w:rPr>
        <w:tab/>
      </w:r>
      <w:r w:rsidRPr="00CA47DE">
        <w:rPr>
          <w:rFonts w:ascii="Times New Roman" w:hAnsi="Times New Roman" w:cs="Times New Roman"/>
          <w:sz w:val="24"/>
          <w:szCs w:val="24"/>
        </w:rPr>
        <w:tab/>
      </w:r>
      <w:r w:rsidRPr="00CA47DE">
        <w:rPr>
          <w:rFonts w:ascii="Times New Roman" w:hAnsi="Times New Roman" w:cs="Times New Roman"/>
          <w:sz w:val="24"/>
          <w:szCs w:val="24"/>
        </w:rPr>
        <w:tab/>
      </w:r>
      <w:r w:rsidRPr="00CA47DE">
        <w:rPr>
          <w:rFonts w:ascii="Times New Roman" w:hAnsi="Times New Roman" w:cs="Times New Roman"/>
          <w:sz w:val="24"/>
          <w:szCs w:val="24"/>
        </w:rPr>
        <w:tab/>
      </w:r>
      <w:r w:rsidRPr="00CA47DE">
        <w:rPr>
          <w:rFonts w:ascii="Times New Roman" w:hAnsi="Times New Roman" w:cs="Times New Roman"/>
          <w:sz w:val="24"/>
          <w:szCs w:val="24"/>
        </w:rPr>
        <w:tab/>
      </w:r>
      <w:r w:rsidRPr="00CA47DE">
        <w:rPr>
          <w:rFonts w:ascii="Times New Roman" w:hAnsi="Times New Roman" w:cs="Times New Roman"/>
          <w:sz w:val="24"/>
          <w:szCs w:val="24"/>
        </w:rPr>
        <w:tab/>
        <w:t xml:space="preserve">50 </w:t>
      </w:r>
      <w:proofErr w:type="spellStart"/>
      <w:r w:rsidRPr="00CA47DE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CA47DE">
        <w:rPr>
          <w:rFonts w:ascii="Times New Roman" w:hAnsi="Times New Roman" w:cs="Times New Roman"/>
          <w:sz w:val="24"/>
          <w:szCs w:val="24"/>
        </w:rPr>
        <w:t>/ml</w:t>
      </w:r>
    </w:p>
    <w:p w14:paraId="71449AAF" w14:textId="77777777" w:rsidR="00606F51" w:rsidRPr="00CA47DE" w:rsidRDefault="00606F51" w:rsidP="00CA47DE">
      <w:pPr>
        <w:tabs>
          <w:tab w:val="left" w:pos="264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FEF2781" w14:textId="77777777" w:rsidR="00606F51" w:rsidRPr="00CA47DE" w:rsidRDefault="00606F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CB6A7C" w14:textId="77777777" w:rsidR="00606F51" w:rsidRPr="00CA47DE" w:rsidRDefault="00606F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C1032B" w14:textId="77777777" w:rsidR="00606F51" w:rsidRPr="00CA47DE" w:rsidRDefault="00606F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A36694" w14:textId="77777777" w:rsidR="00606F51" w:rsidRPr="00CA47DE" w:rsidRDefault="00606F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A3336D" w14:textId="1A9047D0" w:rsidR="00606F51" w:rsidRPr="00CA47DE" w:rsidRDefault="00606F51" w:rsidP="00CA47DE">
      <w:pPr>
        <w:tabs>
          <w:tab w:val="left" w:pos="393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4896" behindDoc="1" locked="0" layoutInCell="1" allowOverlap="1" wp14:anchorId="06DC3F8D" wp14:editId="45BE910A">
            <wp:simplePos x="0" y="0"/>
            <wp:positionH relativeFrom="column">
              <wp:posOffset>3162300</wp:posOffset>
            </wp:positionH>
            <wp:positionV relativeFrom="paragraph">
              <wp:posOffset>236855</wp:posOffset>
            </wp:positionV>
            <wp:extent cx="2607945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58" y="21357"/>
                <wp:lineTo x="21458" y="0"/>
                <wp:lineTo x="0" y="0"/>
              </wp:wrapPolygon>
            </wp:wrapTight>
            <wp:docPr id="1914415500" name="Picture 9" descr="A close-up of a grey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415500" name="Picture 9" descr="A close-up of a grey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7DE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1824" behindDoc="1" locked="0" layoutInCell="1" allowOverlap="1" wp14:anchorId="4A7EBDEB" wp14:editId="2C75FED9">
            <wp:simplePos x="0" y="0"/>
            <wp:positionH relativeFrom="column">
              <wp:posOffset>9525</wp:posOffset>
            </wp:positionH>
            <wp:positionV relativeFrom="paragraph">
              <wp:posOffset>236855</wp:posOffset>
            </wp:positionV>
            <wp:extent cx="2562225" cy="1695450"/>
            <wp:effectExtent l="0" t="0" r="0" b="0"/>
            <wp:wrapTight wrapText="bothSides">
              <wp:wrapPolygon edited="0">
                <wp:start x="0" y="0"/>
                <wp:lineTo x="0" y="21357"/>
                <wp:lineTo x="21520" y="21357"/>
                <wp:lineTo x="21520" y="0"/>
                <wp:lineTo x="0" y="0"/>
              </wp:wrapPolygon>
            </wp:wrapTight>
            <wp:docPr id="604386891" name="Picture 8" descr="A close-up of a microsc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86891" name="Picture 8" descr="A close-up of a microsco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7DE">
        <w:rPr>
          <w:rFonts w:ascii="Times New Roman" w:hAnsi="Times New Roman" w:cs="Times New Roman"/>
          <w:sz w:val="24"/>
          <w:szCs w:val="24"/>
        </w:rPr>
        <w:t xml:space="preserve">100 </w:t>
      </w:r>
      <w:proofErr w:type="spellStart"/>
      <w:r w:rsidRPr="00CA47DE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CA47DE">
        <w:rPr>
          <w:rFonts w:ascii="Times New Roman" w:hAnsi="Times New Roman" w:cs="Times New Roman"/>
          <w:sz w:val="24"/>
          <w:szCs w:val="24"/>
        </w:rPr>
        <w:t xml:space="preserve">/ml </w:t>
      </w:r>
      <w:r w:rsidRPr="00CA47DE">
        <w:rPr>
          <w:rFonts w:ascii="Times New Roman" w:hAnsi="Times New Roman" w:cs="Times New Roman"/>
          <w:sz w:val="24"/>
          <w:szCs w:val="24"/>
        </w:rPr>
        <w:tab/>
      </w:r>
      <w:r w:rsidRPr="00CA47DE">
        <w:rPr>
          <w:rFonts w:ascii="Times New Roman" w:hAnsi="Times New Roman" w:cs="Times New Roman"/>
          <w:sz w:val="24"/>
          <w:szCs w:val="24"/>
        </w:rPr>
        <w:tab/>
      </w:r>
      <w:r w:rsidRPr="00CA47DE">
        <w:rPr>
          <w:rFonts w:ascii="Times New Roman" w:hAnsi="Times New Roman" w:cs="Times New Roman"/>
          <w:sz w:val="24"/>
          <w:szCs w:val="24"/>
        </w:rPr>
        <w:tab/>
      </w:r>
      <w:r w:rsidRPr="00CA47DE">
        <w:rPr>
          <w:rFonts w:ascii="Times New Roman" w:hAnsi="Times New Roman" w:cs="Times New Roman"/>
          <w:sz w:val="24"/>
          <w:szCs w:val="24"/>
        </w:rPr>
        <w:tab/>
        <w:t xml:space="preserve">200 </w:t>
      </w:r>
      <w:proofErr w:type="spellStart"/>
      <w:r w:rsidRPr="00CA47DE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CA47DE">
        <w:rPr>
          <w:rFonts w:ascii="Times New Roman" w:hAnsi="Times New Roman" w:cs="Times New Roman"/>
          <w:sz w:val="24"/>
          <w:szCs w:val="24"/>
        </w:rPr>
        <w:t>/ml</w:t>
      </w:r>
    </w:p>
    <w:p w14:paraId="5BF8B982" w14:textId="77777777" w:rsidR="00606F51" w:rsidRPr="00CA47DE" w:rsidRDefault="00606F51" w:rsidP="00CA47DE">
      <w:pPr>
        <w:tabs>
          <w:tab w:val="left" w:pos="393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FF1930E" w14:textId="77777777" w:rsidR="00606F51" w:rsidRPr="00CA47DE" w:rsidRDefault="00606F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A37055" w14:textId="77777777" w:rsidR="00606F51" w:rsidRPr="00CA47DE" w:rsidRDefault="00606F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192441" w14:textId="77777777" w:rsidR="00606F51" w:rsidRPr="00CA47DE" w:rsidRDefault="00606F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908E01" w14:textId="77777777" w:rsidR="00606F51" w:rsidRPr="00CA47DE" w:rsidRDefault="00606F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A4A5A4" w14:textId="6D31BEC3" w:rsidR="00606F51" w:rsidRPr="00CA47DE" w:rsidRDefault="00606F51" w:rsidP="00CA47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7968" behindDoc="1" locked="0" layoutInCell="1" allowOverlap="1" wp14:anchorId="7B48B4F6" wp14:editId="741A3527">
            <wp:simplePos x="0" y="0"/>
            <wp:positionH relativeFrom="column">
              <wp:posOffset>1647825</wp:posOffset>
            </wp:positionH>
            <wp:positionV relativeFrom="paragraph">
              <wp:posOffset>227330</wp:posOffset>
            </wp:positionV>
            <wp:extent cx="2486025" cy="1724025"/>
            <wp:effectExtent l="0" t="0" r="0" b="0"/>
            <wp:wrapTight wrapText="bothSides">
              <wp:wrapPolygon edited="0">
                <wp:start x="0" y="0"/>
                <wp:lineTo x="0" y="21481"/>
                <wp:lineTo x="21517" y="21481"/>
                <wp:lineTo x="21517" y="0"/>
                <wp:lineTo x="0" y="0"/>
              </wp:wrapPolygon>
            </wp:wrapTight>
            <wp:docPr id="797749337" name="Picture 7" descr="A close-up of a microsc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49337" name="Picture 7" descr="A close-up of a microsco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7DE">
        <w:rPr>
          <w:rFonts w:ascii="Times New Roman" w:hAnsi="Times New Roman" w:cs="Times New Roman"/>
          <w:sz w:val="24"/>
          <w:szCs w:val="24"/>
        </w:rPr>
        <w:t xml:space="preserve">300 </w:t>
      </w:r>
      <w:proofErr w:type="spellStart"/>
      <w:r w:rsidRPr="00CA47DE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CA47DE">
        <w:rPr>
          <w:rFonts w:ascii="Times New Roman" w:hAnsi="Times New Roman" w:cs="Times New Roman"/>
          <w:sz w:val="24"/>
          <w:szCs w:val="24"/>
        </w:rPr>
        <w:t xml:space="preserve">/ml </w:t>
      </w:r>
      <w:r w:rsidRPr="00CA47DE">
        <w:rPr>
          <w:rFonts w:ascii="Times New Roman" w:hAnsi="Times New Roman" w:cs="Times New Roman"/>
          <w:sz w:val="24"/>
          <w:szCs w:val="24"/>
        </w:rPr>
        <w:tab/>
      </w:r>
      <w:r w:rsidRPr="00CA47DE">
        <w:rPr>
          <w:rFonts w:ascii="Times New Roman" w:hAnsi="Times New Roman" w:cs="Times New Roman"/>
          <w:sz w:val="24"/>
          <w:szCs w:val="24"/>
        </w:rPr>
        <w:tab/>
      </w:r>
      <w:r w:rsidRPr="00CA47DE">
        <w:rPr>
          <w:rFonts w:ascii="Times New Roman" w:hAnsi="Times New Roman" w:cs="Times New Roman"/>
          <w:sz w:val="24"/>
          <w:szCs w:val="24"/>
        </w:rPr>
        <w:tab/>
      </w:r>
      <w:r w:rsidRPr="00CA47DE">
        <w:rPr>
          <w:rFonts w:ascii="Times New Roman" w:hAnsi="Times New Roman" w:cs="Times New Roman"/>
          <w:sz w:val="24"/>
          <w:szCs w:val="24"/>
        </w:rPr>
        <w:tab/>
      </w:r>
      <w:r w:rsidRPr="00CA47DE">
        <w:rPr>
          <w:rFonts w:ascii="Times New Roman" w:hAnsi="Times New Roman" w:cs="Times New Roman"/>
          <w:sz w:val="24"/>
          <w:szCs w:val="24"/>
        </w:rPr>
        <w:tab/>
      </w:r>
      <w:r w:rsidRPr="00CA47DE">
        <w:rPr>
          <w:rFonts w:ascii="Times New Roman" w:hAnsi="Times New Roman" w:cs="Times New Roman"/>
          <w:sz w:val="24"/>
          <w:szCs w:val="24"/>
        </w:rPr>
        <w:tab/>
        <w:t xml:space="preserve">400 </w:t>
      </w:r>
      <w:proofErr w:type="spellStart"/>
      <w:r w:rsidRPr="00CA47DE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CA47DE">
        <w:rPr>
          <w:rFonts w:ascii="Times New Roman" w:hAnsi="Times New Roman" w:cs="Times New Roman"/>
          <w:sz w:val="24"/>
          <w:szCs w:val="24"/>
        </w:rPr>
        <w:t>/ml</w:t>
      </w:r>
    </w:p>
    <w:p w14:paraId="00733FED" w14:textId="77777777" w:rsidR="00606F51" w:rsidRPr="00CA47DE" w:rsidRDefault="00606F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68152D" w14:textId="77777777" w:rsidR="00606F51" w:rsidRPr="00CA47DE" w:rsidRDefault="00606F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015464" w14:textId="77777777" w:rsidR="00606F51" w:rsidRPr="00CA47DE" w:rsidRDefault="00606F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0F34A2" w14:textId="77777777" w:rsidR="00606F51" w:rsidRPr="00CA47DE" w:rsidRDefault="00606F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62D615" w14:textId="77777777" w:rsidR="00606F51" w:rsidRPr="00CA47DE" w:rsidRDefault="00606F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BBDC6A" w14:textId="77777777" w:rsidR="00606F51" w:rsidRPr="00CA47DE" w:rsidRDefault="00606F51" w:rsidP="00CA47DE">
      <w:pPr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sz w:val="24"/>
          <w:szCs w:val="24"/>
        </w:rPr>
        <w:tab/>
      </w:r>
      <w:r w:rsidRPr="00CA47DE">
        <w:rPr>
          <w:rFonts w:ascii="Times New Roman" w:hAnsi="Times New Roman" w:cs="Times New Roman"/>
          <w:sz w:val="24"/>
          <w:szCs w:val="24"/>
        </w:rPr>
        <w:tab/>
      </w:r>
      <w:r w:rsidRPr="00CA47DE">
        <w:rPr>
          <w:rFonts w:ascii="Times New Roman" w:hAnsi="Times New Roman" w:cs="Times New Roman"/>
          <w:sz w:val="24"/>
          <w:szCs w:val="24"/>
        </w:rPr>
        <w:tab/>
      </w:r>
      <w:r w:rsidRPr="00CA47DE">
        <w:rPr>
          <w:rFonts w:ascii="Times New Roman" w:hAnsi="Times New Roman" w:cs="Times New Roman"/>
          <w:sz w:val="24"/>
          <w:szCs w:val="24"/>
        </w:rPr>
        <w:tab/>
      </w:r>
      <w:r w:rsidRPr="00CA47DE">
        <w:rPr>
          <w:rFonts w:ascii="Times New Roman" w:hAnsi="Times New Roman" w:cs="Times New Roman"/>
          <w:sz w:val="24"/>
          <w:szCs w:val="24"/>
        </w:rPr>
        <w:tab/>
      </w:r>
      <w:r w:rsidRPr="00CA47DE">
        <w:rPr>
          <w:rFonts w:ascii="Times New Roman" w:hAnsi="Times New Roman" w:cs="Times New Roman"/>
          <w:sz w:val="24"/>
          <w:szCs w:val="24"/>
        </w:rPr>
        <w:tab/>
        <w:t xml:space="preserve">500 </w:t>
      </w:r>
      <w:proofErr w:type="spellStart"/>
      <w:r w:rsidRPr="00CA47DE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CA47DE">
        <w:rPr>
          <w:rFonts w:ascii="Times New Roman" w:hAnsi="Times New Roman" w:cs="Times New Roman"/>
          <w:sz w:val="24"/>
          <w:szCs w:val="24"/>
        </w:rPr>
        <w:t>/ml</w:t>
      </w:r>
    </w:p>
    <w:p w14:paraId="12FF46BA" w14:textId="1C025057" w:rsidR="00606F51" w:rsidRPr="00CA47DE" w:rsidRDefault="00606F51" w:rsidP="00CA47DE">
      <w:pPr>
        <w:pStyle w:val="Body"/>
        <w:jc w:val="both"/>
        <w:rPr>
          <w:rFonts w:cs="Times New Roman"/>
          <w:lang w:val="en-IN"/>
        </w:rPr>
      </w:pPr>
      <w:r w:rsidRPr="00CA47DE">
        <w:rPr>
          <w:rStyle w:val="None"/>
          <w:rFonts w:cs="Times New Roman"/>
          <w:b/>
          <w:bCs/>
          <w:color w:val="auto"/>
        </w:rPr>
        <w:t>Fig. 5</w:t>
      </w:r>
      <w:r w:rsidRPr="00CA47DE">
        <w:rPr>
          <w:rStyle w:val="None"/>
          <w:rFonts w:cs="Times New Roman"/>
          <w:color w:val="auto"/>
        </w:rPr>
        <w:t xml:space="preserve"> </w:t>
      </w:r>
      <w:r w:rsidRPr="00CA47DE">
        <w:rPr>
          <w:rFonts w:cs="Times New Roman"/>
          <w:lang w:val="en-IN"/>
        </w:rPr>
        <w:t>The morphological view of human lung cancer cells assesses the proliferation of cell inhibitory concentrations (50, 100, 200, 300, 400, and 500 µg mL</w:t>
      </w:r>
      <w:r w:rsidRPr="00CA47DE">
        <w:rPr>
          <w:rFonts w:cs="Times New Roman"/>
          <w:vertAlign w:val="superscript"/>
          <w:lang w:val="en-IN"/>
        </w:rPr>
        <w:t>-1</w:t>
      </w:r>
      <w:r w:rsidRPr="00CA47DE">
        <w:rPr>
          <w:rFonts w:cs="Times New Roman"/>
          <w:lang w:val="en-IN"/>
        </w:rPr>
        <w:t>) of phycoerythrin pigment</w:t>
      </w:r>
      <w:r w:rsidRPr="00CA47DE">
        <w:rPr>
          <w:rFonts w:cs="Times New Roman"/>
          <w:lang w:val="en-IN"/>
        </w:rPr>
        <w:t>.</w:t>
      </w:r>
    </w:p>
    <w:p w14:paraId="6F8556FE" w14:textId="1BEE7805" w:rsidR="00606F51" w:rsidRPr="00CA47DE" w:rsidRDefault="00606F51" w:rsidP="00CA47DE">
      <w:pPr>
        <w:pStyle w:val="Body"/>
        <w:jc w:val="both"/>
        <w:rPr>
          <w:rStyle w:val="None"/>
          <w:rFonts w:cs="Times New Roman"/>
          <w:b/>
          <w:bCs/>
          <w:color w:val="auto"/>
        </w:rPr>
      </w:pPr>
      <w:r w:rsidRPr="00CA47DE">
        <w:rPr>
          <w:rStyle w:val="None"/>
          <w:rFonts w:cs="Times New Roman"/>
          <w:b/>
          <w:bCs/>
          <w:noProof/>
          <w:color w:val="auto"/>
        </w:rPr>
        <w:lastRenderedPageBreak/>
        <w:drawing>
          <wp:inline distT="0" distB="0" distL="0" distR="0" wp14:anchorId="0BF371E7" wp14:editId="3ACECEFB">
            <wp:extent cx="6047117" cy="5431580"/>
            <wp:effectExtent l="0" t="0" r="0" b="0"/>
            <wp:docPr id="117503377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39" cy="544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35406" w14:textId="5501D5D9" w:rsidR="00606F51" w:rsidRPr="00CA47DE" w:rsidRDefault="00606F51" w:rsidP="00CA47DE">
      <w:pPr>
        <w:pStyle w:val="Body"/>
        <w:jc w:val="both"/>
        <w:rPr>
          <w:rFonts w:cs="Times New Roman"/>
          <w:lang w:val="en-IN"/>
        </w:rPr>
      </w:pPr>
      <w:r w:rsidRPr="00CA47DE">
        <w:rPr>
          <w:rStyle w:val="None"/>
          <w:rFonts w:cs="Times New Roman"/>
          <w:b/>
          <w:bCs/>
          <w:color w:val="auto"/>
        </w:rPr>
        <w:t>Fig. 6</w:t>
      </w:r>
      <w:r w:rsidRPr="00CA47DE">
        <w:rPr>
          <w:rStyle w:val="None"/>
          <w:rFonts w:cs="Times New Roman"/>
          <w:b/>
          <w:bCs/>
          <w:color w:val="auto"/>
        </w:rPr>
        <w:t>a</w:t>
      </w:r>
      <w:r w:rsidRPr="00CA47DE">
        <w:rPr>
          <w:rStyle w:val="None"/>
          <w:rFonts w:cs="Times New Roman"/>
          <w:b/>
          <w:bCs/>
          <w:color w:val="auto"/>
        </w:rPr>
        <w:t xml:space="preserve"> </w:t>
      </w:r>
      <w:r w:rsidRPr="00CA47DE">
        <w:rPr>
          <w:rFonts w:cs="Times New Roman"/>
          <w:lang w:val="en-IN"/>
        </w:rPr>
        <w:t xml:space="preserve">Phycoerythrin produces programmed cell death in human lung cancer cells. (a) Control cells exhibited a green </w:t>
      </w:r>
      <w:proofErr w:type="spellStart"/>
      <w:r w:rsidRPr="00CA47DE">
        <w:rPr>
          <w:rFonts w:cs="Times New Roman"/>
          <w:lang w:val="en-IN"/>
        </w:rPr>
        <w:t>color</w:t>
      </w:r>
      <w:proofErr w:type="spellEnd"/>
      <w:r w:rsidRPr="00CA47DE">
        <w:rPr>
          <w:rFonts w:cs="Times New Roman"/>
          <w:lang w:val="en-IN"/>
        </w:rPr>
        <w:t>, signifying that the cells were alive</w:t>
      </w:r>
    </w:p>
    <w:p w14:paraId="282E6582" w14:textId="77777777" w:rsidR="00606F51" w:rsidRPr="00CA47DE" w:rsidRDefault="00606F51" w:rsidP="00CA47DE">
      <w:pPr>
        <w:pStyle w:val="Body"/>
        <w:jc w:val="both"/>
        <w:rPr>
          <w:rFonts w:cs="Times New Roman"/>
          <w:lang w:val="en-IN"/>
        </w:rPr>
      </w:pPr>
    </w:p>
    <w:p w14:paraId="5E80ED63" w14:textId="5797F10C" w:rsidR="00606F51" w:rsidRPr="00CA47DE" w:rsidRDefault="00606F51" w:rsidP="00CA47DE">
      <w:pPr>
        <w:pStyle w:val="Body"/>
        <w:jc w:val="both"/>
        <w:rPr>
          <w:rFonts w:cs="Times New Roman"/>
          <w:lang w:val="en-IN"/>
        </w:rPr>
      </w:pPr>
      <w:r w:rsidRPr="00CA47DE">
        <w:rPr>
          <w:rFonts w:cs="Times New Roman"/>
          <w:noProof/>
          <w:lang w:val="en-IN"/>
        </w:rPr>
        <w:lastRenderedPageBreak/>
        <w:drawing>
          <wp:inline distT="0" distB="0" distL="0" distR="0" wp14:anchorId="4744830A" wp14:editId="64DF6D9D">
            <wp:extent cx="5840083" cy="5019675"/>
            <wp:effectExtent l="0" t="0" r="0" b="0"/>
            <wp:docPr id="33324505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050" cy="5024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D67275" w14:textId="30216DA5" w:rsidR="00606F51" w:rsidRPr="00CA47DE" w:rsidRDefault="00606F51" w:rsidP="00CA47DE">
      <w:pPr>
        <w:pStyle w:val="Body"/>
        <w:jc w:val="both"/>
        <w:rPr>
          <w:rFonts w:cs="Times New Roman"/>
          <w:lang w:val="en-IN"/>
        </w:rPr>
      </w:pPr>
      <w:r w:rsidRPr="00CA47DE">
        <w:rPr>
          <w:rStyle w:val="None"/>
          <w:rFonts w:cs="Times New Roman"/>
          <w:b/>
          <w:bCs/>
          <w:color w:val="auto"/>
        </w:rPr>
        <w:t>Fig. 6</w:t>
      </w:r>
      <w:r w:rsidRPr="00CA47DE">
        <w:rPr>
          <w:rStyle w:val="None"/>
          <w:rFonts w:cs="Times New Roman"/>
          <w:b/>
          <w:bCs/>
          <w:color w:val="auto"/>
        </w:rPr>
        <w:t>b</w:t>
      </w:r>
      <w:r w:rsidRPr="00CA47DE">
        <w:rPr>
          <w:rStyle w:val="None"/>
          <w:rFonts w:cs="Times New Roman"/>
          <w:b/>
          <w:bCs/>
          <w:color w:val="auto"/>
        </w:rPr>
        <w:t xml:space="preserve"> </w:t>
      </w:r>
      <w:r w:rsidRPr="00CA47DE">
        <w:rPr>
          <w:rFonts w:cs="Times New Roman"/>
          <w:lang w:val="en-IN"/>
        </w:rPr>
        <w:t>Phycoerythrin produces programmed cell death in human lung cancer cells</w:t>
      </w:r>
      <w:r w:rsidRPr="00CA47DE">
        <w:rPr>
          <w:rFonts w:cs="Times New Roman"/>
          <w:lang w:val="en-IN"/>
        </w:rPr>
        <w:t xml:space="preserve">. </w:t>
      </w:r>
      <w:r w:rsidRPr="00CA47DE">
        <w:rPr>
          <w:rFonts w:cs="Times New Roman"/>
          <w:lang w:val="en-IN"/>
        </w:rPr>
        <w:t xml:space="preserve">(b) Cells treated with phycoerythrin at a concentration of 203.4 </w:t>
      </w:r>
      <w:proofErr w:type="spellStart"/>
      <w:r w:rsidRPr="00CA47DE">
        <w:rPr>
          <w:rFonts w:cs="Times New Roman"/>
          <w:lang w:val="en-IN"/>
        </w:rPr>
        <w:t>μg</w:t>
      </w:r>
      <w:proofErr w:type="spellEnd"/>
      <w:r w:rsidRPr="00CA47DE">
        <w:rPr>
          <w:rFonts w:cs="Times New Roman"/>
          <w:lang w:val="en-IN"/>
        </w:rPr>
        <w:t xml:space="preserve"> mL⁻¹ displayed live cells (green </w:t>
      </w:r>
      <w:proofErr w:type="spellStart"/>
      <w:r w:rsidRPr="00CA47DE">
        <w:rPr>
          <w:rFonts w:cs="Times New Roman"/>
          <w:lang w:val="en-IN"/>
        </w:rPr>
        <w:t>color</w:t>
      </w:r>
      <w:proofErr w:type="spellEnd"/>
      <w:r w:rsidRPr="00CA47DE">
        <w:rPr>
          <w:rFonts w:cs="Times New Roman"/>
          <w:lang w:val="en-IN"/>
        </w:rPr>
        <w:t xml:space="preserve">), dead cells (red </w:t>
      </w:r>
      <w:proofErr w:type="spellStart"/>
      <w:r w:rsidRPr="00CA47DE">
        <w:rPr>
          <w:rFonts w:cs="Times New Roman"/>
          <w:lang w:val="en-IN"/>
        </w:rPr>
        <w:t>color</w:t>
      </w:r>
      <w:proofErr w:type="spellEnd"/>
      <w:r w:rsidRPr="00CA47DE">
        <w:rPr>
          <w:rFonts w:cs="Times New Roman"/>
          <w:lang w:val="en-IN"/>
        </w:rPr>
        <w:t xml:space="preserve">), and apoptotic cells (yellow </w:t>
      </w:r>
      <w:proofErr w:type="spellStart"/>
      <w:r w:rsidRPr="00CA47DE">
        <w:rPr>
          <w:rFonts w:cs="Times New Roman"/>
          <w:lang w:val="en-IN"/>
        </w:rPr>
        <w:t>color</w:t>
      </w:r>
      <w:proofErr w:type="spellEnd"/>
      <w:r w:rsidRPr="00CA47DE">
        <w:rPr>
          <w:rFonts w:cs="Times New Roman"/>
          <w:lang w:val="en-IN"/>
        </w:rPr>
        <w:t>).</w:t>
      </w:r>
    </w:p>
    <w:p w14:paraId="2CB69DFF" w14:textId="77777777" w:rsidR="00606F51" w:rsidRPr="00CA47DE" w:rsidRDefault="00606F51" w:rsidP="00CA47DE">
      <w:pPr>
        <w:pStyle w:val="Body"/>
        <w:jc w:val="both"/>
        <w:rPr>
          <w:rStyle w:val="None"/>
          <w:rFonts w:cs="Times New Roman"/>
          <w:b/>
          <w:bCs/>
          <w:color w:val="auto"/>
        </w:rPr>
      </w:pPr>
    </w:p>
    <w:p w14:paraId="1B147F5E" w14:textId="77777777" w:rsidR="00606F51" w:rsidRPr="00CA47DE" w:rsidRDefault="00606F51" w:rsidP="00CA47DE">
      <w:pPr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en-IN"/>
        </w:rPr>
      </w:pPr>
    </w:p>
    <w:p w14:paraId="75F31606" w14:textId="29303DA4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890308" wp14:editId="55462EAF">
            <wp:extent cx="2804795" cy="461899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461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442DEB" w14:textId="436F44A8" w:rsidR="008A49AB" w:rsidRPr="00CA47DE" w:rsidRDefault="00606F51" w:rsidP="00CA47DE">
      <w:pPr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b/>
          <w:bCs/>
          <w:sz w:val="24"/>
          <w:szCs w:val="24"/>
        </w:rPr>
        <w:t>Fig. 7</w:t>
      </w:r>
      <w:r w:rsidRPr="00CA47DE">
        <w:rPr>
          <w:rFonts w:ascii="Times New Roman" w:hAnsi="Times New Roman" w:cs="Times New Roman"/>
          <w:sz w:val="24"/>
          <w:szCs w:val="24"/>
        </w:rPr>
        <w:t xml:space="preserve"> The target protein Spore coat polysaccharide biosynthesis protein </w:t>
      </w:r>
      <w:proofErr w:type="spellStart"/>
      <w:r w:rsidRPr="00CA47DE">
        <w:rPr>
          <w:rFonts w:ascii="Times New Roman" w:hAnsi="Times New Roman" w:cs="Times New Roman"/>
          <w:sz w:val="24"/>
          <w:szCs w:val="24"/>
        </w:rPr>
        <w:t>SpsA</w:t>
      </w:r>
      <w:proofErr w:type="spellEnd"/>
      <w:r w:rsidRPr="00CA47DE">
        <w:rPr>
          <w:rFonts w:ascii="Times New Roman" w:hAnsi="Times New Roman" w:cs="Times New Roman"/>
          <w:sz w:val="24"/>
          <w:szCs w:val="24"/>
        </w:rPr>
        <w:t xml:space="preserve"> docked with the compound of three- and two-dimensional structure such as 1,2-Benzisothiazol-3-amine (a, b), 2-Ethylacridine (c, d), 2,4-Dimethylbenzo[h]quinolone (e, f), 2-bromobutyloxychalcone (g, h) respectively.</w:t>
      </w:r>
    </w:p>
    <w:p w14:paraId="24A28077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2724E2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BEA8CD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5E8AE0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029B61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0F9035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1C3565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392C25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5F7A15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DB4E06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4D0037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79D52E" wp14:editId="5CF404E0">
            <wp:extent cx="2652395" cy="4612005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461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4266B1" w14:textId="2544ADE2" w:rsidR="008A49AB" w:rsidRPr="00CA47DE" w:rsidRDefault="00606F51" w:rsidP="00CA47DE">
      <w:pPr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b/>
          <w:bCs/>
          <w:sz w:val="24"/>
          <w:szCs w:val="24"/>
        </w:rPr>
        <w:t>Fig. 8</w:t>
      </w:r>
      <w:r w:rsidRPr="00CA47DE">
        <w:rPr>
          <w:rFonts w:ascii="Times New Roman" w:hAnsi="Times New Roman" w:cs="Times New Roman"/>
          <w:sz w:val="24"/>
          <w:szCs w:val="24"/>
        </w:rPr>
        <w:t xml:space="preserve"> The target protein S. aureus tyrosyl-tRNA synthetase docked with the compound of three- and two-dimensional structure such as 1,2-Benzisothiazol-3-amine (a, b), 2-Ethylacridine (c, d), 2,4-Dimethylbenzo[h]quinoline (e, f), 2-bromobutyloxychalcone (g, h) respectively.</w:t>
      </w:r>
    </w:p>
    <w:p w14:paraId="1E6A7B68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0CF5DB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40D1C9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BCF658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435E25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7F728F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5A8582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C0907C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73D117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295CDC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6BE3F0" wp14:editId="7E1435F7">
            <wp:extent cx="2507615" cy="4372610"/>
            <wp:effectExtent l="19050" t="0" r="6985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437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0BF3FC" w14:textId="7059FA2A" w:rsidR="008A49AB" w:rsidRPr="00CA47DE" w:rsidRDefault="00606F51" w:rsidP="00CA47DE">
      <w:pPr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b/>
          <w:bCs/>
          <w:sz w:val="24"/>
          <w:szCs w:val="24"/>
        </w:rPr>
        <w:t>Fig. 9</w:t>
      </w:r>
      <w:r w:rsidRPr="00CA47DE">
        <w:rPr>
          <w:rFonts w:ascii="Times New Roman" w:hAnsi="Times New Roman" w:cs="Times New Roman"/>
          <w:sz w:val="24"/>
          <w:szCs w:val="24"/>
        </w:rPr>
        <w:t xml:space="preserve"> The target protein </w:t>
      </w:r>
      <w:proofErr w:type="spellStart"/>
      <w:r w:rsidRPr="00CA47DE">
        <w:rPr>
          <w:rFonts w:ascii="Times New Roman" w:hAnsi="Times New Roman" w:cs="Times New Roman"/>
          <w:sz w:val="24"/>
          <w:szCs w:val="24"/>
        </w:rPr>
        <w:t>Isoleucyl</w:t>
      </w:r>
      <w:proofErr w:type="spellEnd"/>
      <w:r w:rsidRPr="00CA47DE">
        <w:rPr>
          <w:rFonts w:ascii="Times New Roman" w:hAnsi="Times New Roman" w:cs="Times New Roman"/>
          <w:sz w:val="24"/>
          <w:szCs w:val="24"/>
        </w:rPr>
        <w:t>-tRNA synthetase docked with the compound of three- and two-dimensional structure such as 1,2-Benzisothiazol-3-amine (a, b), 2-Ethylacridine (c, d), 2,4-Dimethylbenzo[h]quinoline (e, f), 2-bromobutyloxychalcone (g, h) respectively.</w:t>
      </w:r>
    </w:p>
    <w:p w14:paraId="029BE25E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47DF21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47CA8F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32AB10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D959DB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59069E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5FAFFF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EF7FE3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09EE6C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0C7F98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674561" wp14:editId="5CDD95CB">
            <wp:extent cx="3437255" cy="5006340"/>
            <wp:effectExtent l="1905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500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8F3F1A" w14:textId="7C80CBDF" w:rsidR="008A49AB" w:rsidRPr="00CA47DE" w:rsidRDefault="00606F51" w:rsidP="00CA47DE">
      <w:pPr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b/>
          <w:bCs/>
          <w:sz w:val="24"/>
          <w:szCs w:val="24"/>
        </w:rPr>
        <w:t>Fig. 10</w:t>
      </w:r>
      <w:r w:rsidRPr="00CA47DE">
        <w:rPr>
          <w:rFonts w:ascii="Times New Roman" w:hAnsi="Times New Roman" w:cs="Times New Roman"/>
          <w:sz w:val="24"/>
          <w:szCs w:val="24"/>
        </w:rPr>
        <w:t xml:space="preserve"> The target protein Transcriptional regulator </w:t>
      </w:r>
      <w:proofErr w:type="spellStart"/>
      <w:r w:rsidRPr="00CA47DE">
        <w:rPr>
          <w:rFonts w:ascii="Times New Roman" w:hAnsi="Times New Roman" w:cs="Times New Roman"/>
          <w:sz w:val="24"/>
          <w:szCs w:val="24"/>
        </w:rPr>
        <w:t>qacR</w:t>
      </w:r>
      <w:proofErr w:type="spellEnd"/>
      <w:r w:rsidRPr="00CA47DE">
        <w:rPr>
          <w:rFonts w:ascii="Times New Roman" w:hAnsi="Times New Roman" w:cs="Times New Roman"/>
          <w:sz w:val="24"/>
          <w:szCs w:val="24"/>
        </w:rPr>
        <w:t xml:space="preserve"> docked with the compound of three- and two-dimensional structure such as 1,2-Benzisothiazol-3-amine (a, b), 2-Ethylacridine (c, d), 2,4-Dimethylbenzo[h]quinoline (e, f), 2-bromobutyloxychalcone (g, h) respectively.</w:t>
      </w:r>
    </w:p>
    <w:p w14:paraId="3874A043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34FFAE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41B225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5BF9B3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873413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E593E5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678D9B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B07635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B3B5AF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C87ABE" wp14:editId="15199761">
            <wp:extent cx="2805430" cy="4577715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457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ED5506" w14:textId="6BF54EBA" w:rsidR="008A49AB" w:rsidRPr="00CA47DE" w:rsidRDefault="00CA47DE" w:rsidP="00CA47DE">
      <w:pPr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b/>
          <w:bCs/>
          <w:sz w:val="24"/>
          <w:szCs w:val="24"/>
        </w:rPr>
        <w:t>Fig. 11</w:t>
      </w:r>
      <w:r w:rsidRPr="00CA47DE">
        <w:rPr>
          <w:rFonts w:ascii="Times New Roman" w:hAnsi="Times New Roman" w:cs="Times New Roman"/>
          <w:sz w:val="24"/>
          <w:szCs w:val="24"/>
        </w:rPr>
        <w:t xml:space="preserve"> The target protein HTH-Type Transcriptional Regulator </w:t>
      </w:r>
      <w:proofErr w:type="spellStart"/>
      <w:r w:rsidRPr="00CA47DE">
        <w:rPr>
          <w:rFonts w:ascii="Times New Roman" w:hAnsi="Times New Roman" w:cs="Times New Roman"/>
          <w:sz w:val="24"/>
          <w:szCs w:val="24"/>
        </w:rPr>
        <w:t>MgrA</w:t>
      </w:r>
      <w:proofErr w:type="spellEnd"/>
      <w:r w:rsidRPr="00CA47DE">
        <w:rPr>
          <w:rFonts w:ascii="Times New Roman" w:hAnsi="Times New Roman" w:cs="Times New Roman"/>
          <w:sz w:val="24"/>
          <w:szCs w:val="24"/>
        </w:rPr>
        <w:t xml:space="preserve"> docked with the compound of three- and two-dimensional structure such as 1,2-Benzisothiazol-3-amine (a, b), 2-Ethylacridine (c, d), 2,4-Dimethylbenzo[h]quinoline (e, f), 2-bromobutyloxychalcone (g, h) respectively.</w:t>
      </w:r>
    </w:p>
    <w:p w14:paraId="30E3A97D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E9DFE0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3E6872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39AF9D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12D77A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E13B0F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A3A330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B84248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D36F78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68019F" w14:textId="77777777" w:rsidR="008A49AB" w:rsidRPr="00CA47DE" w:rsidRDefault="00600751" w:rsidP="00CA47DE">
      <w:pPr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D11B3D" wp14:editId="1E0EB314">
            <wp:extent cx="2867660" cy="4577715"/>
            <wp:effectExtent l="19050" t="0" r="8890" b="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457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DF74D0" w14:textId="73820F4F" w:rsidR="00600751" w:rsidRPr="00CA47DE" w:rsidRDefault="00CA47DE" w:rsidP="00CA47DE">
      <w:pPr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b/>
          <w:bCs/>
          <w:sz w:val="24"/>
          <w:szCs w:val="24"/>
        </w:rPr>
        <w:t>Fig. 12</w:t>
      </w:r>
      <w:r w:rsidRPr="00CA47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7DE">
        <w:rPr>
          <w:rFonts w:ascii="Times New Roman" w:hAnsi="Times New Roman" w:cs="Times New Roman"/>
          <w:sz w:val="24"/>
          <w:szCs w:val="24"/>
        </w:rPr>
        <w:t>YcgJ</w:t>
      </w:r>
      <w:proofErr w:type="spellEnd"/>
      <w:r w:rsidRPr="00CA47DE">
        <w:rPr>
          <w:rFonts w:ascii="Times New Roman" w:hAnsi="Times New Roman" w:cs="Times New Roman"/>
          <w:sz w:val="24"/>
          <w:szCs w:val="24"/>
        </w:rPr>
        <w:t xml:space="preserve"> protein from Bacillus subtilis [PDB ID 2GLU] with the compound of three- and two-dimensional structure such as 1,2-Benzisothiazol-3-amine (a, b), 2-Ethylacridine (c, d), 2,4-Dimethylbenzo[h]quinoline (e, f), 2-bromobutyloxychalcone (g, h) respectively.</w:t>
      </w:r>
    </w:p>
    <w:p w14:paraId="2291110D" w14:textId="77777777" w:rsidR="00600751" w:rsidRPr="00CA47DE" w:rsidRDefault="006007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47F01F" w14:textId="77777777" w:rsidR="00600751" w:rsidRPr="00CA47DE" w:rsidRDefault="006007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D3AB48" w14:textId="77777777" w:rsidR="00600751" w:rsidRPr="00CA47DE" w:rsidRDefault="006007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5EB0B7" w14:textId="77777777" w:rsidR="00600751" w:rsidRPr="00CA47DE" w:rsidRDefault="006007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AE21DD" w14:textId="77777777" w:rsidR="00600751" w:rsidRPr="00CA47DE" w:rsidRDefault="006007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55FCC4" w14:textId="77777777" w:rsidR="00600751" w:rsidRPr="00CA47DE" w:rsidRDefault="006007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CED11B" w14:textId="77777777" w:rsidR="00600751" w:rsidRPr="00CA47DE" w:rsidRDefault="006007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38D3D8" w14:textId="77777777" w:rsidR="00600751" w:rsidRPr="00CA47DE" w:rsidRDefault="006007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23F9E9" w14:textId="77777777" w:rsidR="00600751" w:rsidRPr="00CA47DE" w:rsidRDefault="006007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371D75" w14:textId="77777777" w:rsidR="00600751" w:rsidRPr="00CA47DE" w:rsidRDefault="006007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720C16" w14:textId="77777777" w:rsidR="00600751" w:rsidRPr="00CA47DE" w:rsidRDefault="00600751" w:rsidP="00CA47DE">
      <w:pPr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F8B76B" wp14:editId="44A163B4">
            <wp:extent cx="3002915" cy="5074285"/>
            <wp:effectExtent l="19050" t="0" r="6985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507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E10F30" w14:textId="670D41FE" w:rsidR="00600751" w:rsidRPr="00CA47DE" w:rsidRDefault="00CA47DE" w:rsidP="00CA47DE">
      <w:pPr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b/>
          <w:bCs/>
          <w:sz w:val="24"/>
          <w:szCs w:val="24"/>
        </w:rPr>
        <w:t>Fig. 13</w:t>
      </w:r>
      <w:r w:rsidRPr="00CA47DE">
        <w:rPr>
          <w:rFonts w:ascii="Times New Roman" w:hAnsi="Times New Roman" w:cs="Times New Roman"/>
          <w:sz w:val="24"/>
          <w:szCs w:val="24"/>
        </w:rPr>
        <w:t xml:space="preserve"> The target protein Dihydropteroate synthase docked with the compound of three- and two-dimensional structure such as 1,2-Benzisothiazol-3-amine (a, b), 2-Ethylacridine (c, d), 2,4-Dimethylbenzo[h]quinoline (e, f), 2-bromobutyloxychalcone (g, h) respectively.</w:t>
      </w:r>
    </w:p>
    <w:p w14:paraId="71107CED" w14:textId="77777777" w:rsidR="00600751" w:rsidRPr="00CA47DE" w:rsidRDefault="006007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957DCB" w14:textId="77777777" w:rsidR="00600751" w:rsidRPr="00CA47DE" w:rsidRDefault="006007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07AB97" w14:textId="77777777" w:rsidR="00600751" w:rsidRPr="00CA47DE" w:rsidRDefault="006007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4E8757" w14:textId="77777777" w:rsidR="00600751" w:rsidRPr="00CA47DE" w:rsidRDefault="006007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AAD306" w14:textId="77777777" w:rsidR="00600751" w:rsidRPr="00CA47DE" w:rsidRDefault="006007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6E4C6B" w14:textId="77777777" w:rsidR="00600751" w:rsidRPr="00CA47DE" w:rsidRDefault="006007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768A67" w14:textId="77777777" w:rsidR="00600751" w:rsidRPr="00CA47DE" w:rsidRDefault="00600751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A8499D" w14:textId="77777777" w:rsidR="00600751" w:rsidRPr="00CA47DE" w:rsidRDefault="00600751" w:rsidP="00CA47DE">
      <w:pPr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7AD671" wp14:editId="49819606">
            <wp:extent cx="4295140" cy="6440170"/>
            <wp:effectExtent l="19050" t="0" r="0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644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D318B7" w14:textId="0A76CD31" w:rsidR="00600751" w:rsidRPr="00CA47DE" w:rsidRDefault="00CA47DE" w:rsidP="00CA47DE">
      <w:pPr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b/>
          <w:bCs/>
          <w:sz w:val="24"/>
          <w:szCs w:val="24"/>
        </w:rPr>
        <w:t>Fig. 14</w:t>
      </w:r>
      <w:r w:rsidRPr="00CA47DE">
        <w:rPr>
          <w:rFonts w:ascii="Times New Roman" w:hAnsi="Times New Roman" w:cs="Times New Roman"/>
          <w:sz w:val="24"/>
          <w:szCs w:val="24"/>
        </w:rPr>
        <w:t xml:space="preserve"> The target protein Processed Glycerol Phosphate Lipoteichoic Acid Synthase 2 docked with the compound of three- and two-dimensional structure such as 1,2-Benzisothiazol-3-amine (a, b), 2-Ethylacridine (c, d), 2,4-Dimethylbenzo[h]quinoline (e, f), 2-bromobutyloxychalcone (g, h) respectively.</w:t>
      </w:r>
    </w:p>
    <w:p w14:paraId="06681ACC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D8B051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F0F3B6" w14:textId="77777777" w:rsidR="008A49AB" w:rsidRPr="00CA47DE" w:rsidRDefault="008A49AB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C25042" w14:textId="77777777" w:rsidR="008A49AB" w:rsidRPr="00CA47DE" w:rsidRDefault="00600751" w:rsidP="00CA47DE">
      <w:pPr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655074" wp14:editId="3230674B">
            <wp:extent cx="3575249" cy="6400800"/>
            <wp:effectExtent l="0" t="0" r="0" b="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49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EBE976" w14:textId="2B6811D6" w:rsidR="00CA47DE" w:rsidRPr="00CA47DE" w:rsidRDefault="00CA47DE" w:rsidP="00CA47DE">
      <w:pPr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b/>
          <w:bCs/>
          <w:sz w:val="24"/>
          <w:szCs w:val="24"/>
        </w:rPr>
        <w:t>Fig. 15</w:t>
      </w:r>
      <w:r w:rsidRPr="00CA47DE">
        <w:rPr>
          <w:rFonts w:ascii="Times New Roman" w:hAnsi="Times New Roman" w:cs="Times New Roman"/>
          <w:sz w:val="24"/>
          <w:szCs w:val="24"/>
        </w:rPr>
        <w:t xml:space="preserve"> The target protein DNA Gyrase Subunit B, DNA Gyrase Subunit A docked with the compound of three- and two-dimensional structure such as 1,2-Benzisothiazol-3-amine (a, b), 2-Ethylacridine (c, d), 2,4-Dimethylbenzo[h]quinoline (e, f), 2-bromobutyloxychalcone (g, h) respectively.</w:t>
      </w:r>
    </w:p>
    <w:p w14:paraId="4FEDEF5E" w14:textId="497706C0" w:rsidR="008A49AB" w:rsidRPr="00CA47DE" w:rsidRDefault="00600751" w:rsidP="00CA47DE">
      <w:pPr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80B0E7" wp14:editId="2D0F6B94">
            <wp:extent cx="5015890" cy="7766755"/>
            <wp:effectExtent l="19050" t="0" r="0" b="0"/>
            <wp:docPr id="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560" cy="776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3806EA" w14:textId="39062C96" w:rsidR="00B74B66" w:rsidRPr="00CA47DE" w:rsidRDefault="00CA47DE" w:rsidP="00CA47DE">
      <w:pPr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b/>
          <w:bCs/>
          <w:sz w:val="24"/>
          <w:szCs w:val="24"/>
        </w:rPr>
        <w:t>Fig. 16</w:t>
      </w:r>
      <w:r w:rsidRPr="00CA47DE">
        <w:rPr>
          <w:rFonts w:ascii="Times New Roman" w:hAnsi="Times New Roman" w:cs="Times New Roman"/>
          <w:sz w:val="24"/>
          <w:szCs w:val="24"/>
        </w:rPr>
        <w:t xml:space="preserve"> The target protein DNA topoisomerase 4 subunit A docked with the compound of three- and two-dimensional structure such as 1,2-Benzisothiazol-3-amine (a, b), 2-Ethylacridine (c, d), 2,4-Dimethylbenzo[h]quinoline (e, f), 2-bromobutyloxychalcone (g, h) respectively.</w:t>
      </w:r>
    </w:p>
    <w:p w14:paraId="366E012C" w14:textId="77777777" w:rsidR="00B74B66" w:rsidRPr="00CA47DE" w:rsidRDefault="00B74B66" w:rsidP="00CA47DE">
      <w:pPr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9EE88E" wp14:editId="79FA800A">
            <wp:extent cx="4707712" cy="7315200"/>
            <wp:effectExtent l="0" t="0" r="0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712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513267" w14:textId="3907404E" w:rsidR="00CA47DE" w:rsidRPr="00CA47DE" w:rsidRDefault="00CA47DE" w:rsidP="00CA47DE">
      <w:pPr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b/>
          <w:bCs/>
          <w:sz w:val="24"/>
          <w:szCs w:val="24"/>
        </w:rPr>
        <w:t>Fig. 17</w:t>
      </w:r>
      <w:r w:rsidRPr="00CA47DE">
        <w:rPr>
          <w:rFonts w:ascii="Times New Roman" w:hAnsi="Times New Roman" w:cs="Times New Roman"/>
          <w:sz w:val="24"/>
          <w:szCs w:val="24"/>
        </w:rPr>
        <w:t xml:space="preserve"> The target protein Dihydrofolate reductase docked with the compound of three- and two-dimensional structure such as 1,2-Benzisothiazol-3-amine (a, b), 2-Ethylacridine (c, d), 2,4-Dimethylbenzo[h]quinoline (e, f), 2-bromobutyloxychalcone (g, h) respectively.</w:t>
      </w:r>
    </w:p>
    <w:p w14:paraId="029A8ECF" w14:textId="510F9555" w:rsidR="008A49AB" w:rsidRPr="00CA47DE" w:rsidRDefault="009109FD" w:rsidP="00CA47DE">
      <w:pPr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A3CCBC" wp14:editId="00A65E9B">
            <wp:extent cx="3920230" cy="6858000"/>
            <wp:effectExtent l="0" t="0" r="0" b="0"/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23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4C0E43" w14:textId="6E3B49C5" w:rsidR="009109FD" w:rsidRPr="00CA47DE" w:rsidRDefault="00CA47DE" w:rsidP="00CA47DE">
      <w:pPr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b/>
          <w:bCs/>
          <w:sz w:val="24"/>
          <w:szCs w:val="24"/>
        </w:rPr>
        <w:t>Fig. 18</w:t>
      </w:r>
      <w:r w:rsidRPr="00CA47DE">
        <w:rPr>
          <w:rFonts w:ascii="Times New Roman" w:hAnsi="Times New Roman" w:cs="Times New Roman"/>
          <w:sz w:val="24"/>
          <w:szCs w:val="24"/>
        </w:rPr>
        <w:t xml:space="preserve"> The target protein Penicillin-binding protein 3 docked with the compound of three- and two-dimensional structure such as 1,2-Benzisothiazol-3-amine (a, b), 2-Ethylacridine (c, d), 2,4-Dimethylbenzo[h]quinoline (e, f), 2-bromobutyloxychalcone (g, h) respectively.</w:t>
      </w:r>
    </w:p>
    <w:p w14:paraId="39CBD278" w14:textId="77777777" w:rsidR="009109FD" w:rsidRPr="00CA47DE" w:rsidRDefault="009109FD" w:rsidP="00CA47DE">
      <w:pPr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0CCFD6" wp14:editId="1B8E1225">
            <wp:extent cx="3155315" cy="6011545"/>
            <wp:effectExtent l="19050" t="0" r="6985" b="0"/>
            <wp:docPr id="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601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560CED" w14:textId="77777777" w:rsidR="009109FD" w:rsidRPr="00CA47DE" w:rsidRDefault="009109FD" w:rsidP="00CA47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3AB6F1" w14:textId="7EEBE3EA" w:rsidR="009109FD" w:rsidRPr="00CA47DE" w:rsidRDefault="00CA47DE" w:rsidP="00CA47DE">
      <w:pPr>
        <w:jc w:val="both"/>
        <w:rPr>
          <w:rFonts w:ascii="Times New Roman" w:hAnsi="Times New Roman" w:cs="Times New Roman"/>
          <w:sz w:val="24"/>
          <w:szCs w:val="24"/>
        </w:rPr>
      </w:pPr>
      <w:r w:rsidRPr="00CA47DE">
        <w:rPr>
          <w:rFonts w:ascii="Times New Roman" w:hAnsi="Times New Roman" w:cs="Times New Roman"/>
          <w:b/>
          <w:bCs/>
          <w:sz w:val="24"/>
          <w:szCs w:val="24"/>
        </w:rPr>
        <w:t>Fig. 19</w:t>
      </w:r>
      <w:r w:rsidRPr="00CA47DE">
        <w:rPr>
          <w:rFonts w:ascii="Times New Roman" w:hAnsi="Times New Roman" w:cs="Times New Roman"/>
          <w:sz w:val="24"/>
          <w:szCs w:val="24"/>
        </w:rPr>
        <w:t xml:space="preserve"> The target protein Transcriptional regulator </w:t>
      </w:r>
      <w:proofErr w:type="spellStart"/>
      <w:r w:rsidRPr="00CA47DE">
        <w:rPr>
          <w:rFonts w:ascii="Times New Roman" w:hAnsi="Times New Roman" w:cs="Times New Roman"/>
          <w:sz w:val="24"/>
          <w:szCs w:val="24"/>
        </w:rPr>
        <w:t>MvfR</w:t>
      </w:r>
      <w:proofErr w:type="spellEnd"/>
      <w:r w:rsidRPr="00CA47DE">
        <w:rPr>
          <w:rFonts w:ascii="Times New Roman" w:hAnsi="Times New Roman" w:cs="Times New Roman"/>
          <w:sz w:val="24"/>
          <w:szCs w:val="24"/>
        </w:rPr>
        <w:t xml:space="preserve"> docked with the compound of three- and two-dimensional structure such as 1,2-Benzisothiazol-3-amine (a, b), 2-Ethylacridine (c, d), 2,4-Dimethylbenzo[h]quinoline (e, f), 2-bromobutyloxychalcone (g, h) respectively.</w:t>
      </w:r>
    </w:p>
    <w:sectPr w:rsidR="009109FD" w:rsidRPr="00CA47DE" w:rsidSect="008A49AB">
      <w:pgSz w:w="12240" w:h="15840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845B07" w14:textId="77777777" w:rsidR="009A1927" w:rsidRDefault="009A1927" w:rsidP="00B74B66">
      <w:pPr>
        <w:spacing w:after="0" w:line="240" w:lineRule="auto"/>
      </w:pPr>
      <w:r>
        <w:separator/>
      </w:r>
    </w:p>
  </w:endnote>
  <w:endnote w:type="continuationSeparator" w:id="0">
    <w:p w14:paraId="101605E6" w14:textId="77777777" w:rsidR="009A1927" w:rsidRDefault="009A1927" w:rsidP="00B74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80E704" w14:textId="77777777" w:rsidR="009A1927" w:rsidRDefault="009A1927" w:rsidP="00B74B66">
      <w:pPr>
        <w:spacing w:after="0" w:line="240" w:lineRule="auto"/>
      </w:pPr>
      <w:r>
        <w:separator/>
      </w:r>
    </w:p>
  </w:footnote>
  <w:footnote w:type="continuationSeparator" w:id="0">
    <w:p w14:paraId="167D9218" w14:textId="77777777" w:rsidR="009A1927" w:rsidRDefault="009A1927" w:rsidP="00B74B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49AB"/>
    <w:rsid w:val="00600751"/>
    <w:rsid w:val="00606F51"/>
    <w:rsid w:val="00737C78"/>
    <w:rsid w:val="008A49AB"/>
    <w:rsid w:val="008A6802"/>
    <w:rsid w:val="009109FD"/>
    <w:rsid w:val="009A1927"/>
    <w:rsid w:val="00B74B66"/>
    <w:rsid w:val="00CA4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26B3C75A"/>
  <w15:docId w15:val="{6EE5152F-A8EC-4163-B8BF-821421E7C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9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74B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4B66"/>
  </w:style>
  <w:style w:type="paragraph" w:styleId="Footer">
    <w:name w:val="footer"/>
    <w:basedOn w:val="Normal"/>
    <w:link w:val="FooterChar"/>
    <w:uiPriority w:val="99"/>
    <w:semiHidden/>
    <w:unhideWhenUsed/>
    <w:rsid w:val="00B74B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74B66"/>
  </w:style>
  <w:style w:type="paragraph" w:customStyle="1" w:styleId="Body">
    <w:name w:val="Body"/>
    <w:rsid w:val="00606F5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None">
    <w:name w:val="None"/>
    <w:rsid w:val="00606F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19</Pages>
  <Words>680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VENKATESH</dc:creator>
  <cp:keywords/>
  <dc:description/>
  <cp:lastModifiedBy>Dr. Parthasarathy S [Plant Pathology-Amrita School of Agriculture Sciences]</cp:lastModifiedBy>
  <cp:revision>3</cp:revision>
  <dcterms:created xsi:type="dcterms:W3CDTF">2024-12-02T07:40:00Z</dcterms:created>
  <dcterms:modified xsi:type="dcterms:W3CDTF">2025-01-14T04:00:00Z</dcterms:modified>
</cp:coreProperties>
</file>