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779DD" w14:textId="77777777" w:rsidR="00A34198" w:rsidRPr="0025447E" w:rsidRDefault="00A34198" w:rsidP="00A34198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44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S1. The most commonly implicated drugs categorized by ATC code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951"/>
        <w:gridCol w:w="1639"/>
        <w:gridCol w:w="2036"/>
        <w:gridCol w:w="2036"/>
        <w:gridCol w:w="2035"/>
      </w:tblGrid>
      <w:tr w:rsidR="00A34198" w:rsidRPr="0025447E" w14:paraId="5ADBBA56" w14:textId="77777777" w:rsidTr="00412A43">
        <w:trPr>
          <w:trHeight w:val="57"/>
        </w:trPr>
        <w:tc>
          <w:tcPr>
            <w:tcW w:w="2172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EB1B22" w14:textId="77777777" w:rsidR="00A34198" w:rsidRPr="0025447E" w:rsidRDefault="00A34198" w:rsidP="00412A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7CA6F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ATC code 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E33B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Total</w:t>
            </w:r>
          </w:p>
          <w:p w14:paraId="3FB3A39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n=14,864 (%)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8A29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&lt; 65 years</w:t>
            </w:r>
          </w:p>
          <w:p w14:paraId="1FA24B8E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n=11,427 (%)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39521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≥ 65 years</w:t>
            </w:r>
          </w:p>
          <w:p w14:paraId="220FFFF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n=3,437 (%)</w:t>
            </w:r>
          </w:p>
        </w:tc>
      </w:tr>
      <w:tr w:rsidR="00A34198" w:rsidRPr="0025447E" w14:paraId="3711ED97" w14:textId="77777777" w:rsidTr="00412A43">
        <w:trPr>
          <w:trHeight w:val="57"/>
        </w:trPr>
        <w:tc>
          <w:tcPr>
            <w:tcW w:w="2172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886F00" w14:textId="77777777" w:rsidR="00A34198" w:rsidRPr="0025447E" w:rsidRDefault="00A34198" w:rsidP="00412A4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173336" w14:textId="77777777" w:rsidR="00A34198" w:rsidRPr="0025447E" w:rsidRDefault="00A34198" w:rsidP="00412A4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145AC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18842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EBA56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14690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34B50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4152</w:t>
            </w:r>
          </w:p>
        </w:tc>
      </w:tr>
      <w:tr w:rsidR="00A34198" w:rsidRPr="0025447E" w14:paraId="7169518A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D4931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Analgesic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BE66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N02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19E8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4214 (22.4)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AAC7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3159 (21.5)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6C61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1055 (25.4)</w:t>
            </w:r>
          </w:p>
        </w:tc>
      </w:tr>
      <w:tr w:rsidR="00A34198" w:rsidRPr="0025447E" w14:paraId="668064EC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6A138A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Contrast media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C917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V08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45CB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3785 (20.1)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5A8F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2960 (20.1)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F75A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825 (19.8)</w:t>
            </w:r>
          </w:p>
        </w:tc>
      </w:tr>
      <w:tr w:rsidR="00A34198" w:rsidRPr="0025447E" w14:paraId="53FAE544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AC9DD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Anti-bacterial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0B88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J01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3979C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3681 (19.5)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C3EF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2881 (19.6)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7ACBF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800 (19.3)</w:t>
            </w:r>
          </w:p>
        </w:tc>
      </w:tr>
      <w:tr w:rsidR="00A34198" w:rsidRPr="0025447E" w14:paraId="7D723A02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3A3F4A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Anti-inflammatory and anti-rheumatic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ACEB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M01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89A8C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1642 (8.7)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DA77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1450 (9.9)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DE8A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192 (4.6)</w:t>
            </w:r>
          </w:p>
        </w:tc>
      </w:tr>
      <w:tr w:rsidR="00A34198" w:rsidRPr="0025447E" w14:paraId="2CB21C75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8508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Drugs for acid related disorders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6BB0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A02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2409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716 (3.8)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5495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550 (3.7)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C1A1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166 (4.0)</w:t>
            </w:r>
          </w:p>
        </w:tc>
      </w:tr>
      <w:tr w:rsidR="00A34198" w:rsidRPr="0025447E" w14:paraId="26562A3C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FA733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Anti-epileptic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3067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N03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8B8C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578 (3.1)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559FE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511 (3.5)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A40D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67 (1.6)</w:t>
            </w:r>
          </w:p>
        </w:tc>
      </w:tr>
      <w:tr w:rsidR="00A34198" w:rsidRPr="0025447E" w14:paraId="2699D705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F072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Drugs for functional gastrointestinal disorders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153D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A03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9D9D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385 (2.0)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7B1B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331 (2.2)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905A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54 (1.3)</w:t>
            </w:r>
          </w:p>
        </w:tc>
      </w:tr>
      <w:tr w:rsidR="00A34198" w:rsidRPr="0025447E" w14:paraId="75431297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DA930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Anesthetic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6CB2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N01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C9B1E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253 (1.3)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7A2B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190 (1.3)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A380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63 (1.5)</w:t>
            </w:r>
          </w:p>
        </w:tc>
      </w:tr>
      <w:tr w:rsidR="00A34198" w:rsidRPr="0025447E" w14:paraId="7A686D33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2D2CB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Anti-neoplastic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8ED5A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L01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6681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232 (1.2)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5193E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160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6514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72 (1.7)</w:t>
            </w:r>
          </w:p>
        </w:tc>
      </w:tr>
      <w:tr w:rsidR="00A34198" w:rsidRPr="0025447E" w14:paraId="072F0F82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32330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Anti-thrombotic agents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BF31A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B01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9ED5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213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2BB4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151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6A39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62 (1.5)</w:t>
            </w:r>
          </w:p>
        </w:tc>
      </w:tr>
      <w:tr w:rsidR="00A34198" w:rsidRPr="0025447E" w14:paraId="331F06FE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72A97F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Cough and cold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D3A9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R05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E6BD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199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B993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152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13D0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47 (1.1)</w:t>
            </w:r>
          </w:p>
        </w:tc>
      </w:tr>
      <w:tr w:rsidR="00A34198" w:rsidRPr="0025447E" w14:paraId="2333F764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5C02C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Anti-histamines for systemic use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2A71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R06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001CD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183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2126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148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7E54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35 (0.8)</w:t>
            </w:r>
          </w:p>
        </w:tc>
      </w:tr>
      <w:tr w:rsidR="00A34198" w:rsidRPr="0025447E" w14:paraId="43A74BC9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A670F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Psycholeptic</w:t>
            </w:r>
            <w:proofErr w:type="spellEnd"/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7E7E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N05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869A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172 (0.9)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9F241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120 (0.8)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F5F4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52 (1.3)</w:t>
            </w:r>
          </w:p>
        </w:tc>
      </w:tr>
      <w:tr w:rsidR="00A34198" w:rsidRPr="0025447E" w14:paraId="0C62FCE1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1336D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Anti-mycobacterial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A866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J04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30A2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167 (0.9)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8D02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109 (0.7)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5860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58 (1.4)</w:t>
            </w:r>
          </w:p>
        </w:tc>
      </w:tr>
      <w:tr w:rsidR="00A34198" w:rsidRPr="0025447E" w14:paraId="53206D81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8C0AC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Calcium channel blockers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608E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C08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03785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107 (0.6)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ECC9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62 (0.4)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BD6E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45 (1.1)</w:t>
            </w:r>
          </w:p>
        </w:tc>
      </w:tr>
      <w:tr w:rsidR="00A34198" w:rsidRPr="0025447E" w14:paraId="2FBE5B42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15C4EF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Agents acting on the renin-angiotensin system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0BAD9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C09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CEF4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101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32A9C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58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6A40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43 (1.0)</w:t>
            </w:r>
          </w:p>
        </w:tc>
      </w:tr>
      <w:tr w:rsidR="00A34198" w:rsidRPr="0025447E" w14:paraId="37462BCF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BFC2DA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Psychoanaleptics</w:t>
            </w:r>
            <w:proofErr w:type="spellEnd"/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2F0CC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N06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CA68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95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CD8B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53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2B85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42 (1.0)</w:t>
            </w:r>
          </w:p>
        </w:tc>
      </w:tr>
      <w:tr w:rsidR="00A34198" w:rsidRPr="0025447E" w14:paraId="19DF0E5D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0B6E0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Lipid modifying agents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7F2F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C10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1601F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86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1766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53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831E6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33 (0.8)</w:t>
            </w:r>
          </w:p>
        </w:tc>
      </w:tr>
      <w:tr w:rsidR="00A34198" w:rsidRPr="0025447E" w14:paraId="5E6F6F0E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36B60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Blood substitutes and perfusion solutions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27692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B05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BB02F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83 (0.4)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2B930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52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75687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 (0.7)</w:t>
            </w:r>
          </w:p>
        </w:tc>
      </w:tr>
      <w:tr w:rsidR="00A34198" w:rsidRPr="0025447E" w14:paraId="14ECDDB5" w14:textId="77777777" w:rsidTr="00412A43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044938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Diuretic drugs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9E11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C03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CA04B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50 (0.3)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E49E4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19 (0.1)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59833" w14:textId="77777777" w:rsidR="00A34198" w:rsidRPr="0025447E" w:rsidRDefault="00A34198" w:rsidP="00412A4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 (0.7)</w:t>
            </w:r>
          </w:p>
        </w:tc>
      </w:tr>
    </w:tbl>
    <w:p w14:paraId="5E0221EC" w14:textId="77777777" w:rsidR="00A34198" w:rsidRPr="0025447E" w:rsidRDefault="00A34198" w:rsidP="00A34198">
      <w:pPr>
        <w:widowControl/>
        <w:wordWrap/>
        <w:autoSpaceDE/>
        <w:autoSpaceDN/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4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represent numbers of cases with percentages in parentheses. ATC, anatomical therapeutic chemical. </w:t>
      </w:r>
    </w:p>
    <w:p w14:paraId="12DC4B48" w14:textId="77777777" w:rsidR="00A34198" w:rsidRPr="0025447E" w:rsidRDefault="00A34198" w:rsidP="00A34198">
      <w:pPr>
        <w:widowControl/>
        <w:wordWrap/>
        <w:autoSpaceDE/>
        <w:autoSpaceDN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47E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840B5E4" w14:textId="77777777" w:rsidR="00A34198" w:rsidRPr="0025447E" w:rsidRDefault="00A34198" w:rsidP="00A34198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447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>Table S</w:t>
      </w:r>
      <w:r w:rsidRPr="002544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25447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2544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Clinical manifestations of ADRs classified according to WHO-ART SOC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567"/>
        <w:gridCol w:w="1899"/>
        <w:gridCol w:w="1898"/>
        <w:gridCol w:w="1898"/>
        <w:gridCol w:w="1435"/>
      </w:tblGrid>
      <w:tr w:rsidR="00A34198" w:rsidRPr="0025447E" w14:paraId="50EABCFE" w14:textId="77777777" w:rsidTr="00412A43">
        <w:trPr>
          <w:trHeight w:val="20"/>
        </w:trPr>
        <w:tc>
          <w:tcPr>
            <w:tcW w:w="2397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8EB029" w14:textId="77777777" w:rsidR="00A34198" w:rsidRPr="0025447E" w:rsidRDefault="00A34198" w:rsidP="00412A43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0907E8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Total</w:t>
            </w:r>
          </w:p>
          <w:p w14:paraId="1B81488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n=14,864 (%)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C7C5B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&lt; 65 years</w:t>
            </w:r>
          </w:p>
          <w:p w14:paraId="0FFA0968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n=11,427 (%)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47862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≥ 65 years</w:t>
            </w:r>
          </w:p>
          <w:p w14:paraId="00F2D99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n=3,437 (%)</w:t>
            </w:r>
          </w:p>
        </w:tc>
        <w:tc>
          <w:tcPr>
            <w:tcW w:w="524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934C8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value</w:t>
            </w:r>
          </w:p>
        </w:tc>
      </w:tr>
      <w:tr w:rsidR="00A34198" w:rsidRPr="0025447E" w14:paraId="28A5F73A" w14:textId="77777777" w:rsidTr="00412A43">
        <w:trPr>
          <w:trHeight w:val="317"/>
        </w:trPr>
        <w:tc>
          <w:tcPr>
            <w:tcW w:w="2397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61304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WHO-ART SOC 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85924C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18842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4A2F2C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14690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00825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Gulim" w:hAnsi="Times New Roman" w:cs="Times New Roman"/>
                <w:color w:val="000000" w:themeColor="text1"/>
                <w:kern w:val="24"/>
                <w:sz w:val="24"/>
                <w:szCs w:val="24"/>
              </w:rPr>
              <w:t>4152</w:t>
            </w:r>
          </w:p>
        </w:tc>
        <w:tc>
          <w:tcPr>
            <w:tcW w:w="524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8897" w14:textId="77777777" w:rsidR="00A34198" w:rsidRPr="0025447E" w:rsidRDefault="00A34198" w:rsidP="00412A43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34198" w:rsidRPr="0025447E" w14:paraId="05577263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020A34E8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Skin and Appendages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C4AAC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8530 (45.3)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990A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6940 (47.2)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E9A2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1590 (38.3)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BA07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A34198" w:rsidRPr="0025447E" w14:paraId="3ABA61F1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06CBF73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Gastro-intestinal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6C14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5049 (26.8)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0CC2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3695 (25.2)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3EEF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1354 (32.6)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29567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A34198" w:rsidRPr="0025447E" w14:paraId="4CA7B78C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1B4C260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Central and peripheral Nervous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ACAD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2378 (12.6)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4186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1817 (12.4)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83A9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561 (13.5)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DC97E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0.055</w:t>
            </w:r>
          </w:p>
        </w:tc>
      </w:tr>
      <w:tr w:rsidR="00A34198" w:rsidRPr="0025447E" w14:paraId="757C54A0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939485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Body as a Whole General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9A46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1963 (10.4)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3BE2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1536 (10.5)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1EE3A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427 (10.3)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CF2D3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0.749</w:t>
            </w:r>
          </w:p>
        </w:tc>
      </w:tr>
      <w:tr w:rsidR="00A34198" w:rsidRPr="0025447E" w14:paraId="5D171859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3DC7855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Respiratory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4621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1730 (9.2)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4826D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1419 (9.7)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C303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311 (7.5)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1A22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A34198" w:rsidRPr="0025447E" w14:paraId="6CA435BD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A0DE82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Heart related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0B1A8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761 (4.0)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C536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540 (3.7)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9247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221 (5.3)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88E9E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A34198" w:rsidRPr="0025447E" w14:paraId="3E879318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72AE74B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Anaphylaxis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F8CD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654 (3.5)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A9BD3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521 (3.5)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8BC5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133 (3.2)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DB1B7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0.273</w:t>
            </w:r>
          </w:p>
        </w:tc>
      </w:tr>
      <w:tr w:rsidR="00A34198" w:rsidRPr="0025447E" w14:paraId="65B76B32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7222E2D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Psychiatric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5849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401 (2.1)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C3BB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309 (2.1)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CCC4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92 (2.2)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59AF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0.658</w:t>
            </w:r>
          </w:p>
        </w:tc>
      </w:tr>
      <w:tr w:rsidR="00A34198" w:rsidRPr="0025447E" w14:paraId="6988EE4F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4898391A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Blood related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36F6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298 (1.6)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60E9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204 (1.4)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ADC4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94 (2.3)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22BD8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A34198" w:rsidRPr="0025447E" w14:paraId="13136E20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452B3BA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Urinary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CE95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249 (1.3)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0566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172 (1.2)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F257A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77 (1.9)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D899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0.003</w:t>
            </w:r>
          </w:p>
        </w:tc>
      </w:tr>
      <w:tr w:rsidR="00A34198" w:rsidRPr="0025447E" w14:paraId="1896DAA8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B746B0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Liver and biliary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C097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188 (1.0)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342F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157 (1.1)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BDA0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 (0.7)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7835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34198" w:rsidRPr="0025447E" w14:paraId="229BB3E8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E4F1307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Musculoskeletal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9F5FE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152 (0.8)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EF44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111 (0.8)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D396E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41 (1.0)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1064E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0.171</w:t>
            </w:r>
          </w:p>
        </w:tc>
      </w:tr>
      <w:tr w:rsidR="00A34198" w:rsidRPr="0025447E" w14:paraId="366ECBD6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4A518F6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Liver and biliary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6CD7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188 (1.0)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420EC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157 (1.1)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FD267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31 (0.7)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79CFF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0.042</w:t>
            </w:r>
          </w:p>
        </w:tc>
      </w:tr>
      <w:tr w:rsidR="00A34198" w:rsidRPr="0025447E" w14:paraId="28C66FD3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38EAB7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Vision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5664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119 (0.6)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0738D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104 (0.7)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DBAF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15 (0.4)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99DC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0.003</w:t>
            </w:r>
          </w:p>
        </w:tc>
      </w:tr>
      <w:tr w:rsidR="00A34198" w:rsidRPr="0025447E" w14:paraId="131609B2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FBCC2A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Application site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441B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68 (0.4)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989B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44 (0.3)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4AD2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24 (0.6)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2DD0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0.027</w:t>
            </w:r>
          </w:p>
        </w:tc>
      </w:tr>
      <w:tr w:rsidR="00A34198" w:rsidRPr="0025447E" w14:paraId="6FA1BB1F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4F7EB553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Vascular (extracardiac)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F0BD1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67 (0.4)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52286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50 (0.3)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A411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17 (0.4)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054CB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0.509</w:t>
            </w:r>
          </w:p>
        </w:tc>
      </w:tr>
      <w:tr w:rsidR="00A34198" w:rsidRPr="0025447E" w14:paraId="05539175" w14:textId="77777777" w:rsidTr="00412A43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2A948A2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SCAR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3BCD4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36 (0.2)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FC44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27 (0.2)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947D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9 (0.2)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59C23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0.668</w:t>
            </w:r>
          </w:p>
        </w:tc>
      </w:tr>
      <w:tr w:rsidR="00A34198" w:rsidRPr="0025447E" w14:paraId="2636CD31" w14:textId="77777777" w:rsidTr="00412A43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71FFE575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Others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29CF0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90 (0.5)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B582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74 (0.5)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206D9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16 (0.4)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D6BA2" w14:textId="77777777" w:rsidR="00A34198" w:rsidRPr="0025447E" w:rsidRDefault="00A34198" w:rsidP="00412A43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447E">
              <w:rPr>
                <w:rFonts w:ascii="Times New Roman" w:eastAsia="Malgun Gothic" w:hAnsi="Times New Roman" w:cs="Times New Roman"/>
                <w:color w:val="000000" w:themeColor="text1"/>
                <w:kern w:val="24"/>
                <w:sz w:val="24"/>
                <w:szCs w:val="24"/>
              </w:rPr>
              <w:t>0.329</w:t>
            </w:r>
          </w:p>
        </w:tc>
      </w:tr>
    </w:tbl>
    <w:p w14:paraId="1F6A9224" w14:textId="77777777" w:rsidR="00A34198" w:rsidRPr="0025447E" w:rsidRDefault="00A34198" w:rsidP="00A34198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447E" w:rsidDel="00F37C2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 w:rsidRPr="002544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represent numbers of cases with percentages in parentheses. </w:t>
      </w:r>
      <w:r w:rsidRPr="002544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2544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were obtained from the chi-square test with Yates’ correction. ADR, adverse drug reaction; WHO-ART, World Health Organization Adverse Reactions Terminology; SOC, system organ classes. </w:t>
      </w:r>
    </w:p>
    <w:p w14:paraId="36709FD3" w14:textId="77777777" w:rsidR="00A340D3" w:rsidRDefault="00A340D3"/>
    <w:sectPr w:rsidR="00A340D3" w:rsidSect="005B4537"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00000001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198"/>
    <w:rsid w:val="00114675"/>
    <w:rsid w:val="002B53FA"/>
    <w:rsid w:val="00A340D3"/>
    <w:rsid w:val="00A34198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63A3E"/>
  <w15:chartTrackingRefBased/>
  <w15:docId w15:val="{2B20FA86-CEBE-6042-8659-FB237E7A9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198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eastAsiaTheme="minorEastAsia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34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2020-10-30T21:13:00Z</dcterms:created>
  <dcterms:modified xsi:type="dcterms:W3CDTF">2020-10-30T21:13:00Z</dcterms:modified>
</cp:coreProperties>
</file>