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637" w:rsidRDefault="008D1637" w:rsidP="008D1637">
      <w:pPr>
        <w:adjustRightInd w:val="0"/>
        <w:snapToGrid w:val="0"/>
        <w:spacing w:after="60" w:line="228" w:lineRule="auto"/>
        <w:rPr>
          <w:rFonts w:ascii="Times New Roman" w:hAnsi="Times New Roman"/>
          <w:b/>
          <w:bCs/>
          <w:sz w:val="24"/>
          <w:szCs w:val="22"/>
          <w:lang w:bidi="en-US"/>
        </w:rPr>
      </w:pPr>
      <w:r w:rsidRPr="00DD7C2E">
        <w:rPr>
          <w:rFonts w:ascii="Times New Roman" w:hAnsi="Times New Roman"/>
          <w:b/>
          <w:bCs/>
          <w:sz w:val="24"/>
          <w:szCs w:val="22"/>
          <w:lang w:bidi="en-US"/>
        </w:rPr>
        <w:t>Sup</w:t>
      </w:r>
      <w:r>
        <w:rPr>
          <w:rFonts w:ascii="Times New Roman" w:hAnsi="Times New Roman"/>
          <w:b/>
          <w:bCs/>
          <w:sz w:val="24"/>
          <w:szCs w:val="22"/>
          <w:lang w:bidi="en-US"/>
        </w:rPr>
        <w:t>p</w:t>
      </w:r>
      <w:r w:rsidRPr="00DD7C2E">
        <w:rPr>
          <w:rFonts w:ascii="Times New Roman" w:hAnsi="Times New Roman"/>
          <w:b/>
          <w:bCs/>
          <w:sz w:val="24"/>
          <w:szCs w:val="22"/>
          <w:lang w:bidi="en-US"/>
        </w:rPr>
        <w:t>lementa</w:t>
      </w:r>
      <w:r>
        <w:rPr>
          <w:rFonts w:ascii="Times New Roman" w:hAnsi="Times New Roman"/>
          <w:b/>
          <w:bCs/>
          <w:sz w:val="24"/>
          <w:szCs w:val="22"/>
          <w:lang w:bidi="en-US"/>
        </w:rPr>
        <w:t>ry information</w:t>
      </w:r>
    </w:p>
    <w:p w:rsidR="008D1637" w:rsidRPr="00DD7C2E" w:rsidRDefault="008D1637" w:rsidP="008D1637">
      <w:pPr>
        <w:adjustRightInd w:val="0"/>
        <w:snapToGrid w:val="0"/>
        <w:spacing w:before="240" w:after="60" w:line="360" w:lineRule="auto"/>
        <w:rPr>
          <w:rFonts w:ascii="Times New Roman" w:hAnsi="Times New Roman"/>
          <w:sz w:val="24"/>
          <w:szCs w:val="24"/>
        </w:rPr>
      </w:pPr>
      <w:r w:rsidRPr="00DD7C2E">
        <w:rPr>
          <w:rFonts w:ascii="Times New Roman" w:hAnsi="Times New Roman"/>
          <w:b/>
          <w:sz w:val="24"/>
          <w:szCs w:val="24"/>
        </w:rPr>
        <w:t xml:space="preserve">Table </w:t>
      </w:r>
      <w:r w:rsidRPr="00DB617A">
        <w:rPr>
          <w:rFonts w:ascii="Times New Roman" w:hAnsi="Times New Roman"/>
          <w:b/>
          <w:sz w:val="24"/>
          <w:szCs w:val="24"/>
        </w:rPr>
        <w:t>SI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D7C2E">
        <w:rPr>
          <w:rFonts w:ascii="Times New Roman" w:hAnsi="Times New Roman"/>
          <w:b/>
          <w:sz w:val="24"/>
          <w:szCs w:val="24"/>
        </w:rPr>
        <w:t>1.</w:t>
      </w:r>
      <w:r w:rsidRPr="00DD7C2E">
        <w:rPr>
          <w:rFonts w:ascii="Times New Roman" w:hAnsi="Times New Roman"/>
          <w:sz w:val="24"/>
          <w:szCs w:val="24"/>
        </w:rPr>
        <w:t xml:space="preserve"> The list of adapter and primer sequences used for the MSAP analysis. A letter “H” indicates a primer for </w:t>
      </w:r>
      <w:r w:rsidRPr="00DD7C2E">
        <w:rPr>
          <w:rFonts w:ascii="Times New Roman" w:hAnsi="Times New Roman"/>
          <w:i/>
          <w:sz w:val="24"/>
          <w:szCs w:val="24"/>
        </w:rPr>
        <w:t>Hpa</w:t>
      </w:r>
      <w:r w:rsidRPr="00DD7C2E">
        <w:rPr>
          <w:rFonts w:ascii="Times New Roman" w:hAnsi="Times New Roman"/>
          <w:sz w:val="24"/>
          <w:szCs w:val="24"/>
        </w:rPr>
        <w:t xml:space="preserve">II or </w:t>
      </w:r>
      <w:r w:rsidRPr="00DD7C2E">
        <w:rPr>
          <w:rFonts w:ascii="Times New Roman" w:hAnsi="Times New Roman"/>
          <w:i/>
          <w:sz w:val="24"/>
          <w:szCs w:val="24"/>
        </w:rPr>
        <w:t>Msp</w:t>
      </w:r>
      <w:r w:rsidRPr="00DD7C2E">
        <w:rPr>
          <w:rFonts w:ascii="Times New Roman" w:hAnsi="Times New Roman"/>
          <w:sz w:val="24"/>
          <w:szCs w:val="24"/>
        </w:rPr>
        <w:t xml:space="preserve">I restriction site, a letter “E” indicates a primer for </w:t>
      </w:r>
      <w:r w:rsidRPr="00DD7C2E">
        <w:rPr>
          <w:rFonts w:ascii="Times New Roman" w:hAnsi="Times New Roman"/>
          <w:i/>
          <w:sz w:val="24"/>
          <w:szCs w:val="24"/>
        </w:rPr>
        <w:t>EcoR</w:t>
      </w:r>
      <w:r w:rsidRPr="00DD7C2E">
        <w:rPr>
          <w:rFonts w:ascii="Times New Roman" w:hAnsi="Times New Roman"/>
          <w:sz w:val="24"/>
          <w:szCs w:val="24"/>
        </w:rPr>
        <w:t xml:space="preserve">I recognition site.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9"/>
        <w:gridCol w:w="2774"/>
      </w:tblGrid>
      <w:tr w:rsidR="008D1637" w:rsidRPr="0065152A" w:rsidTr="00223919">
        <w:trPr>
          <w:trHeight w:val="436"/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b/>
              </w:rPr>
            </w:pPr>
            <w:r w:rsidRPr="0065152A">
              <w:rPr>
                <w:rFonts w:ascii="Times New Roman" w:hAnsi="Times New Roman"/>
                <w:b/>
              </w:rPr>
              <w:t>Name of the oligo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b/>
              </w:rPr>
            </w:pPr>
            <w:r w:rsidRPr="0065152A">
              <w:rPr>
                <w:rFonts w:ascii="Times New Roman" w:hAnsi="Times New Roman"/>
                <w:b/>
              </w:rPr>
              <w:t>Sequence 5’-3’</w:t>
            </w:r>
          </w:p>
        </w:tc>
      </w:tr>
      <w:tr w:rsidR="008D1637" w:rsidRPr="0065152A" w:rsidTr="00223919">
        <w:trPr>
          <w:trHeight w:val="427"/>
          <w:jc w:val="center"/>
        </w:trPr>
        <w:tc>
          <w:tcPr>
            <w:tcW w:w="0" w:type="auto"/>
            <w:gridSpan w:val="2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b/>
              </w:rPr>
            </w:pPr>
            <w:r w:rsidRPr="0065152A">
              <w:rPr>
                <w:rFonts w:ascii="Times New Roman" w:hAnsi="Times New Roman"/>
                <w:b/>
              </w:rPr>
              <w:t>Adapters for ligation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  <w:i/>
              </w:rPr>
              <w:t>Hpa</w:t>
            </w:r>
            <w:r w:rsidRPr="0065152A">
              <w:rPr>
                <w:rFonts w:ascii="Times New Roman" w:hAnsi="Times New Roman"/>
              </w:rPr>
              <w:t xml:space="preserve">II / </w:t>
            </w:r>
            <w:r w:rsidRPr="0065152A">
              <w:rPr>
                <w:rFonts w:ascii="Times New Roman" w:hAnsi="Times New Roman"/>
                <w:i/>
              </w:rPr>
              <w:t>Msp</w:t>
            </w:r>
            <w:r w:rsidRPr="0065152A">
              <w:rPr>
                <w:rFonts w:ascii="Times New Roman" w:hAnsi="Times New Roman"/>
              </w:rPr>
              <w:t>I adapter - strand 1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GACGATGAGTCTAGAA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  <w:i/>
              </w:rPr>
              <w:t>Hpa</w:t>
            </w:r>
            <w:r w:rsidRPr="0065152A">
              <w:rPr>
                <w:rFonts w:ascii="Times New Roman" w:hAnsi="Times New Roman"/>
              </w:rPr>
              <w:t xml:space="preserve">II / </w:t>
            </w:r>
            <w:r w:rsidRPr="0065152A">
              <w:rPr>
                <w:rFonts w:ascii="Times New Roman" w:hAnsi="Times New Roman"/>
                <w:i/>
              </w:rPr>
              <w:t>Msp</w:t>
            </w:r>
            <w:r w:rsidRPr="0065152A">
              <w:rPr>
                <w:rFonts w:ascii="Times New Roman" w:hAnsi="Times New Roman"/>
              </w:rPr>
              <w:t>I adapter - strand 2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CGTTCTAGACTCATC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  <w:i/>
              </w:rPr>
              <w:t>EcoR</w:t>
            </w:r>
            <w:r w:rsidRPr="0065152A">
              <w:rPr>
                <w:rFonts w:ascii="Times New Roman" w:hAnsi="Times New Roman"/>
              </w:rPr>
              <w:t>I adapter - strand 1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CTCGTAGACTGCGTACC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  <w:i/>
              </w:rPr>
              <w:t>EcoR</w:t>
            </w:r>
            <w:r w:rsidRPr="0065152A">
              <w:rPr>
                <w:rFonts w:ascii="Times New Roman" w:hAnsi="Times New Roman"/>
              </w:rPr>
              <w:t>I adapter - strand 2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AATTGGTACGCAGTCTAC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i/>
              </w:rPr>
            </w:pP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</w:p>
        </w:tc>
      </w:tr>
      <w:tr w:rsidR="008D1637" w:rsidRPr="0065152A" w:rsidTr="00223919">
        <w:trPr>
          <w:trHeight w:val="388"/>
          <w:jc w:val="center"/>
        </w:trPr>
        <w:tc>
          <w:tcPr>
            <w:tcW w:w="0" w:type="auto"/>
            <w:gridSpan w:val="2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  <w:b/>
              </w:rPr>
              <w:t>Primers for preamplification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Hpa+T (Msp+T) primer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GATGAGTCTAGAACGGT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Eco+A primer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GACTGCGTACCAATTCA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</w:p>
        </w:tc>
      </w:tr>
      <w:tr w:rsidR="008D1637" w:rsidRPr="0065152A" w:rsidTr="00223919">
        <w:trPr>
          <w:trHeight w:val="405"/>
          <w:jc w:val="center"/>
        </w:trPr>
        <w:tc>
          <w:tcPr>
            <w:tcW w:w="0" w:type="auto"/>
            <w:gridSpan w:val="2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b/>
              </w:rPr>
            </w:pPr>
            <w:r w:rsidRPr="0065152A">
              <w:rPr>
                <w:rFonts w:ascii="Times New Roman" w:hAnsi="Times New Roman"/>
                <w:b/>
              </w:rPr>
              <w:t>Primers for selective amplification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H-TAC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GATGAGTCTAGAACGGTAC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H-TAG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GATGAGTCTAGAACGGTAG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H-TCA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GATGAGTCTAGAACGGTCA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H-TGA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GATGAGTCTAGAACGGTGA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H-TGC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GATGAGTCTAGAACGGTGC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E-ACG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GACTGCGTACCAATTCACG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E-ACT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GACTGCGTACCAATTCACT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E-AGA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GACTGCGTACCAATTCAGA</w:t>
            </w:r>
          </w:p>
        </w:tc>
      </w:tr>
      <w:tr w:rsidR="008D1637" w:rsidRPr="0065152A" w:rsidTr="00223919">
        <w:trPr>
          <w:jc w:val="center"/>
        </w:trPr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E-ACA</w:t>
            </w:r>
          </w:p>
        </w:tc>
        <w:tc>
          <w:tcPr>
            <w:tcW w:w="0" w:type="auto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GACTGCGTACCAATTCACA</w:t>
            </w:r>
          </w:p>
        </w:tc>
      </w:tr>
    </w:tbl>
    <w:p w:rsidR="008D1637" w:rsidRPr="00DD7C2E" w:rsidRDefault="008D1637" w:rsidP="008D1637">
      <w:pPr>
        <w:adjustRightInd w:val="0"/>
        <w:snapToGrid w:val="0"/>
        <w:spacing w:before="240" w:after="60" w:line="360" w:lineRule="auto"/>
        <w:rPr>
          <w:rFonts w:ascii="Times New Roman" w:hAnsi="Times New Roman"/>
          <w:b/>
          <w:bCs/>
          <w:sz w:val="24"/>
          <w:szCs w:val="22"/>
          <w:lang w:bidi="en-US"/>
        </w:rPr>
      </w:pPr>
    </w:p>
    <w:p w:rsidR="008D1637" w:rsidRPr="00DD7C2E" w:rsidRDefault="008D1637" w:rsidP="008D1637">
      <w:pPr>
        <w:pStyle w:val="MDPI21heading1"/>
        <w:spacing w:line="360" w:lineRule="auto"/>
        <w:ind w:left="0"/>
        <w:jc w:val="both"/>
        <w:rPr>
          <w:rFonts w:ascii="Times New Roman" w:eastAsiaTheme="minorEastAsia" w:hAnsi="Times New Roman"/>
          <w:b w:val="0"/>
          <w:sz w:val="24"/>
        </w:rPr>
      </w:pPr>
      <w:r w:rsidRPr="00DD7C2E">
        <w:rPr>
          <w:rFonts w:ascii="Times New Roman" w:eastAsiaTheme="minorEastAsia" w:hAnsi="Times New Roman"/>
          <w:bCs/>
          <w:sz w:val="24"/>
        </w:rPr>
        <w:t xml:space="preserve">Table </w:t>
      </w:r>
      <w:r>
        <w:rPr>
          <w:rFonts w:ascii="Times New Roman" w:eastAsiaTheme="minorEastAsia" w:hAnsi="Times New Roman"/>
          <w:bCs/>
          <w:sz w:val="24"/>
        </w:rPr>
        <w:t xml:space="preserve">SI </w:t>
      </w:r>
      <w:r w:rsidRPr="00DD7C2E">
        <w:rPr>
          <w:rFonts w:ascii="Times New Roman" w:eastAsiaTheme="minorEastAsia" w:hAnsi="Times New Roman"/>
          <w:bCs/>
          <w:sz w:val="24"/>
        </w:rPr>
        <w:t xml:space="preserve">2. </w:t>
      </w:r>
      <w:r w:rsidRPr="00DD7C2E">
        <w:rPr>
          <w:rFonts w:ascii="Times New Roman" w:eastAsiaTheme="minorEastAsia" w:hAnsi="Times New Roman"/>
          <w:b w:val="0"/>
          <w:sz w:val="24"/>
        </w:rPr>
        <w:t>The list of selective primer combinations used in the MSAP analysis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2693"/>
      </w:tblGrid>
      <w:tr w:rsidR="008D1637" w:rsidRPr="0065152A" w:rsidTr="00223919">
        <w:trPr>
          <w:trHeight w:val="438"/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b/>
              </w:rPr>
            </w:pPr>
            <w:r w:rsidRPr="0065152A">
              <w:rPr>
                <w:rFonts w:ascii="Times New Roman" w:hAnsi="Times New Roman"/>
                <w:b/>
              </w:rPr>
              <w:t>No.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  <w:b/>
              </w:rPr>
            </w:pPr>
            <w:r w:rsidRPr="0065152A">
              <w:rPr>
                <w:rFonts w:ascii="Times New Roman" w:hAnsi="Times New Roman"/>
                <w:b/>
              </w:rPr>
              <w:t>Primer combination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1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E-ACG  /   H-TAC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2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E-ACG  /   H-TGC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3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E-ACG  /   H-TCA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4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E-ACT  /   H-TAC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5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E-ACT  /   H-TGC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6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E-ACT  /   H-TCA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7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E-AGA  /   H-TGA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8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E-AGA  /   H-TAG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9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E-ACA  /   H-TGA</w:t>
            </w:r>
          </w:p>
        </w:tc>
      </w:tr>
      <w:tr w:rsidR="008D1637" w:rsidRPr="0065152A" w:rsidTr="00223919">
        <w:trPr>
          <w:jc w:val="center"/>
        </w:trPr>
        <w:tc>
          <w:tcPr>
            <w:tcW w:w="988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10</w:t>
            </w:r>
          </w:p>
        </w:tc>
        <w:tc>
          <w:tcPr>
            <w:tcW w:w="2693" w:type="dxa"/>
            <w:vAlign w:val="center"/>
          </w:tcPr>
          <w:p w:rsidR="008D1637" w:rsidRPr="0065152A" w:rsidRDefault="008D1637" w:rsidP="00223919">
            <w:pPr>
              <w:rPr>
                <w:rFonts w:ascii="Times New Roman" w:hAnsi="Times New Roman"/>
              </w:rPr>
            </w:pPr>
            <w:r w:rsidRPr="0065152A">
              <w:rPr>
                <w:rFonts w:ascii="Times New Roman" w:hAnsi="Times New Roman"/>
              </w:rPr>
              <w:t>E-ACA  /   H-TAG</w:t>
            </w:r>
          </w:p>
        </w:tc>
      </w:tr>
    </w:tbl>
    <w:p w:rsidR="008D1637" w:rsidRDefault="008D1637" w:rsidP="008D1637">
      <w:pPr>
        <w:pStyle w:val="MDPI21heading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D1637" w:rsidRDefault="008D1637" w:rsidP="008D1637">
      <w:pPr>
        <w:spacing w:line="240" w:lineRule="auto"/>
        <w:jc w:val="left"/>
        <w:rPr>
          <w:rFonts w:ascii="Times New Roman" w:eastAsia="Times New Roman" w:hAnsi="Times New Roman"/>
          <w:b/>
          <w:noProof w:val="0"/>
          <w:snapToGrid w:val="0"/>
          <w:sz w:val="24"/>
          <w:szCs w:val="24"/>
          <w:lang w:eastAsia="de-DE" w:bidi="en-US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637"/>
    <w:rsid w:val="003A0A23"/>
    <w:rsid w:val="008D1637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5E663B-EB93-4AC4-B7FB-3EDE5F48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637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21heading1">
    <w:name w:val="MDPI_2.1_heading1"/>
    <w:qFormat/>
    <w:rsid w:val="008D1637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39"/>
    <w:rsid w:val="008D1637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175</Words>
  <Characters>1004</Characters>
  <Application>Microsoft Office Word</Application>
  <DocSecurity>0</DocSecurity>
  <Lines>8</Lines>
  <Paragraphs>2</Paragraphs>
  <ScaleCrop>false</ScaleCrop>
  <Company>Springer Nature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2021-06-09T10:17:00Z</dcterms:created>
  <dcterms:modified xsi:type="dcterms:W3CDTF">2021-06-09T10:17:00Z</dcterms:modified>
</cp:coreProperties>
</file>