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85DA3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Supplementary Material</w:t>
      </w:r>
    </w:p>
    <w:p w14:paraId="138BA723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1AB69779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2074C4AF">
      <w:pPr>
        <w:jc w:val="center"/>
        <w:rPr>
          <w:rFonts w:hint="eastAsia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</w:rPr>
        <w:t>Title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</w:rPr>
        <w:t>Association Between Various Dosage Forms of Semaglutide and Ocular Adverse Events in a Real-World Setting</w:t>
      </w:r>
    </w:p>
    <w:p w14:paraId="2A261403">
      <w:pPr>
        <w:jc w:val="center"/>
        <w:rPr>
          <w:rFonts w:hint="eastAsia" w:ascii="Times New Roman" w:hAnsi="Times New Roman" w:cs="Times New Roman"/>
          <w:b/>
          <w:bCs/>
          <w:sz w:val="32"/>
          <w:szCs w:val="32"/>
        </w:rPr>
      </w:pPr>
    </w:p>
    <w:p w14:paraId="6DAB53A3">
      <w:pPr>
        <w:jc w:val="left"/>
        <w:rPr>
          <w:rFonts w:hint="default" w:ascii="Times New Roman" w:hAnsi="Times New Roman" w:cs="Times New Roman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Tao Zhao. Liting Zheng. Yiyun Feng. Min Lao. </w:t>
      </w:r>
      <w:r>
        <w:rPr>
          <w:rFonts w:ascii="Times New Roman" w:hAnsi="Times New Roman" w:cs="Times New Roman"/>
          <w:szCs w:val="21"/>
        </w:rPr>
        <w:t>Yongmei Huang</w:t>
      </w:r>
      <w:r>
        <w:rPr>
          <w:rFonts w:hint="eastAsia" w:ascii="Times New Roman" w:hAnsi="Times New Roman" w:cs="Times New Roman"/>
          <w:szCs w:val="21"/>
          <w:lang w:val="en-US" w:eastAsia="zh-CN"/>
        </w:rPr>
        <w:t>.</w:t>
      </w:r>
      <w:r>
        <w:rPr>
          <w:rFonts w:ascii="Times New Roman" w:hAnsi="Times New Roman" w:cs="Times New Roman"/>
          <w:szCs w:val="21"/>
        </w:rPr>
        <w:t xml:space="preserve"> Guo</w:t>
      </w:r>
      <w:r>
        <w:rPr>
          <w:rFonts w:hint="eastAsia" w:ascii="Times New Roman" w:hAnsi="Times New Roman" w:cs="Times New Roman"/>
          <w:szCs w:val="21"/>
        </w:rPr>
        <w:t>song</w:t>
      </w:r>
      <w:r>
        <w:rPr>
          <w:rFonts w:ascii="Times New Roman" w:hAnsi="Times New Roman" w:cs="Times New Roman"/>
          <w:szCs w:val="21"/>
        </w:rPr>
        <w:t xml:space="preserve"> Wu</w:t>
      </w:r>
      <w:r>
        <w:rPr>
          <w:rFonts w:hint="eastAsia" w:ascii="Times New Roman" w:hAnsi="Times New Roman" w:cs="Times New Roman"/>
          <w:szCs w:val="21"/>
        </w:rPr>
        <w:t>o</w:t>
      </w:r>
      <w:r>
        <w:rPr>
          <w:rFonts w:hint="eastAsia" w:ascii="Times New Roman" w:hAnsi="Times New Roman" w:cs="Times New Roman"/>
          <w:color w:val="auto"/>
          <w:szCs w:val="21"/>
        </w:rPr>
        <w:t xml:space="preserve"> </w:t>
      </w:r>
      <w:r>
        <w:rPr>
          <w:rFonts w:hint="eastAsia" w:ascii="Times New Roman" w:hAnsi="Times New Roman" w:cs="Times New Roman"/>
          <w:szCs w:val="21"/>
        </w:rPr>
        <w:t> </w:t>
      </w:r>
    </w:p>
    <w:p w14:paraId="0852DA1B">
      <w:pPr>
        <w:jc w:val="left"/>
        <w:rPr>
          <w:rFonts w:hint="default" w:ascii="Times New Roman" w:hAnsi="Times New Roman" w:cs="Times New Roman"/>
          <w:szCs w:val="21"/>
          <w:lang w:val="en-US" w:eastAsia="zh-CN"/>
        </w:rPr>
      </w:pPr>
    </w:p>
    <w:p w14:paraId="3BB8614E">
      <w:pPr>
        <w:numPr>
          <w:ilvl w:val="0"/>
          <w:numId w:val="1"/>
        </w:numPr>
        <w:jc w:val="left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Zhao, L. Zheng, Y. Feng, M. Lao</w:t>
      </w:r>
    </w:p>
    <w:p w14:paraId="20D3601B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Address/Institution: Baiyun Branch, Nanfang Hospital, Southern Medical University and Guangzhou Baiyun District People's Hospitalanf, Guangdong, 510599, Guangzhou, China</w:t>
      </w:r>
    </w:p>
    <w:p w14:paraId="2E023C35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 w14:paraId="081FE4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ascii="Times New Roman" w:hAnsi="Times New Roman" w:cs="Times New Roman"/>
        </w:rPr>
        <w:t xml:space="preserve"> Song</w:t>
      </w:r>
    </w:p>
    <w:p w14:paraId="59B26A0F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Baiyun Branch, Nanfang Hospital, Southern Medical University</w:t>
      </w:r>
      <w:r>
        <w:rPr>
          <w:rFonts w:hint="eastAsia" w:ascii="Times New Roman" w:hAnsi="Times New Roman" w:cs="Times New Roman"/>
          <w:lang w:val="en-US" w:eastAsia="zh-CN"/>
        </w:rPr>
        <w:t>;</w:t>
      </w:r>
      <w:r>
        <w:rPr>
          <w:rFonts w:ascii="Times New Roman" w:hAnsi="Times New Roman" w:cs="Times New Roman"/>
        </w:rPr>
        <w:t xml:space="preserve"> Guangzhou Baiyun District People's Hospital</w:t>
      </w:r>
      <w:r>
        <w:rPr>
          <w:rFonts w:hint="eastAsia"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nf and Taihe Branch of Nanfang Hospital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Guangdong, 510599, Guangzhou, China</w:t>
      </w:r>
    </w:p>
    <w:p w14:paraId="6E8F05EC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eastAsia" w:ascii="Times New Roman" w:hAnsi="Times New Roman" w:cs="Times New Roman"/>
        </w:rPr>
        <w:t xml:space="preserve">mail: </w:t>
      </w:r>
      <w:r>
        <w:fldChar w:fldCharType="begin"/>
      </w:r>
      <w:r>
        <w:instrText xml:space="preserve"> HYPERLINK "mailto:13570254292@163.com" </w:instrText>
      </w:r>
      <w:r>
        <w:fldChar w:fldCharType="separate"/>
      </w:r>
      <w:r>
        <w:rPr>
          <w:rStyle w:val="5"/>
          <w:rFonts w:ascii="Times New Roman" w:hAnsi="Times New Roman" w:cs="Times New Roman"/>
        </w:rPr>
        <w:t>13570254292</w:t>
      </w:r>
      <w:r>
        <w:rPr>
          <w:rStyle w:val="5"/>
          <w:rFonts w:hint="eastAsia" w:ascii="Times New Roman" w:hAnsi="Times New Roman" w:cs="Times New Roman"/>
        </w:rPr>
        <w:t>@</w:t>
      </w:r>
      <w:r>
        <w:rPr>
          <w:rStyle w:val="5"/>
          <w:rFonts w:ascii="Times New Roman" w:hAnsi="Times New Roman" w:cs="Times New Roman"/>
        </w:rPr>
        <w:t>163</w:t>
      </w:r>
      <w:r>
        <w:rPr>
          <w:rStyle w:val="5"/>
          <w:rFonts w:hint="eastAsia" w:ascii="Times New Roman" w:hAnsi="Times New Roman" w:cs="Times New Roman"/>
        </w:rPr>
        <w:t>.com</w:t>
      </w:r>
      <w:r>
        <w:rPr>
          <w:rStyle w:val="5"/>
          <w:rFonts w:hint="eastAsia"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;</w:t>
      </w:r>
    </w:p>
    <w:p w14:paraId="2D1F6633">
      <w:pPr>
        <w:rPr>
          <w:rFonts w:hint="eastAsia" w:ascii="Times New Roman" w:hAnsi="Times New Roman" w:cs="Times New Roman"/>
        </w:rPr>
      </w:pPr>
    </w:p>
    <w:p w14:paraId="70028D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ascii="Times New Roman" w:hAnsi="Times New Roman" w:cs="Times New Roman"/>
        </w:rPr>
        <w:t xml:space="preserve"> Huang</w:t>
      </w:r>
    </w:p>
    <w:p w14:paraId="0122BB0F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Address/Institution: Baiyun Branch, Nanfang Hospital, Southern Medical University and Guangzhou Baiyun District People's Hospital</w:t>
      </w:r>
      <w:r>
        <w:rPr>
          <w:rFonts w:hint="eastAsia"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nf</w:t>
      </w:r>
      <w:r>
        <w:rPr>
          <w:rFonts w:hint="eastAsia" w:ascii="Times New Roman" w:hAnsi="Times New Roman" w:cs="Times New Roman"/>
          <w:lang w:val="en-US" w:eastAsia="zh-CN"/>
        </w:rPr>
        <w:t>, Guangdong, 510599, Guangzhou, China</w:t>
      </w:r>
    </w:p>
    <w:p w14:paraId="6828E342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eastAsia" w:ascii="Times New Roman" w:hAnsi="Times New Roman" w:cs="Times New Roman"/>
        </w:rPr>
        <w:t xml:space="preserve">mail: </w:t>
      </w:r>
      <w:r>
        <w:fldChar w:fldCharType="begin"/>
      </w:r>
      <w:r>
        <w:instrText xml:space="preserve"> HYPERLINK "mailto:425008225@qq.com" </w:instrText>
      </w:r>
      <w:r>
        <w:fldChar w:fldCharType="separate"/>
      </w:r>
      <w:r>
        <w:rPr>
          <w:rStyle w:val="5"/>
          <w:rFonts w:hint="eastAsia" w:ascii="Times New Roman" w:hAnsi="Times New Roman" w:cs="Times New Roman"/>
        </w:rPr>
        <w:t>425008225@qq.com</w:t>
      </w:r>
      <w:r>
        <w:rPr>
          <w:rStyle w:val="5"/>
          <w:rFonts w:hint="eastAsia" w:ascii="Times New Roman" w:hAnsi="Times New Roman" w:cs="Times New Roman"/>
        </w:rPr>
        <w:fldChar w:fldCharType="end"/>
      </w:r>
    </w:p>
    <w:p w14:paraId="491BADEA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3A069CA5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7D06EA2F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59B07BFD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7C8A9714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387F0DBA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54E0A849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73BDD797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16E7294E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23D99122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70B8A230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4F08241F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6AD19929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7DEA4617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52357AEE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78F3A08E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7A7378BB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3F41DB73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427A2651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1B739593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F94D090">
      <w:pPr>
        <w:jc w:val="center"/>
        <w:rPr>
          <w:rFonts w:hint="eastAsia"/>
          <w:sz w:val="24"/>
          <w:szCs w:val="24"/>
        </w:rPr>
      </w:pPr>
    </w:p>
    <w:p w14:paraId="4C6FEA9E">
      <w:pPr>
        <w:jc w:val="center"/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S-</w:t>
      </w:r>
      <w:r>
        <w:rPr>
          <w:rFonts w:ascii="Times New Roman" w:hAnsi="Times New Roman" w:cs="Times New Roman"/>
          <w:b/>
          <w:bCs/>
          <w:sz w:val="18"/>
          <w:szCs w:val="18"/>
        </w:rPr>
        <w:t>1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Disproportionality analysis</w:t>
      </w:r>
    </w:p>
    <w:tbl>
      <w:tblPr>
        <w:tblStyle w:val="3"/>
        <w:tblW w:w="826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4891"/>
        <w:gridCol w:w="2317"/>
      </w:tblGrid>
      <w:tr w14:paraId="7917E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055" w:type="dxa"/>
            <w:tcBorders>
              <w:top w:val="single" w:color="000008" w:sz="2" w:space="0"/>
              <w:left w:val="single" w:color="000008" w:sz="2" w:space="0"/>
              <w:bottom w:val="single" w:color="000008" w:sz="2" w:space="0"/>
              <w:right w:val="single" w:color="000008" w:sz="2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3E364231">
            <w:pPr>
              <w:pStyle w:val="2"/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Methods</w:t>
            </w:r>
          </w:p>
        </w:tc>
        <w:tc>
          <w:tcPr>
            <w:tcW w:w="4891" w:type="dxa"/>
            <w:tcBorders>
              <w:top w:val="single" w:color="000008" w:sz="2" w:space="0"/>
              <w:left w:val="single" w:color="000008" w:sz="2" w:space="0"/>
              <w:bottom w:val="single" w:color="000008" w:sz="2" w:space="0"/>
              <w:right w:val="single" w:color="000008" w:sz="2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1E40B1CE">
            <w:pPr>
              <w:pStyle w:val="2"/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Formula</w:t>
            </w:r>
          </w:p>
        </w:tc>
        <w:tc>
          <w:tcPr>
            <w:tcW w:w="2317" w:type="dxa"/>
            <w:tcBorders>
              <w:top w:val="single" w:color="000008" w:sz="2" w:space="0"/>
              <w:left w:val="single" w:color="000008" w:sz="2" w:space="0"/>
              <w:bottom w:val="single" w:color="000008" w:sz="2" w:space="0"/>
              <w:right w:val="single" w:color="000008" w:sz="2" w:space="0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510D8362">
            <w:pPr>
              <w:pStyle w:val="2"/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Signal standard</w:t>
            </w:r>
          </w:p>
        </w:tc>
      </w:tr>
      <w:tr w14:paraId="5D4426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055" w:type="dxa"/>
            <w:tcBorders>
              <w:top w:val="single" w:color="000008" w:sz="2" w:space="0"/>
              <w:left w:val="single" w:color="000008" w:sz="2" w:space="0"/>
              <w:bottom w:val="single" w:color="000008" w:sz="2" w:space="0"/>
              <w:right w:val="single" w:color="000008" w:sz="2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03313E">
            <w:pPr>
              <w:pStyle w:val="2"/>
              <w:widowControl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ROR</w:t>
            </w:r>
          </w:p>
        </w:tc>
        <w:tc>
          <w:tcPr>
            <w:tcW w:w="4891" w:type="dxa"/>
            <w:tcBorders>
              <w:top w:val="single" w:color="000008" w:sz="2" w:space="0"/>
              <w:left w:val="single" w:color="000008" w:sz="2" w:space="0"/>
              <w:bottom w:val="single" w:color="000008" w:sz="2" w:space="0"/>
              <w:right w:val="single" w:color="000008" w:sz="2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C34059">
            <w:pPr>
              <w:pStyle w:val="2"/>
              <w:widowControl/>
              <w:spacing w:beforeAutospacing="0" w:afterAutospacing="0" w:line="20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ROR=ad/bc</w:t>
            </w:r>
          </w:p>
          <w:p w14:paraId="7EA60C4F">
            <w:pPr>
              <w:pStyle w:val="2"/>
              <w:widowControl/>
              <w:spacing w:beforeAutospacing="0" w:afterAutospacing="0" w:line="200" w:lineRule="exact"/>
              <w:jc w:val="center"/>
              <w:rPr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SElnROR=(1/a+1/b+1/c+1/d)</w:t>
            </w:r>
            <w:r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</w:rPr>
              <w:t>0.5</w:t>
            </w:r>
          </w:p>
          <w:p w14:paraId="1DC67EBE">
            <w:pPr>
              <w:pStyle w:val="2"/>
              <w:widowControl/>
              <w:spacing w:beforeAutospacing="0" w:afterAutospacing="0" w:line="200" w:lineRule="exact"/>
              <w:jc w:val="center"/>
              <w:rPr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ROR 95%CI=eln(ROR)±1.96(1/a+1/b+1/c+1/d)</w:t>
            </w:r>
            <w:r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</w:rPr>
              <w:t>0.5</w:t>
            </w:r>
          </w:p>
        </w:tc>
        <w:tc>
          <w:tcPr>
            <w:tcW w:w="2317" w:type="dxa"/>
            <w:tcBorders>
              <w:top w:val="single" w:color="000008" w:sz="2" w:space="0"/>
              <w:left w:val="single" w:color="000008" w:sz="2" w:space="0"/>
              <w:bottom w:val="single" w:color="000008" w:sz="2" w:space="0"/>
              <w:right w:val="single" w:color="000008" w:sz="2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9C9F80">
            <w:pPr>
              <w:pStyle w:val="2"/>
              <w:widowControl/>
              <w:spacing w:beforeAutospacing="0" w:afterAutospacing="0"/>
              <w:jc w:val="center"/>
              <w:rPr>
                <w:rFonts w:hint="eastAsia"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a≥3</w:t>
            </w:r>
          </w:p>
          <w:p w14:paraId="1039102B">
            <w:pPr>
              <w:pStyle w:val="2"/>
              <w:widowControl/>
              <w:spacing w:beforeAutospacing="0" w:afterAutospacing="0"/>
              <w:jc w:val="center"/>
              <w:rPr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95%CI (lower limit)&gt; 1</w:t>
            </w:r>
          </w:p>
        </w:tc>
      </w:tr>
      <w:tr w14:paraId="2FE08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055" w:type="dxa"/>
            <w:tcBorders>
              <w:top w:val="single" w:color="000008" w:sz="2" w:space="0"/>
              <w:left w:val="single" w:color="000008" w:sz="2" w:space="0"/>
              <w:bottom w:val="single" w:color="000008" w:sz="2" w:space="0"/>
              <w:right w:val="single" w:color="000008" w:sz="2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FA7C2D">
            <w:pPr>
              <w:pStyle w:val="2"/>
              <w:widowControl/>
              <w:spacing w:beforeAutospacing="0" w:afterAutospacing="0" w:line="20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PRR/NHRA</w:t>
            </w:r>
          </w:p>
        </w:tc>
        <w:tc>
          <w:tcPr>
            <w:tcW w:w="4891" w:type="dxa"/>
            <w:tcBorders>
              <w:top w:val="single" w:color="000008" w:sz="2" w:space="0"/>
              <w:left w:val="single" w:color="000008" w:sz="2" w:space="0"/>
              <w:bottom w:val="single" w:color="000008" w:sz="2" w:space="0"/>
              <w:right w:val="single" w:color="000008" w:sz="2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A9C0E1">
            <w:pPr>
              <w:pStyle w:val="2"/>
              <w:widowControl/>
              <w:spacing w:beforeAutospacing="0" w:afterAutospacing="0" w:line="20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PRR=a(c+d)/[c(a+b)]</w:t>
            </w:r>
          </w:p>
          <w:p w14:paraId="6D7BB27B">
            <w:pPr>
              <w:pStyle w:val="2"/>
              <w:widowControl/>
              <w:spacing w:beforeAutospacing="0" w:afterAutospacing="0" w:line="20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SElnPRR=(1/a-1/(a+b)+1/c-1/(c+d))</w:t>
            </w:r>
            <w:r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</w:rPr>
              <w:t>0.5</w:t>
            </w:r>
          </w:p>
          <w:p w14:paraId="16CCB7E6">
            <w:pPr>
              <w:pStyle w:val="2"/>
              <w:widowControl/>
              <w:spacing w:beforeAutospacing="0" w:afterAutospacing="0" w:line="20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PRR 95%CI=eln(PRR)±1.96(1/a-1/(a+b)+1/c-1/(c+d))</w:t>
            </w:r>
            <w:r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</w:rPr>
              <w:t>0.5</w:t>
            </w:r>
          </w:p>
          <w:p w14:paraId="49BEB4E3">
            <w:pPr>
              <w:pStyle w:val="2"/>
              <w:widowControl/>
              <w:spacing w:beforeAutospacing="0" w:afterAutospacing="0" w:line="20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X</w:t>
            </w:r>
            <w:r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=(ad-bc)2(a+b+c+d)/[(a+b)(a+c)(c+d)(b+d)]</w:t>
            </w:r>
          </w:p>
        </w:tc>
        <w:tc>
          <w:tcPr>
            <w:tcW w:w="2317" w:type="dxa"/>
            <w:tcBorders>
              <w:top w:val="single" w:color="000008" w:sz="2" w:space="0"/>
              <w:left w:val="single" w:color="000008" w:sz="2" w:space="0"/>
              <w:bottom w:val="single" w:color="000008" w:sz="2" w:space="0"/>
              <w:right w:val="single" w:color="000008" w:sz="2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A980C6">
            <w:pPr>
              <w:pStyle w:val="2"/>
              <w:widowControl/>
              <w:spacing w:beforeAutospacing="0" w:afterAutospacing="0" w:line="200" w:lineRule="exact"/>
              <w:jc w:val="center"/>
              <w:rPr>
                <w:rFonts w:hint="eastAsia"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a≥3</w:t>
            </w:r>
          </w:p>
          <w:p w14:paraId="5B78EC28">
            <w:pPr>
              <w:pStyle w:val="2"/>
              <w:widowControl/>
              <w:spacing w:beforeAutospacing="0" w:afterAutospacing="0" w:line="20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lower limit of PRR 95%CI &gt; 1</w:t>
            </w:r>
          </w:p>
        </w:tc>
      </w:tr>
      <w:tr w14:paraId="1DF2E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  <w:jc w:val="center"/>
        </w:trPr>
        <w:tc>
          <w:tcPr>
            <w:tcW w:w="1055" w:type="dxa"/>
            <w:tcBorders>
              <w:top w:val="single" w:color="000008" w:sz="2" w:space="0"/>
              <w:left w:val="single" w:color="000008" w:sz="2" w:space="0"/>
              <w:bottom w:val="single" w:color="000008" w:sz="2" w:space="0"/>
              <w:right w:val="single" w:color="000008" w:sz="2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E9CB27">
            <w:pPr>
              <w:pStyle w:val="2"/>
              <w:widowControl/>
              <w:spacing w:beforeAutospacing="0" w:afterAutospacing="0" w:line="20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BCPNN</w:t>
            </w:r>
          </w:p>
          <w:p w14:paraId="7305C6A9">
            <w:pPr>
              <w:pStyle w:val="2"/>
              <w:widowControl/>
              <w:spacing w:beforeAutospacing="0" w:afterAutospacing="0" w:line="20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4891" w:type="dxa"/>
            <w:tcBorders>
              <w:top w:val="single" w:color="000008" w:sz="2" w:space="0"/>
              <w:left w:val="single" w:color="000008" w:sz="2" w:space="0"/>
              <w:bottom w:val="single" w:color="000008" w:sz="2" w:space="0"/>
              <w:right w:val="single" w:color="000008" w:sz="2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D48068">
            <w:pPr>
              <w:pStyle w:val="2"/>
              <w:widowControl/>
              <w:spacing w:beforeAutospacing="0" w:afterAutospacing="0" w:line="20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IC=log</w:t>
            </w:r>
            <w:r>
              <w:rPr>
                <w:rFonts w:ascii="Times New Roman" w:hAnsi="Times New Roman"/>
                <w:color w:val="000000"/>
                <w:sz w:val="15"/>
                <w:szCs w:val="15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[a(a+b+c+d)]/[(a+b)(a+c)]</w:t>
            </w:r>
          </w:p>
          <w:p w14:paraId="1046B52D">
            <w:pPr>
              <w:pStyle w:val="2"/>
              <w:widowControl/>
              <w:spacing w:beforeAutospacing="0" w:afterAutospacing="0" w:line="20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γ=γ</w:t>
            </w:r>
            <w:r>
              <w:rPr>
                <w:rFonts w:ascii="Times New Roman" w:hAnsi="Times New Roman"/>
                <w:color w:val="000000"/>
                <w:sz w:val="15"/>
                <w:szCs w:val="15"/>
                <w:vertAlign w:val="subscript"/>
              </w:rPr>
              <w:t>ij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 [(N+α) (N+β)]/[(a+b+α</w:t>
            </w:r>
            <w:r>
              <w:rPr>
                <w:rFonts w:ascii="Times New Roman" w:hAnsi="Times New Roman"/>
                <w:color w:val="000000"/>
                <w:sz w:val="15"/>
                <w:szCs w:val="15"/>
                <w:vertAlign w:val="subscript"/>
              </w:rPr>
              <w:t>i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) (a+c+β</w:t>
            </w:r>
            <w:r>
              <w:rPr>
                <w:rFonts w:ascii="Times New Roman" w:hAnsi="Times New Roman"/>
                <w:color w:val="000000"/>
                <w:sz w:val="15"/>
                <w:szCs w:val="15"/>
                <w:vertAlign w:val="subscript"/>
              </w:rPr>
              <w:t>j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)]</w:t>
            </w:r>
          </w:p>
          <w:p w14:paraId="0FFCC960">
            <w:pPr>
              <w:pStyle w:val="2"/>
              <w:widowControl/>
              <w:spacing w:beforeAutospacing="0" w:afterAutospacing="0" w:line="20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E (IC)=log</w:t>
            </w:r>
            <w:r>
              <w:rPr>
                <w:rFonts w:ascii="Times New Roman" w:hAnsi="Times New Roman"/>
                <w:color w:val="000000"/>
                <w:sz w:val="15"/>
                <w:szCs w:val="15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 [(a+γ</w:t>
            </w:r>
            <w:r>
              <w:rPr>
                <w:rFonts w:ascii="Times New Roman" w:hAnsi="Times New Roman"/>
                <w:color w:val="000000"/>
                <w:sz w:val="15"/>
                <w:szCs w:val="15"/>
                <w:vertAlign w:val="subscript"/>
              </w:rPr>
              <w:t>ij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) (N+α) (N+β)]/[(N+γ) (a+b+α</w:t>
            </w:r>
            <w:r>
              <w:rPr>
                <w:rFonts w:ascii="Times New Roman" w:hAnsi="Times New Roman"/>
                <w:color w:val="000000"/>
                <w:sz w:val="15"/>
                <w:szCs w:val="15"/>
                <w:vertAlign w:val="subscript"/>
              </w:rPr>
              <w:t>i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) (a+c+β</w:t>
            </w:r>
            <w:r>
              <w:rPr>
                <w:rFonts w:ascii="Times New Roman" w:hAnsi="Times New Roman"/>
                <w:color w:val="000000"/>
                <w:sz w:val="15"/>
                <w:szCs w:val="15"/>
                <w:vertAlign w:val="subscript"/>
              </w:rPr>
              <w:t>j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)]</w:t>
            </w:r>
          </w:p>
          <w:p w14:paraId="47C18316">
            <w:pPr>
              <w:pStyle w:val="2"/>
              <w:widowControl/>
              <w:spacing w:beforeAutospacing="0" w:afterAutospacing="0" w:line="20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V(IC)=(log</w:t>
            </w:r>
            <w:r>
              <w:rPr>
                <w:rFonts w:ascii="Times New Roman" w:hAnsi="Times New Roman"/>
                <w:color w:val="000000"/>
                <w:sz w:val="15"/>
                <w:szCs w:val="15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)−2{(N-a+γ-γ</w:t>
            </w:r>
            <w:r>
              <w:rPr>
                <w:rFonts w:ascii="Times New Roman" w:hAnsi="Times New Roman"/>
                <w:color w:val="000000"/>
                <w:sz w:val="15"/>
                <w:szCs w:val="15"/>
                <w:vertAlign w:val="subscript"/>
              </w:rPr>
              <w:t>ij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)/[(a+γ</w:t>
            </w:r>
            <w:r>
              <w:rPr>
                <w:rFonts w:ascii="Times New Roman" w:hAnsi="Times New Roman"/>
                <w:color w:val="000000"/>
                <w:sz w:val="15"/>
                <w:szCs w:val="15"/>
                <w:vertAlign w:val="subscript"/>
              </w:rPr>
              <w:t>ij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) (1+N+γ)] +</w:t>
            </w:r>
          </w:p>
          <w:p w14:paraId="60599AF7">
            <w:pPr>
              <w:pStyle w:val="2"/>
              <w:widowControl/>
              <w:spacing w:beforeAutospacing="0" w:afterAutospacing="0" w:line="20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(N-a-b+α-α</w:t>
            </w:r>
            <w:r>
              <w:rPr>
                <w:rFonts w:ascii="Times New Roman" w:hAnsi="Times New Roman"/>
                <w:color w:val="000000"/>
                <w:sz w:val="15"/>
                <w:szCs w:val="15"/>
                <w:vertAlign w:val="subscript"/>
              </w:rPr>
              <w:t>i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)/[(a+b+α</w:t>
            </w:r>
            <w:r>
              <w:rPr>
                <w:rFonts w:ascii="Times New Roman" w:hAnsi="Times New Roman"/>
                <w:color w:val="000000"/>
                <w:sz w:val="15"/>
                <w:szCs w:val="15"/>
                <w:vertAlign w:val="subscript"/>
              </w:rPr>
              <w:t>i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) (1 + N+α)] +(N-a-c+β-β</w:t>
            </w:r>
            <w:r>
              <w:rPr>
                <w:rFonts w:ascii="Times New Roman" w:hAnsi="Times New Roman"/>
                <w:color w:val="000000"/>
                <w:sz w:val="15"/>
                <w:szCs w:val="15"/>
                <w:vertAlign w:val="subscript"/>
              </w:rPr>
              <w:t>i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)/[(a+b+β</w:t>
            </w:r>
            <w:r>
              <w:rPr>
                <w:rFonts w:ascii="Times New Roman" w:hAnsi="Times New Roman"/>
                <w:color w:val="000000"/>
                <w:sz w:val="15"/>
                <w:szCs w:val="15"/>
                <w:vertAlign w:val="subscript"/>
              </w:rPr>
              <w:t>i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) (1+N+β)]}</w:t>
            </w:r>
          </w:p>
          <w:p w14:paraId="345C2B22">
            <w:pPr>
              <w:pStyle w:val="2"/>
              <w:widowControl/>
              <w:spacing w:beforeAutospacing="0" w:afterAutospacing="0" w:line="20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SD= 2(V(IC))</w:t>
            </w:r>
            <w:r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</w:rPr>
              <w:t>0.5</w:t>
            </w:r>
          </w:p>
          <w:p w14:paraId="5DBE3EB5">
            <w:pPr>
              <w:pStyle w:val="2"/>
              <w:widowControl/>
              <w:spacing w:beforeAutospacing="0" w:afterAutospacing="0" w:line="20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IC-2SD = E (IC)-2SD</w:t>
            </w:r>
          </w:p>
        </w:tc>
        <w:tc>
          <w:tcPr>
            <w:tcW w:w="2317" w:type="dxa"/>
            <w:tcBorders>
              <w:top w:val="single" w:color="000008" w:sz="2" w:space="0"/>
              <w:left w:val="single" w:color="000008" w:sz="2" w:space="0"/>
              <w:bottom w:val="single" w:color="000008" w:sz="2" w:space="0"/>
              <w:right w:val="single" w:color="000008" w:sz="2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733B7E">
            <w:pPr>
              <w:pStyle w:val="2"/>
              <w:widowControl/>
              <w:spacing w:beforeAutospacing="0" w:afterAutospacing="0" w:line="200" w:lineRule="exact"/>
              <w:jc w:val="center"/>
              <w:rPr>
                <w:rFonts w:hint="eastAsia"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a≥3</w:t>
            </w:r>
          </w:p>
          <w:p w14:paraId="5937F390">
            <w:pPr>
              <w:pStyle w:val="2"/>
              <w:widowControl/>
              <w:spacing w:beforeAutospacing="0" w:afterAutospacing="0" w:line="20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IC-2SD &gt; 0</w:t>
            </w:r>
          </w:p>
        </w:tc>
      </w:tr>
      <w:tr w14:paraId="53E22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055" w:type="dxa"/>
            <w:tcBorders>
              <w:top w:val="single" w:color="000008" w:sz="2" w:space="0"/>
              <w:left w:val="single" w:color="000008" w:sz="2" w:space="0"/>
              <w:bottom w:val="single" w:color="auto" w:sz="4" w:space="0"/>
              <w:right w:val="single" w:color="000008" w:sz="2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146D43">
            <w:pPr>
              <w:pStyle w:val="2"/>
              <w:widowControl/>
              <w:spacing w:beforeAutospacing="0" w:afterAutospacing="0" w:line="20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MGPS</w:t>
            </w:r>
          </w:p>
        </w:tc>
        <w:tc>
          <w:tcPr>
            <w:tcW w:w="4891" w:type="dxa"/>
            <w:tcBorders>
              <w:top w:val="single" w:color="000008" w:sz="2" w:space="0"/>
              <w:left w:val="single" w:color="000008" w:sz="2" w:space="0"/>
              <w:bottom w:val="single" w:color="auto" w:sz="4" w:space="0"/>
              <w:right w:val="single" w:color="000008" w:sz="2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966611">
            <w:pPr>
              <w:pStyle w:val="2"/>
              <w:widowControl/>
              <w:spacing w:beforeAutospacing="0" w:afterAutospacing="0" w:line="20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EBGM=a(a+b+c+d)/[(a+c)(b+d)]</w:t>
            </w:r>
          </w:p>
          <w:p w14:paraId="56B4DC4B">
            <w:pPr>
              <w:pStyle w:val="2"/>
              <w:widowControl/>
              <w:spacing w:beforeAutospacing="0" w:afterAutospacing="0" w:line="20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EBGM 95%CI =eln(EBGM)±1.96(1/a+1/b+1/c+1/d)</w:t>
            </w:r>
            <w:r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</w:rPr>
              <w:t>0.5</w:t>
            </w:r>
          </w:p>
        </w:tc>
        <w:tc>
          <w:tcPr>
            <w:tcW w:w="2317" w:type="dxa"/>
            <w:tcBorders>
              <w:top w:val="single" w:color="000008" w:sz="2" w:space="0"/>
              <w:left w:val="single" w:color="000008" w:sz="2" w:space="0"/>
              <w:bottom w:val="single" w:color="auto" w:sz="4" w:space="0"/>
              <w:right w:val="single" w:color="000008" w:sz="2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87AD4A">
            <w:pPr>
              <w:pStyle w:val="2"/>
              <w:widowControl/>
              <w:spacing w:beforeAutospacing="0" w:afterAutospacing="0" w:line="20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a&gt;0</w:t>
            </w:r>
          </w:p>
          <w:p w14:paraId="236F119F">
            <w:pPr>
              <w:pStyle w:val="2"/>
              <w:widowControl/>
              <w:spacing w:beforeAutospacing="0" w:afterAutospacing="0" w:line="20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EBGM05 &gt; 2</w:t>
            </w:r>
          </w:p>
        </w:tc>
      </w:tr>
    </w:tbl>
    <w:p w14:paraId="36222343">
      <w:pPr>
        <w:rPr>
          <w:rFonts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 xml:space="preserve">Note: </w:t>
      </w:r>
      <w:r>
        <w:rPr>
          <w:rFonts w:ascii="Times New Roman" w:hAnsi="Times New Roman" w:cs="Times New Roman"/>
          <w:sz w:val="15"/>
          <w:szCs w:val="15"/>
        </w:rPr>
        <w:t>γ and γ</w:t>
      </w:r>
      <w:r>
        <w:rPr>
          <w:rFonts w:ascii="Times New Roman" w:hAnsi="Times New Roman" w:cs="Times New Roman"/>
          <w:sz w:val="15"/>
          <w:szCs w:val="15"/>
          <w:vertAlign w:val="subscript"/>
        </w:rPr>
        <w:t>ij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hint="eastAsia" w:ascii="Times New Roman" w:hAnsi="Times New Roman" w:cs="Times New Roman"/>
          <w:sz w:val="15"/>
          <w:szCs w:val="15"/>
        </w:rPr>
        <w:t xml:space="preserve">are parameters of the binomial distribution; </w:t>
      </w:r>
      <w:r>
        <w:rPr>
          <w:rFonts w:ascii="Times New Roman" w:hAnsi="Times New Roman" w:cs="Times New Roman"/>
          <w:sz w:val="15"/>
          <w:szCs w:val="15"/>
        </w:rPr>
        <w:t>α</w:t>
      </w:r>
      <w:r>
        <w:rPr>
          <w:rFonts w:ascii="Times New Roman" w:hAnsi="Times New Roman" w:cs="Times New Roman"/>
          <w:sz w:val="15"/>
          <w:szCs w:val="15"/>
          <w:vertAlign w:val="subscript"/>
        </w:rPr>
        <w:t>i</w:t>
      </w:r>
      <w:r>
        <w:rPr>
          <w:rFonts w:ascii="Times New Roman" w:hAnsi="Times New Roman" w:cs="Times New Roman"/>
          <w:sz w:val="15"/>
          <w:szCs w:val="15"/>
        </w:rPr>
        <w:t>, α, β</w:t>
      </w:r>
      <w:r>
        <w:rPr>
          <w:rFonts w:ascii="Times New Roman" w:hAnsi="Times New Roman" w:cs="Times New Roman"/>
          <w:sz w:val="15"/>
          <w:szCs w:val="15"/>
          <w:vertAlign w:val="subscript"/>
        </w:rPr>
        <w:t>j</w:t>
      </w:r>
      <w:r>
        <w:rPr>
          <w:rFonts w:ascii="Times New Roman" w:hAnsi="Times New Roman" w:cs="Times New Roman"/>
          <w:sz w:val="15"/>
          <w:szCs w:val="15"/>
        </w:rPr>
        <w:t>, and β</w:t>
      </w:r>
      <w:r>
        <w:rPr>
          <w:rFonts w:hint="eastAsia" w:ascii="Times New Roman" w:hAnsi="Times New Roman" w:cs="Times New Roman"/>
          <w:sz w:val="15"/>
          <w:szCs w:val="15"/>
        </w:rPr>
        <w:t xml:space="preserve"> are parameters of the Beta distribution; SD stands for Standard Deviation; IC-2SD is the lower limit of the Information Component, representing the 95% Confidence Interval; EBGM05 refers to the lower limit of the Empirical Bayesian Geometric Mean, also within the 95% Confidence Interval; 95% CI signifies the 95% Confidence Interval.</w:t>
      </w:r>
    </w:p>
    <w:p w14:paraId="70CFF79C">
      <w:pPr>
        <w:jc w:val="both"/>
        <w:rPr>
          <w:rFonts w:hint="default"/>
          <w:lang w:val="en-US" w:eastAsia="zh-CN"/>
        </w:rPr>
      </w:pPr>
    </w:p>
    <w:p w14:paraId="68909AB6">
      <w:pPr>
        <w:jc w:val="both"/>
        <w:rPr>
          <w:rFonts w:hint="default"/>
          <w:lang w:val="en-US" w:eastAsia="zh-CN"/>
        </w:rPr>
      </w:pPr>
    </w:p>
    <w:p w14:paraId="56741876">
      <w:pPr>
        <w:jc w:val="both"/>
        <w:rPr>
          <w:rFonts w:hint="default"/>
          <w:lang w:val="en-US" w:eastAsia="zh-CN"/>
        </w:rPr>
      </w:pPr>
    </w:p>
    <w:p w14:paraId="4E5EFAFB">
      <w:pPr>
        <w:jc w:val="both"/>
        <w:rPr>
          <w:rFonts w:hint="default"/>
          <w:lang w:val="en-US" w:eastAsia="zh-CN"/>
        </w:rPr>
      </w:pPr>
    </w:p>
    <w:p w14:paraId="6042A79B">
      <w:pPr>
        <w:jc w:val="both"/>
        <w:rPr>
          <w:rFonts w:hint="default"/>
          <w:lang w:val="en-US" w:eastAsia="zh-CN"/>
        </w:rPr>
      </w:pPr>
    </w:p>
    <w:p w14:paraId="41AEF673">
      <w:pPr>
        <w:jc w:val="both"/>
        <w:rPr>
          <w:rFonts w:hint="default"/>
          <w:lang w:val="en-US" w:eastAsia="zh-CN"/>
        </w:rPr>
      </w:pPr>
    </w:p>
    <w:p w14:paraId="6CA76363">
      <w:pPr>
        <w:jc w:val="both"/>
        <w:rPr>
          <w:rFonts w:hint="default"/>
          <w:lang w:val="en-US" w:eastAsia="zh-CN"/>
        </w:rPr>
      </w:pPr>
    </w:p>
    <w:p w14:paraId="4FBE897B">
      <w:pPr>
        <w:jc w:val="both"/>
        <w:rPr>
          <w:rFonts w:hint="default"/>
          <w:lang w:val="en-US" w:eastAsia="zh-CN"/>
        </w:rPr>
      </w:pPr>
    </w:p>
    <w:p w14:paraId="66DA42C3">
      <w:pPr>
        <w:jc w:val="both"/>
        <w:rPr>
          <w:rFonts w:hint="default"/>
          <w:lang w:val="en-US" w:eastAsia="zh-CN"/>
        </w:rPr>
      </w:pPr>
    </w:p>
    <w:p w14:paraId="53304BC7">
      <w:pPr>
        <w:jc w:val="both"/>
        <w:rPr>
          <w:rFonts w:hint="default"/>
          <w:lang w:val="en-US" w:eastAsia="zh-CN"/>
        </w:rPr>
      </w:pPr>
    </w:p>
    <w:p w14:paraId="5F81B7C5">
      <w:pPr>
        <w:jc w:val="both"/>
        <w:rPr>
          <w:rFonts w:hint="default"/>
          <w:lang w:val="en-US" w:eastAsia="zh-CN"/>
        </w:rPr>
      </w:pPr>
    </w:p>
    <w:p w14:paraId="3C338C59">
      <w:pPr>
        <w:jc w:val="both"/>
        <w:rPr>
          <w:rFonts w:hint="default"/>
          <w:lang w:val="en-US" w:eastAsia="zh-CN"/>
        </w:rPr>
      </w:pPr>
    </w:p>
    <w:p w14:paraId="5760CCAB">
      <w:pPr>
        <w:jc w:val="both"/>
        <w:rPr>
          <w:rFonts w:hint="default"/>
          <w:lang w:val="en-US" w:eastAsia="zh-CN"/>
        </w:rPr>
      </w:pPr>
    </w:p>
    <w:p w14:paraId="01A2A54C">
      <w:pPr>
        <w:jc w:val="both"/>
        <w:rPr>
          <w:rFonts w:hint="default"/>
          <w:lang w:val="en-US" w:eastAsia="zh-CN"/>
        </w:rPr>
      </w:pPr>
    </w:p>
    <w:p w14:paraId="14DF1CB4">
      <w:pPr>
        <w:jc w:val="both"/>
        <w:rPr>
          <w:rFonts w:hint="default"/>
          <w:lang w:val="en-US" w:eastAsia="zh-CN"/>
        </w:rPr>
      </w:pPr>
    </w:p>
    <w:p w14:paraId="2066D96A">
      <w:pPr>
        <w:jc w:val="both"/>
        <w:rPr>
          <w:rFonts w:hint="default"/>
          <w:lang w:val="en-US" w:eastAsia="zh-CN"/>
        </w:rPr>
      </w:pPr>
    </w:p>
    <w:p w14:paraId="5A21F285">
      <w:pPr>
        <w:jc w:val="both"/>
        <w:rPr>
          <w:rFonts w:hint="default"/>
          <w:lang w:val="en-US" w:eastAsia="zh-CN"/>
        </w:rPr>
      </w:pPr>
    </w:p>
    <w:p w14:paraId="70BA6FC9">
      <w:pPr>
        <w:jc w:val="both"/>
        <w:rPr>
          <w:rFonts w:hint="default"/>
          <w:lang w:val="en-US" w:eastAsia="zh-CN"/>
        </w:rPr>
      </w:pPr>
    </w:p>
    <w:p w14:paraId="63620D0E">
      <w:pPr>
        <w:jc w:val="both"/>
        <w:rPr>
          <w:rFonts w:hint="default"/>
          <w:lang w:val="en-US" w:eastAsia="zh-CN"/>
        </w:rPr>
      </w:pPr>
      <w:bookmarkStart w:id="0" w:name="_GoBack"/>
      <w:bookmarkEnd w:id="0"/>
    </w:p>
    <w:p w14:paraId="3007711F">
      <w:pPr>
        <w:jc w:val="both"/>
        <w:rPr>
          <w:rFonts w:hint="default"/>
          <w:lang w:val="en-US" w:eastAsia="zh-CN"/>
        </w:rPr>
      </w:pPr>
    </w:p>
    <w:p w14:paraId="734B52DF">
      <w:pPr>
        <w:jc w:val="center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>Table S-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The top 30 PTs with the highest positive signal intensity of target drugs</w:t>
      </w:r>
    </w:p>
    <w:tbl>
      <w:tblPr>
        <w:tblStyle w:val="3"/>
        <w:tblW w:w="511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8"/>
        <w:gridCol w:w="2959"/>
        <w:gridCol w:w="2140"/>
        <w:gridCol w:w="2084"/>
      </w:tblGrid>
      <w:tr w14:paraId="1C41C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noWrap w:val="0"/>
            <w:vAlign w:val="bottom"/>
          </w:tcPr>
          <w:p w14:paraId="6513017F">
            <w:pPr>
              <w:keepNext/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5"/>
                <w:szCs w:val="15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5"/>
                <w:szCs w:val="15"/>
              </w:rPr>
              <w:t>osage form</w:t>
            </w:r>
          </w:p>
        </w:tc>
        <w:tc>
          <w:tcPr>
            <w:tcW w:w="1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noWrap w:val="0"/>
            <w:vAlign w:val="bottom"/>
          </w:tcPr>
          <w:p w14:paraId="0A8EE236">
            <w:pPr>
              <w:keepNext/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5"/>
                <w:szCs w:val="15"/>
              </w:rPr>
              <w:t>P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5"/>
                <w:szCs w:val="15"/>
                <w:lang w:val="en-US" w:eastAsia="zh-CN"/>
              </w:rPr>
              <w:t>Ts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noWrap w:val="0"/>
            <w:vAlign w:val="bottom"/>
          </w:tcPr>
          <w:p w14:paraId="3647916D">
            <w:pPr>
              <w:keepNext/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5"/>
                <w:szCs w:val="15"/>
              </w:rPr>
              <w:t>Case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noWrap w:val="0"/>
            <w:vAlign w:val="bottom"/>
          </w:tcPr>
          <w:p w14:paraId="184CCAF7">
            <w:pPr>
              <w:keepNext/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5"/>
                <w:szCs w:val="15"/>
              </w:rPr>
              <w:t>ROR (95％CI)</w:t>
            </w:r>
          </w:p>
        </w:tc>
      </w:tr>
      <w:tr w14:paraId="391A9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A0FC16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Subcutaneous</w:t>
            </w:r>
          </w:p>
        </w:tc>
        <w:tc>
          <w:tcPr>
            <w:tcW w:w="1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CB13331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Diabetic retinopathy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E3D73D6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76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4BFF841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18.31(14.58-23.00)</w:t>
            </w:r>
          </w:p>
        </w:tc>
      </w:tr>
      <w:tr w14:paraId="26136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012A372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1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26FD868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Retinopathy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1217B8B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56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BB21781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11.93(9.16-15.54)</w:t>
            </w:r>
          </w:p>
        </w:tc>
      </w:tr>
      <w:tr w14:paraId="6D307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A3E4572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1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B19D7F5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Optic ischaemic neuropathy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646CD80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30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5E08C61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9.15(6.38-13.12)</w:t>
            </w:r>
          </w:p>
        </w:tc>
      </w:tr>
      <w:tr w14:paraId="7EEF6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744F6DE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1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D040A23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Diabetic eye disease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D1E7D68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4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1A92B86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7.84(2.93-21.01)</w:t>
            </w:r>
          </w:p>
        </w:tc>
      </w:tr>
      <w:tr w14:paraId="07AE7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F911DA9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1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A2DD4AC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Diabetic retinal oedema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9F5AF5F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4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69CC739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6.42(2.40-17.18)</w:t>
            </w:r>
          </w:p>
        </w:tc>
      </w:tr>
      <w:tr w14:paraId="42592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56C24B4">
            <w:pPr>
              <w:keepNext/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1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8BA9DCD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Vitreous haemorrhage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3211FEB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19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F60F169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5.55(3.53-8.71)</w:t>
            </w:r>
          </w:p>
        </w:tc>
      </w:tr>
      <w:tr w14:paraId="6E6A0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3BAC94B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1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9646F87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Retinal tear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BCA4D04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13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34CBE52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4.39(2.54-7.57)</w:t>
            </w:r>
          </w:p>
        </w:tc>
      </w:tr>
      <w:tr w14:paraId="3C136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0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E72C528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1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F242F25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Vitreous detachment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10873BF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10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EB0E47E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3.80(2.04-7.07)</w:t>
            </w:r>
          </w:p>
        </w:tc>
      </w:tr>
      <w:tr w14:paraId="4F3AC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198BB66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1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FB3A3A1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Macular hole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1DC80F3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6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C9E03DE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3.61(1.62-8.06)</w:t>
            </w:r>
          </w:p>
        </w:tc>
      </w:tr>
      <w:tr w14:paraId="68974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FC9F610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1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7583011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Neovascular age-related macular degeneration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7280414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5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8B5C3F6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3.30(1.37-7.93)</w:t>
            </w:r>
          </w:p>
        </w:tc>
      </w:tr>
      <w:tr w14:paraId="2EA00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86760CE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1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C1266A8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Dark circles under eyes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4300680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5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AD43DC3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2.69(1.12-6.46)</w:t>
            </w:r>
          </w:p>
        </w:tc>
      </w:tr>
      <w:tr w14:paraId="35EE3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78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1E06B3F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1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5A62762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Vision blurred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A307153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433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204C97D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2.58(2.35-2.84)</w:t>
            </w:r>
          </w:p>
        </w:tc>
      </w:tr>
      <w:tr w14:paraId="3B1AA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D24A61A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1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A5AC8F7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Visual impairment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2395741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392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182EBC3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2.51(2.27-2.78)</w:t>
            </w:r>
          </w:p>
        </w:tc>
      </w:tr>
      <w:tr w14:paraId="71CB2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48AD383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1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BAA9850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Vitreous floaters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0B431B7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23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D6CA52B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1.95(1.29-2.93)</w:t>
            </w:r>
          </w:p>
        </w:tc>
      </w:tr>
      <w:tr w14:paraId="1806E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586BED4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1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4C7F410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Eye haemorrhage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26FD115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31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938BD0B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1.83(1.28-2.60)</w:t>
            </w:r>
          </w:p>
        </w:tc>
      </w:tr>
      <w:tr w14:paraId="057A0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1E719A1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1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2A570F0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Retinal detachment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FF833E3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20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08194A7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1.79(1.15-2.77)</w:t>
            </w:r>
          </w:p>
        </w:tc>
      </w:tr>
      <w:tr w14:paraId="51B31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39A75EE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1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F2CCA75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Blindness unilateral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1BF4566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30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BD0DB7A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1.72(1.20-2.46)</w:t>
            </w:r>
          </w:p>
        </w:tc>
      </w:tr>
      <w:tr w14:paraId="311A5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CA914A9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1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BBA257C">
            <w:pPr>
              <w:keepNext/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Blindness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C81677F">
            <w:pPr>
              <w:keepNext/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69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33C0283">
            <w:pPr>
              <w:keepNext/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1.39(1.10-1.76)</w:t>
            </w:r>
          </w:p>
        </w:tc>
      </w:tr>
      <w:tr w14:paraId="58840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872E4EF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1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44D8986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Cataract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4BD4382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98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3EBA800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</w:rPr>
              <w:t>1.37(1.12-1.67)</w:t>
            </w:r>
          </w:p>
        </w:tc>
      </w:tr>
      <w:tr w14:paraId="578E8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1DE781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Oral</w:t>
            </w:r>
          </w:p>
        </w:tc>
        <w:tc>
          <w:tcPr>
            <w:tcW w:w="1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AAB8BBE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4"/>
                <w:szCs w:val="24"/>
              </w:rPr>
              <w:t>Diabetic retinopathy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81D826C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4"/>
                <w:szCs w:val="24"/>
              </w:rPr>
              <w:t>8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3D0F251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4"/>
                <w:szCs w:val="24"/>
              </w:rPr>
              <w:t>18.99(9.49-38.02)</w:t>
            </w:r>
          </w:p>
        </w:tc>
      </w:tr>
      <w:tr w14:paraId="01C51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BB12094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1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725B4AA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4"/>
                <w:szCs w:val="24"/>
              </w:rPr>
              <w:t>Vitreous haemorrhage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59A26C5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4"/>
                <w:szCs w:val="24"/>
              </w:rPr>
              <w:t>4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500DD2A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4"/>
                <w:szCs w:val="24"/>
              </w:rPr>
              <w:t>11.70(4.39-31.21)</w:t>
            </w:r>
          </w:p>
        </w:tc>
      </w:tr>
      <w:tr w14:paraId="787F1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" w:hRule="atLeast"/>
        </w:trPr>
        <w:tc>
          <w:tcPr>
            <w:tcW w:w="7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E470588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1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754D8CD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4"/>
                <w:szCs w:val="24"/>
              </w:rPr>
              <w:t>Vision blurred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A48A15A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4"/>
                <w:szCs w:val="24"/>
              </w:rPr>
              <w:t>69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A0374AA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4"/>
                <w:szCs w:val="24"/>
              </w:rPr>
              <w:t>4.15(3.27-5.25)</w:t>
            </w:r>
          </w:p>
        </w:tc>
      </w:tr>
      <w:tr w14:paraId="07AC8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FB5825A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1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6539EE6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4"/>
                <w:szCs w:val="24"/>
              </w:rPr>
              <w:t>Eye haemorrhage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7DD8B46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4"/>
                <w:szCs w:val="24"/>
              </w:rPr>
              <w:t>6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9E1221F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4"/>
                <w:szCs w:val="24"/>
              </w:rPr>
              <w:t>3.55(1.60-7.92)</w:t>
            </w:r>
          </w:p>
        </w:tc>
      </w:tr>
      <w:tr w14:paraId="57621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BBCA423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1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E734451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4"/>
                <w:szCs w:val="24"/>
              </w:rPr>
              <w:t>Blindness unilateral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34AEE32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4"/>
                <w:szCs w:val="24"/>
              </w:rPr>
              <w:t>5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AABC5C3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4"/>
                <w:szCs w:val="24"/>
              </w:rPr>
              <w:t>2.88(1.20-6.93)</w:t>
            </w:r>
          </w:p>
        </w:tc>
      </w:tr>
      <w:tr w14:paraId="0D0D5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379A9C7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1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3707420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4"/>
                <w:szCs w:val="24"/>
              </w:rPr>
              <w:t>Visual impairment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E8DEC24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4"/>
                <w:szCs w:val="24"/>
              </w:rPr>
              <w:t>38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C7DC4A3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4"/>
                <w:szCs w:val="24"/>
              </w:rPr>
              <w:t>2.45(1.78-3.37)</w:t>
            </w:r>
          </w:p>
        </w:tc>
      </w:tr>
      <w:tr w14:paraId="3726C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013C5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1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63C7EDD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4"/>
                <w:szCs w:val="24"/>
              </w:rPr>
              <w:t>Blindness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C9C81F7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4"/>
                <w:szCs w:val="24"/>
              </w:rPr>
              <w:t>10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388DE05">
            <w:pPr>
              <w:widowControl w:val="0"/>
              <w:adjustRightInd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1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4"/>
                <w:szCs w:val="24"/>
              </w:rPr>
              <w:t>2.03(1.09-3.78)</w:t>
            </w:r>
          </w:p>
        </w:tc>
      </w:tr>
    </w:tbl>
    <w:p w14:paraId="18308215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BBA29E"/>
    <w:multiLevelType w:val="singleLevel"/>
    <w:tmpl w:val="29BBA29E"/>
    <w:lvl w:ilvl="0" w:tentative="0">
      <w:start w:val="20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mNjAzMWJlZjFkMmQwODUwMTJkYzE2ODFiYmFmYTcifQ=="/>
  </w:docVars>
  <w:rsids>
    <w:rsidRoot w:val="00191DC1"/>
    <w:rsid w:val="00191DC1"/>
    <w:rsid w:val="00196AA0"/>
    <w:rsid w:val="00693ACA"/>
    <w:rsid w:val="084A5BB3"/>
    <w:rsid w:val="10D70F6C"/>
    <w:rsid w:val="12E15BF5"/>
    <w:rsid w:val="16561BE9"/>
    <w:rsid w:val="33074E68"/>
    <w:rsid w:val="410E2E4E"/>
    <w:rsid w:val="43EF240E"/>
    <w:rsid w:val="44BD2767"/>
    <w:rsid w:val="4C067601"/>
    <w:rsid w:val="53B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5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392</Words>
  <Characters>2855</Characters>
  <Lines>1</Lines>
  <Paragraphs>1</Paragraphs>
  <TotalTime>6</TotalTime>
  <ScaleCrop>false</ScaleCrop>
  <LinksUpToDate>false</LinksUpToDate>
  <CharactersWithSpaces>3105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2024-11-23T14:07:00Z</dcterms:created>
  <dc:creator>haita</dc:creator>
  <cp:lastModifiedBy>meta</cp:lastModifiedBy>
  <dcterms:modified xsi:type="dcterms:W3CDTF">2025-03-27T17:50:12Z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64A3BE40B27C4481B2CBEC9148411688_12</vt:lpwstr>
  </property>
  <property fmtid="{D5CDD505-2E9C-101B-9397-08002B2CF9AE}" pid="4" name="KSOTemplateDocerSaveRecord">
    <vt:lpwstr>eyJoZGlkIjoiZThmNjAzMWJlZjFkMmQwODUwMTJkYzE2ODFiYmFmYTciLCJ1c2VySWQiOiIxNjY1MTIzNjE4In0=</vt:lpwstr>
  </property>
</Properties>
</file>