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B5091" w:rsidRDefault="00314D7E">
      <w:pPr>
        <w:widowControl w:val="0"/>
        <w:tabs>
          <w:tab w:val="right" w:pos="12000"/>
        </w:tabs>
        <w:spacing w:before="6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Supplementary appendix </w:t>
      </w: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314D7E">
      <w:pPr>
        <w:widowControl w:val="0"/>
        <w:tabs>
          <w:tab w:val="right" w:pos="12000"/>
        </w:tabs>
        <w:spacing w:before="60" w:line="240" w:lineRule="auto"/>
        <w:rPr>
          <w:rFonts w:ascii="Times New Roman" w:eastAsia="Times New Roman" w:hAnsi="Times New Roman" w:cs="Times New Roman"/>
          <w:b/>
          <w:sz w:val="24"/>
          <w:szCs w:val="24"/>
        </w:rPr>
      </w:pPr>
      <w:r>
        <w:rPr>
          <w:rFonts w:ascii="Times New Roman" w:eastAsia="Times New Roman" w:hAnsi="Times New Roman" w:cs="Times New Roman"/>
          <w:b/>
          <w:sz w:val="26"/>
          <w:szCs w:val="26"/>
        </w:rPr>
        <w:t xml:space="preserve">Supplement to: </w:t>
      </w:r>
      <w:r>
        <w:rPr>
          <w:rFonts w:ascii="Times New Roman" w:eastAsia="Times New Roman" w:hAnsi="Times New Roman" w:cs="Times New Roman"/>
          <w:b/>
          <w:sz w:val="24"/>
          <w:szCs w:val="24"/>
        </w:rPr>
        <w:t xml:space="preserve">Transmission dynamics of </w:t>
      </w:r>
      <w:r>
        <w:rPr>
          <w:rFonts w:ascii="Times New Roman" w:eastAsia="Times New Roman" w:hAnsi="Times New Roman" w:cs="Times New Roman"/>
          <w:b/>
          <w:i/>
          <w:sz w:val="24"/>
          <w:szCs w:val="24"/>
        </w:rPr>
        <w:t xml:space="preserve">Escherichia coli </w:t>
      </w:r>
      <w:r>
        <w:rPr>
          <w:rFonts w:ascii="Times New Roman" w:eastAsia="Times New Roman" w:hAnsi="Times New Roman" w:cs="Times New Roman"/>
          <w:b/>
          <w:sz w:val="24"/>
          <w:szCs w:val="24"/>
        </w:rPr>
        <w:t xml:space="preserve">sequence type 131 amongst community dwelling households – a “One Health” prospective cohort study. Rebecca Lynn Perez, Hao Chung The, Kithalakshmi Vignesvaran et al. </w:t>
      </w:r>
    </w:p>
    <w:p w:rsidR="004B5091" w:rsidRDefault="004B5091">
      <w:pPr>
        <w:widowControl w:val="0"/>
        <w:tabs>
          <w:tab w:val="right" w:pos="12000"/>
        </w:tabs>
        <w:spacing w:before="60" w:line="240" w:lineRule="auto"/>
        <w:rPr>
          <w:rFonts w:ascii="Times New Roman" w:eastAsia="Times New Roman" w:hAnsi="Times New Roman" w:cs="Times New Roman"/>
          <w:b/>
          <w:sz w:val="24"/>
          <w:szCs w:val="24"/>
        </w:rPr>
      </w:pPr>
    </w:p>
    <w:p w:rsidR="004B5091" w:rsidRDefault="004B5091">
      <w:pPr>
        <w:widowControl w:val="0"/>
        <w:tabs>
          <w:tab w:val="right" w:pos="12000"/>
        </w:tabs>
        <w:spacing w:before="60" w:line="240" w:lineRule="auto"/>
        <w:rPr>
          <w:rFonts w:ascii="Times New Roman" w:eastAsia="Times New Roman" w:hAnsi="Times New Roman" w:cs="Times New Roman"/>
          <w:b/>
          <w:sz w:val="24"/>
          <w:szCs w:val="24"/>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4B5091">
      <w:pPr>
        <w:widowControl w:val="0"/>
        <w:tabs>
          <w:tab w:val="right" w:pos="12000"/>
        </w:tabs>
        <w:spacing w:before="60" w:line="240" w:lineRule="auto"/>
        <w:rPr>
          <w:rFonts w:ascii="Times New Roman" w:eastAsia="Times New Roman" w:hAnsi="Times New Roman" w:cs="Times New Roman"/>
          <w:b/>
          <w:sz w:val="26"/>
          <w:szCs w:val="26"/>
        </w:rPr>
      </w:pPr>
    </w:p>
    <w:p w:rsidR="004B5091" w:rsidRDefault="00314D7E">
      <w:pPr>
        <w:widowControl w:val="0"/>
        <w:tabs>
          <w:tab w:val="right" w:pos="12000"/>
        </w:tabs>
        <w:spacing w:before="6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Contents:</w:t>
      </w: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314D7E">
      <w:pPr>
        <w:widowControl w:val="0"/>
        <w:tabs>
          <w:tab w:val="right" w:pos="12000"/>
        </w:tabs>
        <w:spacing w:before="6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1. Sensitivity analysis of persistent carrier status definition</w:t>
      </w:r>
      <w:r>
        <w:rPr>
          <w:rFonts w:ascii="Times New Roman" w:eastAsia="Times New Roman" w:hAnsi="Times New Roman" w:cs="Times New Roman"/>
          <w:sz w:val="20"/>
          <w:szCs w:val="20"/>
        </w:rPr>
        <w:tab/>
      </w:r>
      <w:r>
        <w:rPr>
          <w:rFonts w:ascii="Times New Roman" w:eastAsia="Times New Roman" w:hAnsi="Times New Roman" w:cs="Times New Roman"/>
          <w:b/>
          <w:sz w:val="20"/>
          <w:szCs w:val="20"/>
        </w:rPr>
        <w:t>3</w:t>
      </w:r>
      <w:r>
        <w:rPr>
          <w:rFonts w:ascii="Times New Roman" w:eastAsia="Times New Roman" w:hAnsi="Times New Roman" w:cs="Times New Roman"/>
          <w:sz w:val="20"/>
          <w:szCs w:val="20"/>
        </w:rPr>
        <w:t xml:space="preserve"> </w:t>
      </w:r>
    </w:p>
    <w:p w:rsidR="004B5091" w:rsidRDefault="00B86A28">
      <w:pPr>
        <w:widowControl w:val="0"/>
        <w:tabs>
          <w:tab w:val="right" w:pos="12000"/>
        </w:tabs>
        <w:spacing w:before="60" w:line="240" w:lineRule="auto"/>
        <w:rPr>
          <w:rFonts w:ascii="Times New Roman" w:eastAsia="Times New Roman" w:hAnsi="Times New Roman" w:cs="Times New Roman"/>
          <w:sz w:val="20"/>
          <w:szCs w:val="20"/>
        </w:rPr>
      </w:pPr>
      <w:hyperlink r:id="rId6" w:anchor="heading=h.ixyraiyv3ngf">
        <w:r w:rsidR="00314D7E">
          <w:rPr>
            <w:rFonts w:ascii="Times New Roman" w:eastAsia="Times New Roman" w:hAnsi="Times New Roman" w:cs="Times New Roman"/>
            <w:b/>
            <w:sz w:val="20"/>
            <w:szCs w:val="20"/>
          </w:rPr>
          <w:t>2</w:t>
        </w:r>
      </w:hyperlink>
      <w:r w:rsidR="00314D7E">
        <w:rPr>
          <w:rFonts w:ascii="Times New Roman" w:eastAsia="Times New Roman" w:hAnsi="Times New Roman" w:cs="Times New Roman"/>
          <w:b/>
          <w:sz w:val="20"/>
          <w:szCs w:val="20"/>
        </w:rPr>
        <w:t xml:space="preserve">. Hidden Markov Model with varied false negative rate 0 - 20% </w:t>
      </w:r>
      <w:r w:rsidR="00314D7E">
        <w:rPr>
          <w:rFonts w:ascii="Times New Roman" w:eastAsia="Times New Roman" w:hAnsi="Times New Roman" w:cs="Times New Roman"/>
          <w:b/>
          <w:sz w:val="20"/>
          <w:szCs w:val="20"/>
        </w:rPr>
        <w:tab/>
        <w:t>5</w:t>
      </w:r>
    </w:p>
    <w:p w:rsidR="004B5091" w:rsidRDefault="00314D7E">
      <w:pPr>
        <w:widowControl w:val="0"/>
        <w:tabs>
          <w:tab w:val="right" w:pos="12000"/>
        </w:tabs>
        <w:spacing w:before="6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3. Proportion of </w:t>
      </w:r>
      <w:r>
        <w:rPr>
          <w:rFonts w:ascii="Times New Roman" w:eastAsia="Times New Roman" w:hAnsi="Times New Roman" w:cs="Times New Roman"/>
          <w:b/>
          <w:i/>
          <w:sz w:val="20"/>
          <w:szCs w:val="20"/>
        </w:rPr>
        <w:t xml:space="preserve">E. coli </w:t>
      </w:r>
      <w:r>
        <w:rPr>
          <w:rFonts w:ascii="Times New Roman" w:eastAsia="Times New Roman" w:hAnsi="Times New Roman" w:cs="Times New Roman"/>
          <w:b/>
          <w:sz w:val="20"/>
          <w:szCs w:val="20"/>
        </w:rPr>
        <w:t xml:space="preserve">ST131 isolates from all sources (human and non-human) </w:t>
      </w:r>
      <w:r>
        <w:rPr>
          <w:rFonts w:ascii="Times New Roman" w:eastAsia="Times New Roman" w:hAnsi="Times New Roman" w:cs="Times New Roman"/>
          <w:b/>
          <w:sz w:val="20"/>
          <w:szCs w:val="20"/>
        </w:rPr>
        <w:tab/>
        <w:t>6</w:t>
      </w:r>
    </w:p>
    <w:p w:rsidR="004B5091" w:rsidRDefault="00314D7E">
      <w:pPr>
        <w:widowControl w:val="0"/>
        <w:tabs>
          <w:tab w:val="right" w:pos="12000"/>
        </w:tabs>
        <w:spacing w:before="6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4. Antimicrobial susceptibility for all </w:t>
      </w:r>
      <w:r>
        <w:rPr>
          <w:rFonts w:ascii="Times New Roman" w:eastAsia="Times New Roman" w:hAnsi="Times New Roman" w:cs="Times New Roman"/>
          <w:b/>
          <w:i/>
          <w:sz w:val="20"/>
          <w:szCs w:val="20"/>
        </w:rPr>
        <w:t xml:space="preserve">E. coli </w:t>
      </w:r>
      <w:r>
        <w:rPr>
          <w:rFonts w:ascii="Times New Roman" w:eastAsia="Times New Roman" w:hAnsi="Times New Roman" w:cs="Times New Roman"/>
          <w:b/>
          <w:sz w:val="20"/>
          <w:szCs w:val="20"/>
        </w:rPr>
        <w:t>ST 131 isolates</w:t>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ab/>
        <w:t xml:space="preserve">7 </w:t>
      </w:r>
    </w:p>
    <w:p w:rsidR="004B5091" w:rsidRDefault="00314D7E">
      <w:pPr>
        <w:widowControl w:val="0"/>
        <w:tabs>
          <w:tab w:val="right" w:pos="12000"/>
        </w:tabs>
        <w:spacing w:before="6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5. Clinical characteristics of persistent and intermittent carriers                                             </w:t>
      </w:r>
      <w:r>
        <w:rPr>
          <w:rFonts w:ascii="Times New Roman" w:eastAsia="Times New Roman" w:hAnsi="Times New Roman" w:cs="Times New Roman"/>
          <w:b/>
          <w:sz w:val="20"/>
          <w:szCs w:val="20"/>
        </w:rPr>
        <w:tab/>
        <w:t>8</w:t>
      </w:r>
    </w:p>
    <w:p w:rsidR="004B5091" w:rsidRDefault="00314D7E">
      <w:pPr>
        <w:widowControl w:val="0"/>
        <w:tabs>
          <w:tab w:val="right" w:pos="12000"/>
        </w:tabs>
        <w:spacing w:before="6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0"/>
          <w:szCs w:val="20"/>
        </w:rPr>
        <w:t>Patterns of carriage in index patients</w:t>
      </w:r>
      <w:r>
        <w:rPr>
          <w:rFonts w:ascii="Times New Roman" w:eastAsia="Times New Roman" w:hAnsi="Times New Roman" w:cs="Times New Roman"/>
          <w:b/>
          <w:sz w:val="20"/>
          <w:szCs w:val="20"/>
        </w:rPr>
        <w:tab/>
        <w:t>9</w:t>
      </w:r>
    </w:p>
    <w:p w:rsidR="004B5091" w:rsidRDefault="00314D7E">
      <w:pPr>
        <w:widowControl w:val="0"/>
        <w:tabs>
          <w:tab w:val="right" w:pos="12000"/>
        </w:tabs>
        <w:spacing w:before="6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7. Regression analyses for risk factors associated with </w:t>
      </w:r>
      <w:r>
        <w:rPr>
          <w:rFonts w:ascii="Times New Roman" w:eastAsia="Times New Roman" w:hAnsi="Times New Roman" w:cs="Times New Roman"/>
          <w:b/>
          <w:i/>
          <w:sz w:val="20"/>
          <w:szCs w:val="20"/>
        </w:rPr>
        <w:t xml:space="preserve">E. coli </w:t>
      </w:r>
      <w:r>
        <w:rPr>
          <w:rFonts w:ascii="Times New Roman" w:eastAsia="Times New Roman" w:hAnsi="Times New Roman" w:cs="Times New Roman"/>
          <w:b/>
          <w:sz w:val="20"/>
          <w:szCs w:val="20"/>
        </w:rPr>
        <w:t>ST131 carriage and persistent carriage</w:t>
      </w:r>
      <w:r>
        <w:rPr>
          <w:rFonts w:ascii="Times New Roman" w:eastAsia="Times New Roman" w:hAnsi="Times New Roman" w:cs="Times New Roman"/>
          <w:b/>
          <w:sz w:val="20"/>
          <w:szCs w:val="20"/>
        </w:rPr>
        <w:tab/>
        <w:t>10</w:t>
      </w:r>
    </w:p>
    <w:p w:rsidR="004B5091" w:rsidRDefault="00A3252E">
      <w:pPr>
        <w:widowControl w:val="0"/>
        <w:tabs>
          <w:tab w:val="right" w:pos="12000"/>
        </w:tabs>
        <w:spacing w:before="6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r w:rsidR="00314D7E">
        <w:rPr>
          <w:rFonts w:ascii="Times New Roman" w:eastAsia="Times New Roman" w:hAnsi="Times New Roman" w:cs="Times New Roman"/>
          <w:b/>
          <w:sz w:val="20"/>
          <w:szCs w:val="20"/>
        </w:rPr>
        <w:t>. Methods</w:t>
      </w:r>
      <w:r w:rsidR="00314D7E">
        <w:rPr>
          <w:rFonts w:ascii="Times New Roman" w:eastAsia="Times New Roman" w:hAnsi="Times New Roman" w:cs="Times New Roman"/>
          <w:b/>
          <w:sz w:val="20"/>
          <w:szCs w:val="20"/>
        </w:rPr>
        <w:tab/>
        <w:t>11</w:t>
      </w:r>
    </w:p>
    <w:p w:rsidR="004B5091" w:rsidRDefault="00314D7E">
      <w:pPr>
        <w:widowControl w:val="0"/>
        <w:tabs>
          <w:tab w:val="right" w:pos="12000"/>
        </w:tabs>
        <w:spacing w:before="6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A3252E">
        <w:rPr>
          <w:rFonts w:ascii="Times New Roman" w:eastAsia="Times New Roman" w:hAnsi="Times New Roman" w:cs="Times New Roman"/>
          <w:b/>
          <w:sz w:val="20"/>
          <w:szCs w:val="20"/>
        </w:rPr>
        <w:t>8</w:t>
      </w:r>
      <w:r>
        <w:rPr>
          <w:rFonts w:ascii="Times New Roman" w:eastAsia="Times New Roman" w:hAnsi="Times New Roman" w:cs="Times New Roman"/>
          <w:b/>
          <w:sz w:val="20"/>
          <w:szCs w:val="20"/>
        </w:rPr>
        <w:t xml:space="preserve">.1 Whole genome </w:t>
      </w:r>
      <w:proofErr w:type="gramStart"/>
      <w:r>
        <w:rPr>
          <w:rFonts w:ascii="Times New Roman" w:eastAsia="Times New Roman" w:hAnsi="Times New Roman" w:cs="Times New Roman"/>
          <w:b/>
          <w:sz w:val="20"/>
          <w:szCs w:val="20"/>
        </w:rPr>
        <w:t xml:space="preserve">sequencing  </w:t>
      </w:r>
      <w:r>
        <w:rPr>
          <w:rFonts w:ascii="Times New Roman" w:eastAsia="Times New Roman" w:hAnsi="Times New Roman" w:cs="Times New Roman"/>
          <w:b/>
          <w:sz w:val="20"/>
          <w:szCs w:val="20"/>
        </w:rPr>
        <w:tab/>
      </w:r>
      <w:proofErr w:type="gramEnd"/>
      <w:r>
        <w:rPr>
          <w:rFonts w:ascii="Times New Roman" w:eastAsia="Times New Roman" w:hAnsi="Times New Roman" w:cs="Times New Roman"/>
          <w:b/>
          <w:sz w:val="20"/>
          <w:szCs w:val="20"/>
        </w:rPr>
        <w:t>11</w:t>
      </w:r>
    </w:p>
    <w:p w:rsidR="004B5091" w:rsidRDefault="00314D7E">
      <w:pPr>
        <w:widowControl w:val="0"/>
        <w:tabs>
          <w:tab w:val="right" w:pos="12000"/>
        </w:tabs>
        <w:spacing w:before="6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A3252E">
        <w:rPr>
          <w:rFonts w:ascii="Times New Roman" w:eastAsia="Times New Roman" w:hAnsi="Times New Roman" w:cs="Times New Roman"/>
          <w:b/>
          <w:sz w:val="20"/>
          <w:szCs w:val="20"/>
        </w:rPr>
        <w:t>8</w:t>
      </w:r>
      <w:r>
        <w:rPr>
          <w:rFonts w:ascii="Times New Roman" w:eastAsia="Times New Roman" w:hAnsi="Times New Roman" w:cs="Times New Roman"/>
          <w:b/>
          <w:sz w:val="20"/>
          <w:szCs w:val="20"/>
        </w:rPr>
        <w:t xml:space="preserve">.2 Antibiotic susceptibility testing                                                                                   </w:t>
      </w:r>
      <w:proofErr w:type="gramStart"/>
      <w:r>
        <w:rPr>
          <w:rFonts w:ascii="Times New Roman" w:eastAsia="Times New Roman" w:hAnsi="Times New Roman" w:cs="Times New Roman"/>
          <w:b/>
          <w:sz w:val="20"/>
          <w:szCs w:val="20"/>
        </w:rPr>
        <w:tab/>
        <w:t xml:space="preserve">  11</w:t>
      </w:r>
      <w:proofErr w:type="gramEnd"/>
    </w:p>
    <w:p w:rsidR="004B5091" w:rsidRDefault="00314D7E">
      <w:pPr>
        <w:widowControl w:val="0"/>
        <w:tabs>
          <w:tab w:val="right" w:pos="12000"/>
        </w:tabs>
        <w:spacing w:before="6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A3252E">
        <w:rPr>
          <w:rFonts w:ascii="Times New Roman" w:eastAsia="Times New Roman" w:hAnsi="Times New Roman" w:cs="Times New Roman"/>
          <w:b/>
          <w:sz w:val="20"/>
          <w:szCs w:val="20"/>
        </w:rPr>
        <w:t>8</w:t>
      </w:r>
      <w:r>
        <w:rPr>
          <w:rFonts w:ascii="Times New Roman" w:eastAsia="Times New Roman" w:hAnsi="Times New Roman" w:cs="Times New Roman"/>
          <w:b/>
          <w:sz w:val="20"/>
          <w:szCs w:val="20"/>
        </w:rPr>
        <w:t xml:space="preserve">.3 Markov-chain Monte Carlo </w:t>
      </w:r>
      <w:proofErr w:type="gramStart"/>
      <w:r>
        <w:rPr>
          <w:rFonts w:ascii="Times New Roman" w:eastAsia="Times New Roman" w:hAnsi="Times New Roman" w:cs="Times New Roman"/>
          <w:b/>
          <w:sz w:val="20"/>
          <w:szCs w:val="20"/>
        </w:rPr>
        <w:t xml:space="preserve">modelling  </w:t>
      </w:r>
      <w:r>
        <w:rPr>
          <w:rFonts w:ascii="Times New Roman" w:eastAsia="Times New Roman" w:hAnsi="Times New Roman" w:cs="Times New Roman"/>
          <w:b/>
          <w:sz w:val="20"/>
          <w:szCs w:val="20"/>
        </w:rPr>
        <w:tab/>
      </w:r>
      <w:proofErr w:type="gramEnd"/>
      <w:r>
        <w:rPr>
          <w:rFonts w:ascii="Times New Roman" w:eastAsia="Times New Roman" w:hAnsi="Times New Roman" w:cs="Times New Roman"/>
          <w:b/>
          <w:sz w:val="20"/>
          <w:szCs w:val="20"/>
        </w:rPr>
        <w:t>11</w:t>
      </w:r>
    </w:p>
    <w:p w:rsidR="004B5091" w:rsidRDefault="00314D7E">
      <w:pPr>
        <w:widowControl w:val="0"/>
        <w:tabs>
          <w:tab w:val="right" w:pos="12000"/>
        </w:tabs>
        <w:spacing w:before="6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A3252E">
        <w:rPr>
          <w:rFonts w:ascii="Times New Roman" w:eastAsia="Times New Roman" w:hAnsi="Times New Roman" w:cs="Times New Roman"/>
          <w:b/>
          <w:sz w:val="20"/>
          <w:szCs w:val="20"/>
        </w:rPr>
        <w:t>8</w:t>
      </w:r>
      <w:r>
        <w:rPr>
          <w:rFonts w:ascii="Times New Roman" w:eastAsia="Times New Roman" w:hAnsi="Times New Roman" w:cs="Times New Roman"/>
          <w:b/>
          <w:sz w:val="20"/>
          <w:szCs w:val="20"/>
        </w:rPr>
        <w:t xml:space="preserve">.4 Phylogenetic analysis </w:t>
      </w:r>
      <w:r>
        <w:rPr>
          <w:rFonts w:ascii="Times New Roman" w:eastAsia="Times New Roman" w:hAnsi="Times New Roman" w:cs="Times New Roman"/>
          <w:b/>
          <w:sz w:val="20"/>
          <w:szCs w:val="20"/>
        </w:rPr>
        <w:tab/>
        <w:t>12</w:t>
      </w:r>
    </w:p>
    <w:p w:rsidR="004B5091" w:rsidRDefault="00314D7E">
      <w:pPr>
        <w:widowControl w:val="0"/>
        <w:tabs>
          <w:tab w:val="right" w:pos="12000"/>
        </w:tabs>
        <w:spacing w:before="6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A3252E">
        <w:rPr>
          <w:rFonts w:ascii="Times New Roman" w:eastAsia="Times New Roman" w:hAnsi="Times New Roman" w:cs="Times New Roman"/>
          <w:b/>
          <w:sz w:val="20"/>
          <w:szCs w:val="20"/>
        </w:rPr>
        <w:t>8</w:t>
      </w:r>
      <w:r>
        <w:rPr>
          <w:rFonts w:ascii="Times New Roman" w:eastAsia="Times New Roman" w:hAnsi="Times New Roman" w:cs="Times New Roman"/>
          <w:b/>
          <w:sz w:val="20"/>
          <w:szCs w:val="20"/>
        </w:rPr>
        <w:t>.5 Read mapping</w:t>
      </w:r>
      <w:r>
        <w:rPr>
          <w:rFonts w:ascii="Times New Roman" w:eastAsia="Times New Roman" w:hAnsi="Times New Roman" w:cs="Times New Roman"/>
          <w:b/>
          <w:sz w:val="20"/>
          <w:szCs w:val="20"/>
        </w:rPr>
        <w:tab/>
        <w:t xml:space="preserve">13 </w:t>
      </w:r>
    </w:p>
    <w:p w:rsidR="004B5091" w:rsidRDefault="00314D7E">
      <w:pPr>
        <w:widowControl w:val="0"/>
        <w:tabs>
          <w:tab w:val="right" w:pos="12000"/>
        </w:tabs>
        <w:spacing w:before="6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A3252E">
        <w:rPr>
          <w:rFonts w:ascii="Times New Roman" w:eastAsia="Times New Roman" w:hAnsi="Times New Roman" w:cs="Times New Roman"/>
          <w:b/>
          <w:sz w:val="20"/>
          <w:szCs w:val="20"/>
        </w:rPr>
        <w:t>8</w:t>
      </w:r>
      <w:r>
        <w:rPr>
          <w:rFonts w:ascii="Times New Roman" w:eastAsia="Times New Roman" w:hAnsi="Times New Roman" w:cs="Times New Roman"/>
          <w:b/>
          <w:sz w:val="20"/>
          <w:szCs w:val="20"/>
        </w:rPr>
        <w:t xml:space="preserve">.6 </w:t>
      </w:r>
      <w:proofErr w:type="gramStart"/>
      <w:r>
        <w:rPr>
          <w:rFonts w:ascii="Times New Roman" w:eastAsia="Times New Roman" w:hAnsi="Times New Roman" w:cs="Times New Roman"/>
          <w:b/>
          <w:sz w:val="20"/>
          <w:szCs w:val="20"/>
        </w:rPr>
        <w:t xml:space="preserve">References  </w:t>
      </w:r>
      <w:r>
        <w:rPr>
          <w:rFonts w:ascii="Times New Roman" w:eastAsia="Times New Roman" w:hAnsi="Times New Roman" w:cs="Times New Roman"/>
          <w:b/>
          <w:sz w:val="20"/>
          <w:szCs w:val="20"/>
        </w:rPr>
        <w:tab/>
      </w:r>
      <w:proofErr w:type="gramEnd"/>
      <w:r>
        <w:rPr>
          <w:rFonts w:ascii="Times New Roman" w:eastAsia="Times New Roman" w:hAnsi="Times New Roman" w:cs="Times New Roman"/>
          <w:b/>
          <w:sz w:val="20"/>
          <w:szCs w:val="20"/>
        </w:rPr>
        <w:t>14</w:t>
      </w: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314D7E">
      <w:pPr>
        <w:widowControl w:val="0"/>
        <w:tabs>
          <w:tab w:val="right" w:pos="12000"/>
        </w:tabs>
        <w:spacing w:before="6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S1: </w:t>
      </w:r>
      <w:hyperlink r:id="rId7" w:anchor="heading=h.2cvtzg4gtgvm">
        <w:r>
          <w:rPr>
            <w:rFonts w:ascii="Times New Roman" w:eastAsia="Times New Roman" w:hAnsi="Times New Roman" w:cs="Times New Roman"/>
            <w:b/>
            <w:sz w:val="20"/>
            <w:szCs w:val="20"/>
          </w:rPr>
          <w:t>Sensitivity analysis of persistent carrier status definition</w:t>
        </w:r>
      </w:hyperlink>
      <w:r>
        <w:rPr>
          <w:rFonts w:ascii="Times New Roman" w:eastAsia="Times New Roman" w:hAnsi="Times New Roman" w:cs="Times New Roman"/>
          <w:b/>
          <w:sz w:val="20"/>
          <w:szCs w:val="20"/>
        </w:rPr>
        <w:t>, defined by two or three sequential positive stool samples</w:t>
      </w:r>
    </w:p>
    <w:p w:rsidR="004B5091" w:rsidRDefault="00314D7E">
      <w:pPr>
        <w:widowControl w:val="0"/>
        <w:tabs>
          <w:tab w:val="right" w:pos="12000"/>
        </w:tabs>
        <w:spacing w:before="60" w:line="240" w:lineRule="auto"/>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drawing>
          <wp:inline distT="114300" distB="114300" distL="114300" distR="114300">
            <wp:extent cx="5943600" cy="71882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943600" cy="7188200"/>
                    </a:xfrm>
                    <a:prstGeom prst="rect">
                      <a:avLst/>
                    </a:prstGeom>
                    <a:ln/>
                  </pic:spPr>
                </pic:pic>
              </a:graphicData>
            </a:graphic>
          </wp:inline>
        </w:drawing>
      </w:r>
    </w:p>
    <w:p w:rsidR="004B5091" w:rsidRDefault="00314D7E">
      <w:pPr>
        <w:widowControl w:val="0"/>
        <w:tabs>
          <w:tab w:val="right" w:pos="12000"/>
        </w:tabs>
        <w:spacing w:before="6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Fig S1 A: MCMC estimates of probability of acquisition of </w:t>
      </w:r>
      <w:r>
        <w:rPr>
          <w:rFonts w:ascii="Times New Roman" w:eastAsia="Times New Roman" w:hAnsi="Times New Roman" w:cs="Times New Roman"/>
          <w:i/>
          <w:sz w:val="20"/>
          <w:szCs w:val="20"/>
        </w:rPr>
        <w:t xml:space="preserve">E. coli </w:t>
      </w:r>
      <w:r>
        <w:rPr>
          <w:rFonts w:ascii="Times New Roman" w:eastAsia="Times New Roman" w:hAnsi="Times New Roman" w:cs="Times New Roman"/>
          <w:sz w:val="20"/>
          <w:szCs w:val="20"/>
        </w:rPr>
        <w:t xml:space="preserve">ST131, their coresidents, and all others </w:t>
      </w:r>
    </w:p>
    <w:p w:rsidR="004B5091" w:rsidRDefault="00314D7E">
      <w:pPr>
        <w:widowControl w:val="0"/>
        <w:tabs>
          <w:tab w:val="right" w:pos="12000"/>
        </w:tabs>
        <w:spacing w:before="6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Fig S1 B: MCMC estimates of duration of carriage </w:t>
      </w:r>
      <w:r>
        <w:rPr>
          <w:rFonts w:ascii="Times New Roman" w:eastAsia="Times New Roman" w:hAnsi="Times New Roman" w:cs="Times New Roman"/>
          <w:i/>
          <w:sz w:val="20"/>
          <w:szCs w:val="20"/>
        </w:rPr>
        <w:t xml:space="preserve">E. coli </w:t>
      </w:r>
      <w:r>
        <w:rPr>
          <w:rFonts w:ascii="Times New Roman" w:eastAsia="Times New Roman" w:hAnsi="Times New Roman" w:cs="Times New Roman"/>
          <w:sz w:val="20"/>
          <w:szCs w:val="20"/>
        </w:rPr>
        <w:t xml:space="preserve">ST131 in persistent carriers, their coresidents, and others </w:t>
      </w: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314D7E">
      <w:pPr>
        <w:widowControl w:val="0"/>
        <w:tabs>
          <w:tab w:val="right" w:pos="12000"/>
        </w:tabs>
        <w:spacing w:before="60"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To assess the impact of our definition of persistent carriage on our estimates, we compared carriage duration and probability of acquisition estimates for all subgroups under two definitions of persistent carriage, two sequential positives and three sequential positive stool samples.  We found that estimates under both definitions were similar, with a high degree of CrI overlap, indicating that results are not significantly influenced by the cutoff point used. </w:t>
      </w:r>
    </w:p>
    <w:p w:rsidR="004B5091" w:rsidRDefault="004B5091">
      <w:pPr>
        <w:widowControl w:val="0"/>
        <w:tabs>
          <w:tab w:val="right" w:pos="12000"/>
        </w:tabs>
        <w:spacing w:before="60" w:line="240" w:lineRule="auto"/>
        <w:rPr>
          <w:rFonts w:ascii="Times New Roman" w:eastAsia="Times New Roman" w:hAnsi="Times New Roman" w:cs="Times New Roman"/>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314D7E">
      <w:pPr>
        <w:widowControl w:val="0"/>
        <w:tabs>
          <w:tab w:val="right" w:pos="12000"/>
        </w:tabs>
        <w:spacing w:before="6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S2: Hidden Markov model estimates of carriage duration with underlying assumption of false negative rates, the proportion of true positive samples that are falsely observed as negative samples, up to 20% </w:t>
      </w:r>
    </w:p>
    <w:p w:rsidR="004B5091" w:rsidRDefault="00314D7E">
      <w:pPr>
        <w:widowControl w:val="0"/>
        <w:tabs>
          <w:tab w:val="right" w:pos="12000"/>
        </w:tabs>
        <w:spacing w:before="60" w:line="240" w:lineRule="auto"/>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drawing>
          <wp:inline distT="114300" distB="114300" distL="114300" distR="114300">
            <wp:extent cx="5943600" cy="36576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943600" cy="3657600"/>
                    </a:xfrm>
                    <a:prstGeom prst="rect">
                      <a:avLst/>
                    </a:prstGeom>
                    <a:ln/>
                  </pic:spPr>
                </pic:pic>
              </a:graphicData>
            </a:graphic>
          </wp:inline>
        </w:drawing>
      </w:r>
    </w:p>
    <w:p w:rsidR="004B5091" w:rsidRDefault="004B5091">
      <w:pPr>
        <w:widowControl w:val="0"/>
        <w:tabs>
          <w:tab w:val="right" w:pos="12000"/>
        </w:tabs>
        <w:spacing w:before="60" w:line="240" w:lineRule="auto"/>
        <w:rPr>
          <w:rFonts w:ascii="Times New Roman" w:eastAsia="Times New Roman" w:hAnsi="Times New Roman" w:cs="Times New Roman"/>
          <w:sz w:val="20"/>
          <w:szCs w:val="20"/>
        </w:rPr>
      </w:pPr>
    </w:p>
    <w:p w:rsidR="004B5091" w:rsidRDefault="00314D7E">
      <w:pPr>
        <w:widowControl w:val="0"/>
        <w:tabs>
          <w:tab w:val="right" w:pos="12000"/>
        </w:tabs>
        <w:spacing w:before="60" w:line="480" w:lineRule="auto"/>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We conducted a sensitivity analysis of the impact of false negative rate, the proportion of true positive samples that are falsely observed as negative samples, on our MCMC estimates of mean </w:t>
      </w:r>
      <w:r>
        <w:rPr>
          <w:rFonts w:ascii="Times New Roman" w:eastAsia="Times New Roman" w:hAnsi="Times New Roman" w:cs="Times New Roman"/>
          <w:i/>
          <w:sz w:val="20"/>
          <w:szCs w:val="20"/>
        </w:rPr>
        <w:t xml:space="preserve">E. coli </w:t>
      </w:r>
      <w:r>
        <w:rPr>
          <w:rFonts w:ascii="Times New Roman" w:eastAsia="Times New Roman" w:hAnsi="Times New Roman" w:cs="Times New Roman"/>
          <w:sz w:val="20"/>
          <w:szCs w:val="20"/>
        </w:rPr>
        <w:t xml:space="preserve">ST131 carriage duration. While estimates of carriage duration do increase as the rate of false negatives increases, estimated carriage duration under the assumption of perfect observation of positives (false negative rate = 0%) continues to fall within the 95% confidence interval generated by estimates made under false negative rates up to 20%, indicating that despite the potential for positive isolates to be missed by qPCR screening, our estimates would still fall within the 95% CI. </w:t>
      </w: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314D7E">
      <w:pPr>
        <w:widowControl w:val="0"/>
        <w:tabs>
          <w:tab w:val="right" w:pos="12000"/>
        </w:tabs>
        <w:spacing w:before="6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S3:  Proportion of </w:t>
      </w:r>
      <w:r>
        <w:rPr>
          <w:rFonts w:ascii="Times New Roman" w:eastAsia="Times New Roman" w:hAnsi="Times New Roman" w:cs="Times New Roman"/>
          <w:b/>
          <w:i/>
          <w:sz w:val="20"/>
          <w:szCs w:val="20"/>
        </w:rPr>
        <w:t xml:space="preserve">E. coli </w:t>
      </w:r>
      <w:r>
        <w:rPr>
          <w:rFonts w:ascii="Times New Roman" w:eastAsia="Times New Roman" w:hAnsi="Times New Roman" w:cs="Times New Roman"/>
          <w:b/>
          <w:sz w:val="20"/>
          <w:szCs w:val="20"/>
        </w:rPr>
        <w:t>ST131, by sample and by isolate, derived from each source (human, domestic animal, environmental, and food)</w:t>
      </w:r>
    </w:p>
    <w:p w:rsidR="004B5091" w:rsidRDefault="00314D7E">
      <w:pPr>
        <w:widowControl w:val="0"/>
        <w:tabs>
          <w:tab w:val="right" w:pos="12000"/>
        </w:tabs>
        <w:spacing w:before="60" w:line="240" w:lineRule="auto"/>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drawing>
          <wp:inline distT="114300" distB="114300" distL="114300" distR="114300">
            <wp:extent cx="5943600" cy="40767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943600" cy="4076700"/>
                    </a:xfrm>
                    <a:prstGeom prst="rect">
                      <a:avLst/>
                    </a:prstGeom>
                    <a:ln/>
                  </pic:spPr>
                </pic:pic>
              </a:graphicData>
            </a:graphic>
          </wp:inline>
        </w:drawing>
      </w:r>
    </w:p>
    <w:p w:rsidR="004B5091" w:rsidRDefault="004B5091">
      <w:pPr>
        <w:widowControl w:val="0"/>
        <w:tabs>
          <w:tab w:val="right" w:pos="12000"/>
        </w:tabs>
        <w:spacing w:before="60" w:line="480" w:lineRule="auto"/>
        <w:rPr>
          <w:rFonts w:ascii="Times New Roman" w:eastAsia="Times New Roman" w:hAnsi="Times New Roman" w:cs="Times New Roman"/>
          <w:sz w:val="20"/>
          <w:szCs w:val="20"/>
        </w:rPr>
      </w:pPr>
    </w:p>
    <w:p w:rsidR="004B5091" w:rsidRDefault="00314D7E">
      <w:pPr>
        <w:widowControl w:val="0"/>
        <w:tabs>
          <w:tab w:val="right" w:pos="12000"/>
        </w:tabs>
        <w:spacing w:before="60"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We found that the majority of </w:t>
      </w:r>
      <w:r>
        <w:rPr>
          <w:rFonts w:ascii="Times New Roman" w:eastAsia="Times New Roman" w:hAnsi="Times New Roman" w:cs="Times New Roman"/>
          <w:i/>
          <w:sz w:val="20"/>
          <w:szCs w:val="20"/>
        </w:rPr>
        <w:t xml:space="preserve">E. coli </w:t>
      </w:r>
      <w:r>
        <w:rPr>
          <w:rFonts w:ascii="Times New Roman" w:eastAsia="Times New Roman" w:hAnsi="Times New Roman" w:cs="Times New Roman"/>
          <w:sz w:val="20"/>
          <w:szCs w:val="20"/>
        </w:rPr>
        <w:t xml:space="preserve">ST131 isolates (88·61% of </w:t>
      </w:r>
      <w:r>
        <w:rPr>
          <w:rFonts w:ascii="Times New Roman" w:eastAsia="Times New Roman" w:hAnsi="Times New Roman" w:cs="Times New Roman"/>
          <w:i/>
          <w:sz w:val="20"/>
          <w:szCs w:val="20"/>
        </w:rPr>
        <w:t xml:space="preserve">E. coli </w:t>
      </w:r>
      <w:r>
        <w:rPr>
          <w:rFonts w:ascii="Times New Roman" w:eastAsia="Times New Roman" w:hAnsi="Times New Roman" w:cs="Times New Roman"/>
          <w:sz w:val="20"/>
          <w:szCs w:val="20"/>
        </w:rPr>
        <w:t>ST131 positive samples and 95·48% of</w:t>
      </w:r>
      <w:r>
        <w:rPr>
          <w:rFonts w:ascii="Times New Roman" w:eastAsia="Times New Roman" w:hAnsi="Times New Roman" w:cs="Times New Roman"/>
          <w:i/>
          <w:sz w:val="20"/>
          <w:szCs w:val="20"/>
        </w:rPr>
        <w:t xml:space="preserve"> E. coli</w:t>
      </w:r>
      <w:r>
        <w:rPr>
          <w:rFonts w:ascii="Times New Roman" w:eastAsia="Times New Roman" w:hAnsi="Times New Roman" w:cs="Times New Roman"/>
          <w:sz w:val="20"/>
          <w:szCs w:val="20"/>
        </w:rPr>
        <w:t xml:space="preserve"> ST131 isolates) were obtained from human samples. This indicated that humans, rather than domestic animals, food, or other environmental sources, were primary hosts of </w:t>
      </w:r>
      <w:r>
        <w:rPr>
          <w:rFonts w:ascii="Times New Roman" w:eastAsia="Times New Roman" w:hAnsi="Times New Roman" w:cs="Times New Roman"/>
          <w:i/>
          <w:sz w:val="20"/>
          <w:szCs w:val="20"/>
        </w:rPr>
        <w:t>E. coli</w:t>
      </w:r>
      <w:r>
        <w:rPr>
          <w:rFonts w:ascii="Times New Roman" w:eastAsia="Times New Roman" w:hAnsi="Times New Roman" w:cs="Times New Roman"/>
          <w:sz w:val="20"/>
          <w:szCs w:val="20"/>
        </w:rPr>
        <w:t xml:space="preserve"> ST131. </w:t>
      </w:r>
    </w:p>
    <w:p w:rsidR="004B5091" w:rsidRDefault="004B5091">
      <w:pPr>
        <w:widowControl w:val="0"/>
        <w:tabs>
          <w:tab w:val="right" w:pos="12000"/>
        </w:tabs>
        <w:spacing w:before="60" w:line="240" w:lineRule="auto"/>
        <w:rPr>
          <w:rFonts w:ascii="Times New Roman" w:eastAsia="Times New Roman" w:hAnsi="Times New Roman" w:cs="Times New Roman"/>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2510A0" w:rsidRDefault="002510A0">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314D7E">
      <w:pPr>
        <w:widowControl w:val="0"/>
        <w:tabs>
          <w:tab w:val="right" w:pos="12000"/>
        </w:tabs>
        <w:spacing w:before="6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S4: </w:t>
      </w:r>
      <w:hyperlink r:id="rId11" w:anchor="heading=h.ccu05bcp3nzl">
        <w:r>
          <w:rPr>
            <w:rFonts w:ascii="Times New Roman" w:eastAsia="Times New Roman" w:hAnsi="Times New Roman" w:cs="Times New Roman"/>
            <w:b/>
            <w:sz w:val="20"/>
            <w:szCs w:val="20"/>
          </w:rPr>
          <w:t xml:space="preserve">Antimicrobial susceptibility for all </w:t>
        </w:r>
      </w:hyperlink>
      <w:hyperlink r:id="rId12" w:anchor="heading=h.ccu05bcp3nzl">
        <w:r>
          <w:rPr>
            <w:rFonts w:ascii="Times New Roman" w:eastAsia="Times New Roman" w:hAnsi="Times New Roman" w:cs="Times New Roman"/>
            <w:b/>
            <w:i/>
            <w:sz w:val="20"/>
            <w:szCs w:val="20"/>
          </w:rPr>
          <w:t xml:space="preserve">E. coli </w:t>
        </w:r>
      </w:hyperlink>
      <w:hyperlink r:id="rId13" w:anchor="heading=h.ccu05bcp3nzl">
        <w:r>
          <w:rPr>
            <w:rFonts w:ascii="Times New Roman" w:eastAsia="Times New Roman" w:hAnsi="Times New Roman" w:cs="Times New Roman"/>
            <w:b/>
            <w:sz w:val="20"/>
            <w:szCs w:val="20"/>
          </w:rPr>
          <w:t>ST 131 isolates</w:t>
        </w:r>
      </w:hyperlink>
      <w:r>
        <w:rPr>
          <w:sz w:val="20"/>
          <w:szCs w:val="20"/>
        </w:rPr>
        <w:t xml:space="preserve"> </w:t>
      </w:r>
    </w:p>
    <w:p w:rsidR="004B5091" w:rsidRDefault="00314D7E">
      <w:pPr>
        <w:widowControl w:val="0"/>
        <w:tabs>
          <w:tab w:val="right" w:pos="12000"/>
        </w:tabs>
        <w:spacing w:before="60" w:line="240" w:lineRule="auto"/>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drawing>
          <wp:inline distT="114300" distB="114300" distL="114300" distR="114300">
            <wp:extent cx="5943600" cy="3721100"/>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943600" cy="3721100"/>
                    </a:xfrm>
                    <a:prstGeom prst="rect">
                      <a:avLst/>
                    </a:prstGeom>
                    <a:ln/>
                  </pic:spPr>
                </pic:pic>
              </a:graphicData>
            </a:graphic>
          </wp:inline>
        </w:drawing>
      </w:r>
    </w:p>
    <w:p w:rsidR="004B5091" w:rsidRDefault="00314D7E">
      <w:pPr>
        <w:widowControl w:val="0"/>
        <w:tabs>
          <w:tab w:val="right" w:pos="12000"/>
        </w:tabs>
        <w:spacing w:before="6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*BL-BLI: β-lactam, β-lactamase inhibitor combination  </w:t>
      </w:r>
    </w:p>
    <w:p w:rsidR="004B5091" w:rsidRDefault="004B5091">
      <w:pPr>
        <w:widowControl w:val="0"/>
        <w:tabs>
          <w:tab w:val="right" w:pos="12000"/>
        </w:tabs>
        <w:spacing w:before="60" w:line="240" w:lineRule="auto"/>
        <w:rPr>
          <w:rFonts w:ascii="Times New Roman" w:eastAsia="Times New Roman" w:hAnsi="Times New Roman" w:cs="Times New Roman"/>
          <w:sz w:val="20"/>
          <w:szCs w:val="20"/>
        </w:rPr>
      </w:pPr>
    </w:p>
    <w:p w:rsidR="004B5091" w:rsidRDefault="004B5091">
      <w:pPr>
        <w:rPr>
          <w:sz w:val="20"/>
          <w:szCs w:val="20"/>
        </w:rPr>
      </w:pPr>
    </w:p>
    <w:p w:rsidR="004B5091" w:rsidRDefault="00314D7E">
      <w:pPr>
        <w:spacing w:line="480" w:lineRule="auto"/>
        <w:rPr>
          <w:rFonts w:ascii="Times New Roman" w:eastAsia="Times New Roman" w:hAnsi="Times New Roman" w:cs="Times New Roman"/>
          <w:color w:val="242424"/>
          <w:sz w:val="20"/>
          <w:szCs w:val="20"/>
        </w:rPr>
      </w:pPr>
      <w:r>
        <w:rPr>
          <w:rFonts w:ascii="Times New Roman" w:eastAsia="Times New Roman" w:hAnsi="Times New Roman" w:cs="Times New Roman"/>
          <w:sz w:val="20"/>
          <w:szCs w:val="20"/>
        </w:rPr>
        <w:t xml:space="preserve"> 636 </w:t>
      </w:r>
      <w:r>
        <w:rPr>
          <w:rFonts w:ascii="Times New Roman" w:eastAsia="Times New Roman" w:hAnsi="Times New Roman" w:cs="Times New Roman"/>
          <w:i/>
          <w:sz w:val="20"/>
          <w:szCs w:val="20"/>
        </w:rPr>
        <w:t xml:space="preserve">E. coli </w:t>
      </w:r>
      <w:r>
        <w:rPr>
          <w:rFonts w:ascii="Times New Roman" w:eastAsia="Times New Roman" w:hAnsi="Times New Roman" w:cs="Times New Roman"/>
          <w:sz w:val="20"/>
          <w:szCs w:val="20"/>
        </w:rPr>
        <w:t xml:space="preserve">isolates were tested for susceptibility to 33 antimicrobials. For </w:t>
      </w:r>
      <w:r>
        <w:rPr>
          <w:rFonts w:ascii="Times New Roman" w:eastAsia="Times New Roman" w:hAnsi="Times New Roman" w:cs="Times New Roman"/>
          <w:i/>
          <w:sz w:val="20"/>
          <w:szCs w:val="20"/>
        </w:rPr>
        <w:t xml:space="preserve">E. coli </w:t>
      </w:r>
      <w:r>
        <w:rPr>
          <w:rFonts w:ascii="Times New Roman" w:eastAsia="Times New Roman" w:hAnsi="Times New Roman" w:cs="Times New Roman"/>
          <w:sz w:val="20"/>
          <w:szCs w:val="20"/>
        </w:rPr>
        <w:t xml:space="preserve">ST131, results are reported according to clade. </w:t>
      </w:r>
      <w:r>
        <w:rPr>
          <w:rFonts w:ascii="Times New Roman" w:eastAsia="Times New Roman" w:hAnsi="Times New Roman" w:cs="Times New Roman"/>
          <w:color w:val="242424"/>
          <w:sz w:val="20"/>
          <w:szCs w:val="20"/>
        </w:rPr>
        <w:t xml:space="preserve">Of 212 </w:t>
      </w:r>
      <w:r>
        <w:rPr>
          <w:rFonts w:ascii="Times New Roman" w:eastAsia="Times New Roman" w:hAnsi="Times New Roman" w:cs="Times New Roman"/>
          <w:i/>
          <w:color w:val="242424"/>
          <w:sz w:val="20"/>
          <w:szCs w:val="20"/>
        </w:rPr>
        <w:t xml:space="preserve">E. coli </w:t>
      </w:r>
      <w:r>
        <w:rPr>
          <w:rFonts w:ascii="Times New Roman" w:eastAsia="Times New Roman" w:hAnsi="Times New Roman" w:cs="Times New Roman"/>
          <w:color w:val="242424"/>
          <w:sz w:val="20"/>
          <w:szCs w:val="20"/>
        </w:rPr>
        <w:t xml:space="preserve">ST131 isolates subjected to antibiotic susceptibility testing, 97 (45.75%) and 86 (40.57%) were resistant to fluoroquinolones and third generation cephalosporins respectively. None were resistant to carbapenems. Clades C (108 isolates)  and A  (87 isolates) demonstrated higher rates of drug resistance to multiple classes of antibiotics in comparison to non-ST131 </w:t>
      </w:r>
      <w:r>
        <w:rPr>
          <w:rFonts w:ascii="Times New Roman" w:eastAsia="Times New Roman" w:hAnsi="Times New Roman" w:cs="Times New Roman"/>
          <w:i/>
          <w:color w:val="242424"/>
          <w:sz w:val="20"/>
          <w:szCs w:val="20"/>
        </w:rPr>
        <w:t xml:space="preserve">E. coli </w:t>
      </w:r>
      <w:r>
        <w:rPr>
          <w:rFonts w:ascii="Times New Roman" w:eastAsia="Times New Roman" w:hAnsi="Times New Roman" w:cs="Times New Roman"/>
          <w:color w:val="242424"/>
          <w:sz w:val="20"/>
          <w:szCs w:val="20"/>
        </w:rPr>
        <w:t>(333 isolates)</w:t>
      </w:r>
      <w:r>
        <w:rPr>
          <w:rFonts w:ascii="Times New Roman" w:eastAsia="Times New Roman" w:hAnsi="Times New Roman" w:cs="Times New Roman"/>
          <w:i/>
          <w:color w:val="242424"/>
          <w:sz w:val="20"/>
          <w:szCs w:val="20"/>
        </w:rPr>
        <w:t xml:space="preserve">, </w:t>
      </w:r>
      <w:r>
        <w:rPr>
          <w:rFonts w:ascii="Times New Roman" w:eastAsia="Times New Roman" w:hAnsi="Times New Roman" w:cs="Times New Roman"/>
          <w:color w:val="242424"/>
          <w:sz w:val="20"/>
          <w:szCs w:val="20"/>
        </w:rPr>
        <w:t>including monobactams (Clade C: 62.37%, Clade A: 67.82%,  non-ST131</w:t>
      </w:r>
      <w:r>
        <w:rPr>
          <w:rFonts w:ascii="Times New Roman" w:eastAsia="Times New Roman" w:hAnsi="Times New Roman" w:cs="Times New Roman"/>
          <w:i/>
          <w:color w:val="242424"/>
          <w:sz w:val="20"/>
          <w:szCs w:val="20"/>
        </w:rPr>
        <w:t xml:space="preserve"> E. coli</w:t>
      </w:r>
      <w:r>
        <w:rPr>
          <w:rFonts w:ascii="Times New Roman" w:eastAsia="Times New Roman" w:hAnsi="Times New Roman" w:cs="Times New Roman"/>
          <w:color w:val="242424"/>
          <w:sz w:val="20"/>
          <w:szCs w:val="20"/>
        </w:rPr>
        <w:t>: 7.21%), fourth-generation cephalosporins (Clade C: 31.48%, Clade A: 33.91%, non-ST131</w:t>
      </w:r>
      <w:r>
        <w:rPr>
          <w:rFonts w:ascii="Times New Roman" w:eastAsia="Times New Roman" w:hAnsi="Times New Roman" w:cs="Times New Roman"/>
          <w:i/>
          <w:color w:val="242424"/>
          <w:sz w:val="20"/>
          <w:szCs w:val="20"/>
        </w:rPr>
        <w:t xml:space="preserve"> E. coli</w:t>
      </w:r>
      <w:r>
        <w:rPr>
          <w:rFonts w:ascii="Times New Roman" w:eastAsia="Times New Roman" w:hAnsi="Times New Roman" w:cs="Times New Roman"/>
          <w:color w:val="242424"/>
          <w:sz w:val="20"/>
          <w:szCs w:val="20"/>
        </w:rPr>
        <w:t>: 3.45%), sulfonamides (Clade C: 51.85%, Clade A: 70.11%, non-ST131</w:t>
      </w:r>
      <w:r>
        <w:rPr>
          <w:rFonts w:ascii="Times New Roman" w:eastAsia="Times New Roman" w:hAnsi="Times New Roman" w:cs="Times New Roman"/>
          <w:i/>
          <w:color w:val="242424"/>
          <w:sz w:val="20"/>
          <w:szCs w:val="20"/>
        </w:rPr>
        <w:t xml:space="preserve"> E. coli</w:t>
      </w:r>
      <w:r>
        <w:rPr>
          <w:rFonts w:ascii="Times New Roman" w:eastAsia="Times New Roman" w:hAnsi="Times New Roman" w:cs="Times New Roman"/>
          <w:color w:val="242424"/>
          <w:sz w:val="20"/>
          <w:szCs w:val="20"/>
        </w:rPr>
        <w:t>: 12.31%), and aminoglycosides (Clade C: 20.68%, Clade A: 42.53%, non-ST131</w:t>
      </w:r>
      <w:r>
        <w:rPr>
          <w:rFonts w:ascii="Times New Roman" w:eastAsia="Times New Roman" w:hAnsi="Times New Roman" w:cs="Times New Roman"/>
          <w:i/>
          <w:color w:val="242424"/>
          <w:sz w:val="20"/>
          <w:szCs w:val="20"/>
        </w:rPr>
        <w:t xml:space="preserve"> E. coli</w:t>
      </w:r>
      <w:r>
        <w:rPr>
          <w:rFonts w:ascii="Times New Roman" w:eastAsia="Times New Roman" w:hAnsi="Times New Roman" w:cs="Times New Roman"/>
          <w:color w:val="242424"/>
          <w:sz w:val="20"/>
          <w:szCs w:val="20"/>
        </w:rPr>
        <w:t xml:space="preserve">: 19.02%).  </w:t>
      </w:r>
      <w:r>
        <w:rPr>
          <w:rFonts w:ascii="Times New Roman" w:eastAsia="Times New Roman" w:hAnsi="Times New Roman" w:cs="Times New Roman"/>
          <w:i/>
          <w:color w:val="242424"/>
          <w:sz w:val="20"/>
          <w:szCs w:val="20"/>
        </w:rPr>
        <w:t xml:space="preserve">E. coli </w:t>
      </w:r>
      <w:r>
        <w:rPr>
          <w:rFonts w:ascii="Times New Roman" w:eastAsia="Times New Roman" w:hAnsi="Times New Roman" w:cs="Times New Roman"/>
          <w:color w:val="242424"/>
          <w:sz w:val="20"/>
          <w:szCs w:val="20"/>
        </w:rPr>
        <w:t xml:space="preserve">ST131 Clade C demonstrated significantly higher rates of resistance to fluoroquinolones in comparison to Clade A and non-ST131 </w:t>
      </w:r>
      <w:r>
        <w:rPr>
          <w:rFonts w:ascii="Times New Roman" w:eastAsia="Times New Roman" w:hAnsi="Times New Roman" w:cs="Times New Roman"/>
          <w:i/>
          <w:color w:val="242424"/>
          <w:sz w:val="20"/>
          <w:szCs w:val="20"/>
        </w:rPr>
        <w:t xml:space="preserve">E. coli </w:t>
      </w:r>
      <w:r>
        <w:rPr>
          <w:rFonts w:ascii="Times New Roman" w:eastAsia="Times New Roman" w:hAnsi="Times New Roman" w:cs="Times New Roman"/>
          <w:color w:val="242424"/>
          <w:sz w:val="20"/>
          <w:szCs w:val="20"/>
        </w:rPr>
        <w:t xml:space="preserve">(Clade C: 80.56%, Clade A: 11.49%, non-ST131 </w:t>
      </w:r>
      <w:r>
        <w:rPr>
          <w:rFonts w:ascii="Times New Roman" w:eastAsia="Times New Roman" w:hAnsi="Times New Roman" w:cs="Times New Roman"/>
          <w:i/>
          <w:color w:val="242424"/>
          <w:sz w:val="20"/>
          <w:szCs w:val="20"/>
        </w:rPr>
        <w:t>E. coli</w:t>
      </w:r>
      <w:r>
        <w:rPr>
          <w:rFonts w:ascii="Times New Roman" w:eastAsia="Times New Roman" w:hAnsi="Times New Roman" w:cs="Times New Roman"/>
          <w:color w:val="242424"/>
          <w:sz w:val="20"/>
          <w:szCs w:val="20"/>
        </w:rPr>
        <w:t>: 9.00%).</w:t>
      </w:r>
      <w:r>
        <w:rPr>
          <w:rFonts w:ascii="Times New Roman" w:eastAsia="Times New Roman" w:hAnsi="Times New Roman" w:cs="Times New Roman"/>
          <w:i/>
          <w:color w:val="242424"/>
          <w:sz w:val="20"/>
          <w:szCs w:val="20"/>
        </w:rPr>
        <w:t xml:space="preserve"> </w:t>
      </w:r>
      <w:r>
        <w:rPr>
          <w:rFonts w:ascii="Times New Roman" w:eastAsia="Times New Roman" w:hAnsi="Times New Roman" w:cs="Times New Roman"/>
          <w:color w:val="242424"/>
          <w:sz w:val="20"/>
          <w:szCs w:val="20"/>
        </w:rPr>
        <w:t xml:space="preserve">  </w:t>
      </w:r>
    </w:p>
    <w:p w:rsidR="004B5091" w:rsidRDefault="004B5091">
      <w:pPr>
        <w:spacing w:line="480" w:lineRule="auto"/>
        <w:rPr>
          <w:rFonts w:ascii="Times New Roman" w:eastAsia="Times New Roman" w:hAnsi="Times New Roman" w:cs="Times New Roman"/>
          <w:color w:val="242424"/>
          <w:sz w:val="20"/>
          <w:szCs w:val="20"/>
        </w:rPr>
      </w:pPr>
    </w:p>
    <w:p w:rsidR="004B5091" w:rsidRDefault="004B5091">
      <w:pPr>
        <w:spacing w:line="480" w:lineRule="auto"/>
        <w:rPr>
          <w:rFonts w:ascii="Times New Roman" w:eastAsia="Times New Roman" w:hAnsi="Times New Roman" w:cs="Times New Roman"/>
          <w:color w:val="242424"/>
          <w:sz w:val="20"/>
          <w:szCs w:val="20"/>
        </w:rPr>
      </w:pPr>
    </w:p>
    <w:p w:rsidR="004B5091" w:rsidRDefault="004B5091">
      <w:pPr>
        <w:spacing w:line="480" w:lineRule="auto"/>
        <w:rPr>
          <w:rFonts w:ascii="Times New Roman" w:eastAsia="Times New Roman" w:hAnsi="Times New Roman" w:cs="Times New Roman"/>
          <w:color w:val="242424"/>
          <w:sz w:val="20"/>
          <w:szCs w:val="20"/>
        </w:rPr>
      </w:pPr>
    </w:p>
    <w:p w:rsidR="004B5091" w:rsidRDefault="00314D7E">
      <w:pPr>
        <w:spacing w:line="48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S5: Clinical characteristics of persistent carriers and intermittent carriers </w:t>
      </w:r>
    </w:p>
    <w:tbl>
      <w:tblPr>
        <w:tblStyle w:val="a"/>
        <w:tblW w:w="9690" w:type="dxa"/>
        <w:tblLayout w:type="fixed"/>
        <w:tblLook w:val="0400" w:firstRow="0" w:lastRow="0" w:firstColumn="0" w:lastColumn="0" w:noHBand="0" w:noVBand="1"/>
      </w:tblPr>
      <w:tblGrid>
        <w:gridCol w:w="2625"/>
        <w:gridCol w:w="1710"/>
        <w:gridCol w:w="2055"/>
        <w:gridCol w:w="2040"/>
        <w:gridCol w:w="1260"/>
      </w:tblGrid>
      <w:tr w:rsidR="004B5091">
        <w:tc>
          <w:tcPr>
            <w:tcW w:w="2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4B5091">
            <w:pPr>
              <w:spacing w:line="480" w:lineRule="auto"/>
              <w:rPr>
                <w:rFonts w:ascii="Times New Roman" w:eastAsia="Times New Roman" w:hAnsi="Times New Roman" w:cs="Times New Roman"/>
                <w:sz w:val="16"/>
                <w:szCs w:val="16"/>
              </w:rPr>
            </w:pP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4B5091">
            <w:pPr>
              <w:spacing w:line="480" w:lineRule="auto"/>
              <w:rPr>
                <w:rFonts w:ascii="Times New Roman" w:eastAsia="Times New Roman" w:hAnsi="Times New Roman" w:cs="Times New Roman"/>
                <w:sz w:val="16"/>
                <w:szCs w:val="16"/>
              </w:rPr>
            </w:pP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Persistent carriers* </w:t>
            </w:r>
          </w:p>
          <w:p w:rsidR="004B5091" w:rsidRDefault="00314D7E">
            <w:pPr>
              <w:spacing w:line="48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(n = 9) </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Intermittent carriers (n = 32)</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p-value</w:t>
            </w:r>
          </w:p>
          <w:p w:rsidR="004B5091" w:rsidRDefault="004B5091">
            <w:pPr>
              <w:spacing w:line="480" w:lineRule="auto"/>
              <w:rPr>
                <w:rFonts w:ascii="Times New Roman" w:eastAsia="Times New Roman" w:hAnsi="Times New Roman" w:cs="Times New Roman"/>
                <w:sz w:val="16"/>
                <w:szCs w:val="16"/>
              </w:rPr>
            </w:pPr>
          </w:p>
        </w:tc>
      </w:tr>
      <w:tr w:rsidR="004B5091">
        <w:tc>
          <w:tcPr>
            <w:tcW w:w="2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Demographics </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4B5091">
            <w:pPr>
              <w:spacing w:line="480" w:lineRule="auto"/>
              <w:rPr>
                <w:rFonts w:ascii="Times New Roman" w:eastAsia="Times New Roman" w:hAnsi="Times New Roman" w:cs="Times New Roman"/>
                <w:sz w:val="16"/>
                <w:szCs w:val="16"/>
              </w:rPr>
            </w:pP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4B5091">
            <w:pPr>
              <w:spacing w:line="480" w:lineRule="auto"/>
              <w:rPr>
                <w:rFonts w:ascii="Times New Roman" w:eastAsia="Times New Roman" w:hAnsi="Times New Roman" w:cs="Times New Roman"/>
                <w:sz w:val="16"/>
                <w:szCs w:val="16"/>
              </w:rPr>
            </w:pP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4B5091">
            <w:pPr>
              <w:spacing w:line="480" w:lineRule="auto"/>
              <w:rPr>
                <w:rFonts w:ascii="Times New Roman" w:eastAsia="Times New Roman" w:hAnsi="Times New Roman" w:cs="Times New Roman"/>
                <w:sz w:val="16"/>
                <w:szCs w:val="16"/>
              </w:rPr>
            </w:pP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4B5091">
            <w:pPr>
              <w:spacing w:line="480" w:lineRule="auto"/>
              <w:rPr>
                <w:rFonts w:ascii="Times New Roman" w:eastAsia="Times New Roman" w:hAnsi="Times New Roman" w:cs="Times New Roman"/>
                <w:sz w:val="16"/>
                <w:szCs w:val="16"/>
              </w:rPr>
            </w:pPr>
          </w:p>
        </w:tc>
      </w:tr>
      <w:tr w:rsidR="004B5091">
        <w:tc>
          <w:tcPr>
            <w:tcW w:w="2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Sex (%)</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Female</w:t>
            </w: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4 (44·44)</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4B5091">
            <w:pPr>
              <w:spacing w:line="480" w:lineRule="auto"/>
              <w:rPr>
                <w:rFonts w:ascii="Times New Roman" w:eastAsia="Times New Roman" w:hAnsi="Times New Roman" w:cs="Times New Roman"/>
                <w:sz w:val="16"/>
                <w:szCs w:val="16"/>
              </w:rPr>
            </w:pP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0·445</w:t>
            </w:r>
          </w:p>
        </w:tc>
      </w:tr>
      <w:tr w:rsidR="004B5091">
        <w:tc>
          <w:tcPr>
            <w:tcW w:w="2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4B5091">
            <w:pPr>
              <w:spacing w:line="480" w:lineRule="auto"/>
              <w:rPr>
                <w:rFonts w:ascii="Times New Roman" w:eastAsia="Times New Roman" w:hAnsi="Times New Roman" w:cs="Times New Roman"/>
                <w:sz w:val="16"/>
                <w:szCs w:val="16"/>
              </w:rPr>
            </w:pP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Male</w:t>
            </w: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 (55·55)</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11 (34.38)</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4B5091">
            <w:pPr>
              <w:spacing w:line="480" w:lineRule="auto"/>
              <w:rPr>
                <w:rFonts w:ascii="Times New Roman" w:eastAsia="Times New Roman" w:hAnsi="Times New Roman" w:cs="Times New Roman"/>
                <w:sz w:val="16"/>
                <w:szCs w:val="16"/>
              </w:rPr>
            </w:pPr>
          </w:p>
        </w:tc>
      </w:tr>
      <w:tr w:rsidR="004B5091">
        <w:tc>
          <w:tcPr>
            <w:tcW w:w="2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Mean age (SD)</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4B5091">
            <w:pPr>
              <w:spacing w:line="480" w:lineRule="auto"/>
              <w:rPr>
                <w:rFonts w:ascii="Times New Roman" w:eastAsia="Times New Roman" w:hAnsi="Times New Roman" w:cs="Times New Roman"/>
                <w:sz w:val="16"/>
                <w:szCs w:val="16"/>
              </w:rPr>
            </w:pP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49.11 (31.01)</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40.25 (28.05)</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0·418</w:t>
            </w:r>
          </w:p>
        </w:tc>
      </w:tr>
      <w:tr w:rsidR="004B5091">
        <w:tc>
          <w:tcPr>
            <w:tcW w:w="2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Children under two years old (%)</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4B5091">
            <w:pPr>
              <w:spacing w:line="480" w:lineRule="auto"/>
              <w:rPr>
                <w:rFonts w:ascii="Times New Roman" w:eastAsia="Times New Roman" w:hAnsi="Times New Roman" w:cs="Times New Roman"/>
                <w:sz w:val="16"/>
                <w:szCs w:val="16"/>
              </w:rPr>
            </w:pP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2 (22·22)</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4 (12·50)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0·478</w:t>
            </w:r>
          </w:p>
        </w:tc>
      </w:tr>
      <w:tr w:rsidR="004B5091">
        <w:trPr>
          <w:trHeight w:val="1119"/>
        </w:trPr>
        <w:tc>
          <w:tcPr>
            <w:tcW w:w="2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Case index patient </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4B5091">
            <w:pPr>
              <w:spacing w:line="480" w:lineRule="auto"/>
              <w:rPr>
                <w:rFonts w:ascii="Times New Roman" w:eastAsia="Times New Roman" w:hAnsi="Times New Roman" w:cs="Times New Roman"/>
                <w:sz w:val="16"/>
                <w:szCs w:val="16"/>
              </w:rPr>
            </w:pP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 (33·33)</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 (9·38)</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0·076</w:t>
            </w:r>
          </w:p>
        </w:tc>
      </w:tr>
      <w:tr w:rsidR="004B5091">
        <w:trPr>
          <w:trHeight w:val="417"/>
        </w:trPr>
        <w:tc>
          <w:tcPr>
            <w:tcW w:w="2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Chronic disease(s)</w:t>
            </w:r>
            <w:proofErr w:type="gramStart"/>
            <w:r>
              <w:rPr>
                <w:rFonts w:ascii="Times New Roman" w:eastAsia="Times New Roman" w:hAnsi="Times New Roman" w:cs="Times New Roman"/>
                <w:b/>
                <w:sz w:val="16"/>
                <w:szCs w:val="16"/>
                <w:vertAlign w:val="superscript"/>
              </w:rPr>
              <w:t>#</w:t>
            </w:r>
            <w:r>
              <w:rPr>
                <w:rFonts w:ascii="Times New Roman" w:eastAsia="Times New Roman" w:hAnsi="Times New Roman" w:cs="Times New Roman"/>
                <w:b/>
                <w:sz w:val="16"/>
                <w:szCs w:val="16"/>
              </w:rPr>
              <w:t>(</w:t>
            </w:r>
            <w:proofErr w:type="gramEnd"/>
            <w:r>
              <w:rPr>
                <w:rFonts w:ascii="Times New Roman" w:eastAsia="Times New Roman" w:hAnsi="Times New Roman" w:cs="Times New Roman"/>
                <w:b/>
                <w:sz w:val="16"/>
                <w:szCs w:val="16"/>
              </w:rPr>
              <w:t>%) </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4B5091">
            <w:pPr>
              <w:spacing w:line="480" w:lineRule="auto"/>
              <w:rPr>
                <w:rFonts w:ascii="Times New Roman" w:eastAsia="Times New Roman" w:hAnsi="Times New Roman" w:cs="Times New Roman"/>
                <w:sz w:val="16"/>
                <w:szCs w:val="16"/>
              </w:rPr>
            </w:pP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 (55·55)</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13 (40·63)</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0·677</w:t>
            </w:r>
          </w:p>
        </w:tc>
      </w:tr>
      <w:tr w:rsidR="004B5091">
        <w:trPr>
          <w:trHeight w:val="1880"/>
        </w:trPr>
        <w:tc>
          <w:tcPr>
            <w:tcW w:w="2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Incontinent (%)</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4B5091">
            <w:pPr>
              <w:spacing w:line="480" w:lineRule="auto"/>
              <w:rPr>
                <w:rFonts w:ascii="Times New Roman" w:eastAsia="Times New Roman" w:hAnsi="Times New Roman" w:cs="Times New Roman"/>
                <w:sz w:val="16"/>
                <w:szCs w:val="16"/>
              </w:rPr>
            </w:pP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 (33·33)</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6 (18·75)</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0·363</w:t>
            </w:r>
          </w:p>
        </w:tc>
      </w:tr>
      <w:tr w:rsidR="004B5091">
        <w:trPr>
          <w:trHeight w:val="1880"/>
        </w:trPr>
        <w:tc>
          <w:tcPr>
            <w:tcW w:w="2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Took antibiotics within six months prior to enrolment (%) </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4B5091">
            <w:pPr>
              <w:spacing w:line="480" w:lineRule="auto"/>
              <w:rPr>
                <w:rFonts w:ascii="Times New Roman" w:eastAsia="Times New Roman" w:hAnsi="Times New Roman" w:cs="Times New Roman"/>
                <w:sz w:val="16"/>
                <w:szCs w:val="16"/>
              </w:rPr>
            </w:pP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3 (33·33) </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13 (40·63)</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0·701</w:t>
            </w:r>
          </w:p>
        </w:tc>
      </w:tr>
    </w:tbl>
    <w:p w:rsidR="004B5091" w:rsidRDefault="00314D7E">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Chronic diseases included diabetes mellitus, hypertension, ischemic heart disease, cancer and other immunocompromising conditions.</w:t>
      </w:r>
    </w:p>
    <w:p w:rsidR="004B5091" w:rsidRDefault="00314D7E">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Persistent carriage status was defined by the presence of at least one </w:t>
      </w:r>
      <w:r>
        <w:rPr>
          <w:rFonts w:ascii="Times New Roman" w:eastAsia="Times New Roman" w:hAnsi="Times New Roman" w:cs="Times New Roman"/>
          <w:i/>
          <w:sz w:val="16"/>
          <w:szCs w:val="16"/>
        </w:rPr>
        <w:t xml:space="preserve">E. coli </w:t>
      </w:r>
      <w:r>
        <w:rPr>
          <w:rFonts w:ascii="Times New Roman" w:eastAsia="Times New Roman" w:hAnsi="Times New Roman" w:cs="Times New Roman"/>
          <w:sz w:val="16"/>
          <w:szCs w:val="16"/>
        </w:rPr>
        <w:t xml:space="preserve">ST131 isolate in at least two consecutive stool samples. Intermittent carriers were all carriers of </w:t>
      </w:r>
      <w:r>
        <w:rPr>
          <w:rFonts w:ascii="Times New Roman" w:eastAsia="Times New Roman" w:hAnsi="Times New Roman" w:cs="Times New Roman"/>
          <w:i/>
          <w:sz w:val="16"/>
          <w:szCs w:val="16"/>
        </w:rPr>
        <w:t xml:space="preserve">E. coli </w:t>
      </w:r>
      <w:r>
        <w:rPr>
          <w:rFonts w:ascii="Times New Roman" w:eastAsia="Times New Roman" w:hAnsi="Times New Roman" w:cs="Times New Roman"/>
          <w:sz w:val="16"/>
          <w:szCs w:val="16"/>
        </w:rPr>
        <w:t>ST131 who did not fall into this category</w:t>
      </w:r>
    </w:p>
    <w:p w:rsidR="004B5091" w:rsidRDefault="00314D7E">
      <w:pPr>
        <w:spacing w:line="480" w:lineRule="auto"/>
        <w:rPr>
          <w:sz w:val="16"/>
          <w:szCs w:val="16"/>
        </w:rPr>
      </w:pPr>
      <w:r>
        <w:rPr>
          <w:rFonts w:ascii="Times New Roman" w:eastAsia="Times New Roman" w:hAnsi="Times New Roman" w:cs="Times New Roman"/>
          <w:sz w:val="16"/>
          <w:szCs w:val="16"/>
        </w:rPr>
        <w:t>ST: sequence type; SD: standard deviation; IQR: interquartile range.</w:t>
      </w:r>
    </w:p>
    <w:p w:rsidR="004B5091" w:rsidRDefault="004B5091">
      <w:pPr>
        <w:spacing w:line="480" w:lineRule="auto"/>
        <w:rPr>
          <w:rFonts w:ascii="Times New Roman" w:eastAsia="Times New Roman" w:hAnsi="Times New Roman" w:cs="Times New Roman"/>
          <w:color w:val="242424"/>
          <w:sz w:val="20"/>
          <w:szCs w:val="20"/>
        </w:rPr>
      </w:pPr>
    </w:p>
    <w:p w:rsidR="004B5091" w:rsidRDefault="004B5091">
      <w:pPr>
        <w:spacing w:line="480" w:lineRule="auto"/>
        <w:rPr>
          <w:rFonts w:ascii="Times New Roman" w:eastAsia="Times New Roman" w:hAnsi="Times New Roman" w:cs="Times New Roman"/>
          <w:color w:val="242424"/>
          <w:sz w:val="20"/>
          <w:szCs w:val="20"/>
        </w:rPr>
      </w:pPr>
    </w:p>
    <w:p w:rsidR="004B5091" w:rsidRDefault="00314D7E">
      <w:pPr>
        <w:spacing w:line="48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S6: </w:t>
      </w:r>
      <w:r>
        <w:rPr>
          <w:rFonts w:ascii="Times New Roman" w:eastAsia="Times New Roman" w:hAnsi="Times New Roman" w:cs="Times New Roman"/>
          <w:b/>
          <w:i/>
          <w:sz w:val="20"/>
          <w:szCs w:val="20"/>
        </w:rPr>
        <w:t xml:space="preserve">E. coli </w:t>
      </w:r>
      <w:r>
        <w:rPr>
          <w:rFonts w:ascii="Times New Roman" w:eastAsia="Times New Roman" w:hAnsi="Times New Roman" w:cs="Times New Roman"/>
          <w:b/>
          <w:sz w:val="20"/>
          <w:szCs w:val="20"/>
        </w:rPr>
        <w:t xml:space="preserve">sequence type (ST) 131 carriage characteristics for index patients infected with </w:t>
      </w:r>
      <w:r>
        <w:rPr>
          <w:rFonts w:ascii="Times New Roman" w:eastAsia="Times New Roman" w:hAnsi="Times New Roman" w:cs="Times New Roman"/>
          <w:b/>
          <w:i/>
          <w:sz w:val="20"/>
          <w:szCs w:val="20"/>
        </w:rPr>
        <w:t xml:space="preserve">E. coli </w:t>
      </w:r>
      <w:r>
        <w:rPr>
          <w:rFonts w:ascii="Times New Roman" w:eastAsia="Times New Roman" w:hAnsi="Times New Roman" w:cs="Times New Roman"/>
          <w:b/>
          <w:sz w:val="20"/>
          <w:szCs w:val="20"/>
        </w:rPr>
        <w:t xml:space="preserve">ST 131 and infected with </w:t>
      </w:r>
      <w:proofErr w:type="gramStart"/>
      <w:r>
        <w:rPr>
          <w:rFonts w:ascii="Times New Roman" w:eastAsia="Times New Roman" w:hAnsi="Times New Roman" w:cs="Times New Roman"/>
          <w:b/>
          <w:sz w:val="20"/>
          <w:szCs w:val="20"/>
        </w:rPr>
        <w:t>other</w:t>
      </w:r>
      <w:proofErr w:type="gramEnd"/>
      <w:r>
        <w:rPr>
          <w:rFonts w:ascii="Times New Roman" w:eastAsia="Times New Roman" w:hAnsi="Times New Roman" w:cs="Times New Roman"/>
          <w:b/>
          <w:sz w:val="20"/>
          <w:szCs w:val="20"/>
        </w:rPr>
        <w:t xml:space="preserve"> </w:t>
      </w:r>
      <w:r>
        <w:rPr>
          <w:rFonts w:ascii="Times New Roman" w:eastAsia="Times New Roman" w:hAnsi="Times New Roman" w:cs="Times New Roman"/>
          <w:b/>
          <w:i/>
          <w:sz w:val="20"/>
          <w:szCs w:val="20"/>
        </w:rPr>
        <w:t xml:space="preserve">E. coli </w:t>
      </w:r>
      <w:r>
        <w:rPr>
          <w:rFonts w:ascii="Times New Roman" w:eastAsia="Times New Roman" w:hAnsi="Times New Roman" w:cs="Times New Roman"/>
          <w:b/>
          <w:sz w:val="20"/>
          <w:szCs w:val="20"/>
        </w:rPr>
        <w:t xml:space="preserve">STs. </w:t>
      </w:r>
    </w:p>
    <w:tbl>
      <w:tblPr>
        <w:tblStyle w:val="a0"/>
        <w:tblW w:w="9600" w:type="dxa"/>
        <w:tblLayout w:type="fixed"/>
        <w:tblLook w:val="0400" w:firstRow="0" w:lastRow="0" w:firstColumn="0" w:lastColumn="0" w:noHBand="0" w:noVBand="1"/>
      </w:tblPr>
      <w:tblGrid>
        <w:gridCol w:w="3540"/>
        <w:gridCol w:w="2535"/>
        <w:gridCol w:w="2355"/>
        <w:gridCol w:w="1170"/>
      </w:tblGrid>
      <w:tr w:rsidR="004B5091">
        <w:tc>
          <w:tcPr>
            <w:tcW w:w="3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4B5091">
            <w:pPr>
              <w:spacing w:line="480" w:lineRule="auto"/>
              <w:rPr>
                <w:rFonts w:ascii="Times New Roman" w:eastAsia="Times New Roman" w:hAnsi="Times New Roman" w:cs="Times New Roman"/>
                <w:sz w:val="20"/>
                <w:szCs w:val="20"/>
              </w:rPr>
            </w:pPr>
          </w:p>
        </w:tc>
        <w:tc>
          <w:tcPr>
            <w:tcW w:w="2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Index patients previously infected with </w:t>
            </w:r>
            <w:r>
              <w:rPr>
                <w:rFonts w:ascii="Times New Roman" w:eastAsia="Times New Roman" w:hAnsi="Times New Roman" w:cs="Times New Roman"/>
                <w:i/>
                <w:sz w:val="20"/>
                <w:szCs w:val="20"/>
              </w:rPr>
              <w:t xml:space="preserve">E. coli </w:t>
            </w:r>
            <w:r>
              <w:rPr>
                <w:rFonts w:ascii="Times New Roman" w:eastAsia="Times New Roman" w:hAnsi="Times New Roman" w:cs="Times New Roman"/>
                <w:sz w:val="20"/>
                <w:szCs w:val="20"/>
              </w:rPr>
              <w:t>ST131 (n = 16) </w:t>
            </w: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Index patients previously infected with </w:t>
            </w:r>
            <w:proofErr w:type="gramStart"/>
            <w:r>
              <w:rPr>
                <w:rFonts w:ascii="Times New Roman" w:eastAsia="Times New Roman" w:hAnsi="Times New Roman" w:cs="Times New Roman"/>
                <w:sz w:val="20"/>
                <w:szCs w:val="20"/>
              </w:rPr>
              <w:t>other</w:t>
            </w:r>
            <w:proofErr w:type="gram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E. coli </w:t>
            </w:r>
            <w:r>
              <w:rPr>
                <w:rFonts w:ascii="Times New Roman" w:eastAsia="Times New Roman" w:hAnsi="Times New Roman" w:cs="Times New Roman"/>
                <w:sz w:val="20"/>
                <w:szCs w:val="20"/>
              </w:rPr>
              <w:t>STs</w:t>
            </w:r>
          </w:p>
          <w:p w:rsidR="004B5091" w:rsidRDefault="00314D7E">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 = 17) </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p-value</w:t>
            </w:r>
          </w:p>
        </w:tc>
      </w:tr>
      <w:tr w:rsidR="004B5091">
        <w:trPr>
          <w:trHeight w:val="747"/>
        </w:trPr>
        <w:tc>
          <w:tcPr>
            <w:tcW w:w="3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E. coli </w:t>
            </w:r>
            <w:r>
              <w:rPr>
                <w:rFonts w:ascii="Times New Roman" w:eastAsia="Times New Roman" w:hAnsi="Times New Roman" w:cs="Times New Roman"/>
                <w:sz w:val="20"/>
                <w:szCs w:val="20"/>
              </w:rPr>
              <w:t>ST131 carriers (%) </w:t>
            </w:r>
          </w:p>
        </w:tc>
        <w:tc>
          <w:tcPr>
            <w:tcW w:w="2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 (37·50)</w:t>
            </w: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 (35·29) </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0·899</w:t>
            </w:r>
          </w:p>
        </w:tc>
      </w:tr>
      <w:tr w:rsidR="004B5091">
        <w:tc>
          <w:tcPr>
            <w:tcW w:w="3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Mean </w:t>
            </w:r>
            <w:r>
              <w:rPr>
                <w:rFonts w:ascii="Times New Roman" w:eastAsia="Times New Roman" w:hAnsi="Times New Roman" w:cs="Times New Roman"/>
                <w:i/>
                <w:sz w:val="20"/>
                <w:szCs w:val="20"/>
              </w:rPr>
              <w:t xml:space="preserve">E. coli </w:t>
            </w:r>
            <w:r>
              <w:rPr>
                <w:rFonts w:ascii="Times New Roman" w:eastAsia="Times New Roman" w:hAnsi="Times New Roman" w:cs="Times New Roman"/>
                <w:sz w:val="20"/>
                <w:szCs w:val="20"/>
              </w:rPr>
              <w:t>ST131 density* in positive stool samples (SD)</w:t>
            </w:r>
          </w:p>
        </w:tc>
        <w:tc>
          <w:tcPr>
            <w:tcW w:w="2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0·69 (0·36) </w:t>
            </w:r>
          </w:p>
          <w:p w:rsidR="004B5091" w:rsidRDefault="004B5091">
            <w:pPr>
              <w:spacing w:line="480" w:lineRule="auto"/>
              <w:rPr>
                <w:rFonts w:ascii="Times New Roman" w:eastAsia="Times New Roman" w:hAnsi="Times New Roman" w:cs="Times New Roman"/>
                <w:sz w:val="20"/>
                <w:szCs w:val="20"/>
              </w:rPr>
            </w:pP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0·27 (0·23) </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0.007</w:t>
            </w:r>
          </w:p>
        </w:tc>
      </w:tr>
      <w:tr w:rsidR="004B5091">
        <w:tc>
          <w:tcPr>
            <w:tcW w:w="3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Median carriage duration# (days) (80% CrI)  </w:t>
            </w:r>
          </w:p>
        </w:tc>
        <w:tc>
          <w:tcPr>
            <w:tcW w:w="2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59·71 (33·92-111·83)</w:t>
            </w:r>
          </w:p>
        </w:tc>
        <w:tc>
          <w:tcPr>
            <w:tcW w:w="2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16·968 (3·49-45·52) </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B5091" w:rsidRDefault="00314D7E">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bl>
    <w:p w:rsidR="004B5091" w:rsidRDefault="00314D7E">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#Duration of carriage was estimated with a two-state Markov-chain Monte Carlo model.</w:t>
      </w:r>
    </w:p>
    <w:p w:rsidR="004B5091" w:rsidRDefault="00314D7E">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*Density was calculated as the proportion of </w:t>
      </w:r>
      <w:r>
        <w:rPr>
          <w:rFonts w:ascii="Times New Roman" w:eastAsia="Times New Roman" w:hAnsi="Times New Roman" w:cs="Times New Roman"/>
          <w:i/>
          <w:sz w:val="20"/>
          <w:szCs w:val="20"/>
        </w:rPr>
        <w:t xml:space="preserve">E. coli </w:t>
      </w:r>
      <w:r>
        <w:rPr>
          <w:rFonts w:ascii="Times New Roman" w:eastAsia="Times New Roman" w:hAnsi="Times New Roman" w:cs="Times New Roman"/>
          <w:sz w:val="20"/>
          <w:szCs w:val="20"/>
        </w:rPr>
        <w:t xml:space="preserve">ST131 amongst all </w:t>
      </w:r>
      <w:r>
        <w:rPr>
          <w:rFonts w:ascii="Times New Roman" w:eastAsia="Times New Roman" w:hAnsi="Times New Roman" w:cs="Times New Roman"/>
          <w:i/>
          <w:sz w:val="20"/>
          <w:szCs w:val="20"/>
        </w:rPr>
        <w:t xml:space="preserve">E. coli </w:t>
      </w:r>
      <w:r>
        <w:rPr>
          <w:rFonts w:ascii="Times New Roman" w:eastAsia="Times New Roman" w:hAnsi="Times New Roman" w:cs="Times New Roman"/>
          <w:sz w:val="20"/>
          <w:szCs w:val="20"/>
        </w:rPr>
        <w:t>isolates recovered from each stool sample.</w:t>
      </w:r>
    </w:p>
    <w:p w:rsidR="004B5091" w:rsidRDefault="00314D7E">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ST: sequence type; SD: standard deviation; CrI: credible interval.</w:t>
      </w:r>
    </w:p>
    <w:p w:rsidR="004B5091" w:rsidRDefault="004B5091">
      <w:pPr>
        <w:spacing w:line="480" w:lineRule="auto"/>
        <w:rPr>
          <w:rFonts w:ascii="Times New Roman" w:eastAsia="Times New Roman" w:hAnsi="Times New Roman" w:cs="Times New Roman"/>
          <w:sz w:val="24"/>
          <w:szCs w:val="24"/>
        </w:rPr>
      </w:pPr>
    </w:p>
    <w:p w:rsidR="004B5091" w:rsidRDefault="004B5091">
      <w:pPr>
        <w:spacing w:line="480" w:lineRule="auto"/>
        <w:rPr>
          <w:rFonts w:ascii="Times New Roman" w:eastAsia="Times New Roman" w:hAnsi="Times New Roman" w:cs="Times New Roman"/>
          <w:sz w:val="24"/>
          <w:szCs w:val="24"/>
        </w:rPr>
      </w:pPr>
    </w:p>
    <w:p w:rsidR="004B5091" w:rsidRDefault="004B5091">
      <w:pPr>
        <w:spacing w:line="480" w:lineRule="auto"/>
        <w:rPr>
          <w:rFonts w:ascii="Times New Roman" w:eastAsia="Times New Roman" w:hAnsi="Times New Roman" w:cs="Times New Roman"/>
          <w:color w:val="242424"/>
          <w:sz w:val="20"/>
          <w:szCs w:val="20"/>
        </w:rPr>
      </w:pPr>
    </w:p>
    <w:p w:rsidR="004B5091" w:rsidRDefault="004B5091">
      <w:pPr>
        <w:spacing w:line="480" w:lineRule="auto"/>
        <w:rPr>
          <w:rFonts w:ascii="Times New Roman" w:eastAsia="Times New Roman" w:hAnsi="Times New Roman" w:cs="Times New Roman"/>
          <w:color w:val="242424"/>
          <w:sz w:val="20"/>
          <w:szCs w:val="20"/>
        </w:rPr>
      </w:pPr>
    </w:p>
    <w:p w:rsidR="004B5091" w:rsidRDefault="004B5091">
      <w:pPr>
        <w:spacing w:line="480" w:lineRule="auto"/>
        <w:rPr>
          <w:rFonts w:ascii="Times New Roman" w:eastAsia="Times New Roman" w:hAnsi="Times New Roman" w:cs="Times New Roman"/>
          <w:color w:val="242424"/>
          <w:sz w:val="20"/>
          <w:szCs w:val="20"/>
        </w:rPr>
      </w:pPr>
    </w:p>
    <w:p w:rsidR="004B5091" w:rsidRDefault="004B5091">
      <w:pPr>
        <w:spacing w:line="480" w:lineRule="auto"/>
        <w:rPr>
          <w:rFonts w:ascii="Times New Roman" w:eastAsia="Times New Roman" w:hAnsi="Times New Roman" w:cs="Times New Roman"/>
          <w:color w:val="242424"/>
          <w:sz w:val="20"/>
          <w:szCs w:val="20"/>
        </w:rPr>
      </w:pPr>
    </w:p>
    <w:p w:rsidR="004B5091" w:rsidRDefault="004B5091">
      <w:pPr>
        <w:spacing w:line="480" w:lineRule="auto"/>
        <w:rPr>
          <w:rFonts w:ascii="Times New Roman" w:eastAsia="Times New Roman" w:hAnsi="Times New Roman" w:cs="Times New Roman"/>
          <w:color w:val="242424"/>
          <w:sz w:val="20"/>
          <w:szCs w:val="20"/>
        </w:rPr>
      </w:pPr>
    </w:p>
    <w:p w:rsidR="004B5091" w:rsidRDefault="004B5091">
      <w:pPr>
        <w:spacing w:line="480" w:lineRule="auto"/>
        <w:rPr>
          <w:rFonts w:ascii="Times New Roman" w:eastAsia="Times New Roman" w:hAnsi="Times New Roman" w:cs="Times New Roman"/>
          <w:color w:val="242424"/>
          <w:sz w:val="20"/>
          <w:szCs w:val="20"/>
        </w:rPr>
      </w:pPr>
    </w:p>
    <w:p w:rsidR="004B5091" w:rsidRDefault="004B5091">
      <w:pPr>
        <w:spacing w:line="480" w:lineRule="auto"/>
        <w:rPr>
          <w:rFonts w:ascii="Times New Roman" w:eastAsia="Times New Roman" w:hAnsi="Times New Roman" w:cs="Times New Roman"/>
          <w:color w:val="242424"/>
          <w:sz w:val="20"/>
          <w:szCs w:val="20"/>
        </w:rPr>
      </w:pPr>
    </w:p>
    <w:p w:rsidR="004B5091" w:rsidRDefault="004B5091">
      <w:pPr>
        <w:spacing w:line="480" w:lineRule="auto"/>
        <w:rPr>
          <w:rFonts w:ascii="Times New Roman" w:eastAsia="Times New Roman" w:hAnsi="Times New Roman" w:cs="Times New Roman"/>
          <w:color w:val="242424"/>
          <w:sz w:val="20"/>
          <w:szCs w:val="20"/>
        </w:rPr>
      </w:pPr>
    </w:p>
    <w:p w:rsidR="004B5091" w:rsidRDefault="00314D7E">
      <w:pPr>
        <w:spacing w:line="480" w:lineRule="auto"/>
        <w:jc w:val="both"/>
        <w:rPr>
          <w:rFonts w:ascii="Times New Roman" w:eastAsia="Times New Roman" w:hAnsi="Times New Roman" w:cs="Times New Roman"/>
          <w:b/>
          <w:color w:val="242424"/>
          <w:sz w:val="20"/>
          <w:szCs w:val="20"/>
        </w:rPr>
      </w:pPr>
      <w:r>
        <w:rPr>
          <w:rFonts w:ascii="Times New Roman" w:eastAsia="Times New Roman" w:hAnsi="Times New Roman" w:cs="Times New Roman"/>
          <w:b/>
          <w:color w:val="242424"/>
          <w:sz w:val="20"/>
          <w:szCs w:val="20"/>
        </w:rPr>
        <w:lastRenderedPageBreak/>
        <w:t xml:space="preserve">S7. Multivariable and univariable regression analysis for risk factors associated with A) </w:t>
      </w:r>
      <w:r>
        <w:rPr>
          <w:rFonts w:ascii="Times New Roman" w:eastAsia="Times New Roman" w:hAnsi="Times New Roman" w:cs="Times New Roman"/>
          <w:b/>
          <w:i/>
          <w:color w:val="242424"/>
          <w:sz w:val="20"/>
          <w:szCs w:val="20"/>
        </w:rPr>
        <w:t xml:space="preserve">E. coli </w:t>
      </w:r>
      <w:r>
        <w:rPr>
          <w:rFonts w:ascii="Times New Roman" w:eastAsia="Times New Roman" w:hAnsi="Times New Roman" w:cs="Times New Roman"/>
          <w:b/>
          <w:color w:val="242424"/>
          <w:sz w:val="20"/>
          <w:szCs w:val="20"/>
        </w:rPr>
        <w:t xml:space="preserve">ST131 carriage and B) </w:t>
      </w:r>
      <w:r>
        <w:rPr>
          <w:rFonts w:ascii="Times New Roman" w:eastAsia="Times New Roman" w:hAnsi="Times New Roman" w:cs="Times New Roman"/>
          <w:b/>
          <w:i/>
          <w:color w:val="242424"/>
          <w:sz w:val="20"/>
          <w:szCs w:val="20"/>
        </w:rPr>
        <w:t xml:space="preserve">E. coli </w:t>
      </w:r>
      <w:r>
        <w:rPr>
          <w:rFonts w:ascii="Times New Roman" w:eastAsia="Times New Roman" w:hAnsi="Times New Roman" w:cs="Times New Roman"/>
          <w:b/>
          <w:color w:val="242424"/>
          <w:sz w:val="20"/>
          <w:szCs w:val="20"/>
        </w:rPr>
        <w:t xml:space="preserve">ST131 persistent carriage. </w:t>
      </w:r>
    </w:p>
    <w:p w:rsidR="004B5091" w:rsidRDefault="00314D7E">
      <w:pPr>
        <w:spacing w:line="480" w:lineRule="auto"/>
        <w:jc w:val="both"/>
        <w:rPr>
          <w:rFonts w:ascii="Times New Roman" w:eastAsia="Times New Roman" w:hAnsi="Times New Roman" w:cs="Times New Roman"/>
          <w:b/>
          <w:color w:val="242424"/>
          <w:sz w:val="24"/>
          <w:szCs w:val="24"/>
        </w:rPr>
      </w:pPr>
      <w:r>
        <w:rPr>
          <w:rFonts w:ascii="Times New Roman" w:eastAsia="Times New Roman" w:hAnsi="Times New Roman" w:cs="Times New Roman"/>
          <w:b/>
          <w:noProof/>
          <w:color w:val="242424"/>
          <w:sz w:val="24"/>
          <w:szCs w:val="24"/>
        </w:rPr>
        <w:drawing>
          <wp:inline distT="114300" distB="114300" distL="114300" distR="114300">
            <wp:extent cx="5943600" cy="37465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5943600" cy="3746500"/>
                    </a:xfrm>
                    <a:prstGeom prst="rect">
                      <a:avLst/>
                    </a:prstGeom>
                    <a:ln/>
                  </pic:spPr>
                </pic:pic>
              </a:graphicData>
            </a:graphic>
          </wp:inline>
        </w:drawing>
      </w:r>
    </w:p>
    <w:p w:rsidR="004B5091" w:rsidRDefault="004B5091">
      <w:pPr>
        <w:spacing w:line="480" w:lineRule="auto"/>
        <w:rPr>
          <w:rFonts w:ascii="Times New Roman" w:eastAsia="Times New Roman" w:hAnsi="Times New Roman" w:cs="Times New Roman"/>
          <w:color w:val="242424"/>
          <w:sz w:val="20"/>
          <w:szCs w:val="20"/>
        </w:rPr>
      </w:pPr>
    </w:p>
    <w:p w:rsidR="004B5091" w:rsidRDefault="004B5091">
      <w:pPr>
        <w:spacing w:line="480" w:lineRule="auto"/>
        <w:rPr>
          <w:rFonts w:ascii="Times New Roman" w:eastAsia="Times New Roman" w:hAnsi="Times New Roman" w:cs="Times New Roman"/>
          <w:color w:val="242424"/>
          <w:sz w:val="20"/>
          <w:szCs w:val="20"/>
        </w:rPr>
      </w:pPr>
    </w:p>
    <w:p w:rsidR="004B5091" w:rsidRDefault="004B5091">
      <w:pPr>
        <w:spacing w:line="480" w:lineRule="auto"/>
        <w:rPr>
          <w:rFonts w:ascii="Times New Roman" w:eastAsia="Times New Roman" w:hAnsi="Times New Roman" w:cs="Times New Roman"/>
          <w:color w:val="242424"/>
          <w:sz w:val="20"/>
          <w:szCs w:val="20"/>
        </w:rPr>
      </w:pPr>
    </w:p>
    <w:p w:rsidR="004B5091" w:rsidRDefault="004B5091">
      <w:pPr>
        <w:spacing w:line="480" w:lineRule="auto"/>
        <w:rPr>
          <w:rFonts w:ascii="Times New Roman" w:eastAsia="Times New Roman" w:hAnsi="Times New Roman" w:cs="Times New Roman"/>
          <w:color w:val="242424"/>
          <w:sz w:val="20"/>
          <w:szCs w:val="20"/>
        </w:rPr>
      </w:pPr>
    </w:p>
    <w:p w:rsidR="004B5091" w:rsidRDefault="004B5091">
      <w:pPr>
        <w:spacing w:line="480" w:lineRule="auto"/>
        <w:rPr>
          <w:rFonts w:ascii="Times New Roman" w:eastAsia="Times New Roman" w:hAnsi="Times New Roman" w:cs="Times New Roman"/>
          <w:color w:val="242424"/>
          <w:sz w:val="20"/>
          <w:szCs w:val="20"/>
        </w:rPr>
      </w:pPr>
    </w:p>
    <w:p w:rsidR="004B5091" w:rsidRDefault="004B5091">
      <w:pPr>
        <w:spacing w:line="480" w:lineRule="auto"/>
        <w:rPr>
          <w:rFonts w:ascii="Times New Roman" w:eastAsia="Times New Roman" w:hAnsi="Times New Roman" w:cs="Times New Roman"/>
          <w:color w:val="242424"/>
          <w:sz w:val="20"/>
          <w:szCs w:val="20"/>
        </w:rPr>
      </w:pPr>
    </w:p>
    <w:p w:rsidR="004B5091" w:rsidRDefault="004B5091">
      <w:pPr>
        <w:spacing w:line="480" w:lineRule="auto"/>
        <w:rPr>
          <w:rFonts w:ascii="Times New Roman" w:eastAsia="Times New Roman" w:hAnsi="Times New Roman" w:cs="Times New Roman"/>
          <w:color w:val="242424"/>
          <w:sz w:val="20"/>
          <w:szCs w:val="20"/>
        </w:rPr>
      </w:pPr>
    </w:p>
    <w:p w:rsidR="004B5091" w:rsidRDefault="004B5091">
      <w:pPr>
        <w:spacing w:line="480" w:lineRule="auto"/>
        <w:rPr>
          <w:rFonts w:ascii="Times New Roman" w:eastAsia="Times New Roman" w:hAnsi="Times New Roman" w:cs="Times New Roman"/>
          <w:color w:val="242424"/>
          <w:sz w:val="20"/>
          <w:szCs w:val="20"/>
        </w:rPr>
      </w:pPr>
    </w:p>
    <w:p w:rsidR="004B5091" w:rsidRDefault="004B5091">
      <w:pPr>
        <w:spacing w:line="480" w:lineRule="auto"/>
        <w:rPr>
          <w:rFonts w:ascii="Times New Roman" w:eastAsia="Times New Roman" w:hAnsi="Times New Roman" w:cs="Times New Roman"/>
          <w:color w:val="242424"/>
          <w:sz w:val="20"/>
          <w:szCs w:val="20"/>
        </w:rPr>
      </w:pPr>
    </w:p>
    <w:p w:rsidR="004B5091" w:rsidRDefault="004B5091">
      <w:pPr>
        <w:spacing w:line="480" w:lineRule="auto"/>
        <w:rPr>
          <w:rFonts w:ascii="Times New Roman" w:eastAsia="Times New Roman" w:hAnsi="Times New Roman" w:cs="Times New Roman"/>
          <w:color w:val="242424"/>
          <w:sz w:val="20"/>
          <w:szCs w:val="20"/>
        </w:rPr>
      </w:pPr>
    </w:p>
    <w:p w:rsidR="004B5091" w:rsidRDefault="004B5091">
      <w:pPr>
        <w:spacing w:line="480" w:lineRule="auto"/>
        <w:rPr>
          <w:rFonts w:ascii="Times New Roman" w:eastAsia="Times New Roman" w:hAnsi="Times New Roman" w:cs="Times New Roman"/>
          <w:color w:val="242424"/>
          <w:sz w:val="20"/>
          <w:szCs w:val="20"/>
        </w:rPr>
      </w:pPr>
    </w:p>
    <w:p w:rsidR="004B5091" w:rsidRDefault="004B5091">
      <w:pPr>
        <w:spacing w:line="480" w:lineRule="auto"/>
        <w:rPr>
          <w:rFonts w:ascii="Times New Roman" w:eastAsia="Times New Roman" w:hAnsi="Times New Roman" w:cs="Times New Roman"/>
          <w:color w:val="242424"/>
          <w:sz w:val="20"/>
          <w:szCs w:val="20"/>
        </w:rPr>
      </w:pPr>
    </w:p>
    <w:p w:rsidR="004B5091" w:rsidRDefault="004B5091">
      <w:pPr>
        <w:spacing w:line="480" w:lineRule="auto"/>
        <w:rPr>
          <w:rFonts w:ascii="Times New Roman" w:eastAsia="Times New Roman" w:hAnsi="Times New Roman" w:cs="Times New Roman"/>
          <w:color w:val="242424"/>
          <w:sz w:val="20"/>
          <w:szCs w:val="20"/>
        </w:rPr>
      </w:pPr>
    </w:p>
    <w:p w:rsidR="004B5091" w:rsidRDefault="00314D7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S8 Methods </w:t>
      </w:r>
    </w:p>
    <w:p w:rsidR="004B5091" w:rsidRDefault="004B5091">
      <w:pPr>
        <w:rPr>
          <w:rFonts w:ascii="Times New Roman" w:eastAsia="Times New Roman" w:hAnsi="Times New Roman" w:cs="Times New Roman"/>
          <w:sz w:val="20"/>
          <w:szCs w:val="20"/>
        </w:rPr>
      </w:pPr>
    </w:p>
    <w:p w:rsidR="004B5091" w:rsidRDefault="00314D7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S8.1 Whole genome sequencing </w:t>
      </w:r>
    </w:p>
    <w:p w:rsidR="004B5091" w:rsidRDefault="004B5091">
      <w:pPr>
        <w:rPr>
          <w:sz w:val="20"/>
          <w:szCs w:val="20"/>
        </w:rPr>
      </w:pPr>
    </w:p>
    <w:p w:rsidR="004B5091" w:rsidRDefault="00314D7E">
      <w:pPr>
        <w:shd w:val="clear" w:color="auto" w:fill="FFFFFF"/>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DNA was extracted using the Wizard Genomic DNA Purification kit (Promega, USA), following manufacturer’s instructions, and then subjected to library preparation using NEBNext Ultra II DNA Library Prep Kit (New England Biolab, USA). Illumina short-read sequencing was performed for all isolates using the NovaSeq 6000 platform, providing 2x150bp paired-end sequence reads. Low quality bases and adaptors in the sequencing reads were removed using Trimmomatic v0.32</w:t>
      </w:r>
      <w:r w:rsidR="0070402F">
        <w:rPr>
          <w:rFonts w:ascii="Times New Roman" w:eastAsia="Times New Roman" w:hAnsi="Times New Roman" w:cs="Times New Roman"/>
          <w:sz w:val="20"/>
          <w:szCs w:val="20"/>
        </w:rPr>
        <w:t>.</w:t>
      </w:r>
      <w:r w:rsidR="00B01C80">
        <w:rPr>
          <w:rFonts w:ascii="Times New Roman" w:eastAsia="Times New Roman" w:hAnsi="Times New Roman" w:cs="Times New Roman"/>
          <w:sz w:val="20"/>
          <w:szCs w:val="20"/>
          <w:vertAlign w:val="superscript"/>
        </w:rPr>
        <w:fldChar w:fldCharType="begin"/>
      </w:r>
      <w:r w:rsidR="00B01C80">
        <w:rPr>
          <w:rFonts w:ascii="Times New Roman" w:eastAsia="Times New Roman" w:hAnsi="Times New Roman" w:cs="Times New Roman"/>
          <w:sz w:val="20"/>
          <w:szCs w:val="20"/>
          <w:vertAlign w:val="superscript"/>
        </w:rPr>
        <w:instrText xml:space="preserve"> ADDIN ZOTERO_ITEM CSL_CITATION {"citationID":"QPQbvHHw","properties":{"formattedCitation":"\\super 1\\nosupersub{}","plainCitation":"1","noteIndex":0},"citationItems":[{"id":299,"uris":["http://zotero.org/users/10607266/items/ADBZT2ZD"],"itemData":{"id":299,"type":"article-journal","abstract":"Abstract\n            Motivation: Although many next-generation sequencing (NGS) read preprocessing tools already existed, we could not find any tool or combination of tools that met our requirements in terms of flexibility, correct handling of paired-end data and high performance. We have developed Trimmomatic as a more flexible and efficient preprocessing tool, which could correctly handle paired-end data.\n            Results: The value of NGS read preprocessing is demonstrated for both reference-based and reference-free tasks. Trimmomatic is shown to produce output that is at least competitive with, and in many cases superior to, that produced by other tools, in all scenarios tested.\n            Availability and implementation: Trimmomatic is licensed under GPL V3. It is cross-platform (Java 1.5+ required) and available at http://www.usadellab.org/cms/index.php?page=trimmomatic\n            Contact:  usadel@bio1.rwth-aachen.de\n            Supplementary information:  Supplementary data are available at Bioinformatics online.","container-title":"Bioinformatics","DOI":"10.1093/bioinformatics/btu170","ISSN":"1367-4811, 1367-4803","issue":"15","language":"en","page":"2114-2120","source":"DOI.org (Crossref)","title":"Trimmomatic: a flexible trimmer for Illumina sequence data","title-short":"Trimmomatic","volume":"30","author":[{"family":"Bolger","given":"Anthony M."},{"family":"Lohse","given":"Marc"},{"family":"Usadel","given":"Bjoern"}],"issued":{"date-parts":[["2014",8,1]]}}}],"schema":"https://github.com/citation-style-language/schema/raw/master/csl-citation.json"} </w:instrText>
      </w:r>
      <w:r w:rsidR="00B01C80">
        <w:rPr>
          <w:rFonts w:ascii="Times New Roman" w:eastAsia="Times New Roman" w:hAnsi="Times New Roman" w:cs="Times New Roman"/>
          <w:sz w:val="20"/>
          <w:szCs w:val="20"/>
          <w:vertAlign w:val="superscript"/>
        </w:rPr>
        <w:fldChar w:fldCharType="separate"/>
      </w:r>
      <w:r w:rsidR="00B01C80" w:rsidRPr="00B01C80">
        <w:rPr>
          <w:rFonts w:ascii="Times New Roman" w:hAnsi="Times New Roman" w:cs="Times New Roman"/>
          <w:sz w:val="20"/>
          <w:vertAlign w:val="superscript"/>
        </w:rPr>
        <w:t>1</w:t>
      </w:r>
      <w:r w:rsidR="00B01C80">
        <w:rPr>
          <w:rFonts w:ascii="Times New Roman" w:eastAsia="Times New Roman" w:hAnsi="Times New Roman" w:cs="Times New Roman"/>
          <w:sz w:val="20"/>
          <w:szCs w:val="20"/>
          <w:vertAlign w:val="superscript"/>
        </w:rPr>
        <w:fldChar w:fldCharType="end"/>
      </w:r>
      <w:r>
        <w:rPr>
          <w:rFonts w:ascii="Times New Roman" w:eastAsia="Times New Roman" w:hAnsi="Times New Roman" w:cs="Times New Roman"/>
          <w:sz w:val="20"/>
          <w:szCs w:val="20"/>
        </w:rPr>
        <w:t xml:space="preserve"> The trimmed reads were then assembled using SPAdes (v3.11.1)</w:t>
      </w:r>
      <w:r w:rsidR="0070402F">
        <w:rPr>
          <w:rFonts w:ascii="Times New Roman" w:eastAsia="Times New Roman" w:hAnsi="Times New Roman" w:cs="Times New Roman"/>
          <w:sz w:val="20"/>
          <w:szCs w:val="20"/>
        </w:rPr>
        <w:t>,</w:t>
      </w:r>
      <w:r w:rsidR="00B01C80">
        <w:rPr>
          <w:rFonts w:ascii="Times New Roman" w:eastAsia="Times New Roman" w:hAnsi="Times New Roman" w:cs="Times New Roman"/>
          <w:sz w:val="20"/>
          <w:szCs w:val="20"/>
        </w:rPr>
        <w:fldChar w:fldCharType="begin"/>
      </w:r>
      <w:r w:rsidR="00B01C80">
        <w:rPr>
          <w:rFonts w:ascii="Times New Roman" w:eastAsia="Times New Roman" w:hAnsi="Times New Roman" w:cs="Times New Roman"/>
          <w:sz w:val="20"/>
          <w:szCs w:val="20"/>
        </w:rPr>
        <w:instrText xml:space="preserve"> ADDIN ZOTERO_ITEM CSL_CITATION {"citationID":"m0du9adf","properties":{"formattedCitation":"\\super 2\\nosupersub{}","plainCitation":"2","noteIndex":0},"citationItems":[{"id":301,"uris":["http://zotero.org/users/10607266/items/2AGCKFSU"],"itemData":{"id":301,"type":"article-journal","abstract":"Abstract\n            SPAdes—St. Petersburg genome Assembler—was originally developed for de novo assembly of genome sequencing data produced for cultivated microbial isolates and for single‐cell genomic DNA sequencing. With time, the functionality of SPAdes was extended to enable assembly of IonTorrent data, as well as hybrid assembly from short and long reads (PacBio and Oxford Nanopore). In this article we present protocols for five different assembly pipelines that comprise the SPAdes package and that are used for assembly of metagenomes and transcriptomes as well as assembly of putative plasmids and biosynthetic gene clusters from whole‐genome sequencing and metagenomic datasets. In addition, we present guidelines for understanding results with use cases for each pipeline, and several additional support protocols that help in using SPAdes properly. © 2020 Wiley Periodicals LLC.\n            \n              Basic Protocol 1\n              : Assembling isolate bacterial datasets\n            \n            \n              Basic Protocol 2\n              : Assembling metagenomic datasets\n            \n            \n              Basic Protocol 3\n              : Assembling sets of putative plasmids\n            \n            \n              Basic Protocol 4\n              : Assembling transcriptomes\n            \n            \n              Basic Protocol 5\n              : Assembling putative biosynthetic gene clusters\n            \n            \n              Support Protocol 1\n              : Installing SPAdes\n            \n            \n              Support Protocol 2\n              : Providing input via command line\n            \n            \n              Support Protocol 3\n              : Providing input data via YAML format\n            \n            \n              Support Protocol 4\n              : Restarting previous run\n            \n            \n              Support Protocol 5\n              : Determining strand‐specificity of RNA‐seq data","container-title":"Current Protocols in Bioinformatics","DOI":"10.1002/cpbi.102","ISSN":"1934-3396, 1934-340X","issue":"1","journalAbbreviation":"CP in Bioinformatics","language":"en","page":"e102","source":"DOI.org (Crossref)","title":"Using SPAdes De Novo Assembler","volume":"70","author":[{"family":"Prjibelski","given":"Andrey"},{"family":"Antipov","given":"Dmitry"},{"family":"Meleshko","given":"Dmitry"},{"family":"Lapidus","given":"Alla"},{"family":"Korobeynikov","given":"Anton"}],"issued":{"date-parts":[["2020",6]]}}}],"schema":"https://github.com/citation-style-language/schema/raw/master/csl-citation.json"} </w:instrText>
      </w:r>
      <w:r w:rsidR="00B01C80">
        <w:rPr>
          <w:rFonts w:ascii="Times New Roman" w:eastAsia="Times New Roman" w:hAnsi="Times New Roman" w:cs="Times New Roman"/>
          <w:sz w:val="20"/>
          <w:szCs w:val="20"/>
        </w:rPr>
        <w:fldChar w:fldCharType="separate"/>
      </w:r>
      <w:r w:rsidR="00B01C80" w:rsidRPr="00B01C80">
        <w:rPr>
          <w:rFonts w:ascii="Times New Roman" w:hAnsi="Times New Roman" w:cs="Times New Roman"/>
          <w:sz w:val="20"/>
          <w:vertAlign w:val="superscript"/>
        </w:rPr>
        <w:t>2</w:t>
      </w:r>
      <w:r w:rsidR="00B01C80">
        <w:rPr>
          <w:rFonts w:ascii="Times New Roman" w:eastAsia="Times New Roman" w:hAnsi="Times New Roman" w:cs="Times New Roman"/>
          <w:sz w:val="20"/>
          <w:szCs w:val="20"/>
        </w:rPr>
        <w:fldChar w:fldCharType="end"/>
      </w:r>
      <w:r w:rsidR="0070402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and assemblies were subsequently subjected to species identification using Mash Screen (v2.3)</w:t>
      </w:r>
      <w:r w:rsidR="0070402F">
        <w:rPr>
          <w:rFonts w:ascii="Times New Roman" w:eastAsia="Times New Roman" w:hAnsi="Times New Roman" w:cs="Times New Roman"/>
          <w:sz w:val="20"/>
          <w:szCs w:val="20"/>
        </w:rPr>
        <w:t>.</w:t>
      </w:r>
      <w:r w:rsidR="00B01C80">
        <w:rPr>
          <w:rFonts w:ascii="Times New Roman" w:eastAsia="Times New Roman" w:hAnsi="Times New Roman" w:cs="Times New Roman"/>
          <w:sz w:val="20"/>
          <w:szCs w:val="20"/>
        </w:rPr>
        <w:fldChar w:fldCharType="begin"/>
      </w:r>
      <w:r w:rsidR="00B01C80">
        <w:rPr>
          <w:rFonts w:ascii="Times New Roman" w:eastAsia="Times New Roman" w:hAnsi="Times New Roman" w:cs="Times New Roman"/>
          <w:sz w:val="20"/>
          <w:szCs w:val="20"/>
        </w:rPr>
        <w:instrText xml:space="preserve"> ADDIN ZOTERO_ITEM CSL_CITATION {"citationID":"zlKf9K6y","properties":{"formattedCitation":"\\super 3\\nosupersub{}","plainCitation":"3","noteIndex":0},"citationItems":[{"id":319,"uris":["http://zotero.org/users/10607266/items/E5SR9CLH"],"itemData":{"id":319,"type":"article-journal","abstract":"Abstract\n            The MinHash algorithm has proven effective for rapidly estimating the resemblance of two genomes or metagenomes. However, this method cannot reliably estimate the containment of a genome within a metagenome. Here, we describe an online algorithm capable of measuring the containment of genomes and proteomes within either assembled or unassembled sequencing read sets. We describe several use cases, including contamination screening and retrospective analysis of metagenomes for novel genome discovery. Using this tool, we provide containment estimates for every NCBI RefSeq genome within every SRA metagenome and demonstrate the identification of a novel polyomavirus species from a public metagenome.","container-title":"Genome Biology","DOI":"10.1186/s13059-019-1841-x","ISSN":"1474-760X","issue":"1","journalAbbreviation":"Genome Biol","language":"en","page":"232","source":"DOI.org (Crossref)","title":"Mash Screen: high-throughput sequence containment estimation for genome discovery","title-short":"Mash Screen","volume":"20","author":[{"family":"Ondov","given":"Brian D."},{"family":"Starrett","given":"Gabriel J."},{"family":"Sappington","given":"Anna"},{"family":"Kostic","given":"Aleksandra"},{"family":"Koren","given":"Sergey"},{"family":"Buck","given":"Christopher B."},{"family":"Phillippy","given":"Adam M."}],"issued":{"date-parts":[["2019",12]]}}}],"schema":"https://github.com/citation-style-language/schema/raw/master/csl-citation.json"} </w:instrText>
      </w:r>
      <w:r w:rsidR="00B01C80">
        <w:rPr>
          <w:rFonts w:ascii="Times New Roman" w:eastAsia="Times New Roman" w:hAnsi="Times New Roman" w:cs="Times New Roman"/>
          <w:sz w:val="20"/>
          <w:szCs w:val="20"/>
        </w:rPr>
        <w:fldChar w:fldCharType="separate"/>
      </w:r>
      <w:r w:rsidR="00B01C80" w:rsidRPr="00B01C80">
        <w:rPr>
          <w:rFonts w:ascii="Times New Roman" w:hAnsi="Times New Roman" w:cs="Times New Roman"/>
          <w:sz w:val="20"/>
          <w:vertAlign w:val="superscript"/>
        </w:rPr>
        <w:t>3</w:t>
      </w:r>
      <w:r w:rsidR="00B01C80">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MLST was determined by searching the assembled genomes using BLASTn against the PubMLST database</w:t>
      </w:r>
      <w:r w:rsidR="00B01C80">
        <w:rPr>
          <w:rFonts w:ascii="Times New Roman" w:eastAsia="Times New Roman" w:hAnsi="Times New Roman" w:cs="Times New Roman"/>
          <w:sz w:val="20"/>
          <w:szCs w:val="20"/>
        </w:rPr>
        <w:fldChar w:fldCharType="begin"/>
      </w:r>
      <w:r w:rsidR="00B01C80">
        <w:rPr>
          <w:rFonts w:ascii="Times New Roman" w:eastAsia="Times New Roman" w:hAnsi="Times New Roman" w:cs="Times New Roman"/>
          <w:sz w:val="20"/>
          <w:szCs w:val="20"/>
        </w:rPr>
        <w:instrText xml:space="preserve"> ADDIN ZOTERO_ITEM CSL_CITATION {"citationID":"DP6LJQXn","properties":{"formattedCitation":"\\super 4,5\\nosupersub{}","plainCitation":"4,5","noteIndex":0},"citationItems":[{"id":302,"uris":["http://zotero.org/users/10607266/items/Y9CC3AWS"],"itemData":{"id":302,"type":"article-journal","abstract":"Abstract\n            \n              Background\n              Sequence similarity searching is a very important bioinformatics task. While Basic Local Alignment Search Tool (BLAST) outperforms exact methods through its use of heuristics, the speed of the current BLAST software is suboptimal for very long queries or database sequences. There are also some shortcomings in the user-interface of the current command-line applications.\n            \n            \n              Results\n              We describe features and improvements of rewritten BLAST software and introduce new command-line applications. Long query sequences are broken into chunks for processing, in some cases leading to dramatically shorter run times. For long database sequences, it is possible to retrieve only the relevant parts of the sequence, reducing CPU time and memory usage for searches of short queries against databases of contigs or chromosomes. The program can now retrieve masking information for database sequences from the BLAST databases. A new modular software library can now access subject sequence data from arbitrary data sources. We introduce several new features, including strategy files that allow a user to save and reuse their favorite set of options. The strategy files can be uploaded to and downloaded from the NCBI BLAST web site.\n            \n            \n              Conclusion\n              The new BLAST command-line applications, compared to the current BLAST tools, demonstrate substantial speed improvements for long queries as well as chromosome length database sequences. We have also improved the user interface of the command-line applications.","container-title":"BMC Bioinformatics","DOI":"10.1186/1471-2105-10-421","ISSN":"1471-2105","issue":"1","journalAbbreviation":"BMC Bioinformatics","language":"en","page":"421","source":"DOI.org (Crossref)","title":"BLAST+: architecture and applications","title-short":"BLAST+","volume":"10","author":[{"family":"Camacho","given":"Christiam"},{"family":"Coulouris","given":"George"},{"family":"Avagyan","given":"Vahram"},{"family":"Ma","given":"Ning"},{"family":"Papadopoulos","given":"Jason"},{"family":"Bealer","given":"Kevin"},{"family":"Madden","given":"Thomas L"}],"issued":{"date-parts":[["2009",12]]}}},{"id":304,"uris":["http://zotero.org/users/10607266/items/95GYT8XK"],"itemData":{"id":304,"type":"article-journal","abstract":"The\n              PubMLST.org\n              website hosts a collection of open-access, curated databases that integrate population sequence data with provenance and phenotype information for over 100 different microbial species and genera.  Although the PubMLST website was conceived as part of the development of the first multi-locus sequence typing (MLST) scheme in 1998 the software it uses, the Bacterial Isolate Genome Sequence database (BIGSdb, published in 2010), enables PubMLST to include all levels of sequence data, from single gene sequences up to and including complete, finished genomes.  Here we describe developments in the BIGSdb software made from publication to June 2018 and show how the platform realises microbial population genomics for a wide range of applications.  The system is based on the gene-by-gene analysis of microbial genomes, with each deposited sequence annotated and curated to identify the genes present and systematically catalogue their variation.  Originally intended as a means of characterising isolates with typing schemes, the synthesis of sequences and records of genetic variation with provenance and phenotype data permits highly scalable (whole genome sequence data for tens of thousands of isolates) means of addressing a wide range of functional questions, including: the prediction of antimicrobial resistance; likely cross-reactivity with vaccine antigens; and the functional activities of different variants that lead to key phenotypes.  There are no limitations to the number of sequences, genetic loci, allelic variants or schemes (combinations of loci) that can be included, enabling each database to represent an expanding catalogue of the genetic variation of the population in question.  In addition to providing web-accessible analyses and links to third-party analysis and visualisation tools, the BIGSdb software includes a RESTful application programming interface (API) that enables access to all the underlying data for third-party applications and data analysis pipelines.","container-title":"Wellcome Open Research","DOI":"10.12688/wellcomeopenres.14826.1","ISSN":"2398-502X","journalAbbreviation":"Wellcome Open Res","language":"en","page":"124","source":"DOI.org (Crossref)","title":"Open-access bacterial population genomics: BIGSdb software, the PubMLST.org website and their applications","title-short":"Open-access bacterial population genomics","volume":"3","author":[{"family":"Jolley","given":"Keith A."},{"family":"Bray","given":"James E."},{"family":"Maiden","given":"Martin C. J."}],"issued":{"date-parts":[["2018",9,24]]}}}],"schema":"https://github.com/citation-style-language/schema/raw/master/csl-citation.json"} </w:instrText>
      </w:r>
      <w:r w:rsidR="00B01C80">
        <w:rPr>
          <w:rFonts w:ascii="Times New Roman" w:eastAsia="Times New Roman" w:hAnsi="Times New Roman" w:cs="Times New Roman"/>
          <w:sz w:val="20"/>
          <w:szCs w:val="20"/>
        </w:rPr>
        <w:fldChar w:fldCharType="separate"/>
      </w:r>
      <w:r w:rsidR="00B01C80" w:rsidRPr="00B01C80">
        <w:rPr>
          <w:rFonts w:ascii="Times New Roman" w:hAnsi="Times New Roman" w:cs="Times New Roman"/>
          <w:sz w:val="20"/>
          <w:vertAlign w:val="superscript"/>
        </w:rPr>
        <w:t>4,5</w:t>
      </w:r>
      <w:r w:rsidR="00B01C80">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showing that 338 sequenced isolates belonged to ST131. </w:t>
      </w:r>
      <w:r>
        <w:rPr>
          <w:rFonts w:ascii="Times New Roman" w:eastAsia="Times New Roman" w:hAnsi="Times New Roman" w:cs="Times New Roman"/>
          <w:i/>
          <w:sz w:val="20"/>
          <w:szCs w:val="20"/>
        </w:rPr>
        <w:t xml:space="preserve">E. coli </w:t>
      </w:r>
      <w:r>
        <w:rPr>
          <w:rFonts w:ascii="Times New Roman" w:eastAsia="Times New Roman" w:hAnsi="Times New Roman" w:cs="Times New Roman"/>
          <w:sz w:val="20"/>
          <w:szCs w:val="20"/>
        </w:rPr>
        <w:t xml:space="preserve">ST131 assemblies were further subjected to ST131Typer to infer the O:H type, </w:t>
      </w:r>
      <w:r>
        <w:rPr>
          <w:rFonts w:ascii="Times New Roman" w:eastAsia="Times New Roman" w:hAnsi="Times New Roman" w:cs="Times New Roman"/>
          <w:i/>
          <w:sz w:val="20"/>
          <w:szCs w:val="20"/>
        </w:rPr>
        <w:t>fimH</w:t>
      </w:r>
      <w:r>
        <w:rPr>
          <w:rFonts w:ascii="Times New Roman" w:eastAsia="Times New Roman" w:hAnsi="Times New Roman" w:cs="Times New Roman"/>
          <w:sz w:val="20"/>
          <w:szCs w:val="20"/>
        </w:rPr>
        <w:t xml:space="preserve"> allele and clade membership. The presence of antibiotic resistance genes and point mutations in the genomes were identified using AMRFinderPlus (v3.11.18) using  its own database (version 2023-04-17.1)</w:t>
      </w:r>
      <w:r w:rsidR="00631822">
        <w:rPr>
          <w:rFonts w:ascii="Times New Roman" w:eastAsia="Times New Roman" w:hAnsi="Times New Roman" w:cs="Times New Roman"/>
          <w:sz w:val="20"/>
          <w:szCs w:val="20"/>
        </w:rPr>
        <w:t>.</w:t>
      </w:r>
      <w:r w:rsidR="00B01C80">
        <w:rPr>
          <w:rFonts w:ascii="Times New Roman" w:eastAsia="Times New Roman" w:hAnsi="Times New Roman" w:cs="Times New Roman"/>
          <w:sz w:val="20"/>
          <w:szCs w:val="20"/>
        </w:rPr>
        <w:fldChar w:fldCharType="begin"/>
      </w:r>
      <w:r w:rsidR="00B01C80">
        <w:rPr>
          <w:rFonts w:ascii="Times New Roman" w:eastAsia="Times New Roman" w:hAnsi="Times New Roman" w:cs="Times New Roman"/>
          <w:sz w:val="20"/>
          <w:szCs w:val="20"/>
        </w:rPr>
        <w:instrText xml:space="preserve"> ADDIN ZOTERO_ITEM CSL_CITATION {"citationID":"EsT9Da2z","properties":{"formattedCitation":"\\super 6\\nosupersub{}","plainCitation":"6","noteIndex":0},"citationItems":[{"id":297,"uris":["http://zotero.org/users/10607266/items/KNC5YAGI"],"itemData":{"id":297,"type":"article-journal","abstract":"Abstract\n            Antimicrobial resistance (AMR) is a significant public health threat. With the rise of affordable whole genome sequencing, in silico approaches to assessing AMR gene content can be used to detect known resistance mechanisms and potentially identify novel mechanisms. To enable accurate assessment of AMR gene content, as part of a multi-agency collaboration, NCBI developed a comprehensive AMR gene database, the Bacterial Antimicrobial Resistance Reference Gene Database and the AMR gene detection tool AMRFinder. Here, we describe the expansion of the Reference Gene Database, now called the Reference Gene Catalog, to include putative acid, biocide, metal, stress resistance genes, in addition to virulence genes and species-specific point mutations. Genes and point mutations are classified by broad functions, as well as more detailed functions. As we have expanded both the functional repertoire of identified genes and functionality, NCBI released a new version of AMRFinder, known as AMRFinderPlus. This new tool allows users the option to utilize only the core set of AMR elements, or include stress response and virulence genes, too. AMRFinderPlus can detect acquired genes and point mutations in both protein and nucleotide sequence. In addition, the evidence used to identify the gene has been expanded to include whether nucleotide or protein sequence was used, its location in the contig, and presence of an internal stop codon. These database improvements and functional expansions will enable increased precision in identifying AMR genes, linking AMR genotypes and phenotypes, and determining possible relationships between AMR, virulence, and stress response.","container-title":"Scientific Reports","DOI":"10.1038/s41598-021-91456-0","ISSN":"2045-2322","issue":"1","journalAbbreviation":"Sci Rep","language":"en","page":"12728","source":"DOI.org (Crossref)","title":"AMRFinderPlus and the Reference Gene Catalog facilitate examination of the genomic links among antimicrobial resistance, stress response, and virulence","volume":"11","author":[{"family":"Feldgarden","given":"Michael"},{"family":"Brover","given":"Vyacheslav"},{"family":"Gonzalez-Escalona","given":"Narjol"},{"family":"Frye","given":"Jonathan G."},{"family":"Haendiges","given":"Julie"},{"family":"Haft","given":"Daniel H."},{"family":"Hoffmann","given":"Maria"},{"family":"Pettengill","given":"James B."},{"family":"Prasad","given":"Arjun B."},{"family":"Tillman","given":"Glenn E."},{"family":"Tyson","given":"Gregory H."},{"family":"Klimke","given":"William"}],"issued":{"date-parts":[["2021",6,16]]}}}],"schema":"https://github.com/citation-style-language/schema/raw/master/csl-citation.json"} </w:instrText>
      </w:r>
      <w:r w:rsidR="00B01C80">
        <w:rPr>
          <w:rFonts w:ascii="Times New Roman" w:eastAsia="Times New Roman" w:hAnsi="Times New Roman" w:cs="Times New Roman"/>
          <w:sz w:val="20"/>
          <w:szCs w:val="20"/>
        </w:rPr>
        <w:fldChar w:fldCharType="separate"/>
      </w:r>
      <w:r w:rsidR="00B01C80" w:rsidRPr="00B01C80">
        <w:rPr>
          <w:rFonts w:ascii="Times New Roman" w:hAnsi="Times New Roman" w:cs="Times New Roman"/>
          <w:sz w:val="20"/>
          <w:vertAlign w:val="superscript"/>
        </w:rPr>
        <w:t>6</w:t>
      </w:r>
      <w:r w:rsidR="00B01C80">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w:t>
      </w:r>
    </w:p>
    <w:p w:rsidR="004B5091" w:rsidRDefault="004B5091">
      <w:pPr>
        <w:shd w:val="clear" w:color="auto" w:fill="FFFFFF"/>
        <w:spacing w:line="480" w:lineRule="auto"/>
        <w:jc w:val="both"/>
        <w:rPr>
          <w:rFonts w:ascii="Times New Roman" w:eastAsia="Times New Roman" w:hAnsi="Times New Roman" w:cs="Times New Roman"/>
          <w:b/>
          <w:sz w:val="20"/>
          <w:szCs w:val="20"/>
        </w:rPr>
      </w:pPr>
    </w:p>
    <w:p w:rsidR="004B5091" w:rsidRDefault="00314D7E">
      <w:pPr>
        <w:shd w:val="clear" w:color="auto" w:fill="FFFFFF"/>
        <w:spacing w:line="48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S8.2 Antibiotic susceptibility testing </w:t>
      </w:r>
    </w:p>
    <w:p w:rsidR="004B5091" w:rsidRDefault="00314D7E">
      <w:pPr>
        <w:shd w:val="clear" w:color="auto" w:fill="FFFFFF"/>
        <w:spacing w:line="480" w:lineRule="auto"/>
        <w:jc w:val="both"/>
        <w:rPr>
          <w:rFonts w:ascii="Times New Roman" w:eastAsia="Times New Roman" w:hAnsi="Times New Roman" w:cs="Times New Roman"/>
          <w:color w:val="242424"/>
          <w:sz w:val="20"/>
          <w:szCs w:val="20"/>
        </w:rPr>
      </w:pPr>
      <w:r>
        <w:rPr>
          <w:rFonts w:ascii="Times New Roman" w:eastAsia="Times New Roman" w:hAnsi="Times New Roman" w:cs="Times New Roman"/>
          <w:sz w:val="20"/>
          <w:szCs w:val="20"/>
        </w:rPr>
        <w:t xml:space="preserve">Antibiotic susceptibility testing was performed on all </w:t>
      </w:r>
      <w:r>
        <w:rPr>
          <w:rFonts w:ascii="Times New Roman" w:eastAsia="Times New Roman" w:hAnsi="Times New Roman" w:cs="Times New Roman"/>
          <w:i/>
          <w:sz w:val="20"/>
          <w:szCs w:val="20"/>
        </w:rPr>
        <w:t xml:space="preserve">E. coli </w:t>
      </w:r>
      <w:r>
        <w:rPr>
          <w:rFonts w:ascii="Times New Roman" w:eastAsia="Times New Roman" w:hAnsi="Times New Roman" w:cs="Times New Roman"/>
          <w:sz w:val="20"/>
          <w:szCs w:val="20"/>
        </w:rPr>
        <w:t>ST131</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isolates using the broth</w:t>
      </w:r>
      <w:r>
        <w:rPr>
          <w:rFonts w:ascii="Times New Roman" w:eastAsia="Times New Roman" w:hAnsi="Times New Roman" w:cs="Times New Roman"/>
          <w:color w:val="242424"/>
          <w:sz w:val="20"/>
          <w:szCs w:val="20"/>
        </w:rPr>
        <w:t xml:space="preserve"> microdilution method. The minimum inhibitory concentrations (MICs) of 33 antimicrobials were determined by using MicroScan Neg MIC Panel Type 40 (Beckman Coulter, Inc., Brea, CA, USA), in accordance with the manufacturer's instructions. </w:t>
      </w:r>
      <w:r>
        <w:rPr>
          <w:rFonts w:ascii="Times New Roman" w:eastAsia="Times New Roman" w:hAnsi="Times New Roman" w:cs="Times New Roman"/>
          <w:i/>
          <w:color w:val="242424"/>
          <w:sz w:val="20"/>
          <w:szCs w:val="20"/>
        </w:rPr>
        <w:t xml:space="preserve">E. coli </w:t>
      </w:r>
      <w:r>
        <w:rPr>
          <w:rFonts w:ascii="Times New Roman" w:eastAsia="Times New Roman" w:hAnsi="Times New Roman" w:cs="Times New Roman"/>
          <w:color w:val="242424"/>
          <w:sz w:val="20"/>
          <w:szCs w:val="20"/>
        </w:rPr>
        <w:t>ATCC 25922 was included as a quality control. The isolates were then classified as susceptible, intermediate, and resistant, based on the interpretation of MIC results in accordance with  EUCAST guideline (2015)</w:t>
      </w:r>
      <w:r w:rsidR="00FE2712">
        <w:rPr>
          <w:rFonts w:ascii="Times New Roman" w:eastAsia="Times New Roman" w:hAnsi="Times New Roman" w:cs="Times New Roman"/>
          <w:color w:val="242424"/>
          <w:sz w:val="20"/>
          <w:szCs w:val="20"/>
        </w:rPr>
        <w:t>.</w:t>
      </w:r>
      <w:r w:rsidR="00B321FB">
        <w:rPr>
          <w:rFonts w:ascii="Times New Roman" w:eastAsia="Times New Roman" w:hAnsi="Times New Roman" w:cs="Times New Roman"/>
          <w:color w:val="242424"/>
          <w:sz w:val="20"/>
          <w:szCs w:val="20"/>
        </w:rPr>
        <w:fldChar w:fldCharType="begin"/>
      </w:r>
      <w:r w:rsidR="00B321FB">
        <w:rPr>
          <w:rFonts w:ascii="Times New Roman" w:eastAsia="Times New Roman" w:hAnsi="Times New Roman" w:cs="Times New Roman"/>
          <w:color w:val="242424"/>
          <w:sz w:val="20"/>
          <w:szCs w:val="20"/>
        </w:rPr>
        <w:instrText xml:space="preserve"> ADDIN ZOTERO_ITEM CSL_CITATION {"citationID":"Phdp4msd","properties":{"formattedCitation":"\\super 7\\nosupersub{}","plainCitation":"7","noteIndex":0},"citationItems":[{"id":324,"uris":["http://zotero.org/users/10607266/items/E8ZRWL5T"],"itemData":{"id":324,"type":"standard","authority":"European Committee on Antimicrobial Susceptibility Testing","event-place":"Växjö, Sweden","publisher-place":"Växjö, Sweden","title":"Breakpoint tables for interpretation of MICs and zone diameters, version 5.0.","author":[{"family":"EUCAST","given":""}],"issued":{"date-parts":[["2015"]]}}}],"schema":"https://github.com/citation-style-language/schema/raw/master/csl-citation.json"} </w:instrText>
      </w:r>
      <w:r w:rsidR="00B321FB">
        <w:rPr>
          <w:rFonts w:ascii="Times New Roman" w:eastAsia="Times New Roman" w:hAnsi="Times New Roman" w:cs="Times New Roman"/>
          <w:color w:val="242424"/>
          <w:sz w:val="20"/>
          <w:szCs w:val="20"/>
        </w:rPr>
        <w:fldChar w:fldCharType="separate"/>
      </w:r>
      <w:r w:rsidR="00B321FB" w:rsidRPr="00B321FB">
        <w:rPr>
          <w:rFonts w:ascii="Times New Roman" w:hAnsi="Times New Roman" w:cs="Times New Roman"/>
          <w:color w:val="000000"/>
          <w:sz w:val="20"/>
          <w:vertAlign w:val="superscript"/>
        </w:rPr>
        <w:t>7</w:t>
      </w:r>
      <w:r w:rsidR="00B321FB">
        <w:rPr>
          <w:rFonts w:ascii="Times New Roman" w:eastAsia="Times New Roman" w:hAnsi="Times New Roman" w:cs="Times New Roman"/>
          <w:color w:val="242424"/>
          <w:sz w:val="20"/>
          <w:szCs w:val="20"/>
        </w:rPr>
        <w:fldChar w:fldCharType="end"/>
      </w:r>
      <w:r>
        <w:rPr>
          <w:rFonts w:ascii="Times New Roman" w:eastAsia="Times New Roman" w:hAnsi="Times New Roman" w:cs="Times New Roman"/>
          <w:color w:val="242424"/>
          <w:sz w:val="20"/>
          <w:szCs w:val="20"/>
        </w:rPr>
        <w:t xml:space="preserve"> As no EUCAST interpretation was available for tetracycline, trimethoprim and cefoxitin, classifications on these antimicrobials followed the CLSI guideline (2013</w:t>
      </w:r>
      <w:r w:rsidR="00B321FB">
        <w:rPr>
          <w:rFonts w:ascii="Times New Roman" w:eastAsia="Times New Roman" w:hAnsi="Times New Roman" w:cs="Times New Roman"/>
          <w:color w:val="242424"/>
          <w:sz w:val="20"/>
          <w:szCs w:val="20"/>
        </w:rPr>
        <w:t>).</w:t>
      </w:r>
      <w:r w:rsidR="00B321FB">
        <w:rPr>
          <w:rFonts w:ascii="Times New Roman" w:eastAsia="Times New Roman" w:hAnsi="Times New Roman" w:cs="Times New Roman"/>
          <w:color w:val="242424"/>
          <w:sz w:val="20"/>
          <w:szCs w:val="20"/>
        </w:rPr>
        <w:fldChar w:fldCharType="begin"/>
      </w:r>
      <w:r w:rsidR="00B321FB">
        <w:rPr>
          <w:rFonts w:ascii="Times New Roman" w:eastAsia="Times New Roman" w:hAnsi="Times New Roman" w:cs="Times New Roman"/>
          <w:color w:val="242424"/>
          <w:sz w:val="20"/>
          <w:szCs w:val="20"/>
        </w:rPr>
        <w:instrText xml:space="preserve"> ADDIN ZOTERO_ITEM CSL_CITATION {"citationID":"3PbSnNMI","properties":{"formattedCitation":"\\super 8\\nosupersub{}","plainCitation":"8","noteIndex":0},"citationItems":[{"id":323,"uris":["http://zotero.org/users/10607266/items/3CKVJXN7"],"itemData":{"id":323,"type":"book","event-place":"Wayne, Pa","ISBN":"978-1-56238-865-2","language":"eng","note":"OCLC: 1016468987","publisher":"Clinical and Laboratory Standards Institute","publisher-place":"Wayne, Pa","source":"Open WorldCat","title":"Performance standards for antimicrobial susceptibility testing: twenty-third informational supplement","title-short":"Performance standards for antimicrobial susceptibility testing","author":[{"family":"Cockerill","given":"Franklin R."}],"issued":{"date-parts":[["2013"]]}}}],"schema":"https://github.com/citation-style-language/schema/raw/master/csl-citation.json"} </w:instrText>
      </w:r>
      <w:r w:rsidR="00B321FB">
        <w:rPr>
          <w:rFonts w:ascii="Times New Roman" w:eastAsia="Times New Roman" w:hAnsi="Times New Roman" w:cs="Times New Roman"/>
          <w:color w:val="242424"/>
          <w:sz w:val="20"/>
          <w:szCs w:val="20"/>
        </w:rPr>
        <w:fldChar w:fldCharType="separate"/>
      </w:r>
      <w:r w:rsidR="00B321FB" w:rsidRPr="00B321FB">
        <w:rPr>
          <w:rFonts w:ascii="Times New Roman" w:hAnsi="Times New Roman" w:cs="Times New Roman"/>
          <w:color w:val="000000"/>
          <w:sz w:val="20"/>
          <w:vertAlign w:val="superscript"/>
        </w:rPr>
        <w:t>8</w:t>
      </w:r>
      <w:r w:rsidR="00B321FB">
        <w:rPr>
          <w:rFonts w:ascii="Times New Roman" w:eastAsia="Times New Roman" w:hAnsi="Times New Roman" w:cs="Times New Roman"/>
          <w:color w:val="242424"/>
          <w:sz w:val="20"/>
          <w:szCs w:val="20"/>
        </w:rPr>
        <w:fldChar w:fldCharType="end"/>
      </w:r>
      <w:r>
        <w:rPr>
          <w:rFonts w:ascii="Times New Roman" w:eastAsia="Times New Roman" w:hAnsi="Times New Roman" w:cs="Times New Roman"/>
          <w:color w:val="242424"/>
          <w:sz w:val="20"/>
          <w:szCs w:val="20"/>
        </w:rPr>
        <w:t xml:space="preserve">  The isolates resistant to ceftriaxone were further subjected to double-disk synergy test to confirm </w:t>
      </w:r>
      <w:r>
        <w:rPr>
          <w:rFonts w:ascii="Times New Roman" w:eastAsia="Times New Roman" w:hAnsi="Times New Roman" w:cs="Times New Roman"/>
          <w:color w:val="242424"/>
          <w:sz w:val="20"/>
          <w:szCs w:val="20"/>
          <w:highlight w:val="white"/>
        </w:rPr>
        <w:t xml:space="preserve">ESBL-production using </w:t>
      </w:r>
      <w:r>
        <w:rPr>
          <w:rFonts w:ascii="Times New Roman" w:eastAsia="Times New Roman" w:hAnsi="Times New Roman" w:cs="Times New Roman"/>
          <w:color w:val="242424"/>
          <w:sz w:val="20"/>
          <w:szCs w:val="20"/>
        </w:rPr>
        <w:t>three cephalosporins including ceftriaxone (CRO; 30 μg), ceftazidime (CAZ; 30 μg), and cefotaxime (CTX; 30 μg) (Oxoid, UK), as well as  of amoxicillin/clavulanic acid (AMC; 20/10 μg) (Thermo Fisher Scientific, USA)</w:t>
      </w:r>
      <w:r w:rsidR="003B6811">
        <w:rPr>
          <w:rFonts w:ascii="Times New Roman" w:eastAsia="Times New Roman" w:hAnsi="Times New Roman" w:cs="Times New Roman"/>
          <w:color w:val="242424"/>
          <w:sz w:val="20"/>
          <w:szCs w:val="20"/>
        </w:rPr>
        <w:t>.</w:t>
      </w:r>
      <w:r w:rsidR="00B321FB">
        <w:rPr>
          <w:rFonts w:ascii="Times New Roman" w:eastAsia="Times New Roman" w:hAnsi="Times New Roman" w:cs="Times New Roman"/>
          <w:color w:val="242424"/>
          <w:sz w:val="20"/>
          <w:szCs w:val="20"/>
        </w:rPr>
        <w:fldChar w:fldCharType="begin"/>
      </w:r>
      <w:r w:rsidR="00B321FB">
        <w:rPr>
          <w:rFonts w:ascii="Times New Roman" w:eastAsia="Times New Roman" w:hAnsi="Times New Roman" w:cs="Times New Roman"/>
          <w:color w:val="242424"/>
          <w:sz w:val="20"/>
          <w:szCs w:val="20"/>
        </w:rPr>
        <w:instrText xml:space="preserve"> ADDIN ZOTERO_ITEM CSL_CITATION {"citationID":"iVHLSS1v","properties":{"formattedCitation":"\\super 9\\nosupersub{}","plainCitation":"9","noteIndex":0},"citationItems":[{"id":326,"uris":["http://zotero.org/users/10607266/items/EEGXUYMI"],"itemData":{"id":326,"type":"article-journal","container-title":"Clinical Microbiology and Infection","DOI":"10.1111/j.1469-0691.2007.01846.x","ISSN":"1198743X","journalAbbreviation":"Clinical Microbiology and Infection","language":"en","page":"90-103","source":"DOI.org (Crossref)","title":"Phenotypic detection of extended-spectrum β-lactamase production in Enterobacteriaceae: review and bench guide","title-short":"Phenotypic detection of extended-spectrum β-lactamase production in Enterobacteriaceae","volume":"14","author":[{"family":"Drieux","given":"L."},{"family":"Brossier","given":"F."},{"family":"Sougakoff","given":"W."},{"family":"Jarlier","given":"V."}],"issued":{"date-parts":[["2008",1]]}}}],"schema":"https://github.com/citation-style-language/schema/raw/master/csl-citation.json"} </w:instrText>
      </w:r>
      <w:r w:rsidR="00B321FB">
        <w:rPr>
          <w:rFonts w:ascii="Times New Roman" w:eastAsia="Times New Roman" w:hAnsi="Times New Roman" w:cs="Times New Roman"/>
          <w:color w:val="242424"/>
          <w:sz w:val="20"/>
          <w:szCs w:val="20"/>
        </w:rPr>
        <w:fldChar w:fldCharType="separate"/>
      </w:r>
      <w:r w:rsidR="00B321FB" w:rsidRPr="00B321FB">
        <w:rPr>
          <w:rFonts w:ascii="Times New Roman" w:hAnsi="Times New Roman" w:cs="Times New Roman"/>
          <w:color w:val="000000"/>
          <w:sz w:val="20"/>
          <w:vertAlign w:val="superscript"/>
        </w:rPr>
        <w:t>9</w:t>
      </w:r>
      <w:r w:rsidR="00B321FB">
        <w:rPr>
          <w:rFonts w:ascii="Times New Roman" w:eastAsia="Times New Roman" w:hAnsi="Times New Roman" w:cs="Times New Roman"/>
          <w:color w:val="242424"/>
          <w:sz w:val="20"/>
          <w:szCs w:val="20"/>
        </w:rPr>
        <w:fldChar w:fldCharType="end"/>
      </w:r>
      <w:r>
        <w:rPr>
          <w:rFonts w:ascii="Times New Roman" w:eastAsia="Times New Roman" w:hAnsi="Times New Roman" w:cs="Times New Roman"/>
          <w:color w:val="242424"/>
          <w:sz w:val="20"/>
          <w:szCs w:val="20"/>
        </w:rPr>
        <w:t xml:space="preserve"> </w:t>
      </w:r>
    </w:p>
    <w:p w:rsidR="004B5091" w:rsidRDefault="004B5091">
      <w:pPr>
        <w:shd w:val="clear" w:color="auto" w:fill="FFFFFF"/>
        <w:spacing w:line="480" w:lineRule="auto"/>
        <w:jc w:val="both"/>
        <w:rPr>
          <w:rFonts w:ascii="Times New Roman" w:eastAsia="Times New Roman" w:hAnsi="Times New Roman" w:cs="Times New Roman"/>
          <w:color w:val="242424"/>
          <w:sz w:val="20"/>
          <w:szCs w:val="20"/>
        </w:rPr>
      </w:pPr>
    </w:p>
    <w:p w:rsidR="004B5091" w:rsidRDefault="00314D7E">
      <w:pPr>
        <w:shd w:val="clear" w:color="auto" w:fill="FFFFFF"/>
        <w:spacing w:line="480" w:lineRule="auto"/>
        <w:jc w:val="both"/>
        <w:rPr>
          <w:rFonts w:ascii="Times New Roman" w:eastAsia="Times New Roman" w:hAnsi="Times New Roman" w:cs="Times New Roman"/>
          <w:b/>
          <w:color w:val="242424"/>
          <w:sz w:val="20"/>
          <w:szCs w:val="20"/>
        </w:rPr>
      </w:pPr>
      <w:r>
        <w:rPr>
          <w:rFonts w:ascii="Times New Roman" w:eastAsia="Times New Roman" w:hAnsi="Times New Roman" w:cs="Times New Roman"/>
          <w:b/>
          <w:color w:val="242424"/>
          <w:sz w:val="20"/>
          <w:szCs w:val="20"/>
        </w:rPr>
        <w:t xml:space="preserve">S8.3 Markov-chain Monte Carlo modelling </w:t>
      </w:r>
    </w:p>
    <w:p w:rsidR="004B5091" w:rsidRDefault="00314D7E">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The transition from one state to another was governed by an intensity matrix Q (K </w:t>
      </w:r>
      <m:oMath>
        <m:r>
          <w:rPr>
            <w:rFonts w:ascii="Cambria Math" w:hAnsi="Cambria Math"/>
          </w:rPr>
          <m:t>×</m:t>
        </m:r>
      </m:oMath>
      <w:r>
        <w:rPr>
          <w:rFonts w:ascii="Times New Roman" w:eastAsia="Times New Roman" w:hAnsi="Times New Roman" w:cs="Times New Roman"/>
          <w:sz w:val="20"/>
          <w:szCs w:val="20"/>
        </w:rPr>
        <w:t xml:space="preserve"> K, where K is the number of states, i.e. two).  For every individual </w:t>
      </w:r>
      <w:proofErr w:type="gramStart"/>
      <w:r>
        <w:rPr>
          <w:rFonts w:ascii="Times New Roman" w:eastAsia="Times New Roman" w:hAnsi="Times New Roman" w:cs="Times New Roman"/>
          <w:i/>
          <w:sz w:val="20"/>
          <w:szCs w:val="20"/>
        </w:rPr>
        <w:t>i</w:t>
      </w:r>
      <w:r>
        <w:rPr>
          <w:rFonts w:ascii="Times New Roman" w:eastAsia="Times New Roman" w:hAnsi="Times New Roman" w:cs="Times New Roman"/>
          <w:sz w:val="20"/>
          <w:szCs w:val="20"/>
        </w:rPr>
        <w:t>,  the</w:t>
      </w:r>
      <w:proofErr w:type="gramEnd"/>
      <w:r>
        <w:rPr>
          <w:rFonts w:ascii="Times New Roman" w:eastAsia="Times New Roman" w:hAnsi="Times New Roman" w:cs="Times New Roman"/>
          <w:sz w:val="20"/>
          <w:szCs w:val="20"/>
        </w:rPr>
        <w:t xml:space="preserve"> probability of transition between states was modelled by the equations:</w:t>
      </w:r>
    </w:p>
    <w:p w:rsidR="004B5091" w:rsidRDefault="00314D7E">
      <w:pPr>
        <w:spacing w:line="480" w:lineRule="auto"/>
        <w:jc w:val="center"/>
        <w:rPr>
          <w:rFonts w:ascii="Times New Roman" w:eastAsia="Times New Roman" w:hAnsi="Times New Roman" w:cs="Times New Roman"/>
          <w:sz w:val="20"/>
          <w:szCs w:val="20"/>
        </w:rPr>
      </w:pPr>
      <m:oMathPara>
        <m:oMath>
          <m:r>
            <w:rPr>
              <w:rFonts w:ascii="Times New Roman" w:eastAsia="Times New Roman" w:hAnsi="Times New Roman" w:cs="Times New Roman"/>
              <w:sz w:val="20"/>
              <w:szCs w:val="20"/>
            </w:rPr>
            <w:lastRenderedPageBreak/>
            <m:t>log (</m:t>
          </m:r>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q</m:t>
              </m:r>
            </m:e>
            <m:sub>
              <m:r>
                <w:rPr>
                  <w:rFonts w:ascii="Times New Roman" w:eastAsia="Times New Roman" w:hAnsi="Times New Roman" w:cs="Times New Roman"/>
                  <w:sz w:val="20"/>
                  <w:szCs w:val="20"/>
                </w:rPr>
                <m:t>12</m:t>
              </m:r>
            </m:sub>
          </m:sSub>
          <m:r>
            <w:rPr>
              <w:rFonts w:ascii="Times New Roman" w:eastAsia="Times New Roman" w:hAnsi="Times New Roman" w:cs="Times New Roman"/>
              <w:sz w:val="20"/>
              <w:szCs w:val="20"/>
            </w:rPr>
            <m:t xml:space="preserve">) = </m:t>
          </m:r>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β</m:t>
              </m:r>
            </m:e>
            <m:sub>
              <m:r>
                <w:rPr>
                  <w:rFonts w:ascii="Times New Roman" w:eastAsia="Times New Roman" w:hAnsi="Times New Roman" w:cs="Times New Roman"/>
                  <w:sz w:val="20"/>
                  <w:szCs w:val="20"/>
                </w:rPr>
                <m:t>0</m:t>
              </m:r>
            </m:sub>
          </m:sSub>
          <m:r>
            <w:rPr>
              <w:rFonts w:ascii="Times New Roman" w:eastAsia="Times New Roman" w:hAnsi="Times New Roman" w:cs="Times New Roman"/>
              <w:sz w:val="20"/>
              <w:szCs w:val="20"/>
            </w:rPr>
            <m:t xml:space="preserve"> + </m:t>
          </m:r>
          <m:nary>
            <m:naryPr>
              <m:chr m:val="∑"/>
              <m:ctrlPr>
                <w:rPr>
                  <w:rFonts w:ascii="Times New Roman" w:eastAsia="Times New Roman" w:hAnsi="Times New Roman" w:cs="Times New Roman"/>
                  <w:sz w:val="20"/>
                  <w:szCs w:val="20"/>
                </w:rPr>
              </m:ctrlPr>
            </m:naryPr>
            <m:sub>
              <m:r>
                <w:rPr>
                  <w:rFonts w:ascii="Times New Roman" w:eastAsia="Times New Roman" w:hAnsi="Times New Roman" w:cs="Times New Roman"/>
                  <w:sz w:val="20"/>
                  <w:szCs w:val="20"/>
                </w:rPr>
                <m:t>i = 1</m:t>
              </m:r>
            </m:sub>
            <m:sup>
              <m:r>
                <w:rPr>
                  <w:rFonts w:ascii="Times New Roman" w:eastAsia="Times New Roman" w:hAnsi="Times New Roman" w:cs="Times New Roman"/>
                  <w:sz w:val="20"/>
                  <w:szCs w:val="20"/>
                </w:rPr>
                <m:t>D</m:t>
              </m:r>
            </m:sup>
            <m:e/>
          </m:nary>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 xml:space="preserve"> β</m:t>
              </m:r>
            </m:e>
            <m:sub>
              <m:r>
                <w:rPr>
                  <w:rFonts w:ascii="Times New Roman" w:eastAsia="Times New Roman" w:hAnsi="Times New Roman" w:cs="Times New Roman"/>
                  <w:sz w:val="20"/>
                  <w:szCs w:val="20"/>
                </w:rPr>
                <m:t xml:space="preserve">i </m:t>
              </m:r>
            </m:sub>
          </m:sSub>
          <m:r>
            <w:rPr>
              <w:rFonts w:ascii="Times New Roman" w:eastAsia="Times New Roman" w:hAnsi="Times New Roman" w:cs="Times New Roman"/>
              <w:sz w:val="20"/>
              <w:szCs w:val="20"/>
            </w:rPr>
            <m:t xml:space="preserve">× </m:t>
          </m:r>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X</m:t>
              </m:r>
            </m:e>
            <m:sub>
              <m:r>
                <w:rPr>
                  <w:rFonts w:ascii="Times New Roman" w:eastAsia="Times New Roman" w:hAnsi="Times New Roman" w:cs="Times New Roman"/>
                  <w:sz w:val="20"/>
                  <w:szCs w:val="20"/>
                </w:rPr>
                <m:t>i</m:t>
              </m:r>
            </m:sub>
          </m:sSub>
        </m:oMath>
      </m:oMathPara>
    </w:p>
    <w:p w:rsidR="004B5091" w:rsidRDefault="00314D7E">
      <w:pPr>
        <w:spacing w:line="480" w:lineRule="auto"/>
        <w:jc w:val="center"/>
        <w:rPr>
          <w:rFonts w:ascii="Times New Roman" w:eastAsia="Times New Roman" w:hAnsi="Times New Roman" w:cs="Times New Roman"/>
          <w:sz w:val="20"/>
          <w:szCs w:val="20"/>
        </w:rPr>
      </w:pPr>
      <m:oMathPara>
        <m:oMath>
          <m:r>
            <w:rPr>
              <w:rFonts w:ascii="Times New Roman" w:eastAsia="Times New Roman" w:hAnsi="Times New Roman" w:cs="Times New Roman"/>
              <w:sz w:val="20"/>
              <w:szCs w:val="20"/>
            </w:rPr>
            <m:t>log (</m:t>
          </m:r>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q</m:t>
              </m:r>
            </m:e>
            <m:sub>
              <m:r>
                <w:rPr>
                  <w:rFonts w:ascii="Times New Roman" w:eastAsia="Times New Roman" w:hAnsi="Times New Roman" w:cs="Times New Roman"/>
                  <w:sz w:val="20"/>
                  <w:szCs w:val="20"/>
                </w:rPr>
                <m:t>21</m:t>
              </m:r>
            </m:sub>
          </m:sSub>
          <m:r>
            <w:rPr>
              <w:rFonts w:ascii="Times New Roman" w:eastAsia="Times New Roman" w:hAnsi="Times New Roman" w:cs="Times New Roman"/>
              <w:sz w:val="20"/>
              <w:szCs w:val="20"/>
            </w:rPr>
            <m:t xml:space="preserve">) = </m:t>
          </m:r>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β</m:t>
              </m:r>
            </m:e>
            <m:sub>
              <m:r>
                <w:rPr>
                  <w:rFonts w:ascii="Times New Roman" w:eastAsia="Times New Roman" w:hAnsi="Times New Roman" w:cs="Times New Roman"/>
                  <w:sz w:val="20"/>
                  <w:szCs w:val="20"/>
                </w:rPr>
                <m:t>0</m:t>
              </m:r>
            </m:sub>
          </m:sSub>
          <m:r>
            <w:rPr>
              <w:rFonts w:ascii="Times New Roman" w:eastAsia="Times New Roman" w:hAnsi="Times New Roman" w:cs="Times New Roman"/>
              <w:sz w:val="20"/>
              <w:szCs w:val="20"/>
            </w:rPr>
            <m:t xml:space="preserve"> + </m:t>
          </m:r>
          <m:nary>
            <m:naryPr>
              <m:chr m:val="∑"/>
              <m:ctrlPr>
                <w:rPr>
                  <w:rFonts w:ascii="Times New Roman" w:eastAsia="Times New Roman" w:hAnsi="Times New Roman" w:cs="Times New Roman"/>
                  <w:sz w:val="20"/>
                  <w:szCs w:val="20"/>
                </w:rPr>
              </m:ctrlPr>
            </m:naryPr>
            <m:sub>
              <m:r>
                <w:rPr>
                  <w:rFonts w:ascii="Times New Roman" w:eastAsia="Times New Roman" w:hAnsi="Times New Roman" w:cs="Times New Roman"/>
                  <w:sz w:val="20"/>
                  <w:szCs w:val="20"/>
                </w:rPr>
                <m:t>i = 1</m:t>
              </m:r>
            </m:sub>
            <m:sup>
              <m:r>
                <w:rPr>
                  <w:rFonts w:ascii="Times New Roman" w:eastAsia="Times New Roman" w:hAnsi="Times New Roman" w:cs="Times New Roman"/>
                  <w:sz w:val="20"/>
                  <w:szCs w:val="20"/>
                </w:rPr>
                <m:t>D</m:t>
              </m:r>
            </m:sup>
            <m:e/>
          </m:nary>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 xml:space="preserve"> β</m:t>
              </m:r>
            </m:e>
            <m:sub>
              <m:r>
                <w:rPr>
                  <w:rFonts w:ascii="Times New Roman" w:eastAsia="Times New Roman" w:hAnsi="Times New Roman" w:cs="Times New Roman"/>
                  <w:sz w:val="20"/>
                  <w:szCs w:val="20"/>
                </w:rPr>
                <m:t xml:space="preserve">i </m:t>
              </m:r>
            </m:sub>
          </m:sSub>
          <m:r>
            <w:rPr>
              <w:rFonts w:ascii="Times New Roman" w:eastAsia="Times New Roman" w:hAnsi="Times New Roman" w:cs="Times New Roman"/>
              <w:sz w:val="20"/>
              <w:szCs w:val="20"/>
            </w:rPr>
            <m:t xml:space="preserve">× </m:t>
          </m:r>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X</m:t>
              </m:r>
            </m:e>
            <m:sub>
              <m:r>
                <w:rPr>
                  <w:rFonts w:ascii="Times New Roman" w:eastAsia="Times New Roman" w:hAnsi="Times New Roman" w:cs="Times New Roman"/>
                  <w:sz w:val="20"/>
                  <w:szCs w:val="20"/>
                </w:rPr>
                <m:t>i</m:t>
              </m:r>
            </m:sub>
          </m:sSub>
        </m:oMath>
      </m:oMathPara>
    </w:p>
    <w:p w:rsidR="004B5091" w:rsidRDefault="00314D7E">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 which </w:t>
      </w:r>
      <m:oMath>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q</m:t>
            </m:r>
          </m:e>
          <m:sub>
            <m:r>
              <w:rPr>
                <w:rFonts w:ascii="Times New Roman" w:eastAsia="Times New Roman" w:hAnsi="Times New Roman" w:cs="Times New Roman"/>
                <w:sz w:val="20"/>
                <w:szCs w:val="20"/>
              </w:rPr>
              <m:t>12</m:t>
            </m:r>
          </m:sub>
        </m:sSub>
      </m:oMath>
      <w:r>
        <w:rPr>
          <w:rFonts w:ascii="Times New Roman" w:eastAsia="Times New Roman" w:hAnsi="Times New Roman" w:cs="Times New Roman"/>
          <w:sz w:val="20"/>
          <w:szCs w:val="20"/>
        </w:rPr>
        <w:t xml:space="preserve"> and </w:t>
      </w:r>
      <m:oMath>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q</m:t>
            </m:r>
          </m:e>
          <m:sub>
            <m:r>
              <w:rPr>
                <w:rFonts w:ascii="Times New Roman" w:eastAsia="Times New Roman" w:hAnsi="Times New Roman" w:cs="Times New Roman"/>
                <w:sz w:val="20"/>
                <w:szCs w:val="20"/>
              </w:rPr>
              <m:t>21</m:t>
            </m:r>
          </m:sub>
        </m:sSub>
      </m:oMath>
      <w:r>
        <w:rPr>
          <w:rFonts w:ascii="Times New Roman" w:eastAsia="Times New Roman" w:hAnsi="Times New Roman" w:cs="Times New Roman"/>
          <w:sz w:val="20"/>
          <w:szCs w:val="20"/>
        </w:rPr>
        <w:t xml:space="preserve"> represented the probability of transitioning from non-carrier to carrier state and from carrier to non-carrier state, respectively.  </w:t>
      </w:r>
      <m:oMath>
        <m:sSub>
          <m:sSubPr>
            <m:ctrlPr>
              <w:rPr>
                <w:rFonts w:ascii="Times New Roman" w:eastAsia="Times New Roman" w:hAnsi="Times New Roman" w:cs="Times New Roman"/>
                <w:sz w:val="20"/>
                <w:szCs w:val="20"/>
              </w:rPr>
            </m:ctrlPr>
          </m:sSubPr>
          <m:e>
            <m:r>
              <w:rPr>
                <w:rFonts w:ascii="Cambria Math" w:hAnsi="Cambria Math"/>
              </w:rPr>
              <m:t>β</m:t>
            </m:r>
          </m:e>
          <m:sub>
            <m:r>
              <w:rPr>
                <w:rFonts w:ascii="Times New Roman" w:eastAsia="Times New Roman" w:hAnsi="Times New Roman" w:cs="Times New Roman"/>
                <w:sz w:val="20"/>
                <w:szCs w:val="20"/>
              </w:rPr>
              <m:t>i</m:t>
            </m:r>
          </m:sub>
        </m:sSub>
      </m:oMath>
      <w:r>
        <w:rPr>
          <w:rFonts w:ascii="Times New Roman" w:eastAsia="Times New Roman" w:hAnsi="Times New Roman" w:cs="Times New Roman"/>
          <w:sz w:val="20"/>
          <w:szCs w:val="20"/>
        </w:rPr>
        <w:t xml:space="preserve"> represented the sampling parameter for transition from non-carrier to carrier state, D represents the number of covariates, and </w:t>
      </w:r>
      <m:oMath>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X</m:t>
            </m:r>
          </m:e>
          <m:sub>
            <m:r>
              <w:rPr>
                <w:rFonts w:ascii="Times New Roman" w:eastAsia="Times New Roman" w:hAnsi="Times New Roman" w:cs="Times New Roman"/>
                <w:sz w:val="20"/>
                <w:szCs w:val="20"/>
              </w:rPr>
              <m:t>i</m:t>
            </m:r>
          </m:sub>
        </m:sSub>
      </m:oMath>
      <w:r>
        <w:rPr>
          <w:rFonts w:ascii="Times New Roman" w:eastAsia="Times New Roman" w:hAnsi="Times New Roman" w:cs="Times New Roman"/>
          <w:sz w:val="20"/>
          <w:szCs w:val="20"/>
        </w:rPr>
        <w:t xml:space="preserve"> represents covariate </w:t>
      </w:r>
      <w:r>
        <w:rPr>
          <w:rFonts w:ascii="Times New Roman" w:eastAsia="Times New Roman" w:hAnsi="Times New Roman" w:cs="Times New Roman"/>
          <w:i/>
          <w:sz w:val="20"/>
          <w:szCs w:val="20"/>
        </w:rPr>
        <w:t>i</w:t>
      </w:r>
      <w:r>
        <w:rPr>
          <w:rFonts w:ascii="Times New Roman" w:eastAsia="Times New Roman" w:hAnsi="Times New Roman" w:cs="Times New Roman"/>
          <w:sz w:val="20"/>
          <w:szCs w:val="20"/>
        </w:rPr>
        <w:t xml:space="preserve"> in set of covariates </w:t>
      </w:r>
      <m:oMath>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X</m:t>
            </m:r>
          </m:e>
          <m:sub>
            <m:r>
              <w:rPr>
                <w:rFonts w:ascii="Times New Roman" w:eastAsia="Times New Roman" w:hAnsi="Times New Roman" w:cs="Times New Roman"/>
                <w:sz w:val="20"/>
                <w:szCs w:val="20"/>
              </w:rPr>
              <m:t>1</m:t>
            </m:r>
          </m:sub>
        </m:sSub>
      </m:oMath>
      <w:r>
        <w:rPr>
          <w:rFonts w:ascii="Times New Roman" w:eastAsia="Times New Roman" w:hAnsi="Times New Roman" w:cs="Times New Roman"/>
          <w:sz w:val="20"/>
          <w:szCs w:val="20"/>
        </w:rPr>
        <w:t xml:space="preserve">, </w:t>
      </w:r>
      <m:oMath>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X</m:t>
            </m:r>
          </m:e>
          <m:sub>
            <m:r>
              <w:rPr>
                <w:rFonts w:ascii="Times New Roman" w:eastAsia="Times New Roman" w:hAnsi="Times New Roman" w:cs="Times New Roman"/>
                <w:sz w:val="20"/>
                <w:szCs w:val="20"/>
              </w:rPr>
              <m:t>2</m:t>
            </m:r>
          </m:sub>
        </m:sSub>
      </m:oMath>
      <w:r>
        <w:rPr>
          <w:rFonts w:ascii="Times New Roman" w:eastAsia="Times New Roman" w:hAnsi="Times New Roman" w:cs="Times New Roman"/>
          <w:sz w:val="20"/>
          <w:szCs w:val="20"/>
        </w:rPr>
        <w:t xml:space="preserve">, ... </w:t>
      </w:r>
      <m:oMath>
        <m:sSub>
          <m:sSubPr>
            <m:ctrlPr>
              <w:rPr>
                <w:rFonts w:ascii="Times New Roman" w:eastAsia="Times New Roman" w:hAnsi="Times New Roman" w:cs="Times New Roman"/>
                <w:sz w:val="20"/>
                <w:szCs w:val="20"/>
              </w:rPr>
            </m:ctrlPr>
          </m:sSubPr>
          <m:e>
            <m:r>
              <w:rPr>
                <w:rFonts w:ascii="Times New Roman" w:eastAsia="Times New Roman" w:hAnsi="Times New Roman" w:cs="Times New Roman"/>
                <w:sz w:val="20"/>
                <w:szCs w:val="20"/>
              </w:rPr>
              <m:t>X</m:t>
            </m:r>
          </m:e>
          <m:sub>
            <m:r>
              <w:rPr>
                <w:rFonts w:ascii="Times New Roman" w:eastAsia="Times New Roman" w:hAnsi="Times New Roman" w:cs="Times New Roman"/>
                <w:sz w:val="20"/>
                <w:szCs w:val="20"/>
              </w:rPr>
              <m:t>D</m:t>
            </m:r>
          </m:sub>
        </m:sSub>
      </m:oMath>
      <w:r>
        <w:rPr>
          <w:rFonts w:ascii="Times New Roman" w:eastAsia="Times New Roman" w:hAnsi="Times New Roman" w:cs="Times New Roman"/>
          <w:sz w:val="20"/>
          <w:szCs w:val="20"/>
        </w:rPr>
        <w:t xml:space="preserve">.  </w:t>
      </w:r>
    </w:p>
    <w:p w:rsidR="004B5091" w:rsidRDefault="004B5091">
      <w:pPr>
        <w:spacing w:line="480" w:lineRule="auto"/>
        <w:rPr>
          <w:rFonts w:ascii="Times New Roman" w:eastAsia="Times New Roman" w:hAnsi="Times New Roman" w:cs="Times New Roman"/>
          <w:sz w:val="20"/>
          <w:szCs w:val="20"/>
        </w:rPr>
      </w:pPr>
    </w:p>
    <w:p w:rsidR="004B5091" w:rsidRDefault="00314D7E">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Models were constructed in Stan to sample for the posterior distribution of the parameters </w:t>
      </w:r>
      <m:oMath>
        <m:sSub>
          <m:sSubPr>
            <m:ctrlPr>
              <w:rPr>
                <w:rFonts w:ascii="Times New Roman" w:eastAsia="Times New Roman" w:hAnsi="Times New Roman" w:cs="Times New Roman"/>
                <w:sz w:val="20"/>
                <w:szCs w:val="20"/>
              </w:rPr>
            </m:ctrlPr>
          </m:sSubPr>
          <m:e>
            <m:r>
              <w:rPr>
                <w:rFonts w:ascii="Cambria Math" w:hAnsi="Cambria Math"/>
              </w:rPr>
              <m:t>β</m:t>
            </m:r>
          </m:e>
          <m:sub>
            <m:r>
              <w:rPr>
                <w:rFonts w:ascii="Times New Roman" w:eastAsia="Times New Roman" w:hAnsi="Times New Roman" w:cs="Times New Roman"/>
                <w:sz w:val="20"/>
                <w:szCs w:val="20"/>
              </w:rPr>
              <m:t>12</m:t>
            </m:r>
          </m:sub>
        </m:sSub>
      </m:oMath>
      <w:r>
        <w:rPr>
          <w:rFonts w:ascii="Times New Roman" w:eastAsia="Times New Roman" w:hAnsi="Times New Roman" w:cs="Times New Roman"/>
          <w:sz w:val="20"/>
          <w:szCs w:val="20"/>
        </w:rPr>
        <w:t xml:space="preserve"> and </w:t>
      </w:r>
      <m:oMath>
        <m:sSub>
          <m:sSubPr>
            <m:ctrlPr>
              <w:rPr>
                <w:rFonts w:ascii="Times New Roman" w:eastAsia="Times New Roman" w:hAnsi="Times New Roman" w:cs="Times New Roman"/>
                <w:sz w:val="20"/>
                <w:szCs w:val="20"/>
              </w:rPr>
            </m:ctrlPr>
          </m:sSubPr>
          <m:e>
            <m:r>
              <w:rPr>
                <w:rFonts w:ascii="Cambria Math" w:hAnsi="Cambria Math"/>
              </w:rPr>
              <m:t>β</m:t>
            </m:r>
          </m:e>
          <m:sub>
            <m:r>
              <w:rPr>
                <w:rFonts w:ascii="Times New Roman" w:eastAsia="Times New Roman" w:hAnsi="Times New Roman" w:cs="Times New Roman"/>
                <w:sz w:val="20"/>
                <w:szCs w:val="20"/>
              </w:rPr>
              <m:t>21</m:t>
            </m:r>
          </m:sub>
        </m:sSub>
      </m:oMath>
      <w:r>
        <w:rPr>
          <w:rFonts w:ascii="Times New Roman" w:eastAsia="Times New Roman" w:hAnsi="Times New Roman" w:cs="Times New Roman"/>
          <w:sz w:val="20"/>
          <w:szCs w:val="20"/>
        </w:rPr>
        <w:t xml:space="preserve">. From these values, median rate of acquisition of </w:t>
      </w:r>
      <w:r>
        <w:rPr>
          <w:rFonts w:ascii="Times New Roman" w:eastAsia="Times New Roman" w:hAnsi="Times New Roman" w:cs="Times New Roman"/>
          <w:i/>
          <w:sz w:val="20"/>
          <w:szCs w:val="20"/>
        </w:rPr>
        <w:t xml:space="preserve">E. coli </w:t>
      </w:r>
      <w:r>
        <w:rPr>
          <w:rFonts w:ascii="Times New Roman" w:eastAsia="Times New Roman" w:hAnsi="Times New Roman" w:cs="Times New Roman"/>
          <w:sz w:val="20"/>
          <w:szCs w:val="20"/>
        </w:rPr>
        <w:t>ST131 per day and median carriage duration (1 / mean rate of transition from carrier to non-carrier state per day) were derived using the above formulae. Model fits were assessed using the Hamiltonian Monte Carlo diagnostics function in RStan,</w:t>
      </w:r>
      <w:r w:rsidR="00C9313F">
        <w:rPr>
          <w:rFonts w:ascii="Times New Roman" w:eastAsia="Times New Roman" w:hAnsi="Times New Roman" w:cs="Times New Roman"/>
          <w:sz w:val="20"/>
          <w:szCs w:val="20"/>
        </w:rPr>
        <w:fldChar w:fldCharType="begin"/>
      </w:r>
      <w:r w:rsidR="00C9313F">
        <w:rPr>
          <w:rFonts w:ascii="Times New Roman" w:eastAsia="Times New Roman" w:hAnsi="Times New Roman" w:cs="Times New Roman"/>
          <w:sz w:val="20"/>
          <w:szCs w:val="20"/>
        </w:rPr>
        <w:instrText xml:space="preserve"> ADDIN ZOTERO_ITEM CSL_CITATION {"citationID":"GvDZEHl9","properties":{"formattedCitation":"\\super 10\\nosupersub{}","plainCitation":"10","noteIndex":0},"citationItems":[{"id":3,"uris":["http://zotero.org/users/10607266/items/HUQ2SG2K"],"itemData":{"id":3,"type":"webpage","title":"R Interface to Stan • rstan","URL":"https://mc-stan.org/rstan/","accessed":{"date-parts":[["2023",12,6]]}}}],"schema":"https://github.com/citation-style-language/schema/raw/master/csl-citation.json"} </w:instrText>
      </w:r>
      <w:r w:rsidR="00C9313F">
        <w:rPr>
          <w:rFonts w:ascii="Times New Roman" w:eastAsia="Times New Roman" w:hAnsi="Times New Roman" w:cs="Times New Roman"/>
          <w:sz w:val="20"/>
          <w:szCs w:val="20"/>
        </w:rPr>
        <w:fldChar w:fldCharType="separate"/>
      </w:r>
      <w:r w:rsidR="00C9313F" w:rsidRPr="00C9313F">
        <w:rPr>
          <w:rFonts w:ascii="Times New Roman" w:hAnsi="Times New Roman" w:cs="Times New Roman"/>
          <w:sz w:val="20"/>
          <w:vertAlign w:val="superscript"/>
        </w:rPr>
        <w:t>10</w:t>
      </w:r>
      <w:r w:rsidR="00C9313F">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Gelman-Rubin convergence diagnostics, and through the visualisation of trace plots and sample density plots. </w:t>
      </w:r>
    </w:p>
    <w:p w:rsidR="004B5091" w:rsidRDefault="004B5091">
      <w:pPr>
        <w:shd w:val="clear" w:color="auto" w:fill="FFFFFF"/>
        <w:spacing w:line="480" w:lineRule="auto"/>
        <w:jc w:val="both"/>
        <w:rPr>
          <w:rFonts w:ascii="Times New Roman" w:eastAsia="Times New Roman" w:hAnsi="Times New Roman" w:cs="Times New Roman"/>
          <w:b/>
          <w:color w:val="242424"/>
          <w:sz w:val="20"/>
          <w:szCs w:val="20"/>
        </w:rPr>
      </w:pPr>
    </w:p>
    <w:p w:rsidR="004B5091" w:rsidRDefault="00314D7E">
      <w:pPr>
        <w:widowControl w:val="0"/>
        <w:tabs>
          <w:tab w:val="right" w:pos="12000"/>
        </w:tabs>
        <w:spacing w:before="6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S8.4 Phylogenetic analysis </w:t>
      </w:r>
    </w:p>
    <w:p w:rsidR="004B5091" w:rsidRDefault="004B5091">
      <w:pPr>
        <w:widowControl w:val="0"/>
        <w:tabs>
          <w:tab w:val="right" w:pos="12000"/>
        </w:tabs>
        <w:spacing w:before="60" w:line="240" w:lineRule="auto"/>
        <w:rPr>
          <w:rFonts w:ascii="Times New Roman" w:eastAsia="Times New Roman" w:hAnsi="Times New Roman" w:cs="Times New Roman"/>
          <w:b/>
          <w:sz w:val="20"/>
          <w:szCs w:val="20"/>
        </w:rPr>
      </w:pPr>
    </w:p>
    <w:p w:rsidR="004B5091" w:rsidRDefault="00314D7E">
      <w:pPr>
        <w:tabs>
          <w:tab w:val="left" w:pos="450"/>
          <w:tab w:val="left" w:pos="6480"/>
        </w:tabs>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Assembly quality was assessed using assembly-stats v1·0·1, which removed 16 genomes with potential contamination (assembly sizes &gt; 6·4 Mbp and exceeding 5000 contigs) from downstream analyses. For the remaining </w:t>
      </w:r>
      <w:r>
        <w:rPr>
          <w:rFonts w:ascii="Times New Roman" w:eastAsia="Times New Roman" w:hAnsi="Times New Roman" w:cs="Times New Roman"/>
          <w:i/>
          <w:sz w:val="20"/>
          <w:szCs w:val="20"/>
        </w:rPr>
        <w:t>E. coli</w:t>
      </w:r>
      <w:r>
        <w:rPr>
          <w:rFonts w:ascii="Times New Roman" w:eastAsia="Times New Roman" w:hAnsi="Times New Roman" w:cs="Times New Roman"/>
          <w:sz w:val="20"/>
          <w:szCs w:val="20"/>
        </w:rPr>
        <w:t xml:space="preserve"> ST131 genomes (n=328), Prokka v1·14·6 was used to annotate the assemblies and two ST131 chromosome references (NCTC13441, and EC958). Panaroo v1·5·0 was used for pan-genome analysis, with annotated assemblies serving as input</w:t>
      </w:r>
      <w:r w:rsidR="00C9313F">
        <w:t>.</w:t>
      </w:r>
      <w:r w:rsidR="00C9313F">
        <w:fldChar w:fldCharType="begin"/>
      </w:r>
      <w:r w:rsidR="00C9313F">
        <w:instrText xml:space="preserve"> ADDIN ZOTERO_ITEM CSL_CITATION {"citationID":"gN1MFlk4","properties":{"formattedCitation":"\\super 11,12\\nosupersub{}","plainCitation":"11,12","noteIndex":0},"citationItems":[{"id":308,"uris":["http://zotero.org/users/10607266/items/MG5JL34H"],"itemData":{"id":308,"type":"article-journal","abstract":"Abstract\n            Summary: A typical prokaryote population sequencing study can now consist of hundreds or thousands of isolates. Interrogating these datasets can provide detailed insights into the genetic structure of prokaryotic genomes. We introduce Roary, a tool that rapidly builds large-scale pan genomes, identifying the core and accessory genes. Roary makes construction of the pan genome of thousands of prokaryote samples possible on a standard desktop without compromising on the accuracy of results. Using a single CPU Roary can produce a pan genome consisting of 1000 isolates in 4.5 hours using 13 GB of RAM, with further speedups possible using multiple processors.\n            Availability and implementation: Roary is implemented in Perl and is freely available under an open source GPLv3 license from http://sanger-pathogens.github.io/Roary\n            Contact:  roary@sanger.ac.uk\n            Supplementary information:  Supplementary data are available at Bioinformatics online.","container-title":"Bioinformatics","DOI":"10.1093/bioinformatics/btv421","ISSN":"1367-4811, 1367-4803","issue":"22","language":"en","page":"3691-3693","source":"DOI.org (Crossref)","title":"Roary: rapid large-scale prokaryote pan genome analysis","title-short":"Roary","volume":"31","author":[{"family":"Page","given":"Andrew J."},{"family":"Cummins","given":"Carla A."},{"family":"Hunt","given":"Martin"},{"family":"Wong","given":"Vanessa K."},{"family":"Reuter","given":"Sandra"},{"family":"Holden","given":"Matthew T.G."},{"family":"Fookes","given":"Maria"},{"family":"Falush","given":"Daniel"},{"family":"Keane","given":"Jacqueline A."},{"family":"Parkhill","given":"Julian"}],"issued":{"date-parts":[["2015",11,15]]}}},{"id":310,"uris":["http://zotero.org/users/10607266/items/YFRZT59Q"],"itemData":{"id":310,"type":"article-journal","abstract":"Abstract\n            Summary: The multiplex capability and high yield of current day DNA-sequencing instruments has made bacterial whole genome sequencing a routine affair. The subsequent de novo assembly of reads into contigs has been well addressed. The final step of annotating all relevant genomic features on those contigs can be achieved slowly using existing web- and email-based systems, but these are not applicable for sensitive data or integrating into computational pipelines. Here we introduce Prokka, a command line software tool to fully annotate a draft bacterial genome in about 10 min on a typical desktop computer. It produces standards-compliant output files for further analysis or viewing in genome browsers.\n            Availability and implementation: Prokka is implemented in Perl and is freely available under an open source GPLv2 license from http://vicbioinformatics.com/ .\n            Contact:  torsten.seemann@monash.edu","container-title":"Bioinformatics","DOI":"10.1093/bioinformatics/btu153","ISSN":"1367-4811, 1367-4803","issue":"14","language":"en","page":"2068-2069","source":"DOI.org (Crossref)","title":"Prokka: rapid prokaryotic genome annotation","title-short":"Prokka","volume":"30","author":[{"family":"Seemann","given":"Torsten"}],"issued":{"date-parts":[["2014",7,15]]}}}],"schema":"https://github.com/citation-style-language/schema/raw/master/csl-citation.json"} </w:instrText>
      </w:r>
      <w:r w:rsidR="00C9313F">
        <w:fldChar w:fldCharType="separate"/>
      </w:r>
      <w:r w:rsidR="00C9313F" w:rsidRPr="00C9313F">
        <w:rPr>
          <w:vertAlign w:val="superscript"/>
        </w:rPr>
        <w:t>11,12</w:t>
      </w:r>
      <w:r w:rsidR="00C9313F">
        <w:fldChar w:fldCharType="end"/>
      </w:r>
      <w:r>
        <w:rPr>
          <w:rFonts w:ascii="Times New Roman" w:eastAsia="Times New Roman" w:hAnsi="Times New Roman" w:cs="Times New Roman"/>
          <w:sz w:val="20"/>
          <w:szCs w:val="20"/>
        </w:rPr>
        <w:t xml:space="preserve"> The inclusion of the two chromosome references was to ensure that the core genes (found in all 330 genomes) did not contain genes from plasmids. This generated a recombination-free core-genome alignment of 3,344,606 bp (3,448 genes). While comparing phylogenetic grouping and family information, we noticed that several genomes (n=8) were interspersed within specific family-restricted phylogenetic clusters. These were usually lone genomes (1 to 2 isolates situated outside their respective family-phylogenetic cluster) and shared 0-1 SNP difference to their nearest sister taxa on the phylogeny (of a different family). We reasoned that this observation most likely stems from </w:t>
      </w:r>
      <w:proofErr w:type="gramStart"/>
      <w:r>
        <w:rPr>
          <w:rFonts w:ascii="Times New Roman" w:eastAsia="Times New Roman" w:hAnsi="Times New Roman" w:cs="Times New Roman"/>
          <w:sz w:val="20"/>
          <w:szCs w:val="20"/>
        </w:rPr>
        <w:t>mis-labelling</w:t>
      </w:r>
      <w:proofErr w:type="gramEnd"/>
      <w:r>
        <w:rPr>
          <w:rFonts w:ascii="Times New Roman" w:eastAsia="Times New Roman" w:hAnsi="Times New Roman" w:cs="Times New Roman"/>
          <w:sz w:val="20"/>
          <w:szCs w:val="20"/>
        </w:rPr>
        <w:t xml:space="preserve"> of isolates during sample handling and processing, and did not represent true biological interpretation. Therefore, we removed these outlying genomes from downstream analyses to avoid misleading interpretation. </w:t>
      </w:r>
    </w:p>
    <w:p w:rsidR="004B5091" w:rsidRDefault="004B5091">
      <w:pPr>
        <w:widowControl w:val="0"/>
        <w:tabs>
          <w:tab w:val="right" w:pos="12000"/>
        </w:tabs>
        <w:spacing w:before="60" w:line="240" w:lineRule="auto"/>
        <w:rPr>
          <w:rFonts w:ascii="Times New Roman" w:eastAsia="Times New Roman" w:hAnsi="Times New Roman" w:cs="Times New Roman"/>
          <w:sz w:val="20"/>
          <w:szCs w:val="20"/>
        </w:rPr>
      </w:pPr>
    </w:p>
    <w:p w:rsidR="004B5091" w:rsidRDefault="00314D7E">
      <w:pPr>
        <w:widowControl w:val="0"/>
        <w:tabs>
          <w:tab w:val="right" w:pos="12000"/>
        </w:tabs>
        <w:spacing w:before="6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S8.5 Read mapping </w:t>
      </w:r>
    </w:p>
    <w:p w:rsidR="004B5091" w:rsidRDefault="00314D7E">
      <w:pPr>
        <w:spacing w:before="240" w:after="240"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For each isolate, read pairs were mapped to the ST131 reference NCTC13441 (accession number: NZ_LT632320.1) using BWA-mem v0.7.17, followed by removal of duplicate reads using PICARD and indel realignment using GATK v3.7.0. Non-optimal local alignment was removed using samclip to limit false positives during variant calling. Single nucleotide polymorphisms (SNPs) were identified using the haplotype-based caller Freebayes v1·3·7, and we used bcftools v1·12 to remove low quality SNPs, which satisfied any of these criteria: consensus quality &lt; 30, mapping quality &lt; 30, read depth &lt; 4, ratio of SNPs to reads at a position (AO/DP) &lt; 85%, coverage of the forward or reverse strand &lt; 1. For each isolate, the bcftools ‘consensus’ command was used to generate a pseudogenome sequence, with length equal to that of the reference and incorporating filtered SNPs as well as invariant sites. Regions with low mapping (depth &lt;4) and low-quality SNPs were masked as N. This procedure produced five alignments (each corresponding to a family). Regions annotated as transposases and prophages (by PHASTEST) were further masked, followed by the removal of sites with at least 80% indeterminate nucleotide and invariable, generating SNP-only alignments of variable lengths. For each alignment, a maximum parsimony phylogeny was constructed using the DNApars algorithm implemented in SEAVIEW v5·0·5, with 100 bootstrap supports.</w:t>
      </w:r>
    </w:p>
    <w:p w:rsidR="004B5091" w:rsidRDefault="004B5091">
      <w:pPr>
        <w:rPr>
          <w:rFonts w:ascii="Times New Roman" w:eastAsia="Times New Roman" w:hAnsi="Times New Roman" w:cs="Times New Roman"/>
          <w:b/>
          <w:sz w:val="20"/>
          <w:szCs w:val="20"/>
        </w:rPr>
      </w:pPr>
    </w:p>
    <w:p w:rsidR="004B5091" w:rsidRDefault="004B5091">
      <w:pPr>
        <w:rPr>
          <w:rFonts w:ascii="Times New Roman" w:eastAsia="Times New Roman" w:hAnsi="Times New Roman" w:cs="Times New Roman"/>
          <w:b/>
          <w:sz w:val="20"/>
          <w:szCs w:val="20"/>
        </w:rPr>
      </w:pPr>
    </w:p>
    <w:p w:rsidR="004B5091" w:rsidRDefault="004B5091">
      <w:pPr>
        <w:rPr>
          <w:rFonts w:ascii="Times New Roman" w:eastAsia="Times New Roman" w:hAnsi="Times New Roman" w:cs="Times New Roman"/>
          <w:b/>
          <w:sz w:val="20"/>
          <w:szCs w:val="20"/>
        </w:rPr>
      </w:pPr>
    </w:p>
    <w:p w:rsidR="004B5091" w:rsidRDefault="004B5091">
      <w:pPr>
        <w:rPr>
          <w:rFonts w:ascii="Times New Roman" w:eastAsia="Times New Roman" w:hAnsi="Times New Roman" w:cs="Times New Roman"/>
          <w:b/>
          <w:sz w:val="20"/>
          <w:szCs w:val="20"/>
        </w:rPr>
      </w:pPr>
    </w:p>
    <w:p w:rsidR="004B5091" w:rsidRDefault="004B5091">
      <w:pPr>
        <w:rPr>
          <w:rFonts w:ascii="Times New Roman" w:eastAsia="Times New Roman" w:hAnsi="Times New Roman" w:cs="Times New Roman"/>
          <w:b/>
          <w:sz w:val="20"/>
          <w:szCs w:val="20"/>
        </w:rPr>
      </w:pPr>
    </w:p>
    <w:p w:rsidR="004B5091" w:rsidRDefault="004B5091">
      <w:pPr>
        <w:rPr>
          <w:rFonts w:ascii="Times New Roman" w:eastAsia="Times New Roman" w:hAnsi="Times New Roman" w:cs="Times New Roman"/>
          <w:b/>
          <w:sz w:val="20"/>
          <w:szCs w:val="20"/>
        </w:rPr>
      </w:pPr>
    </w:p>
    <w:p w:rsidR="004B5091" w:rsidRDefault="004B5091">
      <w:pPr>
        <w:rPr>
          <w:rFonts w:ascii="Times New Roman" w:eastAsia="Times New Roman" w:hAnsi="Times New Roman" w:cs="Times New Roman"/>
          <w:b/>
          <w:sz w:val="20"/>
          <w:szCs w:val="20"/>
        </w:rPr>
      </w:pPr>
    </w:p>
    <w:p w:rsidR="004B5091" w:rsidRDefault="004B5091">
      <w:pPr>
        <w:rPr>
          <w:rFonts w:ascii="Times New Roman" w:eastAsia="Times New Roman" w:hAnsi="Times New Roman" w:cs="Times New Roman"/>
          <w:b/>
          <w:sz w:val="20"/>
          <w:szCs w:val="20"/>
        </w:rPr>
      </w:pPr>
    </w:p>
    <w:p w:rsidR="004B5091" w:rsidRDefault="004B5091">
      <w:pPr>
        <w:rPr>
          <w:rFonts w:ascii="Times New Roman" w:eastAsia="Times New Roman" w:hAnsi="Times New Roman" w:cs="Times New Roman"/>
          <w:b/>
          <w:sz w:val="20"/>
          <w:szCs w:val="20"/>
        </w:rPr>
      </w:pPr>
    </w:p>
    <w:p w:rsidR="004B5091" w:rsidRDefault="004B5091">
      <w:pPr>
        <w:rPr>
          <w:rFonts w:ascii="Times New Roman" w:eastAsia="Times New Roman" w:hAnsi="Times New Roman" w:cs="Times New Roman"/>
          <w:b/>
          <w:sz w:val="20"/>
          <w:szCs w:val="20"/>
        </w:rPr>
      </w:pPr>
    </w:p>
    <w:p w:rsidR="004B5091" w:rsidRDefault="004B5091">
      <w:pPr>
        <w:rPr>
          <w:rFonts w:ascii="Times New Roman" w:eastAsia="Times New Roman" w:hAnsi="Times New Roman" w:cs="Times New Roman"/>
          <w:b/>
          <w:sz w:val="20"/>
          <w:szCs w:val="20"/>
        </w:rPr>
      </w:pPr>
    </w:p>
    <w:p w:rsidR="004B5091" w:rsidRDefault="004B5091">
      <w:pPr>
        <w:rPr>
          <w:rFonts w:ascii="Times New Roman" w:eastAsia="Times New Roman" w:hAnsi="Times New Roman" w:cs="Times New Roman"/>
          <w:b/>
          <w:sz w:val="20"/>
          <w:szCs w:val="20"/>
        </w:rPr>
      </w:pPr>
    </w:p>
    <w:p w:rsidR="004B5091" w:rsidRDefault="004B5091">
      <w:pPr>
        <w:rPr>
          <w:rFonts w:ascii="Times New Roman" w:eastAsia="Times New Roman" w:hAnsi="Times New Roman" w:cs="Times New Roman"/>
          <w:b/>
          <w:sz w:val="20"/>
          <w:szCs w:val="20"/>
        </w:rPr>
      </w:pPr>
    </w:p>
    <w:p w:rsidR="004B5091" w:rsidRDefault="004B5091">
      <w:pPr>
        <w:rPr>
          <w:rFonts w:ascii="Times New Roman" w:eastAsia="Times New Roman" w:hAnsi="Times New Roman" w:cs="Times New Roman"/>
          <w:b/>
          <w:sz w:val="20"/>
          <w:szCs w:val="20"/>
        </w:rPr>
      </w:pPr>
    </w:p>
    <w:p w:rsidR="004B5091" w:rsidRDefault="004B5091">
      <w:pPr>
        <w:rPr>
          <w:rFonts w:ascii="Times New Roman" w:eastAsia="Times New Roman" w:hAnsi="Times New Roman" w:cs="Times New Roman"/>
          <w:b/>
          <w:sz w:val="20"/>
          <w:szCs w:val="20"/>
        </w:rPr>
      </w:pPr>
    </w:p>
    <w:p w:rsidR="00FA4775" w:rsidRDefault="00FA4775">
      <w:pPr>
        <w:rPr>
          <w:rFonts w:ascii="Times New Roman" w:eastAsia="Times New Roman" w:hAnsi="Times New Roman" w:cs="Times New Roman"/>
          <w:b/>
          <w:sz w:val="20"/>
          <w:szCs w:val="20"/>
        </w:rPr>
      </w:pPr>
    </w:p>
    <w:p w:rsidR="00FA4775" w:rsidRDefault="00FA4775">
      <w:pPr>
        <w:rPr>
          <w:rFonts w:ascii="Times New Roman" w:eastAsia="Times New Roman" w:hAnsi="Times New Roman" w:cs="Times New Roman"/>
          <w:b/>
          <w:sz w:val="20"/>
          <w:szCs w:val="20"/>
        </w:rPr>
      </w:pPr>
    </w:p>
    <w:p w:rsidR="00FA4775" w:rsidRDefault="00FA4775">
      <w:pPr>
        <w:rPr>
          <w:rFonts w:ascii="Times New Roman" w:eastAsia="Times New Roman" w:hAnsi="Times New Roman" w:cs="Times New Roman"/>
          <w:b/>
          <w:sz w:val="20"/>
          <w:szCs w:val="20"/>
        </w:rPr>
      </w:pPr>
    </w:p>
    <w:p w:rsidR="00FA4775" w:rsidRDefault="00FA4775">
      <w:pPr>
        <w:rPr>
          <w:rFonts w:ascii="Times New Roman" w:eastAsia="Times New Roman" w:hAnsi="Times New Roman" w:cs="Times New Roman"/>
          <w:b/>
          <w:sz w:val="20"/>
          <w:szCs w:val="20"/>
        </w:rPr>
      </w:pPr>
    </w:p>
    <w:p w:rsidR="004B5091" w:rsidRDefault="004B5091">
      <w:pPr>
        <w:rPr>
          <w:rFonts w:ascii="Times New Roman" w:eastAsia="Times New Roman" w:hAnsi="Times New Roman" w:cs="Times New Roman"/>
          <w:b/>
          <w:sz w:val="20"/>
          <w:szCs w:val="20"/>
        </w:rPr>
      </w:pPr>
    </w:p>
    <w:p w:rsidR="004B5091" w:rsidRDefault="004B5091">
      <w:pPr>
        <w:rPr>
          <w:rFonts w:ascii="Times New Roman" w:eastAsia="Times New Roman" w:hAnsi="Times New Roman" w:cs="Times New Roman"/>
          <w:b/>
          <w:sz w:val="20"/>
          <w:szCs w:val="20"/>
        </w:rPr>
      </w:pPr>
    </w:p>
    <w:p w:rsidR="004B5091" w:rsidRDefault="00314D7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S8.6 References </w:t>
      </w:r>
    </w:p>
    <w:p w:rsidR="004B5091" w:rsidRDefault="004B5091">
      <w:pPr>
        <w:widowControl w:val="0"/>
        <w:pBdr>
          <w:top w:val="nil"/>
          <w:left w:val="nil"/>
          <w:bottom w:val="nil"/>
          <w:right w:val="nil"/>
          <w:between w:val="nil"/>
        </w:pBdr>
        <w:spacing w:line="240" w:lineRule="auto"/>
        <w:ind w:left="504" w:hanging="504"/>
      </w:pPr>
    </w:p>
    <w:p w:rsidR="00C9313F" w:rsidRPr="00C9313F" w:rsidRDefault="00C9313F" w:rsidP="00C9313F">
      <w:pPr>
        <w:pStyle w:val="Bibliography"/>
        <w:rPr>
          <w:rFonts w:ascii="Times New Roman" w:hAnsi="Times New Roman" w:cs="Times New Roman"/>
          <w:sz w:val="20"/>
        </w:rPr>
      </w:pPr>
      <w:r>
        <w:rPr>
          <w:rFonts w:eastAsia="Times New Roman"/>
          <w:sz w:val="20"/>
          <w:szCs w:val="20"/>
        </w:rPr>
        <w:fldChar w:fldCharType="begin"/>
      </w:r>
      <w:r>
        <w:rPr>
          <w:rFonts w:eastAsia="Times New Roman"/>
          <w:sz w:val="20"/>
          <w:szCs w:val="20"/>
        </w:rPr>
        <w:instrText xml:space="preserve"> ADDIN ZOTERO_BIBL {"uncited":[],"omitted":[],"custom":[]} CSL_BIBLIOGRAPHY </w:instrText>
      </w:r>
      <w:r>
        <w:rPr>
          <w:rFonts w:eastAsia="Times New Roman"/>
          <w:sz w:val="20"/>
          <w:szCs w:val="20"/>
        </w:rPr>
        <w:fldChar w:fldCharType="separate"/>
      </w:r>
      <w:r w:rsidRPr="00C9313F">
        <w:rPr>
          <w:rFonts w:ascii="Times New Roman" w:hAnsi="Times New Roman" w:cs="Times New Roman"/>
          <w:sz w:val="20"/>
        </w:rPr>
        <w:t>1.</w:t>
      </w:r>
      <w:r w:rsidRPr="00C9313F">
        <w:rPr>
          <w:rFonts w:ascii="Times New Roman" w:hAnsi="Times New Roman" w:cs="Times New Roman"/>
          <w:sz w:val="20"/>
        </w:rPr>
        <w:tab/>
        <w:t xml:space="preserve">Bolger, A. M., Lohse, M. &amp; Usadel, B. Trimmomatic: a flexible trimmer for Illumina sequence data. </w:t>
      </w:r>
      <w:r w:rsidRPr="00C9313F">
        <w:rPr>
          <w:rFonts w:ascii="Times New Roman" w:hAnsi="Times New Roman" w:cs="Times New Roman"/>
          <w:i/>
          <w:iCs/>
          <w:sz w:val="20"/>
        </w:rPr>
        <w:t>Bioinformatics</w:t>
      </w:r>
      <w:r w:rsidRPr="00C9313F">
        <w:rPr>
          <w:rFonts w:ascii="Times New Roman" w:hAnsi="Times New Roman" w:cs="Times New Roman"/>
          <w:sz w:val="20"/>
        </w:rPr>
        <w:t xml:space="preserve"> </w:t>
      </w:r>
      <w:r w:rsidRPr="00C9313F">
        <w:rPr>
          <w:rFonts w:ascii="Times New Roman" w:hAnsi="Times New Roman" w:cs="Times New Roman"/>
          <w:b/>
          <w:bCs/>
          <w:sz w:val="20"/>
        </w:rPr>
        <w:t>30</w:t>
      </w:r>
      <w:r w:rsidRPr="00C9313F">
        <w:rPr>
          <w:rFonts w:ascii="Times New Roman" w:hAnsi="Times New Roman" w:cs="Times New Roman"/>
          <w:sz w:val="20"/>
        </w:rPr>
        <w:t>, 2114–2120 (2014).</w:t>
      </w:r>
    </w:p>
    <w:p w:rsidR="00C9313F" w:rsidRPr="00C9313F" w:rsidRDefault="00C9313F" w:rsidP="00C9313F">
      <w:pPr>
        <w:pStyle w:val="Bibliography"/>
        <w:rPr>
          <w:rFonts w:ascii="Times New Roman" w:hAnsi="Times New Roman" w:cs="Times New Roman"/>
          <w:sz w:val="20"/>
        </w:rPr>
      </w:pPr>
      <w:r w:rsidRPr="00C9313F">
        <w:rPr>
          <w:rFonts w:ascii="Times New Roman" w:hAnsi="Times New Roman" w:cs="Times New Roman"/>
          <w:sz w:val="20"/>
        </w:rPr>
        <w:t>2.</w:t>
      </w:r>
      <w:r w:rsidRPr="00C9313F">
        <w:rPr>
          <w:rFonts w:ascii="Times New Roman" w:hAnsi="Times New Roman" w:cs="Times New Roman"/>
          <w:sz w:val="20"/>
        </w:rPr>
        <w:tab/>
        <w:t xml:space="preserve">Prjibelski, A., Antipov, D., Meleshko, D., Lapidus, A. &amp; Korobeynikov, A. Using SPAdes De Novo Assembler. </w:t>
      </w:r>
      <w:r w:rsidRPr="00C9313F">
        <w:rPr>
          <w:rFonts w:ascii="Times New Roman" w:hAnsi="Times New Roman" w:cs="Times New Roman"/>
          <w:i/>
          <w:iCs/>
          <w:sz w:val="20"/>
        </w:rPr>
        <w:t>CP in Bioinformatics</w:t>
      </w:r>
      <w:r w:rsidRPr="00C9313F">
        <w:rPr>
          <w:rFonts w:ascii="Times New Roman" w:hAnsi="Times New Roman" w:cs="Times New Roman"/>
          <w:sz w:val="20"/>
        </w:rPr>
        <w:t xml:space="preserve"> </w:t>
      </w:r>
      <w:r w:rsidRPr="00C9313F">
        <w:rPr>
          <w:rFonts w:ascii="Times New Roman" w:hAnsi="Times New Roman" w:cs="Times New Roman"/>
          <w:b/>
          <w:bCs/>
          <w:sz w:val="20"/>
        </w:rPr>
        <w:t>70</w:t>
      </w:r>
      <w:r w:rsidRPr="00C9313F">
        <w:rPr>
          <w:rFonts w:ascii="Times New Roman" w:hAnsi="Times New Roman" w:cs="Times New Roman"/>
          <w:sz w:val="20"/>
        </w:rPr>
        <w:t>, e102 (2020).</w:t>
      </w:r>
    </w:p>
    <w:p w:rsidR="00C9313F" w:rsidRPr="00C9313F" w:rsidRDefault="00C9313F" w:rsidP="00C9313F">
      <w:pPr>
        <w:pStyle w:val="Bibliography"/>
        <w:rPr>
          <w:rFonts w:ascii="Times New Roman" w:hAnsi="Times New Roman" w:cs="Times New Roman"/>
          <w:sz w:val="20"/>
        </w:rPr>
      </w:pPr>
      <w:r w:rsidRPr="00C9313F">
        <w:rPr>
          <w:rFonts w:ascii="Times New Roman" w:hAnsi="Times New Roman" w:cs="Times New Roman"/>
          <w:sz w:val="20"/>
        </w:rPr>
        <w:t>3.</w:t>
      </w:r>
      <w:r w:rsidRPr="00C9313F">
        <w:rPr>
          <w:rFonts w:ascii="Times New Roman" w:hAnsi="Times New Roman" w:cs="Times New Roman"/>
          <w:sz w:val="20"/>
        </w:rPr>
        <w:tab/>
        <w:t xml:space="preserve">Ondov, B. D. </w:t>
      </w:r>
      <w:r w:rsidRPr="00C9313F">
        <w:rPr>
          <w:rFonts w:ascii="Times New Roman" w:hAnsi="Times New Roman" w:cs="Times New Roman"/>
          <w:i/>
          <w:iCs/>
          <w:sz w:val="20"/>
        </w:rPr>
        <w:t>et al.</w:t>
      </w:r>
      <w:r w:rsidRPr="00C9313F">
        <w:rPr>
          <w:rFonts w:ascii="Times New Roman" w:hAnsi="Times New Roman" w:cs="Times New Roman"/>
          <w:sz w:val="20"/>
        </w:rPr>
        <w:t xml:space="preserve"> Mash Screen: high-throughput sequence containment estimation for genome discovery. </w:t>
      </w:r>
      <w:r w:rsidRPr="00C9313F">
        <w:rPr>
          <w:rFonts w:ascii="Times New Roman" w:hAnsi="Times New Roman" w:cs="Times New Roman"/>
          <w:i/>
          <w:iCs/>
          <w:sz w:val="20"/>
        </w:rPr>
        <w:t>Genome Biol</w:t>
      </w:r>
      <w:r w:rsidRPr="00C9313F">
        <w:rPr>
          <w:rFonts w:ascii="Times New Roman" w:hAnsi="Times New Roman" w:cs="Times New Roman"/>
          <w:sz w:val="20"/>
        </w:rPr>
        <w:t xml:space="preserve"> </w:t>
      </w:r>
      <w:r w:rsidRPr="00C9313F">
        <w:rPr>
          <w:rFonts w:ascii="Times New Roman" w:hAnsi="Times New Roman" w:cs="Times New Roman"/>
          <w:b/>
          <w:bCs/>
          <w:sz w:val="20"/>
        </w:rPr>
        <w:t>20</w:t>
      </w:r>
      <w:r w:rsidRPr="00C9313F">
        <w:rPr>
          <w:rFonts w:ascii="Times New Roman" w:hAnsi="Times New Roman" w:cs="Times New Roman"/>
          <w:sz w:val="20"/>
        </w:rPr>
        <w:t>, 232 (2019).</w:t>
      </w:r>
    </w:p>
    <w:p w:rsidR="00C9313F" w:rsidRPr="00C9313F" w:rsidRDefault="00C9313F" w:rsidP="00C9313F">
      <w:pPr>
        <w:pStyle w:val="Bibliography"/>
        <w:rPr>
          <w:rFonts w:ascii="Times New Roman" w:hAnsi="Times New Roman" w:cs="Times New Roman"/>
          <w:sz w:val="20"/>
        </w:rPr>
      </w:pPr>
      <w:r w:rsidRPr="00C9313F">
        <w:rPr>
          <w:rFonts w:ascii="Times New Roman" w:hAnsi="Times New Roman" w:cs="Times New Roman"/>
          <w:sz w:val="20"/>
        </w:rPr>
        <w:t>4.</w:t>
      </w:r>
      <w:r w:rsidRPr="00C9313F">
        <w:rPr>
          <w:rFonts w:ascii="Times New Roman" w:hAnsi="Times New Roman" w:cs="Times New Roman"/>
          <w:sz w:val="20"/>
        </w:rPr>
        <w:tab/>
        <w:t xml:space="preserve">Camacho, C. </w:t>
      </w:r>
      <w:r w:rsidRPr="00C9313F">
        <w:rPr>
          <w:rFonts w:ascii="Times New Roman" w:hAnsi="Times New Roman" w:cs="Times New Roman"/>
          <w:i/>
          <w:iCs/>
          <w:sz w:val="20"/>
        </w:rPr>
        <w:t>et al.</w:t>
      </w:r>
      <w:r w:rsidRPr="00C9313F">
        <w:rPr>
          <w:rFonts w:ascii="Times New Roman" w:hAnsi="Times New Roman" w:cs="Times New Roman"/>
          <w:sz w:val="20"/>
        </w:rPr>
        <w:t xml:space="preserve"> BLAST+: architecture and applications. </w:t>
      </w:r>
      <w:r w:rsidRPr="00C9313F">
        <w:rPr>
          <w:rFonts w:ascii="Times New Roman" w:hAnsi="Times New Roman" w:cs="Times New Roman"/>
          <w:i/>
          <w:iCs/>
          <w:sz w:val="20"/>
        </w:rPr>
        <w:t>BMC Bioinformatics</w:t>
      </w:r>
      <w:r w:rsidRPr="00C9313F">
        <w:rPr>
          <w:rFonts w:ascii="Times New Roman" w:hAnsi="Times New Roman" w:cs="Times New Roman"/>
          <w:sz w:val="20"/>
        </w:rPr>
        <w:t xml:space="preserve"> </w:t>
      </w:r>
      <w:r w:rsidRPr="00C9313F">
        <w:rPr>
          <w:rFonts w:ascii="Times New Roman" w:hAnsi="Times New Roman" w:cs="Times New Roman"/>
          <w:b/>
          <w:bCs/>
          <w:sz w:val="20"/>
        </w:rPr>
        <w:t>10</w:t>
      </w:r>
      <w:r w:rsidRPr="00C9313F">
        <w:rPr>
          <w:rFonts w:ascii="Times New Roman" w:hAnsi="Times New Roman" w:cs="Times New Roman"/>
          <w:sz w:val="20"/>
        </w:rPr>
        <w:t>, 421 (2009).</w:t>
      </w:r>
    </w:p>
    <w:p w:rsidR="00C9313F" w:rsidRPr="00C9313F" w:rsidRDefault="00C9313F" w:rsidP="00C9313F">
      <w:pPr>
        <w:pStyle w:val="Bibliography"/>
        <w:rPr>
          <w:rFonts w:ascii="Times New Roman" w:hAnsi="Times New Roman" w:cs="Times New Roman"/>
          <w:sz w:val="20"/>
        </w:rPr>
      </w:pPr>
      <w:r w:rsidRPr="00C9313F">
        <w:rPr>
          <w:rFonts w:ascii="Times New Roman" w:hAnsi="Times New Roman" w:cs="Times New Roman"/>
          <w:sz w:val="20"/>
        </w:rPr>
        <w:t>5.</w:t>
      </w:r>
      <w:r w:rsidRPr="00C9313F">
        <w:rPr>
          <w:rFonts w:ascii="Times New Roman" w:hAnsi="Times New Roman" w:cs="Times New Roman"/>
          <w:sz w:val="20"/>
        </w:rPr>
        <w:tab/>
        <w:t xml:space="preserve">Jolley, K. A., Bray, J. E. &amp; Maiden, M. C. J. Open-access bacterial population genomics: BIGSdb software, the PubMLST.org website and their applications. </w:t>
      </w:r>
      <w:r w:rsidRPr="00C9313F">
        <w:rPr>
          <w:rFonts w:ascii="Times New Roman" w:hAnsi="Times New Roman" w:cs="Times New Roman"/>
          <w:i/>
          <w:iCs/>
          <w:sz w:val="20"/>
        </w:rPr>
        <w:t>Wellcome Open Res</w:t>
      </w:r>
      <w:r w:rsidRPr="00C9313F">
        <w:rPr>
          <w:rFonts w:ascii="Times New Roman" w:hAnsi="Times New Roman" w:cs="Times New Roman"/>
          <w:sz w:val="20"/>
        </w:rPr>
        <w:t xml:space="preserve"> </w:t>
      </w:r>
      <w:r w:rsidRPr="00C9313F">
        <w:rPr>
          <w:rFonts w:ascii="Times New Roman" w:hAnsi="Times New Roman" w:cs="Times New Roman"/>
          <w:b/>
          <w:bCs/>
          <w:sz w:val="20"/>
        </w:rPr>
        <w:t>3</w:t>
      </w:r>
      <w:r w:rsidRPr="00C9313F">
        <w:rPr>
          <w:rFonts w:ascii="Times New Roman" w:hAnsi="Times New Roman" w:cs="Times New Roman"/>
          <w:sz w:val="20"/>
        </w:rPr>
        <w:t>, 124 (2018).</w:t>
      </w:r>
    </w:p>
    <w:p w:rsidR="00C9313F" w:rsidRPr="00C9313F" w:rsidRDefault="00C9313F" w:rsidP="00C9313F">
      <w:pPr>
        <w:pStyle w:val="Bibliography"/>
        <w:rPr>
          <w:rFonts w:ascii="Times New Roman" w:hAnsi="Times New Roman" w:cs="Times New Roman"/>
          <w:sz w:val="20"/>
        </w:rPr>
      </w:pPr>
      <w:r w:rsidRPr="00C9313F">
        <w:rPr>
          <w:rFonts w:ascii="Times New Roman" w:hAnsi="Times New Roman" w:cs="Times New Roman"/>
          <w:sz w:val="20"/>
        </w:rPr>
        <w:t>6.</w:t>
      </w:r>
      <w:r w:rsidRPr="00C9313F">
        <w:rPr>
          <w:rFonts w:ascii="Times New Roman" w:hAnsi="Times New Roman" w:cs="Times New Roman"/>
          <w:sz w:val="20"/>
        </w:rPr>
        <w:tab/>
        <w:t xml:space="preserve">Feldgarden, M. </w:t>
      </w:r>
      <w:r w:rsidRPr="00C9313F">
        <w:rPr>
          <w:rFonts w:ascii="Times New Roman" w:hAnsi="Times New Roman" w:cs="Times New Roman"/>
          <w:i/>
          <w:iCs/>
          <w:sz w:val="20"/>
        </w:rPr>
        <w:t>et al.</w:t>
      </w:r>
      <w:r w:rsidRPr="00C9313F">
        <w:rPr>
          <w:rFonts w:ascii="Times New Roman" w:hAnsi="Times New Roman" w:cs="Times New Roman"/>
          <w:sz w:val="20"/>
        </w:rPr>
        <w:t xml:space="preserve"> AMRFinderPlus and the Reference Gene Catalog facilitate examination of the genomic links among antimicrobial resistance, stress response, and virulence. </w:t>
      </w:r>
      <w:r w:rsidRPr="00C9313F">
        <w:rPr>
          <w:rFonts w:ascii="Times New Roman" w:hAnsi="Times New Roman" w:cs="Times New Roman"/>
          <w:i/>
          <w:iCs/>
          <w:sz w:val="20"/>
        </w:rPr>
        <w:t>Sci Rep</w:t>
      </w:r>
      <w:r w:rsidRPr="00C9313F">
        <w:rPr>
          <w:rFonts w:ascii="Times New Roman" w:hAnsi="Times New Roman" w:cs="Times New Roman"/>
          <w:sz w:val="20"/>
        </w:rPr>
        <w:t xml:space="preserve"> </w:t>
      </w:r>
      <w:r w:rsidRPr="00C9313F">
        <w:rPr>
          <w:rFonts w:ascii="Times New Roman" w:hAnsi="Times New Roman" w:cs="Times New Roman"/>
          <w:b/>
          <w:bCs/>
          <w:sz w:val="20"/>
        </w:rPr>
        <w:t>11</w:t>
      </w:r>
      <w:r w:rsidRPr="00C9313F">
        <w:rPr>
          <w:rFonts w:ascii="Times New Roman" w:hAnsi="Times New Roman" w:cs="Times New Roman"/>
          <w:sz w:val="20"/>
        </w:rPr>
        <w:t>, 12728 (2021).</w:t>
      </w:r>
    </w:p>
    <w:p w:rsidR="00C9313F" w:rsidRPr="00C9313F" w:rsidRDefault="00C9313F" w:rsidP="00C9313F">
      <w:pPr>
        <w:pStyle w:val="Bibliography"/>
        <w:rPr>
          <w:rFonts w:ascii="Times New Roman" w:hAnsi="Times New Roman" w:cs="Times New Roman"/>
          <w:sz w:val="20"/>
        </w:rPr>
      </w:pPr>
      <w:r w:rsidRPr="00C9313F">
        <w:rPr>
          <w:rFonts w:ascii="Times New Roman" w:hAnsi="Times New Roman" w:cs="Times New Roman"/>
          <w:sz w:val="20"/>
        </w:rPr>
        <w:t>7.</w:t>
      </w:r>
      <w:r w:rsidRPr="00C9313F">
        <w:rPr>
          <w:rFonts w:ascii="Times New Roman" w:hAnsi="Times New Roman" w:cs="Times New Roman"/>
          <w:sz w:val="20"/>
        </w:rPr>
        <w:tab/>
        <w:t>EUCAST. Breakpoint tables for interpretation of MICs and zone diameters, version 5.0. (2015).</w:t>
      </w:r>
    </w:p>
    <w:p w:rsidR="00C9313F" w:rsidRPr="00C9313F" w:rsidRDefault="00C9313F" w:rsidP="00C9313F">
      <w:pPr>
        <w:pStyle w:val="Bibliography"/>
        <w:rPr>
          <w:rFonts w:ascii="Times New Roman" w:hAnsi="Times New Roman" w:cs="Times New Roman"/>
          <w:sz w:val="20"/>
        </w:rPr>
      </w:pPr>
      <w:r w:rsidRPr="00C9313F">
        <w:rPr>
          <w:rFonts w:ascii="Times New Roman" w:hAnsi="Times New Roman" w:cs="Times New Roman"/>
          <w:sz w:val="20"/>
        </w:rPr>
        <w:t>8.</w:t>
      </w:r>
      <w:r w:rsidRPr="00C9313F">
        <w:rPr>
          <w:rFonts w:ascii="Times New Roman" w:hAnsi="Times New Roman" w:cs="Times New Roman"/>
          <w:sz w:val="20"/>
        </w:rPr>
        <w:tab/>
        <w:t xml:space="preserve">Cockerill, F. R. </w:t>
      </w:r>
      <w:r w:rsidRPr="00C9313F">
        <w:rPr>
          <w:rFonts w:ascii="Times New Roman" w:hAnsi="Times New Roman" w:cs="Times New Roman"/>
          <w:i/>
          <w:iCs/>
          <w:sz w:val="20"/>
        </w:rPr>
        <w:t>Performance Standards for Antimicrobial Susceptibility Testing: Twenty-Third Informational Supplement</w:t>
      </w:r>
      <w:r w:rsidRPr="00C9313F">
        <w:rPr>
          <w:rFonts w:ascii="Times New Roman" w:hAnsi="Times New Roman" w:cs="Times New Roman"/>
          <w:sz w:val="20"/>
        </w:rPr>
        <w:t>. (Clinical and Laboratory Standards Institute, Wayne, Pa, 2013).</w:t>
      </w:r>
    </w:p>
    <w:p w:rsidR="00C9313F" w:rsidRPr="00C9313F" w:rsidRDefault="00C9313F" w:rsidP="00C9313F">
      <w:pPr>
        <w:pStyle w:val="Bibliography"/>
        <w:rPr>
          <w:rFonts w:ascii="Times New Roman" w:hAnsi="Times New Roman" w:cs="Times New Roman"/>
          <w:sz w:val="20"/>
        </w:rPr>
      </w:pPr>
      <w:r w:rsidRPr="00C9313F">
        <w:rPr>
          <w:rFonts w:ascii="Times New Roman" w:hAnsi="Times New Roman" w:cs="Times New Roman"/>
          <w:sz w:val="20"/>
        </w:rPr>
        <w:t>9.</w:t>
      </w:r>
      <w:r w:rsidRPr="00C9313F">
        <w:rPr>
          <w:rFonts w:ascii="Times New Roman" w:hAnsi="Times New Roman" w:cs="Times New Roman"/>
          <w:sz w:val="20"/>
        </w:rPr>
        <w:tab/>
        <w:t xml:space="preserve">Drieux, L., Brossier, F., Sougakoff, W. &amp; Jarlier, V. Phenotypic detection of extended-spectrum β-lactamase production in Enterobacteriaceae: review and bench guide. </w:t>
      </w:r>
      <w:r w:rsidRPr="00C9313F">
        <w:rPr>
          <w:rFonts w:ascii="Times New Roman" w:hAnsi="Times New Roman" w:cs="Times New Roman"/>
          <w:i/>
          <w:iCs/>
          <w:sz w:val="20"/>
        </w:rPr>
        <w:t>Clinical Microbiology and Infection</w:t>
      </w:r>
      <w:r w:rsidRPr="00C9313F">
        <w:rPr>
          <w:rFonts w:ascii="Times New Roman" w:hAnsi="Times New Roman" w:cs="Times New Roman"/>
          <w:sz w:val="20"/>
        </w:rPr>
        <w:t xml:space="preserve"> </w:t>
      </w:r>
      <w:r w:rsidRPr="00C9313F">
        <w:rPr>
          <w:rFonts w:ascii="Times New Roman" w:hAnsi="Times New Roman" w:cs="Times New Roman"/>
          <w:b/>
          <w:bCs/>
          <w:sz w:val="20"/>
        </w:rPr>
        <w:t>14</w:t>
      </w:r>
      <w:r w:rsidRPr="00C9313F">
        <w:rPr>
          <w:rFonts w:ascii="Times New Roman" w:hAnsi="Times New Roman" w:cs="Times New Roman"/>
          <w:sz w:val="20"/>
        </w:rPr>
        <w:t>, 90–103 (2008).</w:t>
      </w:r>
    </w:p>
    <w:p w:rsidR="00C9313F" w:rsidRPr="00C9313F" w:rsidRDefault="00C9313F" w:rsidP="00C9313F">
      <w:pPr>
        <w:pStyle w:val="Bibliography"/>
        <w:rPr>
          <w:rFonts w:ascii="Times New Roman" w:hAnsi="Times New Roman" w:cs="Times New Roman"/>
          <w:sz w:val="20"/>
        </w:rPr>
      </w:pPr>
      <w:r w:rsidRPr="00C9313F">
        <w:rPr>
          <w:rFonts w:ascii="Times New Roman" w:hAnsi="Times New Roman" w:cs="Times New Roman"/>
          <w:sz w:val="20"/>
        </w:rPr>
        <w:t>10.</w:t>
      </w:r>
      <w:r w:rsidRPr="00C9313F">
        <w:rPr>
          <w:rFonts w:ascii="Times New Roman" w:hAnsi="Times New Roman" w:cs="Times New Roman"/>
          <w:sz w:val="20"/>
        </w:rPr>
        <w:tab/>
        <w:t>R Interface to Stan • rstan. https://mc-stan.org/rstan/.</w:t>
      </w:r>
    </w:p>
    <w:p w:rsidR="00C9313F" w:rsidRPr="00C9313F" w:rsidRDefault="00C9313F" w:rsidP="00C9313F">
      <w:pPr>
        <w:pStyle w:val="Bibliography"/>
        <w:rPr>
          <w:rFonts w:ascii="Times New Roman" w:hAnsi="Times New Roman" w:cs="Times New Roman"/>
          <w:sz w:val="20"/>
        </w:rPr>
      </w:pPr>
      <w:r w:rsidRPr="00C9313F">
        <w:rPr>
          <w:rFonts w:ascii="Times New Roman" w:hAnsi="Times New Roman" w:cs="Times New Roman"/>
          <w:sz w:val="20"/>
        </w:rPr>
        <w:t>11.</w:t>
      </w:r>
      <w:r w:rsidRPr="00C9313F">
        <w:rPr>
          <w:rFonts w:ascii="Times New Roman" w:hAnsi="Times New Roman" w:cs="Times New Roman"/>
          <w:sz w:val="20"/>
        </w:rPr>
        <w:tab/>
        <w:t xml:space="preserve">Page, A. J. </w:t>
      </w:r>
      <w:r w:rsidRPr="00C9313F">
        <w:rPr>
          <w:rFonts w:ascii="Times New Roman" w:hAnsi="Times New Roman" w:cs="Times New Roman"/>
          <w:i/>
          <w:iCs/>
          <w:sz w:val="20"/>
        </w:rPr>
        <w:t>et al.</w:t>
      </w:r>
      <w:r w:rsidRPr="00C9313F">
        <w:rPr>
          <w:rFonts w:ascii="Times New Roman" w:hAnsi="Times New Roman" w:cs="Times New Roman"/>
          <w:sz w:val="20"/>
        </w:rPr>
        <w:t xml:space="preserve"> Roary: rapid large-scale prokaryote pan genome analysis. </w:t>
      </w:r>
      <w:r w:rsidRPr="00C9313F">
        <w:rPr>
          <w:rFonts w:ascii="Times New Roman" w:hAnsi="Times New Roman" w:cs="Times New Roman"/>
          <w:i/>
          <w:iCs/>
          <w:sz w:val="20"/>
        </w:rPr>
        <w:t>Bioinformatics</w:t>
      </w:r>
      <w:r w:rsidRPr="00C9313F">
        <w:rPr>
          <w:rFonts w:ascii="Times New Roman" w:hAnsi="Times New Roman" w:cs="Times New Roman"/>
          <w:sz w:val="20"/>
        </w:rPr>
        <w:t xml:space="preserve"> </w:t>
      </w:r>
      <w:r w:rsidRPr="00C9313F">
        <w:rPr>
          <w:rFonts w:ascii="Times New Roman" w:hAnsi="Times New Roman" w:cs="Times New Roman"/>
          <w:b/>
          <w:bCs/>
          <w:sz w:val="20"/>
        </w:rPr>
        <w:t>31</w:t>
      </w:r>
      <w:r w:rsidRPr="00C9313F">
        <w:rPr>
          <w:rFonts w:ascii="Times New Roman" w:hAnsi="Times New Roman" w:cs="Times New Roman"/>
          <w:sz w:val="20"/>
        </w:rPr>
        <w:t>, 3691–3693 (2015).</w:t>
      </w:r>
    </w:p>
    <w:p w:rsidR="00C9313F" w:rsidRPr="00C9313F" w:rsidRDefault="00C9313F" w:rsidP="00C9313F">
      <w:pPr>
        <w:pStyle w:val="Bibliography"/>
        <w:rPr>
          <w:rFonts w:ascii="Times New Roman" w:hAnsi="Times New Roman" w:cs="Times New Roman"/>
          <w:sz w:val="20"/>
        </w:rPr>
      </w:pPr>
      <w:r w:rsidRPr="00C9313F">
        <w:rPr>
          <w:rFonts w:ascii="Times New Roman" w:hAnsi="Times New Roman" w:cs="Times New Roman"/>
          <w:sz w:val="20"/>
        </w:rPr>
        <w:t>12.</w:t>
      </w:r>
      <w:r w:rsidRPr="00C9313F">
        <w:rPr>
          <w:rFonts w:ascii="Times New Roman" w:hAnsi="Times New Roman" w:cs="Times New Roman"/>
          <w:sz w:val="20"/>
        </w:rPr>
        <w:tab/>
        <w:t xml:space="preserve">Seemann, T. Prokka: rapid prokaryotic genome annotation. </w:t>
      </w:r>
      <w:r w:rsidRPr="00C9313F">
        <w:rPr>
          <w:rFonts w:ascii="Times New Roman" w:hAnsi="Times New Roman" w:cs="Times New Roman"/>
          <w:i/>
          <w:iCs/>
          <w:sz w:val="20"/>
        </w:rPr>
        <w:t>Bioinformatics</w:t>
      </w:r>
      <w:r w:rsidRPr="00C9313F">
        <w:rPr>
          <w:rFonts w:ascii="Times New Roman" w:hAnsi="Times New Roman" w:cs="Times New Roman"/>
          <w:sz w:val="20"/>
        </w:rPr>
        <w:t xml:space="preserve"> </w:t>
      </w:r>
      <w:r w:rsidRPr="00C9313F">
        <w:rPr>
          <w:rFonts w:ascii="Times New Roman" w:hAnsi="Times New Roman" w:cs="Times New Roman"/>
          <w:b/>
          <w:bCs/>
          <w:sz w:val="20"/>
        </w:rPr>
        <w:t>30</w:t>
      </w:r>
      <w:r w:rsidRPr="00C9313F">
        <w:rPr>
          <w:rFonts w:ascii="Times New Roman" w:hAnsi="Times New Roman" w:cs="Times New Roman"/>
          <w:sz w:val="20"/>
        </w:rPr>
        <w:t>, 2068–2069 (2014).</w:t>
      </w:r>
    </w:p>
    <w:p w:rsidR="00C9313F" w:rsidRDefault="00C9313F">
      <w:pPr>
        <w:widowControl w:val="0"/>
        <w:pBdr>
          <w:top w:val="nil"/>
          <w:left w:val="nil"/>
          <w:bottom w:val="nil"/>
          <w:right w:val="nil"/>
          <w:between w:val="nil"/>
        </w:pBdr>
        <w:spacing w:line="240" w:lineRule="auto"/>
        <w:ind w:left="504" w:hanging="504"/>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end"/>
      </w:r>
      <w:bookmarkStart w:id="0" w:name="_GoBack"/>
      <w:bookmarkEnd w:id="0"/>
    </w:p>
    <w:sectPr w:rsidR="00C9313F">
      <w:foot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86A28" w:rsidRDefault="00B86A28">
      <w:pPr>
        <w:spacing w:line="240" w:lineRule="auto"/>
      </w:pPr>
      <w:r>
        <w:separator/>
      </w:r>
    </w:p>
  </w:endnote>
  <w:endnote w:type="continuationSeparator" w:id="0">
    <w:p w:rsidR="00B86A28" w:rsidRDefault="00B86A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B5091" w:rsidRDefault="00314D7E">
    <w:pPr>
      <w:jc w:val="right"/>
    </w:pPr>
    <w:r>
      <w:rPr>
        <w:rFonts w:ascii="Times New Roman" w:eastAsia="Times New Roman" w:hAnsi="Times New Roman" w:cs="Times New Roman"/>
        <w:b/>
        <w:sz w:val="24"/>
        <w:szCs w:val="24"/>
      </w:rPr>
      <w:fldChar w:fldCharType="begin"/>
    </w:r>
    <w:r>
      <w:rPr>
        <w:rFonts w:ascii="Times New Roman" w:eastAsia="Times New Roman" w:hAnsi="Times New Roman" w:cs="Times New Roman"/>
        <w:b/>
        <w:sz w:val="24"/>
        <w:szCs w:val="24"/>
      </w:rPr>
      <w:instrText>PAGE</w:instrText>
    </w:r>
    <w:r>
      <w:rPr>
        <w:rFonts w:ascii="Times New Roman" w:eastAsia="Times New Roman" w:hAnsi="Times New Roman" w:cs="Times New Roman"/>
        <w:b/>
        <w:sz w:val="24"/>
        <w:szCs w:val="24"/>
      </w:rPr>
      <w:fldChar w:fldCharType="separate"/>
    </w:r>
    <w:r w:rsidR="002B2B7A">
      <w:rPr>
        <w:rFonts w:ascii="Times New Roman" w:eastAsia="Times New Roman" w:hAnsi="Times New Roman" w:cs="Times New Roman"/>
        <w:b/>
        <w:noProof/>
        <w:sz w:val="24"/>
        <w:szCs w:val="24"/>
      </w:rPr>
      <w:t>1</w:t>
    </w:r>
    <w:r>
      <w:rPr>
        <w:rFonts w:ascii="Times New Roman" w:eastAsia="Times New Roman" w:hAnsi="Times New Roman" w:cs="Times New Roman"/>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86A28" w:rsidRDefault="00B86A28">
      <w:pPr>
        <w:spacing w:line="240" w:lineRule="auto"/>
      </w:pPr>
      <w:r>
        <w:separator/>
      </w:r>
    </w:p>
  </w:footnote>
  <w:footnote w:type="continuationSeparator" w:id="0">
    <w:p w:rsidR="00B86A28" w:rsidRDefault="00B86A2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091"/>
    <w:rsid w:val="002510A0"/>
    <w:rsid w:val="002B2B7A"/>
    <w:rsid w:val="002F16D6"/>
    <w:rsid w:val="00314D7E"/>
    <w:rsid w:val="003B6811"/>
    <w:rsid w:val="004B5091"/>
    <w:rsid w:val="00550F62"/>
    <w:rsid w:val="00631822"/>
    <w:rsid w:val="0070402F"/>
    <w:rsid w:val="00A3252E"/>
    <w:rsid w:val="00B01C80"/>
    <w:rsid w:val="00B321FB"/>
    <w:rsid w:val="00B86A28"/>
    <w:rsid w:val="00BD0133"/>
    <w:rsid w:val="00C9313F"/>
    <w:rsid w:val="00D30BCE"/>
    <w:rsid w:val="00F43E1D"/>
    <w:rsid w:val="00FA4775"/>
    <w:rsid w:val="00FE2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965869"/>
  <w15:docId w15:val="{77928B8C-BB09-A746-A522-57210C7EC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paragraph" w:styleId="Bibliography">
    <w:name w:val="Bibliography"/>
    <w:basedOn w:val="Normal"/>
    <w:next w:val="Normal"/>
    <w:uiPriority w:val="37"/>
    <w:unhideWhenUsed/>
    <w:rsid w:val="00C9313F"/>
    <w:pPr>
      <w:tabs>
        <w:tab w:val="left" w:pos="380"/>
      </w:tabs>
      <w:spacing w:line="48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google.com/document/d/1qmHxqRHYxXJWfMbLDTUWt2PsVvbwCtKVclHAYZ4_GT0/edit"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cs.google.com/document/d/1qmHxqRHYxXJWfMbLDTUWt2PsVvbwCtKVclHAYZ4_GT0/edit" TargetMode="External"/><Relationship Id="rId12" Type="http://schemas.openxmlformats.org/officeDocument/2006/relationships/hyperlink" Target="https://docs.google.com/document/d/1qmHxqRHYxXJWfMbLDTUWt2PsVvbwCtKVclHAYZ4_GT0/edit"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docs.google.com/document/d/1qmHxqRHYxXJWfMbLDTUWt2PsVvbwCtKVclHAYZ4_GT0/edit" TargetMode="External"/><Relationship Id="rId11" Type="http://schemas.openxmlformats.org/officeDocument/2006/relationships/hyperlink" Target="https://docs.google.com/document/d/1qmHxqRHYxXJWfMbLDTUWt2PsVvbwCtKVclHAYZ4_GT0/edit" TargetMode="External"/><Relationship Id="rId5" Type="http://schemas.openxmlformats.org/officeDocument/2006/relationships/endnotes" Target="endnotes.xml"/><Relationship Id="rId15" Type="http://schemas.openxmlformats.org/officeDocument/2006/relationships/image" Target="media/image5.png"/><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5538</Words>
  <Characters>31570</Characters>
  <Application>Microsoft Office Word</Application>
  <DocSecurity>0</DocSecurity>
  <Lines>263</Lines>
  <Paragraphs>74</Paragraphs>
  <ScaleCrop>false</ScaleCrop>
  <Company/>
  <LinksUpToDate>false</LinksUpToDate>
  <CharactersWithSpaces>37034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Rebecca Lynn Perez</cp:lastModifiedBy>
  <cp:revision>10</cp:revision>
  <dcterms:created xsi:type="dcterms:W3CDTF">2025-01-10T07:35:00Z</dcterms:created>
  <dcterms:modified xsi:type="dcterms:W3CDTF">2025-01-10T07:42:00Z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id="4LhvkZBE"/&gt;&lt;style id="http://www.zotero.org/styles/nature" hasBibliography="1" bibliographyStyleHasBeenSet="1"/&gt;&lt;prefs&gt;&lt;pref name="fieldType" value="Field"/&gt;&lt;/prefs&gt;&lt;/data&gt;</vt:lpwstr>
  </property>
</Properties>
</file>