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 Bold" w:hAnsi="Times New Roman Bold" w:cs="Times New Roman Bold"/>
          <w:b/>
          <w:bCs/>
          <w:sz w:val="36"/>
          <w:szCs w:val="44"/>
          <w:lang w:eastAsia="zh-Hans"/>
        </w:rPr>
      </w:pPr>
      <w:r>
        <w:rPr>
          <w:rFonts w:hint="eastAsia" w:ascii="Times New Roman Bold" w:hAnsi="Times New Roman Bold" w:cs="Times New Roman Bold"/>
          <w:b/>
          <w:bCs/>
          <w:sz w:val="36"/>
          <w:szCs w:val="44"/>
          <w:lang w:eastAsia="zh-Hans"/>
        </w:rPr>
        <w:t>Supplemental</w:t>
      </w:r>
      <w:r>
        <w:rPr>
          <w:rFonts w:ascii="Times New Roman Bold" w:hAnsi="Times New Roman Bold" w:cs="Times New Roman Bold"/>
          <w:b/>
          <w:bCs/>
          <w:sz w:val="36"/>
          <w:szCs w:val="44"/>
          <w:lang w:eastAsia="zh-Hans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sz w:val="36"/>
          <w:szCs w:val="44"/>
          <w:lang w:eastAsia="zh-Hans"/>
        </w:rPr>
        <w:t>Materials</w:t>
      </w:r>
    </w:p>
    <w:p>
      <w:pP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>Supplemental Tables</w:t>
      </w:r>
    </w:p>
    <w:p>
      <w:p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>Supplementa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lang w:eastAsia="zh-Hans"/>
        </w:rPr>
        <w:t>l</w:t>
      </w: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 xml:space="preserve"> Table 1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lang w:eastAsia="zh-Hans"/>
        </w:rPr>
        <w:t>.</w:t>
      </w: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 xml:space="preserve"> Causes of Death in the Total Cohort</w:t>
      </w:r>
    </w:p>
    <w:p>
      <w:p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>2. Supplemental Figures</w:t>
      </w:r>
    </w:p>
    <w:p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lang w:eastAsia="zh-Hans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Supplemental Figure 1. Schematic Diagram of the LASSO Regression Variable Selection Process</w:t>
      </w: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Supplemental Figure 2. Association between IR Indices and All-cause Mortality in the Total Cohort</w:t>
      </w: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3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Association between IR Indices and All-cause Mortality in the Male Cohort</w:t>
      </w: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4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Association between IR Indices and All-cause Mortality in the Female Cohort</w:t>
      </w: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5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Sensitivity Analysis of the Associations between IR Indices and All-cause Mortality</w:t>
      </w:r>
    </w:p>
    <w:p>
      <w:pP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>Supplementa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lang w:eastAsia="zh-Hans"/>
        </w:rPr>
        <w:t>l</w:t>
      </w: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 xml:space="preserve"> Table 1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lang w:eastAsia="zh-Hans"/>
        </w:rPr>
        <w:t>.</w:t>
      </w:r>
      <w: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  <w:t xml:space="preserve"> Causes of Death in the Total Cohort</w:t>
      </w:r>
    </w:p>
    <w:tbl>
      <w:tblPr>
        <w:tblStyle w:val="6"/>
        <w:tblpPr w:leftFromText="180" w:rightFromText="180" w:vertAnchor="text" w:horzAnchor="page" w:tblpX="1787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3658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Cause of </w:t>
            </w:r>
            <w:r>
              <w:rPr>
                <w:rFonts w:hint="eastAsia" w:ascii="Times New Roman" w:hAnsi="Times New Roman" w:cs="Times New Roman"/>
                <w:lang w:eastAsia="zh-Hans"/>
              </w:rPr>
              <w:t>death</w:t>
            </w:r>
          </w:p>
        </w:tc>
        <w:tc>
          <w:tcPr>
            <w:tcW w:w="3658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ICD-10 codes</w:t>
            </w:r>
          </w:p>
        </w:tc>
        <w:tc>
          <w:tcPr>
            <w:tcW w:w="3057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Number of events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All cause</w:t>
            </w:r>
          </w:p>
        </w:tc>
        <w:tc>
          <w:tcPr>
            <w:tcW w:w="36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Cardiovascular disease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I00-I09, I11, I13, and I20-I51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Cancer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C00-C97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Diabetes mellitus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E10-E14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Alzheimer’s disease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G30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Chronic lower respiratory diseases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J40-J47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Nephritis, nephrotic syndrome, and nephrosis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N00-N07, N17-N19, and N25-N27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Influenza and pneumonia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J09-J18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Accidents (unintentional injuries)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V01-X59, Y85-Y86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Other causes</w:t>
            </w:r>
          </w:p>
        </w:tc>
        <w:tc>
          <w:tcPr>
            <w:tcW w:w="365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219</w:t>
            </w:r>
          </w:p>
        </w:tc>
      </w:tr>
    </w:tbl>
    <w:p>
      <w:pP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rPr>
          <w:rFonts w:ascii="Times New Roman Bold" w:hAnsi="Times New Roman Bold" w:cs="Times New Roman Bold"/>
          <w:b/>
          <w:bCs/>
          <w:sz w:val="24"/>
          <w:szCs w:val="32"/>
          <w:lang w:eastAsia="zh-Hans"/>
        </w:rPr>
      </w:pPr>
    </w:p>
    <w:p>
      <w:pPr>
        <w:rPr>
          <w:rFonts w:ascii="Times New Roman Regular" w:hAnsi="Times New Roman Regular" w:cs="Times New Roman Regular"/>
          <w:sz w:val="20"/>
          <w:szCs w:val="20"/>
          <w:lang w:eastAsia="zh-Hans"/>
        </w:rPr>
      </w:pPr>
    </w:p>
    <w:p>
      <w:pPr>
        <w:rPr>
          <w:rFonts w:ascii="Times New Roman Regular" w:hAnsi="Times New Roman Regular" w:cs="Times New Roman Regular"/>
          <w:sz w:val="20"/>
          <w:szCs w:val="20"/>
          <w:lang w:eastAsia="zh-Hans"/>
        </w:rPr>
      </w:pPr>
      <w:r>
        <w:rPr>
          <w:rFonts w:ascii="Times New Roman Regular" w:hAnsi="Times New Roman Regular" w:cs="Times New Roman Regular"/>
          <w:sz w:val="20"/>
          <w:szCs w:val="20"/>
          <w:lang w:eastAsia="zh-Hans"/>
        </w:rPr>
        <w:t>ICD, International Statistical Classification of Disease.</w:t>
      </w:r>
    </w:p>
    <w:p>
      <w:pPr>
        <w:rPr>
          <w:rFonts w:ascii="Times New Roman Regular" w:hAnsi="Times New Roman Regular" w:cs="Times New Roman Regular"/>
          <w:sz w:val="20"/>
          <w:szCs w:val="20"/>
          <w:lang w:eastAsia="zh-Hans"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  <w:sz w:val="24"/>
          <w:szCs w:val="32"/>
          <w:highlight w:val="none"/>
        </w:rPr>
      </w:pPr>
      <w:r>
        <w:rPr>
          <w:rFonts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>Supplementa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>l</w:t>
      </w:r>
      <w:r>
        <w:rPr>
          <w:rFonts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 xml:space="preserve"> Table 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</w:rPr>
        <w:t>2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>.</w:t>
      </w:r>
      <w:r>
        <w:rPr>
          <w:rFonts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 xml:space="preserve"> 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>The VIF value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</w:rPr>
        <w:t>s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  <w:lang w:eastAsia="zh-Hans"/>
        </w:rPr>
        <w:t xml:space="preserve"> of the excluded variable</w:t>
      </w:r>
      <w:r>
        <w:rPr>
          <w:rFonts w:hint="eastAsia" w:ascii="Times New Roman Bold" w:hAnsi="Times New Roman Bold" w:cs="Times New Roman Bold"/>
          <w:b/>
          <w:bCs/>
          <w:sz w:val="24"/>
          <w:szCs w:val="32"/>
          <w:highlight w:val="none"/>
        </w:rPr>
        <w:t>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76"/>
        <w:gridCol w:w="1476"/>
        <w:gridCol w:w="1596"/>
        <w:gridCol w:w="159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Variable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TG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HDL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-</w:t>
            </w: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C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TC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LDL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-</w:t>
            </w: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C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WC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VIF value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3228.779182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2032.960150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26443.141576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20375.962016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  <w:lang w:eastAsia="zh-Hans"/>
              </w:rPr>
              <w:t>7.993481</w:t>
            </w:r>
          </w:p>
        </w:tc>
      </w:tr>
    </w:tbl>
    <w:p>
      <w:pPr>
        <w:rPr>
          <w:rFonts w:ascii="Times New Roman Regular" w:hAnsi="Times New Roman Regular" w:cs="Times New Roman Regular"/>
          <w:sz w:val="20"/>
          <w:szCs w:val="20"/>
          <w:highlight w:val="none"/>
          <w:lang w:eastAsia="zh-Hans"/>
        </w:rPr>
      </w:pP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Abbreviations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>: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TG, fasting triglyceride;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HDL</w:t>
      </w:r>
      <w:r>
        <w:rPr>
          <w:rFonts w:hint="eastAsia" w:ascii="Times New Roman" w:hAnsi="Times New Roman" w:cs="Times New Roman"/>
          <w:sz w:val="20"/>
          <w:szCs w:val="20"/>
          <w:highlight w:val="none"/>
        </w:rPr>
        <w:t>-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C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, high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>-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density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lipoprotein cholesterol;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TC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,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eastAsia="等线" w:cs="Times New Roman"/>
          <w:sz w:val="20"/>
          <w:szCs w:val="20"/>
          <w:highlight w:val="none"/>
          <w:lang w:bidi="ar"/>
        </w:rPr>
        <w:t>total</w:t>
      </w:r>
      <w:r>
        <w:rPr>
          <w:rFonts w:hint="eastAsia" w:ascii="Times New Roman" w:hAnsi="Times New Roman" w:eastAsia="等线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eastAsia="等线" w:cs="Times New Roman"/>
          <w:sz w:val="20"/>
          <w:szCs w:val="20"/>
          <w:highlight w:val="none"/>
          <w:lang w:bidi="ar"/>
        </w:rPr>
        <w:t>cholesterol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; 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LDL</w:t>
      </w:r>
      <w:r>
        <w:rPr>
          <w:rFonts w:hint="eastAsia" w:ascii="Times New Roman" w:hAnsi="Times New Roman" w:cs="Times New Roman"/>
          <w:sz w:val="20"/>
          <w:szCs w:val="20"/>
          <w:highlight w:val="none"/>
        </w:rPr>
        <w:t>-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C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,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eastAsia="等线" w:cs="Times New Roman"/>
          <w:sz w:val="20"/>
          <w:szCs w:val="20"/>
          <w:highlight w:val="none"/>
          <w:lang w:bidi="ar"/>
        </w:rPr>
        <w:t>low-density lipoprotein cholesterol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;</w:t>
      </w:r>
      <w:r>
        <w:rPr>
          <w:rFonts w:hint="eastAsia" w:ascii="Times New Roman" w:hAnsi="Times New Roman" w:eastAsia="宋体" w:cs="Times New Roman"/>
          <w:sz w:val="20"/>
          <w:szCs w:val="20"/>
          <w:highlight w:val="none"/>
          <w:lang w:bidi="ar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lang w:eastAsia="zh-Hans"/>
        </w:rPr>
        <w:t>WC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 xml:space="preserve">, </w:t>
      </w:r>
      <w:r>
        <w:rPr>
          <w:rFonts w:ascii="Times New Roman" w:hAnsi="Times New Roman" w:eastAsia="等线" w:cs="Times New Roman"/>
          <w:sz w:val="20"/>
          <w:szCs w:val="20"/>
          <w:highlight w:val="none"/>
          <w:lang w:bidi="ar"/>
        </w:rPr>
        <w:t>waist circumference</w:t>
      </w:r>
      <w:r>
        <w:rPr>
          <w:rFonts w:ascii="Times New Roman" w:hAnsi="Times New Roman" w:eastAsia="宋体" w:cs="Times New Roman"/>
          <w:sz w:val="20"/>
          <w:szCs w:val="20"/>
          <w:highlight w:val="none"/>
          <w:lang w:bidi="ar"/>
        </w:rPr>
        <w:t>;</w:t>
      </w:r>
    </w:p>
    <w:p>
      <w:pPr>
        <w:rPr>
          <w:rFonts w:hint="eastAsia" w:ascii="Times New Roman Regular" w:hAnsi="Times New Roman Regular" w:cs="Times New Roman Regular"/>
        </w:rPr>
      </w:pPr>
    </w:p>
    <w:p>
      <w:pPr>
        <w:rPr>
          <w:rFonts w:ascii="Times New Roman Regular" w:hAnsi="Times New Roman Regular" w:cs="Times New Roman Regular"/>
          <w:b/>
          <w:bCs/>
          <w:sz w:val="24"/>
          <w:lang w:eastAsia="zh-Hans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Supplemental Figure 1. Schematic Diagram of the LASSO Regression Variable Selection Process</w:t>
      </w:r>
    </w:p>
    <w:p>
      <w:pPr>
        <w:rPr>
          <w:rFonts w:ascii="Times New Roman Regular" w:hAnsi="Times New Roman Regular" w:cs="Times New Roman Regular"/>
          <w:b/>
          <w:bCs/>
          <w:sz w:val="24"/>
          <w:lang w:eastAsia="zh-Hans"/>
        </w:rPr>
      </w:pPr>
    </w:p>
    <w:p>
      <w:pPr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hint="eastAsia"/>
        </w:rPr>
        <w:drawing>
          <wp:inline distT="0" distB="0" distL="114300" distR="114300">
            <wp:extent cx="3972560" cy="2540635"/>
            <wp:effectExtent l="0" t="0" r="8890" b="2540"/>
            <wp:docPr id="1" name="图片 1" descr="lasso回归无qu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sso回归无quik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4204335" cy="2689225"/>
            <wp:effectExtent l="0" t="0" r="5715" b="6350"/>
            <wp:docPr id="5" name="图片 5" descr="lasso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sso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433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 Regular" w:hAnsi="Times New Roman Regular" w:cs="Times New Roman Regular"/>
          <w:b/>
          <w:bCs/>
          <w:sz w:val="24"/>
        </w:rPr>
      </w:pPr>
    </w:p>
    <w:p>
      <w:pPr>
        <w:rPr>
          <w:rFonts w:hint="eastAsia" w:ascii="Times New Roman Regular" w:hAnsi="Times New Roman Regular" w:cs="Times New Roman Regular"/>
          <w:b/>
          <w:bCs/>
          <w:sz w:val="24"/>
        </w:rPr>
      </w:pP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Supplemental Figure 2. Association between IR Indices and All-cause Mortality in the Total Cohort</w:t>
      </w: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drawing>
          <wp:inline distT="0" distB="0" distL="114300" distR="114300">
            <wp:extent cx="7873365" cy="5046345"/>
            <wp:effectExtent l="0" t="0" r="3810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3365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 Bold" w:hAnsi="Times New Roman Bold" w:cs="Times New Roman Bold"/>
          <w:b/>
          <w:bCs/>
          <w:sz w:val="24"/>
          <w:lang w:eastAsia="zh-Hans"/>
        </w:rPr>
      </w:pPr>
    </w:p>
    <w:p>
      <w:p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  <w:lang w:eastAsia="zh-Hans"/>
        </w:rPr>
        <w:t>Model</w:t>
      </w:r>
      <w:r>
        <w:rPr>
          <w:rFonts w:ascii="Times New Roman Regular" w:hAnsi="Times New Roman Regular" w:cs="Times New Roman Regular"/>
          <w:lang w:eastAsia="zh-Hans"/>
        </w:rPr>
        <w:t xml:space="preserve">s for </w:t>
      </w:r>
      <w:r>
        <w:rPr>
          <w:rFonts w:hint="eastAsia" w:ascii="Times New Roman Regular" w:hAnsi="Times New Roman Regular" w:cs="Times New Roman Regular"/>
        </w:rPr>
        <w:t>all-cause</w:t>
      </w:r>
      <w:r>
        <w:rPr>
          <w:rFonts w:ascii="Times New Roman Regular" w:hAnsi="Times New Roman Regular" w:cs="Times New Roman Regular"/>
          <w:lang w:eastAsia="zh-Hans"/>
        </w:rPr>
        <w:t xml:space="preserve"> mortality were adjusted for age, ethnicity, educational level, BMI, albumin, UACR, UA, creatinine, smoking, Insulin treatment, hypoglycemic drugs, antihypertensive drugs, lipid-lowering drugs, hypertension, hyperlipidemia, stroke, CAD, fasting-glucose, fasting-Insulin, HbA1c, eGFR</w:t>
      </w:r>
      <w:r>
        <w:rPr>
          <w:rFonts w:hint="eastAsia" w:ascii="Times New Roman Regular" w:hAnsi="Times New Roman Regular" w:cs="Times New Roman Regular"/>
        </w:rPr>
        <w:t>.</w:t>
      </w:r>
    </w:p>
    <w:p>
      <w:pPr>
        <w:rPr>
          <w:rFonts w:ascii="Times New Roman Regular" w:hAnsi="Times New Roman Regular" w:cs="Times New Roman Regular"/>
        </w:rPr>
      </w:pPr>
    </w:p>
    <w:p>
      <w:pPr>
        <w:rPr>
          <w:rFonts w:ascii="Times New Roman Regular" w:hAnsi="Times New Roman Regular" w:cs="Times New Roman Regular"/>
        </w:rPr>
      </w:pP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3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Association between IR Indices and All-cause Mortality in the Male Cohort</w:t>
      </w:r>
    </w:p>
    <w:p>
      <w:r>
        <w:drawing>
          <wp:inline distT="0" distB="0" distL="114300" distR="114300">
            <wp:extent cx="7914640" cy="5073015"/>
            <wp:effectExtent l="0" t="0" r="635" b="38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464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  <w:lang w:eastAsia="zh-Hans"/>
        </w:rPr>
        <w:t>Model</w:t>
      </w:r>
      <w:r>
        <w:rPr>
          <w:rFonts w:ascii="Times New Roman Regular" w:hAnsi="Times New Roman Regular" w:cs="Times New Roman Regular"/>
          <w:lang w:eastAsia="zh-Hans"/>
        </w:rPr>
        <w:t xml:space="preserve">s for </w:t>
      </w:r>
      <w:r>
        <w:rPr>
          <w:rFonts w:hint="eastAsia" w:ascii="Times New Roman Regular" w:hAnsi="Times New Roman Regular" w:cs="Times New Roman Regular"/>
        </w:rPr>
        <w:t>all-cause</w:t>
      </w:r>
      <w:r>
        <w:rPr>
          <w:rFonts w:ascii="Times New Roman Regular" w:hAnsi="Times New Roman Regular" w:cs="Times New Roman Regular"/>
          <w:lang w:eastAsia="zh-Hans"/>
        </w:rPr>
        <w:t xml:space="preserve"> mortality were adjusted for age, ethnicity, educational level, BMI, albumin, UACR, UA, creatinine, smoking, Insulin treatment, hypoglycemic drugs, antihypertensive drugs, lipid-lowering drugs, hypertension, hyperlipidemia, stroke, CAD, fasting-glucose , fasting-Insulin, HbA1c, eGFR</w:t>
      </w:r>
      <w:r>
        <w:rPr>
          <w:rFonts w:hint="eastAsia" w:ascii="Times New Roman Regular" w:hAnsi="Times New Roman Regular" w:cs="Times New Roman Regular"/>
        </w:rPr>
        <w:t>.</w:t>
      </w:r>
    </w:p>
    <w:p/>
    <w:p>
      <w:pPr>
        <w:rPr>
          <w:rFonts w:hint="eastAsia"/>
        </w:rPr>
      </w:pPr>
    </w:p>
    <w:p>
      <w:pPr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4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Association between IR Indices and All-cause Mortality in the Female Cohort</w:t>
      </w:r>
    </w:p>
    <w:p>
      <w:r>
        <w:drawing>
          <wp:inline distT="0" distB="0" distL="114300" distR="114300">
            <wp:extent cx="7966710" cy="5106670"/>
            <wp:effectExtent l="0" t="0" r="5715" b="825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6710" cy="51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  <w:lang w:eastAsia="zh-Hans"/>
        </w:rPr>
        <w:t>Model</w:t>
      </w:r>
      <w:r>
        <w:rPr>
          <w:rFonts w:ascii="Times New Roman Regular" w:hAnsi="Times New Roman Regular" w:cs="Times New Roman Regular"/>
          <w:lang w:eastAsia="zh-Hans"/>
        </w:rPr>
        <w:t xml:space="preserve">s for </w:t>
      </w:r>
      <w:r>
        <w:rPr>
          <w:rFonts w:hint="eastAsia" w:ascii="Times New Roman Regular" w:hAnsi="Times New Roman Regular" w:cs="Times New Roman Regular"/>
        </w:rPr>
        <w:t>all-cause</w:t>
      </w:r>
      <w:r>
        <w:rPr>
          <w:rFonts w:ascii="Times New Roman Regular" w:hAnsi="Times New Roman Regular" w:cs="Times New Roman Regular"/>
          <w:lang w:eastAsia="zh-Hans"/>
        </w:rPr>
        <w:t xml:space="preserve"> mortality were adjusted for age, ethnicity, educational level, BMI, albumin, UACR, UA, creatinine, smoking, Insulin treatment, hypoglycemic drugs, antihypertensive drugs, lipid-lowering drugs, hypertension, hyperlipidemia, stroke, CAD, fasting-glucose, fasting-Insulin, HbA1c, eGFR</w:t>
      </w:r>
      <w:r>
        <w:rPr>
          <w:rFonts w:hint="eastAsia" w:ascii="Times New Roman Regular" w:hAnsi="Times New Roman Regular" w:cs="Times New Roman Regular"/>
        </w:rPr>
        <w:t>.</w:t>
      </w:r>
    </w:p>
    <w:p/>
    <w:p>
      <w:pPr>
        <w:rPr>
          <w:rFonts w:hint="eastAsia"/>
        </w:rPr>
      </w:pPr>
    </w:p>
    <w:p>
      <w:pPr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 xml:space="preserve">Supplemental Figure </w:t>
      </w:r>
      <w:r>
        <w:rPr>
          <w:rFonts w:hint="eastAsia" w:ascii="Times New Roman Regular" w:hAnsi="Times New Roman Regular" w:cs="Times New Roman Regular"/>
          <w:b/>
          <w:bCs/>
          <w:sz w:val="24"/>
        </w:rPr>
        <w:t>5</w:t>
      </w:r>
      <w:r>
        <w:rPr>
          <w:rFonts w:ascii="Times New Roman Regular" w:hAnsi="Times New Roman Regular" w:cs="Times New Roman Regular"/>
          <w:b/>
          <w:bCs/>
          <w:sz w:val="24"/>
          <w:lang w:eastAsia="zh-Hans"/>
        </w:rPr>
        <w:t>. Sensitivity Analysis of the Associations between IR Indices and All-cause Mortality</w:t>
      </w:r>
    </w:p>
    <w:p>
      <w:r>
        <w:rPr>
          <w:rFonts w:hint="eastAsia"/>
        </w:rPr>
        <w:drawing>
          <wp:inline distT="0" distB="0" distL="114300" distR="114300">
            <wp:extent cx="4401820" cy="2815590"/>
            <wp:effectExtent l="0" t="0" r="8255" b="3810"/>
            <wp:docPr id="3" name="图片 3" descr="tyg与tghdlc亚组分析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yg与tghdlc亚组分析森林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4446270" cy="2844165"/>
            <wp:effectExtent l="0" t="0" r="1905" b="3810"/>
            <wp:docPr id="2" name="图片 2" descr="homair和vai亚组分析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omair和vai亚组分析森林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07EB5"/>
    <w:multiLevelType w:val="singleLevel"/>
    <w:tmpl w:val="65707E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EzNjRhMmQzM2E5NDUxNzA1ZTcyMmM4ZTQwYTIifQ=="/>
    <w:docVar w:name="KSO_WPS_MARK_KEY" w:val="a6c24311-127e-47b5-a1e6-40d09f3875be"/>
  </w:docVars>
  <w:rsids>
    <w:rsidRoot w:val="7FFBB0F6"/>
    <w:rsid w:val="0000680C"/>
    <w:rsid w:val="00016BB0"/>
    <w:rsid w:val="00163EF8"/>
    <w:rsid w:val="001C776B"/>
    <w:rsid w:val="00450715"/>
    <w:rsid w:val="00773B78"/>
    <w:rsid w:val="009F3515"/>
    <w:rsid w:val="00B079B1"/>
    <w:rsid w:val="00BF28E9"/>
    <w:rsid w:val="0E451976"/>
    <w:rsid w:val="2EFEA73F"/>
    <w:rsid w:val="30E80E41"/>
    <w:rsid w:val="46FC12F2"/>
    <w:rsid w:val="49BF17B3"/>
    <w:rsid w:val="4C9244F5"/>
    <w:rsid w:val="4CF650BF"/>
    <w:rsid w:val="53BB761A"/>
    <w:rsid w:val="666F1901"/>
    <w:rsid w:val="68B52B8E"/>
    <w:rsid w:val="7C05732D"/>
    <w:rsid w:val="7FFBB0F6"/>
    <w:rsid w:val="8FFF57ED"/>
    <w:rsid w:val="BFFF0CAE"/>
    <w:rsid w:val="DF77CC38"/>
    <w:rsid w:val="FE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2533</Characters>
  <Lines>99</Lines>
  <Paragraphs>73</Paragraphs>
  <TotalTime>6</TotalTime>
  <ScaleCrop>false</ScaleCrop>
  <LinksUpToDate>false</LinksUpToDate>
  <CharactersWithSpaces>2841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2023-11-08T10:39:00Z</dcterms:created>
  <dc:creator>marchyn</dc:creator>
  <cp:lastModifiedBy>mark的排骨汤</cp:lastModifiedBy>
  <dcterms:modified xsi:type="dcterms:W3CDTF">2025-04-06T08:54:51Z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9A3C228D03D149F5AD513AE1640B41B8</vt:lpwstr>
  </property>
</Properties>
</file>