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98DE">
      <w:pPr>
        <w:kinsoku w:val="0"/>
        <w:spacing w:before="156" w:beforeLines="50" w:line="480" w:lineRule="auto"/>
        <w:ind w:right="210"/>
        <w:rPr>
          <w:rFonts w:hint="default" w:ascii="Times New Roman" w:hAnsi="Times New Roman" w:cs="Times New Roman" w:eastAsiaTheme="minorEastAsia"/>
          <w:b/>
          <w:bCs/>
          <w:sz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2"/>
          <w:lang w:val="en-US" w:eastAsia="zh-CN"/>
        </w:rPr>
        <w:t>figure legend</w:t>
      </w:r>
      <w:bookmarkStart w:id="0" w:name="_GoBack"/>
      <w:bookmarkEnd w:id="0"/>
    </w:p>
    <w:p w14:paraId="19F67B94">
      <w:pPr>
        <w:spacing w:line="480" w:lineRule="auto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b/>
          <w:bCs/>
          <w:sz w:val="22"/>
        </w:rPr>
        <w:t>F</w:t>
      </w:r>
      <w:r>
        <w:rPr>
          <w:rFonts w:ascii="Times New Roman" w:hAnsi="Times New Roman"/>
          <w:b/>
          <w:bCs/>
          <w:sz w:val="22"/>
        </w:rPr>
        <w:t>igure</w:t>
      </w:r>
      <w:r>
        <w:rPr>
          <w:rFonts w:hint="eastAsia" w:ascii="Times New Roman" w:hAnsi="Times New Roman"/>
          <w:b/>
          <w:bCs/>
          <w:sz w:val="22"/>
        </w:rPr>
        <w:t xml:space="preserve"> S1. Analysis of e</w:t>
      </w:r>
      <w:r>
        <w:rPr>
          <w:rFonts w:ascii="Times New Roman" w:hAnsi="Times New Roman"/>
          <w:b/>
          <w:bCs/>
          <w:sz w:val="22"/>
        </w:rPr>
        <w:t>nhanced immune cell communication</w:t>
      </w:r>
      <w:r>
        <w:rPr>
          <w:rFonts w:hint="eastAsia" w:ascii="Times New Roman" w:hAnsi="Times New Roman"/>
          <w:b/>
          <w:bCs/>
          <w:sz w:val="22"/>
        </w:rPr>
        <w:t>s</w:t>
      </w:r>
      <w:r>
        <w:rPr>
          <w:rFonts w:ascii="Times New Roman" w:hAnsi="Times New Roman"/>
          <w:b/>
          <w:bCs/>
          <w:sz w:val="22"/>
        </w:rPr>
        <w:t xml:space="preserve"> in </w:t>
      </w:r>
      <w:r>
        <w:rPr>
          <w:rFonts w:hint="eastAsia" w:ascii="Times New Roman" w:hAnsi="Times New Roman"/>
          <w:b/>
          <w:bCs/>
          <w:sz w:val="22"/>
        </w:rPr>
        <w:t>healthy control</w:t>
      </w:r>
      <w:r>
        <w:rPr>
          <w:rFonts w:ascii="Times New Roman" w:hAnsi="Times New Roman"/>
          <w:b/>
          <w:bCs/>
          <w:sz w:val="22"/>
        </w:rPr>
        <w:t>s with high AUG expression.</w:t>
      </w:r>
      <w:r>
        <w:rPr>
          <w:rFonts w:hint="eastAsia" w:ascii="Times New Roman" w:hAnsi="Times New Roman"/>
          <w:sz w:val="22"/>
        </w:rPr>
        <w:t xml:space="preserve"> </w:t>
      </w:r>
    </w:p>
    <w:p w14:paraId="143315A9">
      <w:pPr>
        <w:spacing w:after="156" w:afterLines="50" w:line="480" w:lineRule="auto"/>
      </w:pPr>
      <w:r>
        <w:rPr>
          <w:rFonts w:hint="eastAsia" w:ascii="Times New Roman" w:hAnsi="Times New Roman"/>
          <w:b/>
          <w:bCs/>
          <w:sz w:val="22"/>
        </w:rPr>
        <w:t>A-B.</w:t>
      </w:r>
      <w:r>
        <w:rPr>
          <w:rFonts w:hint="eastAsia"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Analysis of intercellular communication </w:t>
      </w:r>
      <w:r>
        <w:rPr>
          <w:rFonts w:hint="eastAsia" w:ascii="Times New Roman" w:hAnsi="Times New Roman"/>
          <w:sz w:val="22"/>
        </w:rPr>
        <w:t>numbers (A) and weights (B)</w:t>
      </w:r>
      <w:r>
        <w:rPr>
          <w:rFonts w:ascii="Times New Roman" w:hAnsi="Times New Roman"/>
          <w:sz w:val="22"/>
        </w:rPr>
        <w:t xml:space="preserve"> in </w:t>
      </w:r>
      <w:r>
        <w:rPr>
          <w:rFonts w:hint="eastAsia" w:ascii="Times New Roman" w:hAnsi="Times New Roman"/>
          <w:sz w:val="22"/>
        </w:rPr>
        <w:t>healthy control</w:t>
      </w:r>
      <w:r>
        <w:rPr>
          <w:rFonts w:ascii="Times New Roman" w:hAnsi="Times New Roman"/>
          <w:sz w:val="22"/>
        </w:rPr>
        <w:t>s</w:t>
      </w:r>
      <w:r>
        <w:rPr>
          <w:rFonts w:hint="eastAsia" w:ascii="Times New Roman" w:hAnsi="Times New Roman"/>
          <w:sz w:val="22"/>
        </w:rPr>
        <w:t xml:space="preserve"> (HC)</w:t>
      </w:r>
      <w:r>
        <w:rPr>
          <w:rFonts w:ascii="Times New Roman" w:hAnsi="Times New Roman"/>
          <w:sz w:val="22"/>
        </w:rPr>
        <w:t xml:space="preserve"> with low (</w:t>
      </w:r>
      <w:r>
        <w:rPr>
          <w:rFonts w:hint="eastAsia" w:ascii="Times New Roman" w:hAnsi="Times New Roman"/>
          <w:sz w:val="22"/>
        </w:rPr>
        <w:t>HC</w:t>
      </w:r>
      <w:r>
        <w:rPr>
          <w:rFonts w:ascii="Times New Roman" w:hAnsi="Times New Roman"/>
          <w:sz w:val="22"/>
        </w:rPr>
        <w:t>-AUG</w:t>
      </w:r>
      <w:r>
        <w:rPr>
          <w:rFonts w:ascii="Times New Roman" w:hAnsi="Times New Roman"/>
          <w:sz w:val="22"/>
          <w:vertAlign w:val="superscript"/>
        </w:rPr>
        <w:t>low</w:t>
      </w:r>
      <w:r>
        <w:rPr>
          <w:rFonts w:ascii="Times New Roman" w:hAnsi="Times New Roman"/>
          <w:sz w:val="22"/>
        </w:rPr>
        <w:t>) and high (</w:t>
      </w:r>
      <w:r>
        <w:rPr>
          <w:rFonts w:hint="eastAsia" w:ascii="Times New Roman" w:hAnsi="Times New Roman"/>
          <w:sz w:val="22"/>
        </w:rPr>
        <w:t>HC</w:t>
      </w:r>
      <w:r>
        <w:rPr>
          <w:rFonts w:ascii="Times New Roman" w:hAnsi="Times New Roman"/>
          <w:sz w:val="22"/>
        </w:rPr>
        <w:t>-AUG</w:t>
      </w:r>
      <w:r>
        <w:rPr>
          <w:rFonts w:ascii="Times New Roman" w:hAnsi="Times New Roman"/>
          <w:sz w:val="22"/>
          <w:vertAlign w:val="superscript"/>
        </w:rPr>
        <w:t>hi</w:t>
      </w:r>
      <w:r>
        <w:rPr>
          <w:rFonts w:ascii="Times New Roman" w:hAnsi="Times New Roman"/>
          <w:sz w:val="22"/>
        </w:rPr>
        <w:t>) AUG expression levels. Arrows denote</w:t>
      </w:r>
      <w:r>
        <w:rPr>
          <w:rFonts w:hint="eastAsia"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 xml:space="preserve"> the direction of signal transmission from signaling to receiving cells.</w:t>
      </w:r>
      <w:r>
        <w:rPr>
          <w:rFonts w:hint="eastAsia"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b/>
          <w:bCs/>
          <w:sz w:val="22"/>
        </w:rPr>
        <w:t>C-D.</w:t>
      </w:r>
      <w:r>
        <w:rPr>
          <w:rFonts w:hint="eastAsia"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Comparative analysis of incoming, outgoing, and overall signaling patterns across different cell subsets in </w:t>
      </w:r>
      <w:r>
        <w:rPr>
          <w:rFonts w:hint="eastAsia" w:ascii="Times New Roman" w:hAnsi="Times New Roman"/>
          <w:sz w:val="22"/>
        </w:rPr>
        <w:t>HC</w:t>
      </w:r>
      <w:r>
        <w:rPr>
          <w:rFonts w:ascii="Times New Roman" w:hAnsi="Times New Roman"/>
          <w:sz w:val="22"/>
        </w:rPr>
        <w:t>-AUG</w:t>
      </w:r>
      <w:r>
        <w:rPr>
          <w:rFonts w:ascii="Times New Roman" w:hAnsi="Times New Roman"/>
          <w:sz w:val="22"/>
          <w:vertAlign w:val="superscript"/>
        </w:rPr>
        <w:t>low</w:t>
      </w:r>
      <w:r>
        <w:rPr>
          <w:rFonts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 xml:space="preserve">(C) </w:t>
      </w:r>
      <w:r>
        <w:rPr>
          <w:rFonts w:ascii="Times New Roman" w:hAnsi="Times New Roman"/>
          <w:sz w:val="22"/>
        </w:rPr>
        <w:t xml:space="preserve">and </w:t>
      </w:r>
      <w:r>
        <w:rPr>
          <w:rFonts w:hint="eastAsia" w:ascii="Times New Roman" w:hAnsi="Times New Roman"/>
          <w:sz w:val="22"/>
        </w:rPr>
        <w:t>HC</w:t>
      </w:r>
      <w:r>
        <w:rPr>
          <w:rFonts w:ascii="Times New Roman" w:hAnsi="Times New Roman"/>
          <w:sz w:val="22"/>
        </w:rPr>
        <w:t>-AUG</w:t>
      </w:r>
      <w:r>
        <w:rPr>
          <w:rFonts w:ascii="Times New Roman" w:hAnsi="Times New Roman"/>
          <w:sz w:val="22"/>
          <w:vertAlign w:val="superscript"/>
        </w:rPr>
        <w:t>hi</w:t>
      </w:r>
      <w:r>
        <w:rPr>
          <w:rFonts w:ascii="Times New Roman" w:hAnsi="Times New Roman"/>
          <w:sz w:val="22"/>
        </w:rPr>
        <w:t xml:space="preserve"> groups</w:t>
      </w:r>
      <w:r>
        <w:rPr>
          <w:rFonts w:hint="eastAsia" w:ascii="Times New Roman" w:hAnsi="Times New Roman"/>
          <w:sz w:val="22"/>
        </w:rPr>
        <w:t xml:space="preserve"> (D)</w:t>
      </w:r>
      <w:r>
        <w:rPr>
          <w:rFonts w:ascii="Times New Roman" w:hAnsi="Times New Roman"/>
          <w:sz w:val="22"/>
        </w:rPr>
        <w:t>. Upper square bar graphs indicated communication strength within specific pathways, while grey bar graphs represented the number of receptor-ligand pairs.</w:t>
      </w:r>
      <w:r>
        <w:rPr>
          <w:rFonts w:hint="eastAsia" w:ascii="Times New Roman" w:hAnsi="Times New Roman"/>
          <w:sz w:val="2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2"/>
          <w:lang w:val="en-US" w:eastAsia="zh-CN"/>
        </w:rPr>
        <w:t>E.</w:t>
      </w:r>
      <w:r>
        <w:rPr>
          <w:rFonts w:hint="eastAsia" w:ascii="Times New Roman" w:hAnsi="Times New Roman"/>
          <w:sz w:val="22"/>
          <w:lang w:val="en-US" w:eastAsia="zh-CN"/>
        </w:rPr>
        <w:t xml:space="preserve"> </w:t>
      </w:r>
      <w:r>
        <w:rPr>
          <w:rFonts w:ascii="Times New Roman" w:hAnsi="Times New Roman"/>
          <w:sz w:val="22"/>
        </w:rPr>
        <w:t xml:space="preserve">Analysis of MIF gene expression in our clinical cohort revealed significantly elevated levels in </w:t>
      </w:r>
      <w:r>
        <w:rPr>
          <w:rFonts w:hint="eastAsia" w:ascii="Times New Roman" w:hAnsi="Times New Roman"/>
          <w:sz w:val="22"/>
        </w:rPr>
        <w:t>PIS</w:t>
      </w:r>
      <w:r>
        <w:rPr>
          <w:rFonts w:ascii="Times New Roman" w:hAnsi="Times New Roman"/>
          <w:sz w:val="22"/>
        </w:rPr>
        <w:t xml:space="preserve"> patients compared to healthy controls (HC)</w:t>
      </w:r>
      <w:r>
        <w:rPr>
          <w:rFonts w:hint="eastAsia" w:ascii="Times New Roman" w:hAnsi="Times New Roman"/>
          <w:sz w:val="22"/>
          <w:lang w:val="en-US" w:eastAsia="zh-CN"/>
        </w:rPr>
        <w:t xml:space="preserve">. </w:t>
      </w:r>
      <w:r>
        <w:rPr>
          <w:rFonts w:ascii="Times New Roman" w:hAnsi="Times New Roman"/>
          <w:sz w:val="22"/>
        </w:rPr>
        <w:t>Data were analyzed using Bonferroni-adjusted Mann-Whitney tests for all intergroup comparisons (HC vs Pneumonia vs PIS), with significance denoted as *p&lt;0.05, **p&lt;0.01, ***p&lt;0.001, ****p&lt;0.0001.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2" w:h="15842"/>
      <w:pgMar w:top="1701" w:right="1701" w:bottom="1701" w:left="1701" w:header="851" w:footer="992" w:gutter="0"/>
      <w:lnNumType w:countBy="1" w:restart="continuous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88C1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8BB1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8BB14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3E862">
    <w:pPr>
      <w:pStyle w:val="2"/>
      <w:spacing w:before="120" w:after="120"/>
      <w:rPr>
        <w:rFonts w:hint="eastAsia"/>
      </w:rPr>
    </w:pPr>
  </w:p>
  <w:p w14:paraId="4116BC16">
    <w:pPr>
      <w:spacing w:before="120" w:after="1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CA26">
    <w:pPr>
      <w:pStyle w:val="2"/>
      <w:spacing w:before="120" w:after="12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44266">
    <w:pPr>
      <w:spacing w:before="120"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C99C">
    <w:pPr>
      <w:pStyle w:val="3"/>
      <w:spacing w:before="120" w:after="120"/>
      <w:rPr>
        <w:rFonts w:hint="eastAsia"/>
      </w:rPr>
    </w:pPr>
  </w:p>
  <w:p w14:paraId="66B723A3">
    <w:pPr>
      <w:spacing w:before="120" w:after="12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9FEDE">
    <w:pPr>
      <w:pStyle w:val="3"/>
      <w:spacing w:before="120" w:after="12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32A3"/>
    <w:rsid w:val="21395F43"/>
    <w:rsid w:val="23531B69"/>
    <w:rsid w:val="46993A6F"/>
    <w:rsid w:val="71926DC3"/>
    <w:rsid w:val="7B3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1137</Characters>
  <Lines>0</Lines>
  <Paragraphs>0</Paragraphs>
  <TotalTime>1</TotalTime>
  <ScaleCrop>false</ScaleCrop>
  <LinksUpToDate>false</LinksUpToDate>
  <CharactersWithSpaces>1318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2025-01-21T20:48:00Z</dcterms:created>
  <dc:creator>18265</dc:creator>
  <cp:lastModifiedBy>lxm</cp:lastModifiedBy>
  <dcterms:modified xsi:type="dcterms:W3CDTF">2025-04-21T02:55:05Z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eyJoZGlkIjoiMmVjMDFjZTgyY2NkMDE1MzU3OGQxNmI4ZGY2YmE5NDEiLCJ1c2VySWQiOiI0NTk0MDgwNDIifQ==</vt:lpwstr>
  </property>
  <property fmtid="{D5CDD505-2E9C-101B-9397-08002B2CF9AE}" pid="4" name="ICV">
    <vt:lpwstr>D69B87DDFC6741C5B8B965C79579260B_13</vt:lpwstr>
  </property>
</Properties>
</file>