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3DF84" w14:textId="77777777" w:rsidR="003B7FF0" w:rsidRPr="00BA541A" w:rsidRDefault="003B7FF0" w:rsidP="003B7FF0">
      <w:pPr>
        <w:spacing w:before="100" w:beforeAutospacing="1" w:after="100" w:afterAutospacing="1" w:line="360" w:lineRule="auto"/>
        <w:jc w:val="both"/>
        <w:outlineLvl w:val="3"/>
        <w:rPr>
          <w:rFonts w:ascii="Times New Roman" w:hAnsi="Times New Roman" w:cs="Times New Roman"/>
          <w:b/>
          <w:bCs/>
          <w:sz w:val="20"/>
          <w:szCs w:val="20"/>
        </w:rPr>
      </w:pPr>
    </w:p>
    <w:p w14:paraId="2A328420" w14:textId="77777777" w:rsidR="003B7FF0" w:rsidRPr="00BA541A" w:rsidRDefault="003B7FF0" w:rsidP="003B7FF0">
      <w:pPr>
        <w:spacing w:before="100" w:beforeAutospacing="1" w:after="100" w:afterAutospacing="1" w:line="360" w:lineRule="auto"/>
        <w:jc w:val="both"/>
        <w:outlineLvl w:val="3"/>
        <w:rPr>
          <w:rFonts w:ascii="Times New Roman" w:eastAsia="Times New Roman" w:hAnsi="Times New Roman" w:cs="Times New Roman"/>
          <w:bCs/>
          <w:sz w:val="20"/>
          <w:szCs w:val="20"/>
          <w:lang w:eastAsia="en-GB"/>
        </w:rPr>
      </w:pPr>
      <w:r w:rsidRPr="00BA541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5CA76EE" wp14:editId="7341733B">
            <wp:extent cx="5568287" cy="3254991"/>
            <wp:effectExtent l="19050" t="0" r="13363" b="2559"/>
            <wp:docPr id="5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4F2563F7-6528-9934-EFF1-3E3269E2B71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6F0389CD" w14:textId="77777777" w:rsidR="003B7FF0" w:rsidRPr="00BA541A" w:rsidRDefault="003B7FF0" w:rsidP="003B7FF0">
      <w:pPr>
        <w:pStyle w:val="Default"/>
        <w:spacing w:line="360" w:lineRule="auto"/>
        <w:jc w:val="center"/>
        <w:rPr>
          <w:color w:val="auto"/>
          <w:sz w:val="20"/>
          <w:szCs w:val="20"/>
        </w:rPr>
      </w:pPr>
      <w:r w:rsidRPr="00BA541A">
        <w:rPr>
          <w:color w:val="auto"/>
          <w:sz w:val="20"/>
          <w:szCs w:val="20"/>
        </w:rPr>
        <w:t>Graph. 5.1 Annual rainfall distribution</w:t>
      </w:r>
    </w:p>
    <w:p w14:paraId="70B546A8" w14:textId="77777777" w:rsidR="008C374B" w:rsidRDefault="008C374B"/>
    <w:p w14:paraId="1D8FC1EE" w14:textId="77777777" w:rsidR="003B7FF0" w:rsidRPr="00BA541A" w:rsidRDefault="003B7FF0" w:rsidP="003B7FF0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A541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47E063A" wp14:editId="71C19CCF">
            <wp:extent cx="5913120" cy="2245057"/>
            <wp:effectExtent l="0" t="0" r="0" b="0"/>
            <wp:docPr id="6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4932F878-4F13-419B-8EF8-4BAF1089BE0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2F0F996F" w14:textId="77777777" w:rsidR="003B7FF0" w:rsidRPr="00BA541A" w:rsidRDefault="003B7FF0" w:rsidP="003B7FF0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A541A">
        <w:rPr>
          <w:rFonts w:ascii="Times New Roman" w:hAnsi="Times New Roman" w:cs="Times New Roman"/>
          <w:sz w:val="20"/>
          <w:szCs w:val="20"/>
        </w:rPr>
        <w:t>Graph.5.2 Return period VS Annual Rainfall</w:t>
      </w:r>
    </w:p>
    <w:p w14:paraId="215801F1" w14:textId="77777777" w:rsidR="003B7FF0" w:rsidRPr="00BA541A" w:rsidRDefault="003B7FF0" w:rsidP="003B7FF0">
      <w:pPr>
        <w:spacing w:before="100" w:beforeAutospacing="1" w:after="100" w:afterAutospacing="1" w:line="360" w:lineRule="auto"/>
        <w:jc w:val="both"/>
        <w:outlineLvl w:val="3"/>
        <w:rPr>
          <w:rFonts w:ascii="Times New Roman" w:hAnsi="Times New Roman" w:cs="Times New Roman"/>
          <w:b/>
          <w:bCs/>
          <w:sz w:val="20"/>
          <w:szCs w:val="20"/>
        </w:rPr>
      </w:pPr>
    </w:p>
    <w:p w14:paraId="484F4F98" w14:textId="77777777" w:rsidR="003B7FF0" w:rsidRPr="00BA541A" w:rsidRDefault="003B7FF0" w:rsidP="003B7FF0">
      <w:pPr>
        <w:spacing w:before="100" w:beforeAutospacing="1" w:after="100" w:afterAutospacing="1" w:line="360" w:lineRule="auto"/>
        <w:jc w:val="center"/>
        <w:outlineLvl w:val="3"/>
        <w:rPr>
          <w:rFonts w:ascii="Times New Roman" w:hAnsi="Times New Roman" w:cs="Times New Roman"/>
          <w:sz w:val="20"/>
          <w:szCs w:val="20"/>
        </w:rPr>
      </w:pPr>
      <w:r w:rsidRPr="00BA541A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66D2A64" wp14:editId="24FFF494">
            <wp:extent cx="5943600" cy="3009900"/>
            <wp:effectExtent l="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25AD5A47" w14:textId="77777777" w:rsidR="003B7FF0" w:rsidRPr="00BA541A" w:rsidRDefault="003B7FF0" w:rsidP="003B7FF0">
      <w:pPr>
        <w:spacing w:before="100" w:beforeAutospacing="1" w:after="100" w:afterAutospacing="1" w:line="360" w:lineRule="auto"/>
        <w:jc w:val="center"/>
        <w:outlineLvl w:val="3"/>
        <w:rPr>
          <w:rFonts w:ascii="Times New Roman" w:hAnsi="Times New Roman" w:cs="Times New Roman"/>
          <w:sz w:val="20"/>
          <w:szCs w:val="20"/>
        </w:rPr>
      </w:pPr>
      <w:r w:rsidRPr="00BA541A">
        <w:rPr>
          <w:rFonts w:ascii="Times New Roman" w:hAnsi="Times New Roman" w:cs="Times New Roman"/>
          <w:sz w:val="20"/>
          <w:szCs w:val="20"/>
        </w:rPr>
        <w:t>Graph.5.3 R factor VsTime (Years)</w:t>
      </w:r>
    </w:p>
    <w:p w14:paraId="38468AAB" w14:textId="77777777" w:rsidR="003B7FF0" w:rsidRDefault="003B7FF0"/>
    <w:p w14:paraId="6782BCBE" w14:textId="77777777" w:rsidR="003B7FF0" w:rsidRDefault="003B7FF0"/>
    <w:sectPr w:rsidR="003B7F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FF0"/>
    <w:rsid w:val="002A5090"/>
    <w:rsid w:val="003B7FF0"/>
    <w:rsid w:val="003F36CB"/>
    <w:rsid w:val="005C6F5D"/>
    <w:rsid w:val="008027CA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D2B3E"/>
  <w15:chartTrackingRefBased/>
  <w15:docId w15:val="{EE3B7612-BBE7-45A5-B957-70CAC61C5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7FF0"/>
    <w:pPr>
      <w:spacing w:after="200" w:line="276" w:lineRule="auto"/>
    </w:pPr>
    <w:rPr>
      <w:rFonts w:eastAsiaTheme="minorEastAsia"/>
      <w:kern w:val="0"/>
      <w:lang w:val="en-IN"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7FF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7FF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7FF0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7FF0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7FF0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7FF0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7FF0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7FF0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7FF0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7F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7F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7F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7F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7F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7F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7F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7F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7F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7F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B7F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7FF0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B7F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7FF0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B7F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7FF0"/>
    <w:pPr>
      <w:spacing w:after="160" w:line="259" w:lineRule="auto"/>
      <w:ind w:left="720"/>
      <w:contextualSpacing/>
    </w:pPr>
    <w:rPr>
      <w:rFonts w:eastAsiaTheme="minorHAns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B7F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7F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7F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7FF0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3B7FF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val="en-IN"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naina\Downloads\Precipitation%20data%20(3)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H:\phd%202024%20data%2024%20april\26%20Oct%2024%20Papers%20study\Stat%20Analysi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scatterChart>
        <c:scatterStyle val="smoothMarker"/>
        <c:varyColors val="0"/>
        <c:ser>
          <c:idx val="0"/>
          <c:order val="0"/>
          <c:tx>
            <c:strRef>
              <c:f>Sheet1!$U$2</c:f>
              <c:strCache>
                <c:ptCount val="1"/>
                <c:pt idx="0">
                  <c:v>Anuual Rianfall in mm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ysDot"/>
                <a:tailEnd type="triangle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Sheet1!$T$3:$T$43</c:f>
              <c:numCache>
                <c:formatCode>General</c:formatCode>
                <c:ptCount val="41"/>
                <c:pt idx="0">
                  <c:v>1976</c:v>
                </c:pt>
                <c:pt idx="1">
                  <c:v>1977</c:v>
                </c:pt>
                <c:pt idx="2">
                  <c:v>1978</c:v>
                </c:pt>
                <c:pt idx="3">
                  <c:v>1979</c:v>
                </c:pt>
                <c:pt idx="4">
                  <c:v>1980</c:v>
                </c:pt>
                <c:pt idx="5">
                  <c:v>1981</c:v>
                </c:pt>
                <c:pt idx="6">
                  <c:v>1982</c:v>
                </c:pt>
                <c:pt idx="7">
                  <c:v>1983</c:v>
                </c:pt>
                <c:pt idx="8">
                  <c:v>1984</c:v>
                </c:pt>
                <c:pt idx="9">
                  <c:v>1985</c:v>
                </c:pt>
                <c:pt idx="10">
                  <c:v>1986</c:v>
                </c:pt>
                <c:pt idx="11">
                  <c:v>1987</c:v>
                </c:pt>
                <c:pt idx="12">
                  <c:v>1988</c:v>
                </c:pt>
                <c:pt idx="13">
                  <c:v>1989</c:v>
                </c:pt>
                <c:pt idx="14">
                  <c:v>1990</c:v>
                </c:pt>
                <c:pt idx="15">
                  <c:v>1991</c:v>
                </c:pt>
                <c:pt idx="16">
                  <c:v>1992</c:v>
                </c:pt>
                <c:pt idx="17">
                  <c:v>1993</c:v>
                </c:pt>
                <c:pt idx="18">
                  <c:v>1994</c:v>
                </c:pt>
                <c:pt idx="19">
                  <c:v>1995</c:v>
                </c:pt>
                <c:pt idx="20">
                  <c:v>1996</c:v>
                </c:pt>
                <c:pt idx="21">
                  <c:v>1997</c:v>
                </c:pt>
                <c:pt idx="22">
                  <c:v>1998</c:v>
                </c:pt>
                <c:pt idx="23">
                  <c:v>1999</c:v>
                </c:pt>
                <c:pt idx="24">
                  <c:v>2000</c:v>
                </c:pt>
                <c:pt idx="25">
                  <c:v>2001</c:v>
                </c:pt>
                <c:pt idx="26">
                  <c:v>2002</c:v>
                </c:pt>
                <c:pt idx="27">
                  <c:v>2003</c:v>
                </c:pt>
                <c:pt idx="28">
                  <c:v>2004</c:v>
                </c:pt>
                <c:pt idx="29">
                  <c:v>2005</c:v>
                </c:pt>
                <c:pt idx="30">
                  <c:v>2006</c:v>
                </c:pt>
                <c:pt idx="31">
                  <c:v>2007</c:v>
                </c:pt>
                <c:pt idx="32">
                  <c:v>2008</c:v>
                </c:pt>
                <c:pt idx="33">
                  <c:v>2009</c:v>
                </c:pt>
                <c:pt idx="34">
                  <c:v>2010</c:v>
                </c:pt>
                <c:pt idx="35">
                  <c:v>2011</c:v>
                </c:pt>
                <c:pt idx="36">
                  <c:v>2012</c:v>
                </c:pt>
                <c:pt idx="37">
                  <c:v>2013</c:v>
                </c:pt>
                <c:pt idx="38">
                  <c:v>2014</c:v>
                </c:pt>
                <c:pt idx="39">
                  <c:v>2015</c:v>
                </c:pt>
                <c:pt idx="40">
                  <c:v>2016</c:v>
                </c:pt>
              </c:numCache>
            </c:numRef>
          </c:xVal>
          <c:yVal>
            <c:numRef>
              <c:f>Sheet1!$U$3:$U$43</c:f>
              <c:numCache>
                <c:formatCode>General</c:formatCode>
                <c:ptCount val="41"/>
                <c:pt idx="0">
                  <c:v>2502.4</c:v>
                </c:pt>
                <c:pt idx="1">
                  <c:v>2719.3</c:v>
                </c:pt>
                <c:pt idx="2">
                  <c:v>2796</c:v>
                </c:pt>
                <c:pt idx="3">
                  <c:v>2329.4</c:v>
                </c:pt>
                <c:pt idx="4">
                  <c:v>2333.8000000000002</c:v>
                </c:pt>
                <c:pt idx="5">
                  <c:v>2651.9</c:v>
                </c:pt>
                <c:pt idx="6">
                  <c:v>2511.8000000000002</c:v>
                </c:pt>
                <c:pt idx="7">
                  <c:v>3663.9</c:v>
                </c:pt>
                <c:pt idx="8">
                  <c:v>2454.6</c:v>
                </c:pt>
                <c:pt idx="9">
                  <c:v>2665.3</c:v>
                </c:pt>
                <c:pt idx="10">
                  <c:v>1590.4</c:v>
                </c:pt>
                <c:pt idx="11">
                  <c:v>2700.5</c:v>
                </c:pt>
                <c:pt idx="12">
                  <c:v>2952.7000000000003</c:v>
                </c:pt>
                <c:pt idx="13">
                  <c:v>2649.5</c:v>
                </c:pt>
                <c:pt idx="14">
                  <c:v>3112</c:v>
                </c:pt>
                <c:pt idx="15">
                  <c:v>2118.9</c:v>
                </c:pt>
                <c:pt idx="16">
                  <c:v>2515.1000000000004</c:v>
                </c:pt>
                <c:pt idx="17">
                  <c:v>2966.5</c:v>
                </c:pt>
                <c:pt idx="18">
                  <c:v>2509.6000000000004</c:v>
                </c:pt>
                <c:pt idx="19">
                  <c:v>2314.2000000000003</c:v>
                </c:pt>
                <c:pt idx="20">
                  <c:v>2912</c:v>
                </c:pt>
                <c:pt idx="21">
                  <c:v>3011.4</c:v>
                </c:pt>
                <c:pt idx="22">
                  <c:v>3155.9</c:v>
                </c:pt>
                <c:pt idx="23">
                  <c:v>2477.6000000000004</c:v>
                </c:pt>
                <c:pt idx="24">
                  <c:v>3165.6000000000004</c:v>
                </c:pt>
                <c:pt idx="25">
                  <c:v>2226.1</c:v>
                </c:pt>
                <c:pt idx="26">
                  <c:v>2230.4</c:v>
                </c:pt>
                <c:pt idx="27">
                  <c:v>2466.7000000000003</c:v>
                </c:pt>
                <c:pt idx="28">
                  <c:v>2692.7000000000003</c:v>
                </c:pt>
                <c:pt idx="29">
                  <c:v>3124.4</c:v>
                </c:pt>
                <c:pt idx="30">
                  <c:v>3426.2000000000003</c:v>
                </c:pt>
                <c:pt idx="31">
                  <c:v>3461.3</c:v>
                </c:pt>
                <c:pt idx="32">
                  <c:v>2639.2000000000003</c:v>
                </c:pt>
                <c:pt idx="33">
                  <c:v>2679</c:v>
                </c:pt>
                <c:pt idx="34">
                  <c:v>3610.6000000000004</c:v>
                </c:pt>
                <c:pt idx="35">
                  <c:v>3635.5</c:v>
                </c:pt>
                <c:pt idx="36">
                  <c:v>2709.2000000000003</c:v>
                </c:pt>
                <c:pt idx="37">
                  <c:v>2936.6000000000004</c:v>
                </c:pt>
                <c:pt idx="38">
                  <c:v>2571.5</c:v>
                </c:pt>
                <c:pt idx="39">
                  <c:v>1875.7</c:v>
                </c:pt>
                <c:pt idx="40">
                  <c:v>3015.2000000000003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DE51-407B-9B00-A9569B00D0D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231732544"/>
        <c:axId val="1231736896"/>
      </c:scatterChart>
      <c:valAx>
        <c:axId val="123173254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Year</a:t>
                </a:r>
              </a:p>
            </c:rich>
          </c:tx>
          <c:layout>
            <c:manualLayout>
              <c:xMode val="edge"/>
              <c:yMode val="edge"/>
              <c:x val="0.50054012345679022"/>
              <c:y val="0.9426666566345927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231736896"/>
        <c:crosses val="autoZero"/>
        <c:crossBetween val="midCat"/>
      </c:valAx>
      <c:valAx>
        <c:axId val="12317368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 sz="14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Rainfall</a:t>
                </a:r>
                <a:r>
                  <a:rPr lang="en-IN" sz="14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in mm</a:t>
                </a:r>
                <a:endParaRPr lang="en-IN" sz="1400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7.7160493827161201E-3"/>
              <c:y val="0.37139446568582429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23173254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>
      <a:solidFill>
        <a:schemeClr val="tx1"/>
      </a:solidFill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autoTitleDeleted val="1"/>
    <c:plotArea>
      <c:layout>
        <c:manualLayout>
          <c:layoutTarget val="inner"/>
          <c:xMode val="edge"/>
          <c:yMode val="edge"/>
          <c:x val="9.7782381796865422E-2"/>
          <c:y val="5.0482597696723544E-2"/>
          <c:w val="0.85532969766538847"/>
          <c:h val="0.80651465950805512"/>
        </c:manualLayout>
      </c:layout>
      <c:scatterChart>
        <c:scatterStyle val="lineMarker"/>
        <c:varyColors val="0"/>
        <c:ser>
          <c:idx val="0"/>
          <c:order val="0"/>
          <c:spPr>
            <a:ln w="28575" cap="rnd" cmpd="sng" algn="ctr">
              <a:noFill/>
              <a:prstDash val="solid"/>
              <a:round/>
            </a:ln>
            <a:effectLst/>
          </c:spPr>
          <c:marker>
            <c:spPr>
              <a:solidFill>
                <a:schemeClr val="accent1"/>
              </a:solidFill>
              <a:ln w="6350" cap="flat" cmpd="sng" algn="ctr">
                <a:solidFill>
                  <a:schemeClr val="accent1"/>
                </a:solidFill>
                <a:prstDash val="solid"/>
                <a:round/>
              </a:ln>
              <a:effectLst/>
            </c:spPr>
          </c:marker>
          <c:trendline>
            <c:spPr>
              <a:ln w="6350" cap="rnd" cmpd="sng" algn="ctr">
                <a:solidFill>
                  <a:schemeClr val="tx1"/>
                </a:solidFill>
                <a:prstDash val="solid"/>
                <a:round/>
              </a:ln>
              <a:effectLst/>
            </c:spPr>
            <c:trendlineType val="log"/>
            <c:dispRSqr val="1"/>
            <c:dispEq val="1"/>
            <c:trendlineLbl>
              <c:layout>
                <c:manualLayout>
                  <c:x val="6.3467442509536023E-2"/>
                  <c:y val="0.49308248938906918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000" b="0" i="0" u="none" strike="noStrike" kern="1200" baseline="0">
                      <a:solidFill>
                        <a:schemeClr val="tx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Sheet1!$AC$47:$AC$87</c:f>
              <c:numCache>
                <c:formatCode>General</c:formatCode>
                <c:ptCount val="41"/>
                <c:pt idx="0">
                  <c:v>42</c:v>
                </c:pt>
                <c:pt idx="1">
                  <c:v>21</c:v>
                </c:pt>
                <c:pt idx="2">
                  <c:v>14</c:v>
                </c:pt>
                <c:pt idx="3">
                  <c:v>10.5</c:v>
                </c:pt>
                <c:pt idx="4">
                  <c:v>8.4</c:v>
                </c:pt>
                <c:pt idx="5">
                  <c:v>7</c:v>
                </c:pt>
                <c:pt idx="6">
                  <c:v>6</c:v>
                </c:pt>
                <c:pt idx="7">
                  <c:v>5.25</c:v>
                </c:pt>
                <c:pt idx="8">
                  <c:v>4.666666666666667</c:v>
                </c:pt>
                <c:pt idx="9">
                  <c:v>4.2</c:v>
                </c:pt>
                <c:pt idx="10">
                  <c:v>3.8181818181818192</c:v>
                </c:pt>
                <c:pt idx="11">
                  <c:v>3.5</c:v>
                </c:pt>
                <c:pt idx="12">
                  <c:v>3.2307692307692308</c:v>
                </c:pt>
                <c:pt idx="13">
                  <c:v>3</c:v>
                </c:pt>
                <c:pt idx="14">
                  <c:v>2.8</c:v>
                </c:pt>
                <c:pt idx="15">
                  <c:v>2.625</c:v>
                </c:pt>
                <c:pt idx="16">
                  <c:v>2.4705882352941178</c:v>
                </c:pt>
                <c:pt idx="17">
                  <c:v>2.3333333333333335</c:v>
                </c:pt>
                <c:pt idx="18">
                  <c:v>2.2105263157894752</c:v>
                </c:pt>
                <c:pt idx="19">
                  <c:v>2.1</c:v>
                </c:pt>
                <c:pt idx="20">
                  <c:v>2</c:v>
                </c:pt>
                <c:pt idx="21">
                  <c:v>1.9090909090909089</c:v>
                </c:pt>
                <c:pt idx="22">
                  <c:v>1.8260869565217503</c:v>
                </c:pt>
                <c:pt idx="23">
                  <c:v>1.75</c:v>
                </c:pt>
                <c:pt idx="24">
                  <c:v>1.6800000000000062</c:v>
                </c:pt>
                <c:pt idx="25">
                  <c:v>1.6153846153846074</c:v>
                </c:pt>
                <c:pt idx="26">
                  <c:v>1.555555555555556</c:v>
                </c:pt>
                <c:pt idx="27">
                  <c:v>1.5</c:v>
                </c:pt>
                <c:pt idx="28">
                  <c:v>1.4482758620689655</c:v>
                </c:pt>
                <c:pt idx="29">
                  <c:v>1.4</c:v>
                </c:pt>
                <c:pt idx="30">
                  <c:v>1.3548387096774193</c:v>
                </c:pt>
                <c:pt idx="31">
                  <c:v>1.3125</c:v>
                </c:pt>
                <c:pt idx="32">
                  <c:v>1.2727272727272718</c:v>
                </c:pt>
                <c:pt idx="33">
                  <c:v>1.2352941176470476</c:v>
                </c:pt>
                <c:pt idx="34">
                  <c:v>1.2</c:v>
                </c:pt>
                <c:pt idx="35">
                  <c:v>1.1666666666666667</c:v>
                </c:pt>
                <c:pt idx="36">
                  <c:v>1.1351351351351351</c:v>
                </c:pt>
                <c:pt idx="37">
                  <c:v>1.1052631578947358</c:v>
                </c:pt>
                <c:pt idx="38">
                  <c:v>1.0769230769230769</c:v>
                </c:pt>
                <c:pt idx="39">
                  <c:v>1.05</c:v>
                </c:pt>
                <c:pt idx="40">
                  <c:v>1.0243902439024328</c:v>
                </c:pt>
              </c:numCache>
            </c:numRef>
          </c:xVal>
          <c:yVal>
            <c:numRef>
              <c:f>Sheet1!$AD$47:$AD$87</c:f>
              <c:numCache>
                <c:formatCode>General</c:formatCode>
                <c:ptCount val="41"/>
                <c:pt idx="0">
                  <c:v>3663.9</c:v>
                </c:pt>
                <c:pt idx="1">
                  <c:v>3635.5</c:v>
                </c:pt>
                <c:pt idx="2">
                  <c:v>3610.6000000000004</c:v>
                </c:pt>
                <c:pt idx="3">
                  <c:v>3461.3</c:v>
                </c:pt>
                <c:pt idx="4">
                  <c:v>3426.2000000000003</c:v>
                </c:pt>
                <c:pt idx="5">
                  <c:v>3165.6000000000004</c:v>
                </c:pt>
                <c:pt idx="6">
                  <c:v>3155.9</c:v>
                </c:pt>
                <c:pt idx="7">
                  <c:v>3124.4</c:v>
                </c:pt>
                <c:pt idx="8">
                  <c:v>3112</c:v>
                </c:pt>
                <c:pt idx="9">
                  <c:v>3015.2000000000003</c:v>
                </c:pt>
                <c:pt idx="10">
                  <c:v>3011.4</c:v>
                </c:pt>
                <c:pt idx="11">
                  <c:v>2966.5</c:v>
                </c:pt>
                <c:pt idx="12">
                  <c:v>2952.7000000000003</c:v>
                </c:pt>
                <c:pt idx="13">
                  <c:v>2936.6000000000004</c:v>
                </c:pt>
                <c:pt idx="14">
                  <c:v>2912</c:v>
                </c:pt>
                <c:pt idx="15">
                  <c:v>2796</c:v>
                </c:pt>
                <c:pt idx="16">
                  <c:v>2719.3</c:v>
                </c:pt>
                <c:pt idx="17">
                  <c:v>2709.2000000000003</c:v>
                </c:pt>
                <c:pt idx="18">
                  <c:v>2700.5</c:v>
                </c:pt>
                <c:pt idx="19">
                  <c:v>2692.7000000000003</c:v>
                </c:pt>
                <c:pt idx="20">
                  <c:v>2679</c:v>
                </c:pt>
                <c:pt idx="21">
                  <c:v>2665.3</c:v>
                </c:pt>
                <c:pt idx="22">
                  <c:v>2651.9</c:v>
                </c:pt>
                <c:pt idx="23">
                  <c:v>2649.5</c:v>
                </c:pt>
                <c:pt idx="24">
                  <c:v>2639.2000000000003</c:v>
                </c:pt>
                <c:pt idx="25">
                  <c:v>2571.5</c:v>
                </c:pt>
                <c:pt idx="26">
                  <c:v>2515.1000000000004</c:v>
                </c:pt>
                <c:pt idx="27">
                  <c:v>2511.8000000000002</c:v>
                </c:pt>
                <c:pt idx="28">
                  <c:v>2509.6000000000004</c:v>
                </c:pt>
                <c:pt idx="29">
                  <c:v>2502.4</c:v>
                </c:pt>
                <c:pt idx="30">
                  <c:v>2477.6000000000004</c:v>
                </c:pt>
                <c:pt idx="31">
                  <c:v>2466.7000000000003</c:v>
                </c:pt>
                <c:pt idx="32">
                  <c:v>2454.6</c:v>
                </c:pt>
                <c:pt idx="33">
                  <c:v>2333.8000000000002</c:v>
                </c:pt>
                <c:pt idx="34">
                  <c:v>2329.4</c:v>
                </c:pt>
                <c:pt idx="35">
                  <c:v>2314.2000000000003</c:v>
                </c:pt>
                <c:pt idx="36">
                  <c:v>2230.4</c:v>
                </c:pt>
                <c:pt idx="37">
                  <c:v>2226.1</c:v>
                </c:pt>
                <c:pt idx="38">
                  <c:v>2118.9</c:v>
                </c:pt>
                <c:pt idx="39">
                  <c:v>1875.7</c:v>
                </c:pt>
                <c:pt idx="40">
                  <c:v>1590.4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0529-46DC-9D42-FECEA64F471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231733632"/>
        <c:axId val="1231735808"/>
      </c:scatterChart>
      <c:valAx>
        <c:axId val="1231733632"/>
        <c:scaling>
          <c:logBase val="10"/>
          <c:orientation val="minMax"/>
        </c:scaling>
        <c:delete val="0"/>
        <c:axPos val="b"/>
        <c:majorGridlines>
          <c:spPr>
            <a:ln w="6350" cap="flat" cmpd="sng" algn="ctr">
              <a:solidFill>
                <a:schemeClr val="tx1">
                  <a:tint val="75000"/>
                </a:schemeClr>
              </a:solidFill>
              <a:prstDash val="solid"/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/>
                  <a:t>Return Period (Year)</a:t>
                </a:r>
              </a:p>
            </c:rich>
          </c:tx>
          <c:layout>
            <c:manualLayout>
              <c:xMode val="edge"/>
              <c:yMode val="edge"/>
              <c:x val="0.22038550813075458"/>
              <c:y val="0.91685783371566743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solidFill>
              <a:schemeClr val="tx1"/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31735808"/>
        <c:crossesAt val="0"/>
        <c:crossBetween val="midCat"/>
      </c:valAx>
      <c:valAx>
        <c:axId val="1231735808"/>
        <c:scaling>
          <c:orientation val="minMax"/>
        </c:scaling>
        <c:delete val="0"/>
        <c:axPos val="l"/>
        <c:majorGridlines>
          <c:spPr>
            <a:ln w="6350" cap="flat" cmpd="sng" algn="ctr">
              <a:solidFill>
                <a:schemeClr val="tx1">
                  <a:tint val="75000"/>
                </a:schemeClr>
              </a:solidFill>
              <a:prstDash val="solid"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/>
                  <a:t>Annual Rainfall in mm</a:t>
                </a:r>
              </a:p>
            </c:rich>
          </c:tx>
          <c:layout>
            <c:manualLayout>
              <c:xMode val="edge"/>
              <c:yMode val="edge"/>
              <c:x val="1.1539307988098519E-3"/>
              <c:y val="0.36170805026745967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0"/>
        <c:majorTickMark val="none"/>
        <c:minorTickMark val="none"/>
        <c:tickLblPos val="nextTo"/>
        <c:spPr>
          <a:noFill/>
          <a:ln w="6350" cap="flat" cmpd="sng" algn="ctr">
            <a:solidFill>
              <a:schemeClr val="tx1">
                <a:tint val="7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31733632"/>
        <c:crosses val="autoZero"/>
        <c:crossBetween val="midCat"/>
      </c:valAx>
      <c:spPr>
        <a:solidFill>
          <a:schemeClr val="bg1"/>
        </a:soli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 b="1">
                <a:latin typeface="Times New Roman" panose="02020603050405020304" pitchFamily="18" charset="0"/>
                <a:cs typeface="Times New Roman" panose="02020603050405020304" pitchFamily="18" charset="0"/>
              </a:rPr>
              <a:t>R Factor Chart(2006-2021) 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scatterChart>
        <c:scatterStyle val="smoothMarker"/>
        <c:varyColors val="0"/>
        <c:ser>
          <c:idx val="0"/>
          <c:order val="0"/>
          <c:tx>
            <c:strRef>
              <c:f>Sheet1!$J$4</c:f>
              <c:strCache>
                <c:ptCount val="1"/>
                <c:pt idx="0">
                  <c:v>Chiplun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Sheet1!$I$5:$I$20</c:f>
              <c:numCache>
                <c:formatCode>General</c:formatCode>
                <c:ptCount val="16"/>
                <c:pt idx="0">
                  <c:v>2006</c:v>
                </c:pt>
                <c:pt idx="1">
                  <c:v>2007</c:v>
                </c:pt>
                <c:pt idx="2">
                  <c:v>2008</c:v>
                </c:pt>
                <c:pt idx="3">
                  <c:v>2009</c:v>
                </c:pt>
                <c:pt idx="4">
                  <c:v>2010</c:v>
                </c:pt>
                <c:pt idx="5">
                  <c:v>2011</c:v>
                </c:pt>
                <c:pt idx="6">
                  <c:v>2012</c:v>
                </c:pt>
                <c:pt idx="7">
                  <c:v>2013</c:v>
                </c:pt>
                <c:pt idx="8">
                  <c:v>2014</c:v>
                </c:pt>
                <c:pt idx="9">
                  <c:v>2015</c:v>
                </c:pt>
                <c:pt idx="10">
                  <c:v>2016</c:v>
                </c:pt>
                <c:pt idx="11">
                  <c:v>2017</c:v>
                </c:pt>
                <c:pt idx="12">
                  <c:v>2018</c:v>
                </c:pt>
                <c:pt idx="13">
                  <c:v>2019</c:v>
                </c:pt>
                <c:pt idx="14">
                  <c:v>2020</c:v>
                </c:pt>
                <c:pt idx="15">
                  <c:v>2021</c:v>
                </c:pt>
              </c:numCache>
            </c:numRef>
          </c:xVal>
          <c:yVal>
            <c:numRef>
              <c:f>Sheet1!$J$5:$J$20</c:f>
              <c:numCache>
                <c:formatCode>General</c:formatCode>
                <c:ptCount val="16"/>
                <c:pt idx="0">
                  <c:v>37466.239999999998</c:v>
                </c:pt>
                <c:pt idx="1">
                  <c:v>31235.129999999979</c:v>
                </c:pt>
                <c:pt idx="2">
                  <c:v>18648.990000000005</c:v>
                </c:pt>
                <c:pt idx="3">
                  <c:v>36951.89</c:v>
                </c:pt>
                <c:pt idx="4">
                  <c:v>29280.67</c:v>
                </c:pt>
                <c:pt idx="5">
                  <c:v>38966.980000000003</c:v>
                </c:pt>
                <c:pt idx="6">
                  <c:v>26574.57</c:v>
                </c:pt>
                <c:pt idx="7">
                  <c:v>44920.47</c:v>
                </c:pt>
                <c:pt idx="8">
                  <c:v>31087.243999999999</c:v>
                </c:pt>
                <c:pt idx="9">
                  <c:v>21687.164000000001</c:v>
                </c:pt>
                <c:pt idx="10">
                  <c:v>24514.609999999979</c:v>
                </c:pt>
                <c:pt idx="11">
                  <c:v>23160.95</c:v>
                </c:pt>
                <c:pt idx="12">
                  <c:v>26558.21</c:v>
                </c:pt>
                <c:pt idx="13">
                  <c:v>41954.28</c:v>
                </c:pt>
                <c:pt idx="14">
                  <c:v>26826.73</c:v>
                </c:pt>
                <c:pt idx="15">
                  <c:v>35815.53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CE60-40F1-91B2-9CEC24D11C96}"/>
            </c:ext>
          </c:extLst>
        </c:ser>
        <c:ser>
          <c:idx val="1"/>
          <c:order val="1"/>
          <c:tx>
            <c:strRef>
              <c:f>Sheet1!$K$4</c:f>
              <c:strCache>
                <c:ptCount val="1"/>
                <c:pt idx="0">
                  <c:v>Khed</c:v>
                </c:pt>
              </c:strCache>
            </c:strRef>
          </c:tx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numRef>
              <c:f>Sheet1!$I$5:$I$20</c:f>
              <c:numCache>
                <c:formatCode>General</c:formatCode>
                <c:ptCount val="16"/>
                <c:pt idx="0">
                  <c:v>2006</c:v>
                </c:pt>
                <c:pt idx="1">
                  <c:v>2007</c:v>
                </c:pt>
                <c:pt idx="2">
                  <c:v>2008</c:v>
                </c:pt>
                <c:pt idx="3">
                  <c:v>2009</c:v>
                </c:pt>
                <c:pt idx="4">
                  <c:v>2010</c:v>
                </c:pt>
                <c:pt idx="5">
                  <c:v>2011</c:v>
                </c:pt>
                <c:pt idx="6">
                  <c:v>2012</c:v>
                </c:pt>
                <c:pt idx="7">
                  <c:v>2013</c:v>
                </c:pt>
                <c:pt idx="8">
                  <c:v>2014</c:v>
                </c:pt>
                <c:pt idx="9">
                  <c:v>2015</c:v>
                </c:pt>
                <c:pt idx="10">
                  <c:v>2016</c:v>
                </c:pt>
                <c:pt idx="11">
                  <c:v>2017</c:v>
                </c:pt>
                <c:pt idx="12">
                  <c:v>2018</c:v>
                </c:pt>
                <c:pt idx="13">
                  <c:v>2019</c:v>
                </c:pt>
                <c:pt idx="14">
                  <c:v>2020</c:v>
                </c:pt>
                <c:pt idx="15">
                  <c:v>2021</c:v>
                </c:pt>
              </c:numCache>
            </c:numRef>
          </c:xVal>
          <c:yVal>
            <c:numRef>
              <c:f>Sheet1!$K$5:$K$20</c:f>
              <c:numCache>
                <c:formatCode>General</c:formatCode>
                <c:ptCount val="16"/>
                <c:pt idx="0">
                  <c:v>22733.480000000021</c:v>
                </c:pt>
                <c:pt idx="1">
                  <c:v>22412.9</c:v>
                </c:pt>
                <c:pt idx="2">
                  <c:v>18992.97</c:v>
                </c:pt>
                <c:pt idx="3">
                  <c:v>35450.910000000003</c:v>
                </c:pt>
                <c:pt idx="4">
                  <c:v>32502.02</c:v>
                </c:pt>
                <c:pt idx="5">
                  <c:v>27416.23</c:v>
                </c:pt>
                <c:pt idx="6">
                  <c:v>17642.34</c:v>
                </c:pt>
                <c:pt idx="7">
                  <c:v>45952.92</c:v>
                </c:pt>
                <c:pt idx="8">
                  <c:v>26977.95</c:v>
                </c:pt>
                <c:pt idx="9">
                  <c:v>19010.169999999976</c:v>
                </c:pt>
                <c:pt idx="10">
                  <c:v>34133.64</c:v>
                </c:pt>
                <c:pt idx="11">
                  <c:v>15081.84</c:v>
                </c:pt>
                <c:pt idx="12">
                  <c:v>33240.160000000003</c:v>
                </c:pt>
                <c:pt idx="13">
                  <c:v>37938.9</c:v>
                </c:pt>
                <c:pt idx="14">
                  <c:v>29734</c:v>
                </c:pt>
                <c:pt idx="15">
                  <c:v>41695.67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CE60-40F1-91B2-9CEC24D11C96}"/>
            </c:ext>
          </c:extLst>
        </c:ser>
        <c:ser>
          <c:idx val="2"/>
          <c:order val="2"/>
          <c:tx>
            <c:strRef>
              <c:f>Sheet1!$L$4</c:f>
              <c:strCache>
                <c:ptCount val="1"/>
                <c:pt idx="0">
                  <c:v>Dapoli</c:v>
                </c:pt>
              </c:strCache>
            </c:strRef>
          </c:tx>
          <c:spPr>
            <a:ln w="19050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xVal>
            <c:numRef>
              <c:f>Sheet1!$I$5:$I$20</c:f>
              <c:numCache>
                <c:formatCode>General</c:formatCode>
                <c:ptCount val="16"/>
                <c:pt idx="0">
                  <c:v>2006</c:v>
                </c:pt>
                <c:pt idx="1">
                  <c:v>2007</c:v>
                </c:pt>
                <c:pt idx="2">
                  <c:v>2008</c:v>
                </c:pt>
                <c:pt idx="3">
                  <c:v>2009</c:v>
                </c:pt>
                <c:pt idx="4">
                  <c:v>2010</c:v>
                </c:pt>
                <c:pt idx="5">
                  <c:v>2011</c:v>
                </c:pt>
                <c:pt idx="6">
                  <c:v>2012</c:v>
                </c:pt>
                <c:pt idx="7">
                  <c:v>2013</c:v>
                </c:pt>
                <c:pt idx="8">
                  <c:v>2014</c:v>
                </c:pt>
                <c:pt idx="9">
                  <c:v>2015</c:v>
                </c:pt>
                <c:pt idx="10">
                  <c:v>2016</c:v>
                </c:pt>
                <c:pt idx="11">
                  <c:v>2017</c:v>
                </c:pt>
                <c:pt idx="12">
                  <c:v>2018</c:v>
                </c:pt>
                <c:pt idx="13">
                  <c:v>2019</c:v>
                </c:pt>
                <c:pt idx="14">
                  <c:v>2020</c:v>
                </c:pt>
                <c:pt idx="15">
                  <c:v>2021</c:v>
                </c:pt>
              </c:numCache>
            </c:numRef>
          </c:xVal>
          <c:yVal>
            <c:numRef>
              <c:f>Sheet1!$L$5:$L$20</c:f>
              <c:numCache>
                <c:formatCode>General</c:formatCode>
                <c:ptCount val="16"/>
                <c:pt idx="0">
                  <c:v>22437.235000000001</c:v>
                </c:pt>
                <c:pt idx="1">
                  <c:v>25404.309999999979</c:v>
                </c:pt>
                <c:pt idx="2">
                  <c:v>15891.23000000001</c:v>
                </c:pt>
                <c:pt idx="3">
                  <c:v>22185.97</c:v>
                </c:pt>
                <c:pt idx="4">
                  <c:v>35459.450000000012</c:v>
                </c:pt>
                <c:pt idx="5">
                  <c:v>48552.58</c:v>
                </c:pt>
                <c:pt idx="6">
                  <c:v>19258.97</c:v>
                </c:pt>
                <c:pt idx="7">
                  <c:v>64071.71</c:v>
                </c:pt>
                <c:pt idx="8">
                  <c:v>35542.620000000003</c:v>
                </c:pt>
                <c:pt idx="9">
                  <c:v>26336.59</c:v>
                </c:pt>
                <c:pt idx="10">
                  <c:v>30545.940000000021</c:v>
                </c:pt>
                <c:pt idx="11">
                  <c:v>21113.39</c:v>
                </c:pt>
                <c:pt idx="12">
                  <c:v>27922.5</c:v>
                </c:pt>
                <c:pt idx="13">
                  <c:v>22874.54</c:v>
                </c:pt>
                <c:pt idx="14">
                  <c:v>25778.07</c:v>
                </c:pt>
                <c:pt idx="15">
                  <c:v>47855.92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CE60-40F1-91B2-9CEC24D11C96}"/>
            </c:ext>
          </c:extLst>
        </c:ser>
        <c:ser>
          <c:idx val="3"/>
          <c:order val="3"/>
          <c:tx>
            <c:strRef>
              <c:f>Sheet1!$M$4</c:f>
              <c:strCache>
                <c:ptCount val="1"/>
                <c:pt idx="0">
                  <c:v>Guhagar</c:v>
                </c:pt>
              </c:strCache>
            </c:strRef>
          </c:tx>
          <c:spPr>
            <a:ln w="19050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xVal>
            <c:numRef>
              <c:f>Sheet1!$I$5:$I$20</c:f>
              <c:numCache>
                <c:formatCode>General</c:formatCode>
                <c:ptCount val="16"/>
                <c:pt idx="0">
                  <c:v>2006</c:v>
                </c:pt>
                <c:pt idx="1">
                  <c:v>2007</c:v>
                </c:pt>
                <c:pt idx="2">
                  <c:v>2008</c:v>
                </c:pt>
                <c:pt idx="3">
                  <c:v>2009</c:v>
                </c:pt>
                <c:pt idx="4">
                  <c:v>2010</c:v>
                </c:pt>
                <c:pt idx="5">
                  <c:v>2011</c:v>
                </c:pt>
                <c:pt idx="6">
                  <c:v>2012</c:v>
                </c:pt>
                <c:pt idx="7">
                  <c:v>2013</c:v>
                </c:pt>
                <c:pt idx="8">
                  <c:v>2014</c:v>
                </c:pt>
                <c:pt idx="9">
                  <c:v>2015</c:v>
                </c:pt>
                <c:pt idx="10">
                  <c:v>2016</c:v>
                </c:pt>
                <c:pt idx="11">
                  <c:v>2017</c:v>
                </c:pt>
                <c:pt idx="12">
                  <c:v>2018</c:v>
                </c:pt>
                <c:pt idx="13">
                  <c:v>2019</c:v>
                </c:pt>
                <c:pt idx="14">
                  <c:v>2020</c:v>
                </c:pt>
                <c:pt idx="15">
                  <c:v>2021</c:v>
                </c:pt>
              </c:numCache>
            </c:numRef>
          </c:xVal>
          <c:yVal>
            <c:numRef>
              <c:f>Sheet1!$M$5:$M$20</c:f>
              <c:numCache>
                <c:formatCode>General</c:formatCode>
                <c:ptCount val="16"/>
                <c:pt idx="0">
                  <c:v>7607.9699999999993</c:v>
                </c:pt>
                <c:pt idx="1">
                  <c:v>24422.45</c:v>
                </c:pt>
                <c:pt idx="2">
                  <c:v>8780.9699999999793</c:v>
                </c:pt>
                <c:pt idx="3">
                  <c:v>17847.72</c:v>
                </c:pt>
                <c:pt idx="4">
                  <c:v>37051.97</c:v>
                </c:pt>
                <c:pt idx="5">
                  <c:v>30858.68</c:v>
                </c:pt>
                <c:pt idx="6">
                  <c:v>12411.210000000006</c:v>
                </c:pt>
                <c:pt idx="7">
                  <c:v>38790.86</c:v>
                </c:pt>
                <c:pt idx="8">
                  <c:v>26801.3</c:v>
                </c:pt>
                <c:pt idx="9">
                  <c:v>20307.66</c:v>
                </c:pt>
                <c:pt idx="10">
                  <c:v>23960.760000000009</c:v>
                </c:pt>
                <c:pt idx="11">
                  <c:v>12926.31</c:v>
                </c:pt>
                <c:pt idx="12">
                  <c:v>35199.880000000012</c:v>
                </c:pt>
                <c:pt idx="13">
                  <c:v>29592.280000000021</c:v>
                </c:pt>
                <c:pt idx="14">
                  <c:v>18920.599999999977</c:v>
                </c:pt>
                <c:pt idx="15">
                  <c:v>41884.850000000013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CE60-40F1-91B2-9CEC24D11C9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231733088"/>
        <c:axId val="1231730368"/>
      </c:scatterChart>
      <c:valAx>
        <c:axId val="123173308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 algn="ctr" rtl="0">
                  <a:defRPr lang="en-IN" sz="1000" b="1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 sz="1000" b="1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rPr>
                  <a:t>Year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31730368"/>
        <c:crosses val="autoZero"/>
        <c:crossBetween val="midCat"/>
      </c:valAx>
      <c:valAx>
        <c:axId val="12317303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 Factor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31733088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6E93E8-477C-4285-B571-F942B57D6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</Words>
  <Characters>109</Characters>
  <Application>Microsoft Office Word</Application>
  <DocSecurity>0</DocSecurity>
  <Lines>1</Lines>
  <Paragraphs>1</Paragraphs>
  <ScaleCrop>false</ScaleCrop>
  <Company>Springer Nature</Company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2025-03-03T08:55:00Z</dcterms:created>
  <dcterms:modified xsi:type="dcterms:W3CDTF">2025-03-03T08:56:00Z</dcterms:modified>
</cp:coreProperties>
</file>