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C46A9" w14:textId="4CF24B7A" w:rsidR="00830CB7" w:rsidRPr="00C0476D" w:rsidRDefault="00104669" w:rsidP="00830CB7">
      <w:pPr>
        <w:spacing w:line="480" w:lineRule="auto"/>
        <w:jc w:val="center"/>
        <w:rPr>
          <w:rFonts w:ascii="Times New Roman" w:hAnsi="Times New Roman"/>
          <w:b/>
          <w:sz w:val="40"/>
          <w:szCs w:val="40"/>
          <w:u w:val="single"/>
          <w:lang w:val="en-GB"/>
        </w:rPr>
      </w:pPr>
      <w:r w:rsidRPr="00C0476D">
        <w:rPr>
          <w:rFonts w:ascii="Times New Roman" w:hAnsi="Times New Roman"/>
          <w:b/>
          <w:sz w:val="40"/>
          <w:szCs w:val="40"/>
          <w:u w:val="single"/>
          <w:lang w:val="en-GB"/>
        </w:rPr>
        <w:t>Supplementary Information</w:t>
      </w:r>
    </w:p>
    <w:p w14:paraId="4232A411" w14:textId="77777777" w:rsidR="00637556" w:rsidRPr="00C77F62" w:rsidRDefault="00637556" w:rsidP="00637556">
      <w:pPr>
        <w:spacing w:line="480" w:lineRule="auto"/>
        <w:jc w:val="both"/>
        <w:rPr>
          <w:rFonts w:ascii="Times New Roman" w:hAnsi="Times New Roman"/>
          <w:b/>
          <w:sz w:val="28"/>
          <w:szCs w:val="28"/>
        </w:rPr>
      </w:pPr>
      <w:r w:rsidRPr="002C53B9">
        <w:rPr>
          <w:rFonts w:ascii="Times New Roman" w:hAnsi="Times New Roman"/>
          <w:b/>
          <w:sz w:val="28"/>
          <w:szCs w:val="28"/>
        </w:rPr>
        <w:t xml:space="preserve">Toxicological Impacts and Environmental Risk of Atrazine in the Presence of Graphene Family Nanomaterials (GFNs) on </w:t>
      </w:r>
      <w:r w:rsidRPr="002C53B9">
        <w:rPr>
          <w:rFonts w:ascii="Times New Roman" w:hAnsi="Times New Roman"/>
          <w:b/>
          <w:i/>
          <w:sz w:val="28"/>
          <w:szCs w:val="28"/>
        </w:rPr>
        <w:t>Chlorella</w:t>
      </w:r>
      <w:r w:rsidRPr="002C53B9">
        <w:rPr>
          <w:rFonts w:ascii="Times New Roman" w:hAnsi="Times New Roman"/>
          <w:b/>
          <w:sz w:val="28"/>
          <w:szCs w:val="28"/>
        </w:rPr>
        <w:t xml:space="preserve"> sp.</w:t>
      </w:r>
      <w:r w:rsidRPr="00C77F62">
        <w:rPr>
          <w:rFonts w:ascii="Times New Roman" w:hAnsi="Times New Roman"/>
          <w:b/>
          <w:sz w:val="28"/>
          <w:szCs w:val="28"/>
        </w:rPr>
        <w:t xml:space="preserve">  </w:t>
      </w:r>
    </w:p>
    <w:p w14:paraId="2BA67A22" w14:textId="77777777" w:rsidR="00637556" w:rsidRDefault="00637556" w:rsidP="00127AEC">
      <w:pPr>
        <w:spacing w:line="480" w:lineRule="auto"/>
        <w:jc w:val="both"/>
        <w:rPr>
          <w:rFonts w:ascii="Times New Roman" w:hAnsi="Times New Roman"/>
          <w:b/>
          <w:bCs/>
          <w:sz w:val="26"/>
          <w:szCs w:val="26"/>
        </w:rPr>
      </w:pPr>
    </w:p>
    <w:p w14:paraId="63AA07C2" w14:textId="5CA47196" w:rsidR="00127AEC" w:rsidRPr="00C77F62" w:rsidRDefault="00127AEC" w:rsidP="00127AEC">
      <w:pPr>
        <w:spacing w:line="480" w:lineRule="auto"/>
        <w:jc w:val="both"/>
        <w:rPr>
          <w:rFonts w:ascii="Times New Roman" w:hAnsi="Times New Roman"/>
          <w:b/>
          <w:bCs/>
          <w:sz w:val="26"/>
          <w:szCs w:val="26"/>
        </w:rPr>
      </w:pPr>
      <w:r w:rsidRPr="00C77F62">
        <w:rPr>
          <w:rFonts w:ascii="Times New Roman" w:hAnsi="Times New Roman"/>
          <w:b/>
          <w:bCs/>
          <w:sz w:val="26"/>
          <w:szCs w:val="26"/>
        </w:rPr>
        <w:t xml:space="preserve">Abhrajit </w:t>
      </w:r>
      <w:proofErr w:type="spellStart"/>
      <w:r w:rsidRPr="00C77F62">
        <w:rPr>
          <w:rFonts w:ascii="Times New Roman" w:hAnsi="Times New Roman"/>
          <w:b/>
          <w:bCs/>
          <w:sz w:val="26"/>
          <w:szCs w:val="26"/>
        </w:rPr>
        <w:t>Debroy</w:t>
      </w:r>
      <w:r w:rsidRPr="00C77F62">
        <w:rPr>
          <w:rFonts w:ascii="Times New Roman" w:hAnsi="Times New Roman"/>
          <w:b/>
          <w:bCs/>
          <w:sz w:val="26"/>
          <w:szCs w:val="26"/>
          <w:vertAlign w:val="superscript"/>
        </w:rPr>
        <w:t>a</w:t>
      </w:r>
      <w:proofErr w:type="spellEnd"/>
      <w:r w:rsidRPr="00C77F62">
        <w:rPr>
          <w:rFonts w:ascii="Times New Roman" w:hAnsi="Times New Roman"/>
          <w:b/>
          <w:bCs/>
          <w:sz w:val="26"/>
          <w:szCs w:val="26"/>
        </w:rPr>
        <w:t xml:space="preserve">, </w:t>
      </w:r>
      <w:proofErr w:type="spellStart"/>
      <w:r w:rsidRPr="002D476C">
        <w:rPr>
          <w:rFonts w:ascii="Times New Roman" w:hAnsi="Times New Roman"/>
          <w:b/>
          <w:bCs/>
          <w:sz w:val="26"/>
          <w:szCs w:val="26"/>
        </w:rPr>
        <w:t>Mrudula</w:t>
      </w:r>
      <w:proofErr w:type="spellEnd"/>
      <w:r w:rsidRPr="002D476C">
        <w:rPr>
          <w:rFonts w:ascii="Times New Roman" w:hAnsi="Times New Roman"/>
          <w:b/>
          <w:bCs/>
          <w:sz w:val="26"/>
          <w:szCs w:val="26"/>
        </w:rPr>
        <w:t xml:space="preserve"> </w:t>
      </w:r>
      <w:proofErr w:type="spellStart"/>
      <w:r w:rsidRPr="002D476C">
        <w:rPr>
          <w:rFonts w:ascii="Times New Roman" w:hAnsi="Times New Roman"/>
          <w:b/>
          <w:bCs/>
          <w:sz w:val="26"/>
          <w:szCs w:val="26"/>
        </w:rPr>
        <w:t>Pulimi</w:t>
      </w:r>
      <w:r w:rsidRPr="002D476C">
        <w:rPr>
          <w:rFonts w:ascii="Times New Roman" w:hAnsi="Times New Roman"/>
          <w:b/>
          <w:bCs/>
          <w:sz w:val="26"/>
          <w:szCs w:val="26"/>
          <w:vertAlign w:val="superscript"/>
        </w:rPr>
        <w:t>a</w:t>
      </w:r>
      <w:proofErr w:type="spellEnd"/>
      <w:r>
        <w:rPr>
          <w:rFonts w:ascii="Times New Roman" w:hAnsi="Times New Roman"/>
          <w:b/>
          <w:bCs/>
          <w:sz w:val="26"/>
          <w:szCs w:val="26"/>
        </w:rPr>
        <w:t xml:space="preserve">, </w:t>
      </w:r>
      <w:proofErr w:type="spellStart"/>
      <w:r w:rsidRPr="00C77F62">
        <w:rPr>
          <w:rFonts w:ascii="Times New Roman" w:hAnsi="Times New Roman"/>
          <w:b/>
          <w:bCs/>
          <w:sz w:val="26"/>
          <w:szCs w:val="26"/>
        </w:rPr>
        <w:t>Amitava</w:t>
      </w:r>
      <w:proofErr w:type="spellEnd"/>
      <w:r w:rsidRPr="00C77F62">
        <w:rPr>
          <w:rFonts w:ascii="Times New Roman" w:hAnsi="Times New Roman"/>
          <w:b/>
          <w:bCs/>
          <w:sz w:val="26"/>
          <w:szCs w:val="26"/>
        </w:rPr>
        <w:t xml:space="preserve"> </w:t>
      </w:r>
      <w:proofErr w:type="spellStart"/>
      <w:r w:rsidRPr="00C77F62">
        <w:rPr>
          <w:rFonts w:ascii="Times New Roman" w:hAnsi="Times New Roman"/>
          <w:b/>
          <w:bCs/>
          <w:sz w:val="26"/>
          <w:szCs w:val="26"/>
        </w:rPr>
        <w:t>Mukherjee</w:t>
      </w:r>
      <w:r w:rsidRPr="00C77F62">
        <w:rPr>
          <w:rFonts w:ascii="Times New Roman" w:hAnsi="Times New Roman"/>
          <w:b/>
          <w:bCs/>
          <w:sz w:val="26"/>
          <w:szCs w:val="26"/>
          <w:vertAlign w:val="superscript"/>
        </w:rPr>
        <w:t>a</w:t>
      </w:r>
      <w:proofErr w:type="spellEnd"/>
      <w:r w:rsidRPr="00C77F62">
        <w:rPr>
          <w:rFonts w:ascii="Times New Roman" w:hAnsi="Times New Roman"/>
          <w:b/>
          <w:bCs/>
          <w:sz w:val="26"/>
          <w:szCs w:val="26"/>
        </w:rPr>
        <w:t>*</w:t>
      </w:r>
    </w:p>
    <w:p w14:paraId="0CF8907F" w14:textId="77777777" w:rsidR="00127AEC" w:rsidRDefault="00127AEC" w:rsidP="00127AEC">
      <w:pPr>
        <w:spacing w:line="360" w:lineRule="auto"/>
        <w:jc w:val="both"/>
        <w:rPr>
          <w:rFonts w:ascii="Times New Roman" w:hAnsi="Times New Roman"/>
          <w:b/>
          <w:bCs/>
          <w:sz w:val="26"/>
          <w:szCs w:val="26"/>
        </w:rPr>
      </w:pPr>
    </w:p>
    <w:p w14:paraId="36CC04A5" w14:textId="77777777" w:rsidR="00127AEC" w:rsidRPr="00C77F62" w:rsidRDefault="00127AEC" w:rsidP="00127AEC">
      <w:pPr>
        <w:spacing w:line="360" w:lineRule="auto"/>
        <w:jc w:val="both"/>
        <w:rPr>
          <w:rFonts w:ascii="Times New Roman" w:hAnsi="Times New Roman"/>
          <w:b/>
          <w:bCs/>
          <w:sz w:val="26"/>
          <w:szCs w:val="26"/>
        </w:rPr>
      </w:pPr>
      <w:proofErr w:type="spellStart"/>
      <w:r w:rsidRPr="00C77F62">
        <w:rPr>
          <w:rFonts w:ascii="Times New Roman" w:hAnsi="Times New Roman"/>
          <w:b/>
          <w:bCs/>
          <w:sz w:val="26"/>
          <w:szCs w:val="26"/>
          <w:vertAlign w:val="superscript"/>
        </w:rPr>
        <w:t>a</w:t>
      </w:r>
      <w:r w:rsidRPr="00C77F62">
        <w:rPr>
          <w:rFonts w:ascii="Times New Roman" w:hAnsi="Times New Roman"/>
          <w:b/>
          <w:bCs/>
          <w:sz w:val="26"/>
          <w:szCs w:val="26"/>
        </w:rPr>
        <w:t>Centre</w:t>
      </w:r>
      <w:proofErr w:type="spellEnd"/>
      <w:r w:rsidRPr="00C77F62">
        <w:rPr>
          <w:rFonts w:ascii="Times New Roman" w:hAnsi="Times New Roman"/>
          <w:b/>
          <w:bCs/>
          <w:sz w:val="26"/>
          <w:szCs w:val="26"/>
        </w:rPr>
        <w:t xml:space="preserve"> for </w:t>
      </w:r>
      <w:proofErr w:type="spellStart"/>
      <w:r w:rsidRPr="00C77F62">
        <w:rPr>
          <w:rFonts w:ascii="Times New Roman" w:hAnsi="Times New Roman"/>
          <w:b/>
          <w:bCs/>
          <w:sz w:val="26"/>
          <w:szCs w:val="26"/>
        </w:rPr>
        <w:t>Nanobiotechnology</w:t>
      </w:r>
      <w:proofErr w:type="spellEnd"/>
      <w:r w:rsidRPr="00C77F62">
        <w:rPr>
          <w:rFonts w:ascii="Times New Roman" w:hAnsi="Times New Roman"/>
          <w:b/>
          <w:bCs/>
          <w:sz w:val="26"/>
          <w:szCs w:val="26"/>
        </w:rPr>
        <w:t>, Vellore Institute of Technology, Vellore, Tamil Nadu, India</w:t>
      </w:r>
    </w:p>
    <w:p w14:paraId="4BDB03BC" w14:textId="77777777" w:rsidR="00127AEC" w:rsidRDefault="00127AEC" w:rsidP="00127AEC">
      <w:pPr>
        <w:jc w:val="both"/>
        <w:rPr>
          <w:rFonts w:ascii="Times New Roman" w:hAnsi="Times New Roman"/>
          <w:b/>
          <w:bCs/>
          <w:sz w:val="26"/>
          <w:szCs w:val="26"/>
        </w:rPr>
      </w:pPr>
    </w:p>
    <w:p w14:paraId="2C2B1C50" w14:textId="77777777" w:rsidR="00127AEC" w:rsidRDefault="00127AEC" w:rsidP="00127AEC">
      <w:pPr>
        <w:jc w:val="both"/>
        <w:rPr>
          <w:rFonts w:ascii="Times New Roman" w:hAnsi="Times New Roman"/>
          <w:b/>
          <w:bCs/>
          <w:sz w:val="26"/>
          <w:szCs w:val="26"/>
        </w:rPr>
      </w:pPr>
    </w:p>
    <w:p w14:paraId="0CE9FAD0" w14:textId="77777777" w:rsidR="00127AEC" w:rsidRDefault="00127AEC" w:rsidP="00127AEC">
      <w:pPr>
        <w:jc w:val="both"/>
        <w:rPr>
          <w:rFonts w:ascii="Times New Roman" w:hAnsi="Times New Roman"/>
          <w:b/>
          <w:bCs/>
          <w:sz w:val="26"/>
          <w:szCs w:val="26"/>
        </w:rPr>
      </w:pPr>
    </w:p>
    <w:p w14:paraId="0747B790" w14:textId="77777777" w:rsidR="00127AEC" w:rsidRDefault="00127AEC" w:rsidP="00127AEC">
      <w:pPr>
        <w:jc w:val="both"/>
        <w:rPr>
          <w:rFonts w:ascii="Times New Roman" w:hAnsi="Times New Roman"/>
          <w:b/>
          <w:bCs/>
          <w:sz w:val="26"/>
          <w:szCs w:val="26"/>
        </w:rPr>
      </w:pPr>
    </w:p>
    <w:p w14:paraId="6559B30D" w14:textId="77777777" w:rsidR="00127AEC" w:rsidRDefault="00127AEC" w:rsidP="00127AEC">
      <w:pPr>
        <w:jc w:val="both"/>
        <w:rPr>
          <w:rFonts w:ascii="Times New Roman" w:hAnsi="Times New Roman"/>
          <w:b/>
          <w:bCs/>
          <w:sz w:val="26"/>
          <w:szCs w:val="26"/>
        </w:rPr>
      </w:pPr>
    </w:p>
    <w:p w14:paraId="3D36EC37" w14:textId="77777777" w:rsidR="00127AEC" w:rsidRDefault="00127AEC" w:rsidP="00127AEC">
      <w:pPr>
        <w:jc w:val="both"/>
        <w:rPr>
          <w:rFonts w:ascii="Times New Roman" w:hAnsi="Times New Roman"/>
          <w:b/>
          <w:bCs/>
          <w:sz w:val="26"/>
          <w:szCs w:val="26"/>
        </w:rPr>
      </w:pPr>
    </w:p>
    <w:p w14:paraId="7F10C26F" w14:textId="77777777" w:rsidR="00127AEC" w:rsidRDefault="00127AEC" w:rsidP="00127AEC">
      <w:pPr>
        <w:jc w:val="both"/>
        <w:rPr>
          <w:rFonts w:ascii="Times New Roman" w:hAnsi="Times New Roman"/>
          <w:b/>
          <w:bCs/>
          <w:sz w:val="26"/>
          <w:szCs w:val="26"/>
        </w:rPr>
      </w:pPr>
    </w:p>
    <w:p w14:paraId="41000EF7" w14:textId="77777777" w:rsidR="00127AEC" w:rsidRDefault="00127AEC" w:rsidP="00127AEC">
      <w:pPr>
        <w:jc w:val="both"/>
        <w:rPr>
          <w:rFonts w:ascii="Times New Roman" w:hAnsi="Times New Roman"/>
          <w:b/>
          <w:bCs/>
          <w:sz w:val="26"/>
          <w:szCs w:val="26"/>
        </w:rPr>
      </w:pPr>
    </w:p>
    <w:p w14:paraId="3A4AF046" w14:textId="77777777" w:rsidR="00127AEC" w:rsidRDefault="00127AEC" w:rsidP="00127AEC">
      <w:pPr>
        <w:jc w:val="both"/>
        <w:rPr>
          <w:rFonts w:ascii="Times New Roman" w:hAnsi="Times New Roman"/>
          <w:b/>
          <w:bCs/>
          <w:sz w:val="26"/>
          <w:szCs w:val="26"/>
        </w:rPr>
      </w:pPr>
    </w:p>
    <w:p w14:paraId="67F07F66" w14:textId="77777777" w:rsidR="00127AEC" w:rsidRPr="00C77F62" w:rsidRDefault="00127AEC" w:rsidP="00127AEC">
      <w:pPr>
        <w:jc w:val="both"/>
        <w:rPr>
          <w:rFonts w:ascii="Times New Roman" w:hAnsi="Times New Roman"/>
          <w:b/>
          <w:bCs/>
          <w:sz w:val="26"/>
          <w:szCs w:val="26"/>
        </w:rPr>
      </w:pPr>
      <w:r w:rsidRPr="00C77F62">
        <w:rPr>
          <w:rFonts w:ascii="Times New Roman" w:hAnsi="Times New Roman"/>
          <w:b/>
          <w:bCs/>
          <w:sz w:val="26"/>
          <w:szCs w:val="26"/>
        </w:rPr>
        <w:t>*Corresponding author</w:t>
      </w:r>
    </w:p>
    <w:p w14:paraId="10546152" w14:textId="77777777" w:rsidR="00127AEC" w:rsidRPr="00C77F62" w:rsidRDefault="00127AEC" w:rsidP="00127AEC">
      <w:pPr>
        <w:jc w:val="both"/>
        <w:rPr>
          <w:rFonts w:ascii="Times New Roman" w:hAnsi="Times New Roman"/>
          <w:b/>
          <w:bCs/>
          <w:sz w:val="26"/>
          <w:szCs w:val="26"/>
        </w:rPr>
      </w:pPr>
      <w:proofErr w:type="spellStart"/>
      <w:r w:rsidRPr="00C77F62">
        <w:rPr>
          <w:rFonts w:ascii="Times New Roman" w:hAnsi="Times New Roman"/>
          <w:b/>
          <w:bCs/>
          <w:sz w:val="26"/>
          <w:szCs w:val="26"/>
        </w:rPr>
        <w:t>Dr.</w:t>
      </w:r>
      <w:proofErr w:type="spellEnd"/>
      <w:r w:rsidRPr="00C77F62">
        <w:rPr>
          <w:rFonts w:ascii="Times New Roman" w:hAnsi="Times New Roman"/>
          <w:b/>
          <w:bCs/>
          <w:sz w:val="26"/>
          <w:szCs w:val="26"/>
        </w:rPr>
        <w:t xml:space="preserve"> </w:t>
      </w:r>
      <w:proofErr w:type="spellStart"/>
      <w:r w:rsidRPr="00C77F62">
        <w:rPr>
          <w:rFonts w:ascii="Times New Roman" w:hAnsi="Times New Roman"/>
          <w:b/>
          <w:bCs/>
          <w:sz w:val="26"/>
          <w:szCs w:val="26"/>
        </w:rPr>
        <w:t>Amitava</w:t>
      </w:r>
      <w:proofErr w:type="spellEnd"/>
      <w:r w:rsidRPr="00C77F62">
        <w:rPr>
          <w:rFonts w:ascii="Times New Roman" w:hAnsi="Times New Roman"/>
          <w:b/>
          <w:bCs/>
          <w:sz w:val="26"/>
          <w:szCs w:val="26"/>
        </w:rPr>
        <w:t xml:space="preserve"> Mukherjee</w:t>
      </w:r>
    </w:p>
    <w:p w14:paraId="10264489" w14:textId="77777777" w:rsidR="00127AEC" w:rsidRPr="00C77F62" w:rsidRDefault="00127AEC" w:rsidP="00127AEC">
      <w:pPr>
        <w:jc w:val="both"/>
        <w:rPr>
          <w:rFonts w:ascii="Times New Roman" w:hAnsi="Times New Roman"/>
          <w:b/>
          <w:bCs/>
          <w:sz w:val="26"/>
          <w:szCs w:val="26"/>
        </w:rPr>
      </w:pPr>
      <w:r w:rsidRPr="00C77F62">
        <w:rPr>
          <w:rFonts w:ascii="Times New Roman" w:hAnsi="Times New Roman"/>
          <w:b/>
          <w:bCs/>
          <w:sz w:val="26"/>
          <w:szCs w:val="26"/>
        </w:rPr>
        <w:t>Senior Professor &amp; Director</w:t>
      </w:r>
    </w:p>
    <w:p w14:paraId="271FE2A9" w14:textId="77777777" w:rsidR="00127AEC" w:rsidRPr="00C77F62" w:rsidRDefault="00127AEC" w:rsidP="00127AEC">
      <w:pPr>
        <w:jc w:val="both"/>
        <w:rPr>
          <w:rFonts w:ascii="Times New Roman" w:hAnsi="Times New Roman"/>
          <w:b/>
          <w:bCs/>
          <w:sz w:val="26"/>
          <w:szCs w:val="26"/>
        </w:rPr>
      </w:pPr>
      <w:r w:rsidRPr="00C77F62">
        <w:rPr>
          <w:rFonts w:ascii="Times New Roman" w:hAnsi="Times New Roman"/>
          <w:b/>
          <w:bCs/>
          <w:sz w:val="26"/>
          <w:szCs w:val="26"/>
        </w:rPr>
        <w:t xml:space="preserve">Centre for </w:t>
      </w:r>
      <w:proofErr w:type="spellStart"/>
      <w:r w:rsidRPr="00C77F62">
        <w:rPr>
          <w:rFonts w:ascii="Times New Roman" w:hAnsi="Times New Roman"/>
          <w:b/>
          <w:bCs/>
          <w:sz w:val="26"/>
          <w:szCs w:val="26"/>
        </w:rPr>
        <w:t>Nanobiotechnology</w:t>
      </w:r>
      <w:proofErr w:type="spellEnd"/>
    </w:p>
    <w:p w14:paraId="0D472B4A" w14:textId="77777777" w:rsidR="00127AEC" w:rsidRPr="00C77F62" w:rsidRDefault="00127AEC" w:rsidP="00127AEC">
      <w:pPr>
        <w:jc w:val="both"/>
        <w:rPr>
          <w:rFonts w:ascii="Times New Roman" w:hAnsi="Times New Roman"/>
          <w:b/>
          <w:bCs/>
          <w:sz w:val="26"/>
          <w:szCs w:val="26"/>
        </w:rPr>
      </w:pPr>
      <w:r w:rsidRPr="00C77F62">
        <w:rPr>
          <w:rFonts w:ascii="Times New Roman" w:hAnsi="Times New Roman"/>
          <w:b/>
          <w:bCs/>
          <w:sz w:val="26"/>
          <w:szCs w:val="26"/>
        </w:rPr>
        <w:t>Vellore Institute of Technology, Vellore – 632014, India.</w:t>
      </w:r>
    </w:p>
    <w:p w14:paraId="7E546AB4" w14:textId="77777777" w:rsidR="00127AEC" w:rsidRPr="00C77F62" w:rsidRDefault="00127AEC" w:rsidP="00127AEC">
      <w:pPr>
        <w:jc w:val="both"/>
        <w:rPr>
          <w:rFonts w:ascii="Times New Roman" w:hAnsi="Times New Roman"/>
          <w:b/>
          <w:bCs/>
          <w:sz w:val="26"/>
          <w:szCs w:val="26"/>
        </w:rPr>
      </w:pPr>
      <w:r w:rsidRPr="00C77F62">
        <w:rPr>
          <w:rFonts w:ascii="Times New Roman" w:hAnsi="Times New Roman"/>
          <w:b/>
          <w:bCs/>
          <w:sz w:val="26"/>
          <w:szCs w:val="26"/>
        </w:rPr>
        <w:t>Email: amit.mookerjea@gmail.com, amitav@vit.ac.in</w:t>
      </w:r>
    </w:p>
    <w:p w14:paraId="078E7DC5" w14:textId="77777777" w:rsidR="00127AEC" w:rsidRPr="00C77F62" w:rsidRDefault="00127AEC" w:rsidP="00127AEC">
      <w:pPr>
        <w:jc w:val="both"/>
        <w:rPr>
          <w:rFonts w:ascii="Times New Roman" w:hAnsi="Times New Roman"/>
          <w:b/>
          <w:bCs/>
          <w:sz w:val="26"/>
          <w:szCs w:val="26"/>
        </w:rPr>
      </w:pPr>
      <w:r w:rsidRPr="00C77F62">
        <w:rPr>
          <w:rFonts w:ascii="Times New Roman" w:hAnsi="Times New Roman"/>
          <w:b/>
          <w:bCs/>
          <w:sz w:val="26"/>
          <w:szCs w:val="26"/>
        </w:rPr>
        <w:t xml:space="preserve">Phone: 91 416 </w:t>
      </w:r>
      <w:r>
        <w:rPr>
          <w:rFonts w:ascii="Times New Roman" w:hAnsi="Times New Roman"/>
          <w:b/>
          <w:bCs/>
          <w:sz w:val="26"/>
          <w:szCs w:val="26"/>
        </w:rPr>
        <w:t>2204211</w:t>
      </w:r>
    </w:p>
    <w:p w14:paraId="007BA425" w14:textId="77777777" w:rsidR="00127AEC" w:rsidRPr="00C77F62" w:rsidRDefault="00127AEC" w:rsidP="00127AEC">
      <w:pPr>
        <w:spacing w:line="480" w:lineRule="auto"/>
        <w:jc w:val="both"/>
        <w:rPr>
          <w:rFonts w:ascii="Times New Roman" w:hAnsi="Times New Roman"/>
          <w:b/>
          <w:sz w:val="26"/>
          <w:szCs w:val="26"/>
        </w:rPr>
      </w:pPr>
      <w:r w:rsidRPr="00C77F62">
        <w:rPr>
          <w:rFonts w:ascii="Times New Roman" w:hAnsi="Times New Roman"/>
          <w:b/>
          <w:bCs/>
          <w:sz w:val="26"/>
          <w:szCs w:val="26"/>
        </w:rPr>
        <w:t>Fax: 91-416-224</w:t>
      </w:r>
    </w:p>
    <w:p w14:paraId="1CC90FEF" w14:textId="0FDC200F" w:rsidR="006A5246" w:rsidRPr="00C0476D" w:rsidRDefault="006A5246" w:rsidP="00CE43B6">
      <w:pPr>
        <w:spacing w:line="480" w:lineRule="auto"/>
        <w:jc w:val="both"/>
        <w:rPr>
          <w:rFonts w:ascii="Times New Roman" w:hAnsi="Times New Roman"/>
          <w:b/>
          <w:sz w:val="24"/>
          <w:szCs w:val="24"/>
          <w:lang w:val="en-GB"/>
        </w:rPr>
      </w:pPr>
      <w:r w:rsidRPr="00C0476D">
        <w:rPr>
          <w:rFonts w:ascii="Times New Roman" w:hAnsi="Times New Roman"/>
          <w:b/>
          <w:sz w:val="24"/>
          <w:szCs w:val="24"/>
          <w:lang w:val="en-GB"/>
        </w:rPr>
        <w:lastRenderedPageBreak/>
        <w:t>Materials and Methods</w:t>
      </w:r>
    </w:p>
    <w:p w14:paraId="687510A0" w14:textId="064DBCB3" w:rsidR="00BE066D" w:rsidRPr="00C0476D" w:rsidRDefault="00901E23" w:rsidP="00CE43B6">
      <w:pPr>
        <w:spacing w:line="480" w:lineRule="auto"/>
        <w:jc w:val="both"/>
        <w:rPr>
          <w:rFonts w:ascii="Times New Roman" w:hAnsi="Times New Roman"/>
          <w:b/>
          <w:sz w:val="24"/>
          <w:szCs w:val="24"/>
          <w:lang w:val="en-GB"/>
        </w:rPr>
      </w:pPr>
      <w:r>
        <w:rPr>
          <w:rFonts w:ascii="Times New Roman" w:hAnsi="Times New Roman"/>
          <w:b/>
          <w:sz w:val="24"/>
          <w:szCs w:val="24"/>
          <w:lang w:val="en-GB"/>
        </w:rPr>
        <w:t>M1</w:t>
      </w:r>
      <w:r w:rsidR="00BE066D" w:rsidRPr="00C0476D">
        <w:rPr>
          <w:rFonts w:ascii="Times New Roman" w:hAnsi="Times New Roman"/>
          <w:b/>
          <w:sz w:val="24"/>
          <w:szCs w:val="24"/>
          <w:lang w:val="en-GB"/>
        </w:rPr>
        <w:t xml:space="preserve">S1: </w:t>
      </w:r>
      <w:r w:rsidR="00692C1A" w:rsidRPr="00C0476D">
        <w:rPr>
          <w:rFonts w:ascii="Times New Roman" w:hAnsi="Times New Roman"/>
          <w:b/>
          <w:sz w:val="24"/>
          <w:szCs w:val="24"/>
          <w:lang w:val="en-GB"/>
        </w:rPr>
        <w:t>Chemical</w:t>
      </w:r>
      <w:r w:rsidR="00D55E32" w:rsidRPr="00C0476D">
        <w:rPr>
          <w:rFonts w:ascii="Times New Roman" w:hAnsi="Times New Roman"/>
          <w:b/>
          <w:sz w:val="24"/>
          <w:szCs w:val="24"/>
          <w:lang w:val="en-GB"/>
        </w:rPr>
        <w:t>s</w:t>
      </w:r>
      <w:r w:rsidR="00692C1A" w:rsidRPr="00C0476D">
        <w:rPr>
          <w:rFonts w:ascii="Times New Roman" w:hAnsi="Times New Roman"/>
          <w:b/>
          <w:sz w:val="24"/>
          <w:szCs w:val="24"/>
          <w:lang w:val="en-GB"/>
        </w:rPr>
        <w:t xml:space="preserve"> used </w:t>
      </w:r>
    </w:p>
    <w:p w14:paraId="6E0BAAEE" w14:textId="6A04C2B3" w:rsidR="00692C1A" w:rsidRPr="00C0476D" w:rsidRDefault="00E80928" w:rsidP="00E80928">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Sulphuric acid (H</w:t>
      </w:r>
      <w:r w:rsidRPr="00C0476D">
        <w:rPr>
          <w:rFonts w:ascii="Cambria Math" w:hAnsi="Cambria Math" w:cs="Cambria Math"/>
          <w:sz w:val="24"/>
          <w:szCs w:val="24"/>
          <w:lang w:val="en-GB"/>
        </w:rPr>
        <w:t>₂</w:t>
      </w:r>
      <w:r w:rsidRPr="00C0476D">
        <w:rPr>
          <w:rFonts w:ascii="Times New Roman" w:hAnsi="Times New Roman"/>
          <w:sz w:val="24"/>
          <w:szCs w:val="24"/>
          <w:lang w:val="en-GB"/>
        </w:rPr>
        <w:t>SO</w:t>
      </w:r>
      <w:r w:rsidRPr="00C0476D">
        <w:rPr>
          <w:rFonts w:ascii="Cambria Math" w:hAnsi="Cambria Math" w:cs="Cambria Math"/>
          <w:sz w:val="24"/>
          <w:szCs w:val="24"/>
          <w:lang w:val="en-GB"/>
        </w:rPr>
        <w:t>₄</w:t>
      </w:r>
      <w:r w:rsidRPr="00C0476D">
        <w:rPr>
          <w:rFonts w:ascii="Times New Roman" w:hAnsi="Times New Roman"/>
          <w:sz w:val="24"/>
          <w:szCs w:val="24"/>
          <w:lang w:val="en-GB"/>
        </w:rPr>
        <w:t>), phosphoric acid (H</w:t>
      </w:r>
      <w:r w:rsidRPr="00C0476D">
        <w:rPr>
          <w:rFonts w:ascii="Times New Roman" w:hAnsi="Times New Roman"/>
          <w:sz w:val="24"/>
          <w:szCs w:val="24"/>
          <w:vertAlign w:val="subscript"/>
          <w:lang w:val="en-GB"/>
        </w:rPr>
        <w:t>3</w:t>
      </w:r>
      <w:r w:rsidRPr="00C0476D">
        <w:rPr>
          <w:rFonts w:ascii="Times New Roman" w:hAnsi="Times New Roman"/>
          <w:sz w:val="24"/>
          <w:szCs w:val="24"/>
          <w:lang w:val="en-GB"/>
        </w:rPr>
        <w:t>PO</w:t>
      </w:r>
      <w:r w:rsidRPr="00C0476D">
        <w:rPr>
          <w:rFonts w:ascii="Times New Roman" w:hAnsi="Times New Roman"/>
          <w:sz w:val="24"/>
          <w:szCs w:val="24"/>
          <w:vertAlign w:val="subscript"/>
          <w:lang w:val="en-GB"/>
        </w:rPr>
        <w:t>4</w:t>
      </w:r>
      <w:r w:rsidRPr="00C0476D">
        <w:rPr>
          <w:rFonts w:ascii="Times New Roman" w:hAnsi="Times New Roman"/>
          <w:sz w:val="24"/>
          <w:szCs w:val="24"/>
          <w:lang w:val="en-GB"/>
        </w:rPr>
        <w:t>), and hydrochloric acid (</w:t>
      </w:r>
      <w:proofErr w:type="spellStart"/>
      <w:r w:rsidRPr="00C0476D">
        <w:rPr>
          <w:rFonts w:ascii="Times New Roman" w:hAnsi="Times New Roman"/>
          <w:sz w:val="24"/>
          <w:szCs w:val="24"/>
          <w:lang w:val="en-GB"/>
        </w:rPr>
        <w:t>HCl</w:t>
      </w:r>
      <w:proofErr w:type="spellEnd"/>
      <w:r w:rsidRPr="00C0476D">
        <w:rPr>
          <w:rFonts w:ascii="Times New Roman" w:hAnsi="Times New Roman"/>
          <w:sz w:val="24"/>
          <w:szCs w:val="24"/>
          <w:lang w:val="en-GB"/>
        </w:rPr>
        <w:t xml:space="preserve">) were purchased from </w:t>
      </w:r>
      <w:proofErr w:type="spellStart"/>
      <w:r w:rsidRPr="00C0476D">
        <w:rPr>
          <w:rFonts w:ascii="Times New Roman" w:hAnsi="Times New Roman"/>
          <w:sz w:val="24"/>
          <w:szCs w:val="24"/>
          <w:lang w:val="en-GB"/>
        </w:rPr>
        <w:t>Molychem</w:t>
      </w:r>
      <w:proofErr w:type="spellEnd"/>
      <w:r w:rsidRPr="00C0476D">
        <w:rPr>
          <w:rFonts w:ascii="Times New Roman" w:hAnsi="Times New Roman"/>
          <w:sz w:val="24"/>
          <w:szCs w:val="24"/>
          <w:lang w:val="en-GB"/>
        </w:rPr>
        <w:t xml:space="preserve"> </w:t>
      </w:r>
      <w:proofErr w:type="spellStart"/>
      <w:r w:rsidRPr="00C0476D">
        <w:rPr>
          <w:rFonts w:ascii="Times New Roman" w:hAnsi="Times New Roman"/>
          <w:sz w:val="24"/>
          <w:szCs w:val="24"/>
          <w:lang w:val="en-GB"/>
        </w:rPr>
        <w:t>Pvt.</w:t>
      </w:r>
      <w:proofErr w:type="spellEnd"/>
      <w:r w:rsidRPr="00C0476D">
        <w:rPr>
          <w:rFonts w:ascii="Times New Roman" w:hAnsi="Times New Roman"/>
          <w:sz w:val="24"/>
          <w:szCs w:val="24"/>
          <w:lang w:val="en-GB"/>
        </w:rPr>
        <w:t xml:space="preserve"> Ltd., India. </w:t>
      </w:r>
      <w:r w:rsidR="00B916E5">
        <w:rPr>
          <w:rFonts w:ascii="Times New Roman" w:hAnsi="Times New Roman"/>
          <w:sz w:val="24"/>
          <w:szCs w:val="24"/>
          <w:lang w:val="en-GB"/>
        </w:rPr>
        <w:t xml:space="preserve">Acetone, </w:t>
      </w:r>
      <w:r w:rsidRPr="00C0476D">
        <w:rPr>
          <w:rFonts w:ascii="Times New Roman" w:hAnsi="Times New Roman"/>
          <w:sz w:val="24"/>
          <w:szCs w:val="24"/>
          <w:lang w:val="en-GB"/>
        </w:rPr>
        <w:t>Potassium persulfate (K</w:t>
      </w:r>
      <w:r w:rsidRPr="00C0476D">
        <w:rPr>
          <w:rFonts w:ascii="Times New Roman" w:hAnsi="Times New Roman"/>
          <w:sz w:val="24"/>
          <w:szCs w:val="24"/>
          <w:vertAlign w:val="subscript"/>
          <w:lang w:val="en-GB"/>
        </w:rPr>
        <w:t>2</w:t>
      </w:r>
      <w:r w:rsidRPr="00C0476D">
        <w:rPr>
          <w:rFonts w:ascii="Times New Roman" w:hAnsi="Times New Roman"/>
          <w:sz w:val="24"/>
          <w:szCs w:val="24"/>
          <w:lang w:val="en-GB"/>
        </w:rPr>
        <w:t>S</w:t>
      </w:r>
      <w:r w:rsidRPr="00C0476D">
        <w:rPr>
          <w:rFonts w:ascii="Times New Roman" w:hAnsi="Times New Roman"/>
          <w:sz w:val="24"/>
          <w:szCs w:val="24"/>
          <w:vertAlign w:val="subscript"/>
          <w:lang w:val="en-GB"/>
        </w:rPr>
        <w:t>2</w:t>
      </w:r>
      <w:r w:rsidRPr="00C0476D">
        <w:rPr>
          <w:rFonts w:ascii="Times New Roman" w:hAnsi="Times New Roman"/>
          <w:sz w:val="24"/>
          <w:szCs w:val="24"/>
          <w:lang w:val="en-GB"/>
        </w:rPr>
        <w:t>O</w:t>
      </w:r>
      <w:r w:rsidRPr="00C0476D">
        <w:rPr>
          <w:rFonts w:ascii="Times New Roman" w:hAnsi="Times New Roman"/>
          <w:sz w:val="24"/>
          <w:szCs w:val="24"/>
          <w:vertAlign w:val="subscript"/>
          <w:lang w:val="en-GB"/>
        </w:rPr>
        <w:t>8</w:t>
      </w:r>
      <w:r w:rsidRPr="00C0476D">
        <w:rPr>
          <w:rFonts w:ascii="Times New Roman" w:hAnsi="Times New Roman"/>
          <w:sz w:val="24"/>
          <w:szCs w:val="24"/>
          <w:lang w:val="en-GB"/>
        </w:rPr>
        <w:t>), potassium permanganate (KMnO</w:t>
      </w:r>
      <w:r w:rsidRPr="00C0476D">
        <w:rPr>
          <w:rFonts w:ascii="Times New Roman" w:hAnsi="Times New Roman"/>
          <w:sz w:val="24"/>
          <w:szCs w:val="24"/>
          <w:vertAlign w:val="subscript"/>
          <w:lang w:val="en-GB"/>
        </w:rPr>
        <w:t>4</w:t>
      </w:r>
      <w:r w:rsidRPr="00C0476D">
        <w:rPr>
          <w:rFonts w:ascii="Times New Roman" w:hAnsi="Times New Roman"/>
          <w:sz w:val="24"/>
          <w:szCs w:val="24"/>
          <w:lang w:val="en-GB"/>
        </w:rPr>
        <w:t>)</w:t>
      </w:r>
      <w:r w:rsidR="00452398" w:rsidRPr="00C0476D">
        <w:rPr>
          <w:rFonts w:ascii="Times New Roman" w:hAnsi="Times New Roman"/>
          <w:sz w:val="24"/>
          <w:szCs w:val="24"/>
          <w:lang w:val="en-GB"/>
        </w:rPr>
        <w:t>, and sodium carbonate (Na</w:t>
      </w:r>
      <w:r w:rsidR="00452398" w:rsidRPr="00C0476D">
        <w:rPr>
          <w:rFonts w:ascii="Times New Roman" w:hAnsi="Times New Roman"/>
          <w:sz w:val="24"/>
          <w:szCs w:val="24"/>
          <w:vertAlign w:val="subscript"/>
          <w:lang w:val="en-GB"/>
        </w:rPr>
        <w:t>2</w:t>
      </w:r>
      <w:r w:rsidR="00452398" w:rsidRPr="00C0476D">
        <w:rPr>
          <w:rFonts w:ascii="Times New Roman" w:hAnsi="Times New Roman"/>
          <w:sz w:val="24"/>
          <w:szCs w:val="24"/>
          <w:lang w:val="en-GB"/>
        </w:rPr>
        <w:t>CO</w:t>
      </w:r>
      <w:r w:rsidR="00452398" w:rsidRPr="00C0476D">
        <w:rPr>
          <w:rFonts w:ascii="Times New Roman" w:hAnsi="Times New Roman"/>
          <w:sz w:val="24"/>
          <w:szCs w:val="24"/>
          <w:vertAlign w:val="subscript"/>
          <w:lang w:val="en-GB"/>
        </w:rPr>
        <w:t>3</w:t>
      </w:r>
      <w:r w:rsidR="00452398" w:rsidRPr="00C0476D">
        <w:rPr>
          <w:rFonts w:ascii="Times New Roman" w:hAnsi="Times New Roman"/>
          <w:sz w:val="24"/>
          <w:szCs w:val="24"/>
          <w:lang w:val="en-GB"/>
        </w:rPr>
        <w:t>)</w:t>
      </w:r>
      <w:r w:rsidRPr="00C0476D">
        <w:rPr>
          <w:rFonts w:ascii="Times New Roman" w:hAnsi="Times New Roman"/>
          <w:sz w:val="24"/>
          <w:szCs w:val="24"/>
          <w:lang w:val="en-GB"/>
        </w:rPr>
        <w:t xml:space="preserve"> were purchased from </w:t>
      </w:r>
      <w:proofErr w:type="spellStart"/>
      <w:r w:rsidRPr="00C0476D">
        <w:rPr>
          <w:rFonts w:ascii="Times New Roman" w:hAnsi="Times New Roman"/>
          <w:sz w:val="24"/>
          <w:szCs w:val="24"/>
          <w:lang w:val="en-GB"/>
        </w:rPr>
        <w:t>Sisco</w:t>
      </w:r>
      <w:proofErr w:type="spellEnd"/>
      <w:r w:rsidRPr="00C0476D">
        <w:rPr>
          <w:rFonts w:ascii="Times New Roman" w:hAnsi="Times New Roman"/>
          <w:sz w:val="24"/>
          <w:szCs w:val="24"/>
          <w:lang w:val="en-GB"/>
        </w:rPr>
        <w:t xml:space="preserve"> Research Laboratories </w:t>
      </w:r>
      <w:proofErr w:type="spellStart"/>
      <w:r w:rsidRPr="00C0476D">
        <w:rPr>
          <w:rFonts w:ascii="Times New Roman" w:hAnsi="Times New Roman"/>
          <w:sz w:val="24"/>
          <w:szCs w:val="24"/>
          <w:lang w:val="en-GB"/>
        </w:rPr>
        <w:t>Pvt.</w:t>
      </w:r>
      <w:proofErr w:type="spellEnd"/>
      <w:r w:rsidRPr="00C0476D">
        <w:rPr>
          <w:rFonts w:ascii="Times New Roman" w:hAnsi="Times New Roman"/>
          <w:sz w:val="24"/>
          <w:szCs w:val="24"/>
          <w:lang w:val="en-GB"/>
        </w:rPr>
        <w:t xml:space="preserve"> Ltd., India. Phosphor</w:t>
      </w:r>
      <w:r w:rsidR="006162BA" w:rsidRPr="00C0476D">
        <w:rPr>
          <w:rFonts w:ascii="Times New Roman" w:hAnsi="Times New Roman"/>
          <w:sz w:val="24"/>
          <w:szCs w:val="24"/>
          <w:lang w:val="en-GB"/>
        </w:rPr>
        <w:t>ous pentoxide (P</w:t>
      </w:r>
      <w:r w:rsidR="006162BA" w:rsidRPr="00C0476D">
        <w:rPr>
          <w:rFonts w:ascii="Times New Roman" w:hAnsi="Times New Roman"/>
          <w:sz w:val="24"/>
          <w:szCs w:val="24"/>
          <w:vertAlign w:val="subscript"/>
          <w:lang w:val="en-GB"/>
        </w:rPr>
        <w:t>2</w:t>
      </w:r>
      <w:r w:rsidR="006162BA" w:rsidRPr="00C0476D">
        <w:rPr>
          <w:rFonts w:ascii="Times New Roman" w:hAnsi="Times New Roman"/>
          <w:sz w:val="24"/>
          <w:szCs w:val="24"/>
          <w:lang w:val="en-GB"/>
        </w:rPr>
        <w:t>O</w:t>
      </w:r>
      <w:r w:rsidR="006162BA" w:rsidRPr="00C0476D">
        <w:rPr>
          <w:rFonts w:ascii="Times New Roman" w:hAnsi="Times New Roman"/>
          <w:sz w:val="24"/>
          <w:szCs w:val="24"/>
          <w:vertAlign w:val="subscript"/>
          <w:lang w:val="en-GB"/>
        </w:rPr>
        <w:t>5</w:t>
      </w:r>
      <w:r w:rsidR="00761DEB" w:rsidRPr="00C0476D">
        <w:rPr>
          <w:rFonts w:ascii="Times New Roman" w:hAnsi="Times New Roman"/>
          <w:sz w:val="24"/>
          <w:szCs w:val="24"/>
          <w:lang w:val="en-GB"/>
        </w:rPr>
        <w:t>), 2′ ,7′ -</w:t>
      </w:r>
      <w:proofErr w:type="spellStart"/>
      <w:r w:rsidR="00761DEB" w:rsidRPr="00C0476D">
        <w:rPr>
          <w:rFonts w:ascii="Times New Roman" w:hAnsi="Times New Roman"/>
          <w:sz w:val="24"/>
          <w:szCs w:val="24"/>
          <w:lang w:val="en-GB"/>
        </w:rPr>
        <w:t>dichloroflu</w:t>
      </w:r>
      <w:r w:rsidR="00301D26" w:rsidRPr="00C0476D">
        <w:rPr>
          <w:rFonts w:ascii="Times New Roman" w:hAnsi="Times New Roman"/>
          <w:sz w:val="24"/>
          <w:szCs w:val="24"/>
          <w:lang w:val="en-GB"/>
        </w:rPr>
        <w:t>orescein</w:t>
      </w:r>
      <w:proofErr w:type="spellEnd"/>
      <w:r w:rsidR="00301D26" w:rsidRPr="00C0476D">
        <w:rPr>
          <w:rFonts w:ascii="Times New Roman" w:hAnsi="Times New Roman"/>
          <w:sz w:val="24"/>
          <w:szCs w:val="24"/>
          <w:lang w:val="en-GB"/>
        </w:rPr>
        <w:t xml:space="preserve"> diacetate (DCFH-DA) were</w:t>
      </w:r>
      <w:r w:rsidR="00761DEB" w:rsidRPr="00C0476D">
        <w:rPr>
          <w:rFonts w:ascii="Times New Roman" w:hAnsi="Times New Roman"/>
          <w:sz w:val="24"/>
          <w:szCs w:val="24"/>
          <w:lang w:val="en-GB"/>
        </w:rPr>
        <w:t xml:space="preserve"> purchased from Sigma Aldrich. </w:t>
      </w:r>
      <w:r w:rsidR="00AA5A2E" w:rsidRPr="00C0476D">
        <w:rPr>
          <w:rFonts w:ascii="Times New Roman" w:hAnsi="Times New Roman"/>
          <w:sz w:val="24"/>
          <w:szCs w:val="24"/>
          <w:lang w:val="en-GB"/>
        </w:rPr>
        <w:t>h</w:t>
      </w:r>
      <w:r w:rsidR="00761DEB" w:rsidRPr="00C0476D">
        <w:rPr>
          <w:rFonts w:ascii="Times New Roman" w:hAnsi="Times New Roman"/>
          <w:sz w:val="24"/>
          <w:szCs w:val="24"/>
          <w:lang w:val="en-GB"/>
        </w:rPr>
        <w:t>ydrogen peroxide (H</w:t>
      </w:r>
      <w:r w:rsidR="00761DEB" w:rsidRPr="00C0476D">
        <w:rPr>
          <w:rFonts w:ascii="Times New Roman" w:hAnsi="Times New Roman"/>
          <w:sz w:val="24"/>
          <w:szCs w:val="24"/>
          <w:vertAlign w:val="subscript"/>
          <w:lang w:val="en-GB"/>
        </w:rPr>
        <w:t>2</w:t>
      </w:r>
      <w:r w:rsidR="00761DEB" w:rsidRPr="00C0476D">
        <w:rPr>
          <w:rFonts w:ascii="Times New Roman" w:hAnsi="Times New Roman"/>
          <w:sz w:val="24"/>
          <w:szCs w:val="24"/>
          <w:lang w:val="en-GB"/>
        </w:rPr>
        <w:t>O</w:t>
      </w:r>
      <w:r w:rsidR="00761DEB" w:rsidRPr="00C0476D">
        <w:rPr>
          <w:rFonts w:ascii="Times New Roman" w:hAnsi="Times New Roman"/>
          <w:sz w:val="24"/>
          <w:szCs w:val="24"/>
          <w:vertAlign w:val="subscript"/>
          <w:lang w:val="en-GB"/>
        </w:rPr>
        <w:t>2</w:t>
      </w:r>
      <w:r w:rsidR="000F134E" w:rsidRPr="00C0476D">
        <w:rPr>
          <w:rFonts w:ascii="Times New Roman" w:hAnsi="Times New Roman"/>
          <w:sz w:val="24"/>
          <w:szCs w:val="24"/>
          <w:lang w:val="en-GB"/>
        </w:rPr>
        <w:t xml:space="preserve">) </w:t>
      </w:r>
      <w:r w:rsidR="00301D26" w:rsidRPr="00C0476D">
        <w:rPr>
          <w:rFonts w:ascii="Times New Roman" w:hAnsi="Times New Roman"/>
          <w:sz w:val="24"/>
          <w:szCs w:val="24"/>
          <w:lang w:val="en-GB"/>
        </w:rPr>
        <w:t>were purchased from SDFCL</w:t>
      </w:r>
      <w:r w:rsidR="00761DEB" w:rsidRPr="00C0476D">
        <w:rPr>
          <w:rFonts w:ascii="Times New Roman" w:hAnsi="Times New Roman"/>
          <w:sz w:val="24"/>
          <w:szCs w:val="24"/>
          <w:lang w:val="en-GB"/>
        </w:rPr>
        <w:t xml:space="preserve"> </w:t>
      </w:r>
      <w:r w:rsidR="00301D26" w:rsidRPr="00C0476D">
        <w:rPr>
          <w:rFonts w:ascii="Times New Roman" w:hAnsi="Times New Roman"/>
          <w:sz w:val="24"/>
          <w:szCs w:val="24"/>
          <w:lang w:val="en-GB"/>
        </w:rPr>
        <w:t>(</w:t>
      </w:r>
      <w:r w:rsidR="00761DEB" w:rsidRPr="00C0476D">
        <w:rPr>
          <w:rFonts w:ascii="Times New Roman" w:hAnsi="Times New Roman"/>
          <w:sz w:val="24"/>
          <w:szCs w:val="24"/>
          <w:lang w:val="en-GB"/>
        </w:rPr>
        <w:t xml:space="preserve">Mumbai). </w:t>
      </w:r>
      <w:proofErr w:type="spellStart"/>
      <w:r w:rsidR="002C0293" w:rsidRPr="00C0476D">
        <w:rPr>
          <w:rFonts w:ascii="Times New Roman" w:hAnsi="Times New Roman"/>
          <w:sz w:val="24"/>
          <w:szCs w:val="24"/>
          <w:lang w:val="en-GB"/>
        </w:rPr>
        <w:t>Trichloroacetic</w:t>
      </w:r>
      <w:proofErr w:type="spellEnd"/>
      <w:r w:rsidR="002C0293" w:rsidRPr="00C0476D">
        <w:rPr>
          <w:rFonts w:ascii="Times New Roman" w:hAnsi="Times New Roman"/>
          <w:sz w:val="24"/>
          <w:szCs w:val="24"/>
          <w:lang w:val="en-GB"/>
        </w:rPr>
        <w:t xml:space="preserve"> acid (TCA) and </w:t>
      </w:r>
      <w:proofErr w:type="spellStart"/>
      <w:r w:rsidR="002C0293" w:rsidRPr="00C0476D">
        <w:rPr>
          <w:rFonts w:ascii="Times New Roman" w:hAnsi="Times New Roman"/>
          <w:sz w:val="24"/>
          <w:szCs w:val="24"/>
          <w:lang w:val="en-GB"/>
        </w:rPr>
        <w:t>thiobarbituric</w:t>
      </w:r>
      <w:proofErr w:type="spellEnd"/>
      <w:r w:rsidR="002C0293" w:rsidRPr="00C0476D">
        <w:rPr>
          <w:rFonts w:ascii="Times New Roman" w:hAnsi="Times New Roman"/>
          <w:sz w:val="24"/>
          <w:szCs w:val="24"/>
          <w:lang w:val="en-GB"/>
        </w:rPr>
        <w:t xml:space="preserve"> acid (TBA) were purchased from Hi Media </w:t>
      </w:r>
      <w:proofErr w:type="spellStart"/>
      <w:r w:rsidR="002C0293" w:rsidRPr="00C0476D">
        <w:rPr>
          <w:rFonts w:ascii="Times New Roman" w:hAnsi="Times New Roman"/>
          <w:sz w:val="24"/>
          <w:szCs w:val="24"/>
          <w:lang w:val="en-GB"/>
        </w:rPr>
        <w:t>Pvt.</w:t>
      </w:r>
      <w:proofErr w:type="spellEnd"/>
      <w:r w:rsidR="002C0293" w:rsidRPr="00C0476D">
        <w:rPr>
          <w:rFonts w:ascii="Times New Roman" w:hAnsi="Times New Roman"/>
          <w:sz w:val="24"/>
          <w:szCs w:val="24"/>
          <w:lang w:val="en-GB"/>
        </w:rPr>
        <w:t xml:space="preserve"> Ltd (Mumbai, India)</w:t>
      </w:r>
      <w:r w:rsidR="00FB257E" w:rsidRPr="00C0476D">
        <w:rPr>
          <w:rFonts w:ascii="Times New Roman" w:hAnsi="Times New Roman"/>
          <w:sz w:val="24"/>
          <w:szCs w:val="24"/>
          <w:lang w:val="en-GB"/>
        </w:rPr>
        <w:t>.</w:t>
      </w:r>
    </w:p>
    <w:p w14:paraId="50A96060" w14:textId="3BD54476" w:rsidR="00B7369C" w:rsidRPr="00C0476D" w:rsidRDefault="00B7369C" w:rsidP="00E80928">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 xml:space="preserve">Collected NSW (natural sea water) was filtered through blotting paper first for removing the larger particles followed by filtration with </w:t>
      </w:r>
      <w:proofErr w:type="spellStart"/>
      <w:r w:rsidRPr="00C0476D">
        <w:rPr>
          <w:rFonts w:ascii="Times New Roman" w:hAnsi="Times New Roman"/>
          <w:sz w:val="24"/>
          <w:szCs w:val="24"/>
          <w:lang w:val="en-GB"/>
        </w:rPr>
        <w:t>Whatman</w:t>
      </w:r>
      <w:proofErr w:type="spellEnd"/>
      <w:r w:rsidRPr="00C0476D">
        <w:rPr>
          <w:rFonts w:ascii="Times New Roman" w:hAnsi="Times New Roman"/>
          <w:sz w:val="24"/>
          <w:szCs w:val="24"/>
          <w:lang w:val="en-GB"/>
        </w:rPr>
        <w:t xml:space="preserve"> no. 1 (pore size</w:t>
      </w:r>
      <w:r w:rsidR="006F23D4" w:rsidRPr="00C0476D">
        <w:rPr>
          <w:rFonts w:ascii="Times New Roman" w:hAnsi="Times New Roman"/>
          <w:sz w:val="24"/>
          <w:szCs w:val="24"/>
          <w:lang w:val="en-GB"/>
        </w:rPr>
        <w:t xml:space="preserve"> </w:t>
      </w:r>
      <w:r w:rsidRPr="00C0476D">
        <w:rPr>
          <w:rFonts w:ascii="Times New Roman" w:hAnsi="Times New Roman"/>
          <w:sz w:val="24"/>
          <w:szCs w:val="24"/>
          <w:lang w:val="en-GB"/>
        </w:rPr>
        <w:t xml:space="preserve">- 11 </w:t>
      </w:r>
      <w:proofErr w:type="spellStart"/>
      <w:r w:rsidRPr="00C0476D">
        <w:rPr>
          <w:rFonts w:ascii="Times New Roman" w:hAnsi="Times New Roman"/>
          <w:sz w:val="24"/>
          <w:szCs w:val="24"/>
          <w:lang w:val="en-GB"/>
        </w:rPr>
        <w:t>μm</w:t>
      </w:r>
      <w:proofErr w:type="spellEnd"/>
      <w:r w:rsidRPr="00C0476D">
        <w:rPr>
          <w:rFonts w:ascii="Times New Roman" w:hAnsi="Times New Roman"/>
          <w:sz w:val="24"/>
          <w:szCs w:val="24"/>
          <w:lang w:val="en-GB"/>
        </w:rPr>
        <w:t>) filter paper to discard any other colloidal particles. The filtered water was then subjected to steril</w:t>
      </w:r>
      <w:r w:rsidR="00E441FA" w:rsidRPr="00C0476D">
        <w:rPr>
          <w:rFonts w:ascii="Times New Roman" w:hAnsi="Times New Roman"/>
          <w:sz w:val="24"/>
          <w:szCs w:val="24"/>
          <w:lang w:val="en-GB"/>
        </w:rPr>
        <w:t>isation using autoclav</w:t>
      </w:r>
      <w:r w:rsidR="002C41BF" w:rsidRPr="00C0476D">
        <w:rPr>
          <w:rFonts w:ascii="Times New Roman" w:hAnsi="Times New Roman"/>
          <w:sz w:val="24"/>
          <w:szCs w:val="24"/>
          <w:lang w:val="en-GB"/>
        </w:rPr>
        <w:t>ing</w:t>
      </w:r>
      <w:r w:rsidR="00E441FA" w:rsidRPr="00C0476D">
        <w:rPr>
          <w:rFonts w:ascii="Times New Roman" w:hAnsi="Times New Roman"/>
          <w:sz w:val="24"/>
          <w:szCs w:val="24"/>
          <w:lang w:val="en-GB"/>
        </w:rPr>
        <w:t xml:space="preserve"> at 121</w:t>
      </w:r>
      <w:r w:rsidR="00E441FA" w:rsidRPr="00C0476D">
        <w:rPr>
          <w:rFonts w:ascii="Times New Roman" w:eastAsia="Times New Roman" w:hAnsi="Times New Roman"/>
          <w:sz w:val="24"/>
          <w:szCs w:val="24"/>
        </w:rPr>
        <w:t xml:space="preserve">˚ </w:t>
      </w:r>
      <w:r w:rsidRPr="00C0476D">
        <w:rPr>
          <w:rFonts w:ascii="Times New Roman" w:hAnsi="Times New Roman"/>
          <w:sz w:val="24"/>
          <w:szCs w:val="24"/>
          <w:lang w:val="en-GB"/>
        </w:rPr>
        <w:t xml:space="preserve">C for 15 min. </w:t>
      </w:r>
    </w:p>
    <w:p w14:paraId="1142C33C" w14:textId="77777777" w:rsidR="002C41BF" w:rsidRPr="00C0476D" w:rsidRDefault="002C41BF" w:rsidP="00E80928">
      <w:pPr>
        <w:spacing w:line="480" w:lineRule="auto"/>
        <w:jc w:val="both"/>
        <w:rPr>
          <w:rFonts w:ascii="Times New Roman" w:hAnsi="Times New Roman"/>
          <w:sz w:val="24"/>
          <w:szCs w:val="24"/>
          <w:lang w:val="en-GB"/>
        </w:rPr>
      </w:pPr>
    </w:p>
    <w:p w14:paraId="0CE31CB8" w14:textId="01E4F547" w:rsidR="00DE5E7B" w:rsidRPr="00C0476D" w:rsidRDefault="00901E23" w:rsidP="00CE43B6">
      <w:pPr>
        <w:spacing w:line="480" w:lineRule="auto"/>
        <w:jc w:val="both"/>
        <w:rPr>
          <w:rFonts w:ascii="Times New Roman" w:hAnsi="Times New Roman"/>
          <w:b/>
          <w:sz w:val="24"/>
          <w:szCs w:val="24"/>
          <w:lang w:val="en-GB"/>
        </w:rPr>
      </w:pPr>
      <w:r>
        <w:rPr>
          <w:rFonts w:ascii="Times New Roman" w:hAnsi="Times New Roman"/>
          <w:b/>
          <w:sz w:val="24"/>
          <w:szCs w:val="24"/>
          <w:lang w:val="en-GB"/>
        </w:rPr>
        <w:t>M2</w:t>
      </w:r>
      <w:r w:rsidR="00DE5E7B" w:rsidRPr="00C0476D">
        <w:rPr>
          <w:rFonts w:ascii="Times New Roman" w:hAnsi="Times New Roman"/>
          <w:b/>
          <w:sz w:val="24"/>
          <w:szCs w:val="24"/>
          <w:lang w:val="en-GB"/>
        </w:rPr>
        <w:t>S2: Synthesis of GFNs</w:t>
      </w:r>
    </w:p>
    <w:p w14:paraId="7FD16A26" w14:textId="77777777" w:rsidR="00CE43B6" w:rsidRPr="00C0476D" w:rsidRDefault="00CE43B6" w:rsidP="00CE43B6">
      <w:pPr>
        <w:spacing w:line="480" w:lineRule="auto"/>
        <w:jc w:val="both"/>
        <w:rPr>
          <w:rFonts w:ascii="Times New Roman" w:hAnsi="Times New Roman"/>
          <w:b/>
          <w:sz w:val="24"/>
          <w:szCs w:val="24"/>
          <w:lang w:val="en-GB"/>
        </w:rPr>
      </w:pPr>
      <w:r w:rsidRPr="00C0476D">
        <w:rPr>
          <w:rFonts w:ascii="Times New Roman" w:hAnsi="Times New Roman"/>
          <w:b/>
          <w:sz w:val="24"/>
          <w:szCs w:val="24"/>
          <w:lang w:val="en-GB"/>
        </w:rPr>
        <w:t xml:space="preserve">Synthesis of GO </w:t>
      </w:r>
    </w:p>
    <w:p w14:paraId="1FE2338F" w14:textId="5EA0418B" w:rsidR="00CE43B6" w:rsidRPr="00C0476D" w:rsidRDefault="00CE43B6" w:rsidP="00CE43B6">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The modified Hummer’s method was followed using graphite powder (&gt;99.95% purity). The sulphuric acid and phosphoric acid were measured in the volume of 27 mL and 3 mL (9:1 ratio) and stirred continuously for 15 min. 0.225 g of graphite powder was added to the acid mix and followed by the slow addition of KMnO</w:t>
      </w:r>
      <w:r w:rsidRPr="00C0476D">
        <w:rPr>
          <w:rFonts w:ascii="Times New Roman" w:hAnsi="Times New Roman"/>
          <w:sz w:val="24"/>
          <w:szCs w:val="24"/>
          <w:vertAlign w:val="subscript"/>
          <w:lang w:val="en-GB"/>
        </w:rPr>
        <w:t>4</w:t>
      </w:r>
      <w:r w:rsidRPr="00C0476D">
        <w:rPr>
          <w:rFonts w:ascii="Times New Roman" w:hAnsi="Times New Roman"/>
          <w:sz w:val="24"/>
          <w:szCs w:val="24"/>
          <w:lang w:val="en-GB"/>
        </w:rPr>
        <w:t xml:space="preserve"> (1.32 g). The solution changed to dark green after 6 h of continuous stirring. The removal of </w:t>
      </w:r>
      <w:r w:rsidR="002074B1" w:rsidRPr="00C0476D">
        <w:rPr>
          <w:rFonts w:ascii="Times New Roman" w:hAnsi="Times New Roman"/>
          <w:sz w:val="24"/>
          <w:szCs w:val="24"/>
          <w:lang w:val="en-GB"/>
        </w:rPr>
        <w:t>excess</w:t>
      </w:r>
      <w:r w:rsidRPr="00C0476D">
        <w:rPr>
          <w:rFonts w:ascii="Times New Roman" w:hAnsi="Times New Roman"/>
          <w:sz w:val="24"/>
          <w:szCs w:val="24"/>
          <w:lang w:val="en-GB"/>
        </w:rPr>
        <w:t xml:space="preserve"> KMnO</w:t>
      </w:r>
      <w:r w:rsidRPr="00C0476D">
        <w:rPr>
          <w:rFonts w:ascii="Times New Roman" w:hAnsi="Times New Roman"/>
          <w:sz w:val="24"/>
          <w:szCs w:val="24"/>
          <w:vertAlign w:val="subscript"/>
          <w:lang w:val="en-GB"/>
        </w:rPr>
        <w:t>4</w:t>
      </w:r>
      <w:r w:rsidRPr="00C0476D">
        <w:rPr>
          <w:rFonts w:ascii="Times New Roman" w:hAnsi="Times New Roman"/>
          <w:sz w:val="24"/>
          <w:szCs w:val="24"/>
          <w:lang w:val="en-GB"/>
        </w:rPr>
        <w:t xml:space="preserve"> was done by adding 0.675 mL of H</w:t>
      </w:r>
      <w:r w:rsidRPr="00C0476D">
        <w:rPr>
          <w:rFonts w:ascii="Times New Roman" w:hAnsi="Times New Roman"/>
          <w:sz w:val="24"/>
          <w:szCs w:val="24"/>
          <w:vertAlign w:val="subscript"/>
          <w:lang w:val="en-GB"/>
        </w:rPr>
        <w:t>2</w:t>
      </w:r>
      <w:r w:rsidRPr="00C0476D">
        <w:rPr>
          <w:rFonts w:ascii="Times New Roman" w:hAnsi="Times New Roman"/>
          <w:sz w:val="24"/>
          <w:szCs w:val="24"/>
          <w:lang w:val="en-GB"/>
        </w:rPr>
        <w:t>O</w:t>
      </w:r>
      <w:r w:rsidRPr="00C0476D">
        <w:rPr>
          <w:rFonts w:ascii="Times New Roman" w:hAnsi="Times New Roman"/>
          <w:sz w:val="24"/>
          <w:szCs w:val="24"/>
          <w:vertAlign w:val="subscript"/>
          <w:lang w:val="en-GB"/>
        </w:rPr>
        <w:t>2</w:t>
      </w:r>
      <w:r w:rsidRPr="00C0476D">
        <w:rPr>
          <w:rFonts w:ascii="Times New Roman" w:hAnsi="Times New Roman"/>
          <w:sz w:val="24"/>
          <w:szCs w:val="24"/>
          <w:lang w:val="en-GB"/>
        </w:rPr>
        <w:t xml:space="preserve"> in a dropwise manner, under continuous stirring for 10 min. The solution was allowed to cool down after completion of the exothermic reaction. At the end of the reaction, the material was </w:t>
      </w:r>
      <w:r w:rsidRPr="00C0476D">
        <w:rPr>
          <w:rFonts w:ascii="Times New Roman" w:hAnsi="Times New Roman"/>
          <w:sz w:val="24"/>
          <w:szCs w:val="24"/>
          <w:lang w:val="en-GB"/>
        </w:rPr>
        <w:lastRenderedPageBreak/>
        <w:t xml:space="preserve">washed with </w:t>
      </w:r>
      <w:proofErr w:type="spellStart"/>
      <w:r w:rsidRPr="00C0476D">
        <w:rPr>
          <w:rFonts w:ascii="Times New Roman" w:hAnsi="Times New Roman"/>
          <w:sz w:val="24"/>
          <w:szCs w:val="24"/>
          <w:lang w:val="en-GB"/>
        </w:rPr>
        <w:t>HCl</w:t>
      </w:r>
      <w:proofErr w:type="spellEnd"/>
      <w:r w:rsidRPr="00C0476D">
        <w:rPr>
          <w:rFonts w:ascii="Times New Roman" w:hAnsi="Times New Roman"/>
          <w:sz w:val="24"/>
          <w:szCs w:val="24"/>
          <w:lang w:val="en-GB"/>
        </w:rPr>
        <w:t xml:space="preserve"> (10 mL) and deionized water (30 mL) using centrifugation at 5000 rpm for 20 min. The obtained pellet was dried in a hot air oven (for 24 h at 80 ᵒC) to achieve the powder form of GO for further studies</w:t>
      </w:r>
      <w:r w:rsidR="00FB257E" w:rsidRPr="00C0476D">
        <w:rPr>
          <w:rFonts w:ascii="Times New Roman" w:hAnsi="Times New Roman"/>
          <w:sz w:val="24"/>
          <w:szCs w:val="24"/>
          <w:lang w:val="en-GB"/>
        </w:rPr>
        <w:t xml:space="preserve"> </w:t>
      </w:r>
      <w:r w:rsidR="00CF6BB1"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author":[{"dropping-particle":"","family":"Roy","given":"Namrata","non-dropping-particle":"","parse-names":false,"suffix":""},{"dropping-particle":"","family":"Kannabiran","given":"Krishnan","non-dropping-particle":"","parse-names":false,"suffix":""},{"dropping-particle":"","family":"Mukherjee","given":"Amitava","non-dropping-particle":"","parse-names":false,"suffix":""}],"id":"ITEM-1","issue":"May","issued":{"date-parts":[["2023"]]},"publisher":"Elsevier Ltd","title":"Chemosphere Integrated adsorption and photocatalytic degradation based removal of ciprofloxacin and sulfamethoxazole antibiotics using Fc @ rGO-ZnO nanocomposite in aqueous systems","type":"article-journal","volume":"333"},"uris":["http://www.mendeley.com/documents/?uuid=67a055aa-1efb-48ef-95de-ad59119d4dae"]}],"mendeley":{"formattedCitation":"[1]","plainTextFormattedCitation":"[1]","previouslyFormattedCitation":"(Roy et al., 2023)"},"properties":{"noteIndex":0},"schema":"https://github.com/citation-style-language/schema/raw/master/csl-citation.json"}</w:instrText>
      </w:r>
      <w:r w:rsidR="00CF6BB1"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[1]</w:t>
      </w:r>
      <w:r w:rsidR="00CF6BB1" w:rsidRPr="00C0476D">
        <w:rPr>
          <w:rFonts w:ascii="Times New Roman" w:hAnsi="Times New Roman"/>
          <w:sz w:val="24"/>
          <w:szCs w:val="24"/>
          <w:lang w:val="en-GB"/>
        </w:rPr>
        <w:fldChar w:fldCharType="end"/>
      </w:r>
      <w:r w:rsidRPr="00C0476D">
        <w:rPr>
          <w:rFonts w:ascii="Times New Roman" w:hAnsi="Times New Roman"/>
          <w:sz w:val="24"/>
          <w:szCs w:val="24"/>
          <w:lang w:val="en-GB"/>
        </w:rPr>
        <w:t xml:space="preserve">. </w:t>
      </w:r>
    </w:p>
    <w:p w14:paraId="43E0C340" w14:textId="77777777" w:rsidR="00CE43B6" w:rsidRPr="00C0476D" w:rsidRDefault="00CE43B6" w:rsidP="00CE43B6">
      <w:pPr>
        <w:spacing w:line="480" w:lineRule="auto"/>
        <w:jc w:val="both"/>
        <w:rPr>
          <w:rFonts w:ascii="Times New Roman" w:hAnsi="Times New Roman"/>
          <w:b/>
          <w:sz w:val="24"/>
          <w:szCs w:val="24"/>
          <w:lang w:val="en-GB"/>
        </w:rPr>
      </w:pPr>
      <w:r w:rsidRPr="00C0476D">
        <w:rPr>
          <w:rFonts w:ascii="Times New Roman" w:hAnsi="Times New Roman"/>
          <w:b/>
          <w:sz w:val="24"/>
          <w:szCs w:val="24"/>
          <w:lang w:val="en-GB"/>
        </w:rPr>
        <w:t xml:space="preserve">Synthesis of </w:t>
      </w:r>
      <w:proofErr w:type="spellStart"/>
      <w:r w:rsidRPr="00C0476D">
        <w:rPr>
          <w:rFonts w:ascii="Times New Roman" w:hAnsi="Times New Roman"/>
          <w:b/>
          <w:sz w:val="24"/>
          <w:szCs w:val="24"/>
          <w:lang w:val="en-GB"/>
        </w:rPr>
        <w:t>rGO</w:t>
      </w:r>
      <w:proofErr w:type="spellEnd"/>
      <w:r w:rsidRPr="00C0476D">
        <w:rPr>
          <w:rFonts w:ascii="Times New Roman" w:hAnsi="Times New Roman"/>
          <w:b/>
          <w:sz w:val="24"/>
          <w:szCs w:val="24"/>
          <w:lang w:val="en-GB"/>
        </w:rPr>
        <w:t xml:space="preserve"> </w:t>
      </w:r>
    </w:p>
    <w:p w14:paraId="432D9B7F" w14:textId="0FEE3548" w:rsidR="00211792" w:rsidRPr="00C0476D" w:rsidRDefault="002074B1" w:rsidP="00CE43B6">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The</w:t>
      </w:r>
      <w:r w:rsidR="00211792" w:rsidRPr="00C0476D">
        <w:rPr>
          <w:rFonts w:ascii="Times New Roman" w:hAnsi="Times New Roman"/>
          <w:sz w:val="24"/>
          <w:szCs w:val="24"/>
          <w:lang w:val="en-GB"/>
        </w:rPr>
        <w:t xml:space="preserve"> prepared GO was diluted </w:t>
      </w:r>
      <w:r w:rsidRPr="00C0476D">
        <w:rPr>
          <w:rFonts w:ascii="Times New Roman" w:hAnsi="Times New Roman"/>
          <w:sz w:val="24"/>
          <w:szCs w:val="24"/>
          <w:lang w:val="en-GB"/>
        </w:rPr>
        <w:t>with</w:t>
      </w:r>
      <w:r w:rsidR="00211792" w:rsidRPr="00C0476D">
        <w:rPr>
          <w:rFonts w:ascii="Times New Roman" w:hAnsi="Times New Roman"/>
          <w:sz w:val="24"/>
          <w:szCs w:val="24"/>
          <w:lang w:val="en-GB"/>
        </w:rPr>
        <w:t xml:space="preserve"> </w:t>
      </w:r>
      <w:proofErr w:type="spellStart"/>
      <w:r w:rsidR="00211792" w:rsidRPr="00C0476D">
        <w:rPr>
          <w:rFonts w:ascii="Times New Roman" w:hAnsi="Times New Roman"/>
          <w:sz w:val="24"/>
          <w:szCs w:val="24"/>
          <w:lang w:val="en-GB"/>
        </w:rPr>
        <w:t>milliQ</w:t>
      </w:r>
      <w:proofErr w:type="spellEnd"/>
      <w:r w:rsidR="00211792" w:rsidRPr="00C0476D">
        <w:rPr>
          <w:rFonts w:ascii="Times New Roman" w:hAnsi="Times New Roman"/>
          <w:sz w:val="24"/>
          <w:szCs w:val="24"/>
          <w:lang w:val="en-GB"/>
        </w:rPr>
        <w:t xml:space="preserve"> water to form a suspension of 0.5 mg/</w:t>
      </w:r>
      <w:proofErr w:type="spellStart"/>
      <w:r w:rsidR="00211792" w:rsidRPr="00C0476D">
        <w:rPr>
          <w:rFonts w:ascii="Times New Roman" w:hAnsi="Times New Roman"/>
          <w:sz w:val="24"/>
          <w:szCs w:val="24"/>
          <w:lang w:val="en-GB"/>
        </w:rPr>
        <w:t>mL.</w:t>
      </w:r>
      <w:proofErr w:type="spellEnd"/>
      <w:r w:rsidR="00211792" w:rsidRPr="00C0476D">
        <w:rPr>
          <w:rFonts w:ascii="Times New Roman" w:hAnsi="Times New Roman"/>
          <w:sz w:val="24"/>
          <w:szCs w:val="24"/>
          <w:lang w:val="en-GB"/>
        </w:rPr>
        <w:t xml:space="preserve"> NaBH</w:t>
      </w:r>
      <w:r w:rsidR="00211792" w:rsidRPr="00C0476D">
        <w:rPr>
          <w:rFonts w:ascii="Times New Roman" w:hAnsi="Times New Roman"/>
          <w:sz w:val="24"/>
          <w:szCs w:val="24"/>
          <w:vertAlign w:val="subscript"/>
          <w:lang w:val="en-GB"/>
        </w:rPr>
        <w:t>4</w:t>
      </w:r>
      <w:r w:rsidR="00211792" w:rsidRPr="00C0476D">
        <w:rPr>
          <w:rFonts w:ascii="Times New Roman" w:hAnsi="Times New Roman"/>
          <w:sz w:val="24"/>
          <w:szCs w:val="24"/>
          <w:lang w:val="en-GB"/>
        </w:rPr>
        <w:t xml:space="preserve"> (2.28 g) </w:t>
      </w:r>
      <w:r w:rsidR="00293048" w:rsidRPr="00C0476D">
        <w:rPr>
          <w:rFonts w:ascii="Times New Roman" w:hAnsi="Times New Roman"/>
          <w:sz w:val="24"/>
          <w:szCs w:val="24"/>
          <w:lang w:val="en-GB"/>
        </w:rPr>
        <w:t>was added to 200</w:t>
      </w:r>
      <w:r w:rsidR="00211792" w:rsidRPr="00C0476D">
        <w:rPr>
          <w:rFonts w:ascii="Times New Roman" w:hAnsi="Times New Roman"/>
          <w:sz w:val="24"/>
          <w:szCs w:val="24"/>
          <w:lang w:val="en-GB"/>
        </w:rPr>
        <w:t xml:space="preserve"> mL </w:t>
      </w:r>
      <w:r w:rsidRPr="00C0476D">
        <w:rPr>
          <w:rFonts w:ascii="Times New Roman" w:hAnsi="Times New Roman"/>
          <w:sz w:val="24"/>
          <w:szCs w:val="24"/>
          <w:lang w:val="en-GB"/>
        </w:rPr>
        <w:t xml:space="preserve">of </w:t>
      </w:r>
      <w:r w:rsidR="00211792" w:rsidRPr="00C0476D">
        <w:rPr>
          <w:rFonts w:ascii="Times New Roman" w:hAnsi="Times New Roman"/>
          <w:sz w:val="24"/>
          <w:szCs w:val="24"/>
          <w:lang w:val="en-GB"/>
        </w:rPr>
        <w:t xml:space="preserve">GO suspension. The mixture was kept </w:t>
      </w:r>
      <w:r w:rsidRPr="00C0476D">
        <w:rPr>
          <w:rFonts w:ascii="Times New Roman" w:hAnsi="Times New Roman"/>
          <w:sz w:val="24"/>
          <w:szCs w:val="24"/>
          <w:lang w:val="en-GB"/>
        </w:rPr>
        <w:t xml:space="preserve">under </w:t>
      </w:r>
      <w:r w:rsidR="00211792" w:rsidRPr="00C0476D">
        <w:rPr>
          <w:rFonts w:ascii="Times New Roman" w:hAnsi="Times New Roman"/>
          <w:sz w:val="24"/>
          <w:szCs w:val="24"/>
          <w:lang w:val="en-GB"/>
        </w:rPr>
        <w:t xml:space="preserve">stirring at room temperature for 12 h to </w:t>
      </w:r>
      <w:r w:rsidR="00D54FAD" w:rsidRPr="00C0476D">
        <w:rPr>
          <w:rFonts w:ascii="Times New Roman" w:hAnsi="Times New Roman"/>
          <w:sz w:val="24"/>
          <w:szCs w:val="24"/>
          <w:lang w:val="en-GB"/>
        </w:rPr>
        <w:t xml:space="preserve">obtain </w:t>
      </w:r>
      <w:proofErr w:type="spellStart"/>
      <w:r w:rsidR="00D54FAD" w:rsidRPr="00C0476D">
        <w:rPr>
          <w:rFonts w:ascii="Times New Roman" w:hAnsi="Times New Roman"/>
          <w:sz w:val="24"/>
          <w:szCs w:val="24"/>
          <w:lang w:val="en-GB"/>
        </w:rPr>
        <w:t>rGO</w:t>
      </w:r>
      <w:proofErr w:type="spellEnd"/>
      <w:r w:rsidR="00D54FAD" w:rsidRPr="00C0476D">
        <w:rPr>
          <w:rFonts w:ascii="Times New Roman" w:hAnsi="Times New Roman"/>
          <w:sz w:val="24"/>
          <w:szCs w:val="24"/>
          <w:lang w:val="en-GB"/>
        </w:rPr>
        <w:t xml:space="preserve">. Next, the </w:t>
      </w:r>
      <w:proofErr w:type="spellStart"/>
      <w:r w:rsidR="00D54FAD" w:rsidRPr="00C0476D">
        <w:rPr>
          <w:rFonts w:ascii="Times New Roman" w:hAnsi="Times New Roman"/>
          <w:sz w:val="24"/>
          <w:szCs w:val="24"/>
          <w:lang w:val="en-GB"/>
        </w:rPr>
        <w:t>rGO</w:t>
      </w:r>
      <w:proofErr w:type="spellEnd"/>
      <w:r w:rsidR="00D54FAD" w:rsidRPr="00C0476D">
        <w:rPr>
          <w:rFonts w:ascii="Times New Roman" w:hAnsi="Times New Roman"/>
          <w:sz w:val="24"/>
          <w:szCs w:val="24"/>
          <w:lang w:val="en-GB"/>
        </w:rPr>
        <w:t xml:space="preserve"> was filtered and washed </w:t>
      </w:r>
      <w:r w:rsidRPr="00C0476D">
        <w:rPr>
          <w:rFonts w:ascii="Times New Roman" w:hAnsi="Times New Roman"/>
          <w:sz w:val="24"/>
          <w:szCs w:val="24"/>
          <w:lang w:val="en-GB"/>
        </w:rPr>
        <w:t>with</w:t>
      </w:r>
      <w:r w:rsidR="00D54FAD" w:rsidRPr="00C0476D">
        <w:rPr>
          <w:rFonts w:ascii="Times New Roman" w:hAnsi="Times New Roman"/>
          <w:sz w:val="24"/>
          <w:szCs w:val="24"/>
          <w:lang w:val="en-GB"/>
        </w:rPr>
        <w:t xml:space="preserve"> </w:t>
      </w:r>
      <w:proofErr w:type="spellStart"/>
      <w:r w:rsidR="00D54FAD" w:rsidRPr="00C0476D">
        <w:rPr>
          <w:rFonts w:ascii="Times New Roman" w:hAnsi="Times New Roman"/>
          <w:sz w:val="24"/>
          <w:szCs w:val="24"/>
          <w:lang w:val="en-GB"/>
        </w:rPr>
        <w:t>milliQ</w:t>
      </w:r>
      <w:proofErr w:type="spellEnd"/>
      <w:r w:rsidR="00211792" w:rsidRPr="00C0476D">
        <w:rPr>
          <w:rFonts w:ascii="Times New Roman" w:hAnsi="Times New Roman"/>
          <w:sz w:val="24"/>
          <w:szCs w:val="24"/>
          <w:lang w:val="en-GB"/>
        </w:rPr>
        <w:t xml:space="preserve"> </w:t>
      </w:r>
      <w:r w:rsidR="00D54FAD" w:rsidRPr="00C0476D">
        <w:rPr>
          <w:rFonts w:ascii="Times New Roman" w:hAnsi="Times New Roman"/>
          <w:sz w:val="24"/>
          <w:szCs w:val="24"/>
          <w:lang w:val="en-GB"/>
        </w:rPr>
        <w:t xml:space="preserve">water until neutralization </w:t>
      </w:r>
      <w:r w:rsidR="00007D73"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{"citationItems":[{"id":"ITEM-1","itemData":{"DOI":"10.1016/S1872-5805(15)60174-3","ISSN":"18725805","abstract":"Graphene oxide (GO) prepared by a modified Hummers method was reduced by NaBH4 at room temperature for 12 h in a 0.5 mg/mL GO water suspension to obtain reduced GO (RGO), using CaCl2 as a catalyst. The GO and RGO were characterized by XPS, FT-IR, UV-Vis and electrical resistivity measurements. Results show that CaCl2 improves the reduction ability of NaBH4 for oxygen-containing functional groups on the GO. After reduction, the C/O atomic ratio increased, most of the oxygen-containing functional groups were eliminated, and the electrical resistance decreased significantly. The highest C/O atomic ratio was 5.38 and the lowest electrical resistance of RGO was 18.6 kΩ/sq, the latter being about two orders of magnitudes lower than the RGO prepared without CaCl2. This reduction method opens a possibility of reducing GO under ambient conditions without using a toxic/corrosive reducing agent and an organic solvent.","author":[{"dropping-particle":"","family":"Yang","given":"Zhen Zhen","non-dropping-particle":"","parse-names":false,"suffix":""},{"dropping-particle":"Bin","family":"Zheng","given":"Qing","non-dropping-particle":"","parse-names":false,"suffix":""},{"dropping-particle":"","family":"Qiu","given":"Han Xun","non-dropping-particle":"","parse-names":false,"suffix":""},{"dropping-particle":"","family":"Li","given":"Jing","non-dropping-particle":"","parse-names":false,"suffix":""},{"dropping-particle":"","family":"Yang","given":"Jun He","non-dropping-particle":"","parse-names":false,"suffix":""}],"container-title":"Xinxing Tan Cailiao/New Carbon Materials","id":"ITEM-1","issue":"1","issued":{"date-parts":[["2015"]]},"page":"41-47","publisher":"Institute of Coal Chemistry, Chinese Academy of Sciences","title":"A simple method for the reduction of graphene oxide by sodium borohydride with CaCl2 as a catalyst","type":"article-journal","volume":"30"},"uris":["http://www.mendeley.com/documents/?uuid=901a86f5-671a-45a4-86eb-dde4cf3c25b2"]}],"mendeley":{"formattedCitation":"[2]","plainTextFormattedCitation":"[2]","previouslyFormattedCitation":"(Yang et al., 2015)"},"properties":{"noteIndex":0},"schema":"https://github.com/citation-style-language/schema/raw/master/csl-citation.json"}</w:instrText>
      </w:r>
      <w:r w:rsidR="00007D73"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[2]</w:t>
      </w:r>
      <w:r w:rsidR="00007D73" w:rsidRPr="00C0476D">
        <w:rPr>
          <w:rFonts w:ascii="Times New Roman" w:hAnsi="Times New Roman"/>
          <w:sz w:val="24"/>
          <w:szCs w:val="24"/>
          <w:lang w:val="en-GB"/>
        </w:rPr>
        <w:fldChar w:fldCharType="end"/>
      </w:r>
      <w:r w:rsidR="00211792" w:rsidRPr="00C0476D">
        <w:rPr>
          <w:rFonts w:ascii="Times New Roman" w:hAnsi="Times New Roman"/>
          <w:sz w:val="24"/>
          <w:szCs w:val="24"/>
          <w:lang w:val="en-GB"/>
        </w:rPr>
        <w:t>.</w:t>
      </w:r>
    </w:p>
    <w:p w14:paraId="7E5C584F" w14:textId="44C48BA2" w:rsidR="00CE43B6" w:rsidRPr="00C0476D" w:rsidRDefault="00CE43B6" w:rsidP="00CE43B6">
      <w:pPr>
        <w:spacing w:line="480" w:lineRule="auto"/>
        <w:jc w:val="both"/>
        <w:rPr>
          <w:rFonts w:ascii="Times New Roman" w:hAnsi="Times New Roman"/>
          <w:b/>
          <w:sz w:val="24"/>
          <w:szCs w:val="24"/>
          <w:lang w:val="en-GB"/>
        </w:rPr>
      </w:pPr>
      <w:r w:rsidRPr="00C0476D">
        <w:rPr>
          <w:rFonts w:ascii="Times New Roman" w:hAnsi="Times New Roman"/>
          <w:b/>
          <w:sz w:val="24"/>
          <w:szCs w:val="24"/>
          <w:lang w:val="en-GB"/>
        </w:rPr>
        <w:t xml:space="preserve">Synthesis of graphene </w:t>
      </w:r>
    </w:p>
    <w:p w14:paraId="37B4D652" w14:textId="1CC765B3" w:rsidR="00CE43B6" w:rsidRPr="00C0476D" w:rsidRDefault="00CE43B6" w:rsidP="00CE43B6">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 xml:space="preserve">A single-step process was followed for the synthesis of stable graphene sheets. The raw graphite flakes were dispersed in a solution of ethanol and deionized water (1:9 volume ratio). The suspension was subjected to bath sonication with a working frequency of 40/50 Hz at room temperature for 180 min. The dispersion was centrifuged for 30 min at 1200 rpm to filter out </w:t>
      </w:r>
      <w:proofErr w:type="spellStart"/>
      <w:r w:rsidRPr="00C0476D">
        <w:rPr>
          <w:rFonts w:ascii="Times New Roman" w:hAnsi="Times New Roman"/>
          <w:sz w:val="24"/>
          <w:szCs w:val="24"/>
          <w:lang w:val="en-GB"/>
        </w:rPr>
        <w:t>unexfoliated</w:t>
      </w:r>
      <w:proofErr w:type="spellEnd"/>
      <w:r w:rsidRPr="00C0476D">
        <w:rPr>
          <w:rFonts w:ascii="Times New Roman" w:hAnsi="Times New Roman"/>
          <w:sz w:val="24"/>
          <w:szCs w:val="24"/>
          <w:lang w:val="en-GB"/>
        </w:rPr>
        <w:t xml:space="preserve"> graphite flakes. The supernatant </w:t>
      </w:r>
      <w:r w:rsidR="00AA5A2E" w:rsidRPr="00C0476D">
        <w:rPr>
          <w:rFonts w:ascii="Times New Roman" w:hAnsi="Times New Roman"/>
          <w:sz w:val="24"/>
          <w:szCs w:val="24"/>
          <w:lang w:val="en-GB"/>
        </w:rPr>
        <w:t>wa</w:t>
      </w:r>
      <w:r w:rsidRPr="00C0476D">
        <w:rPr>
          <w:rFonts w:ascii="Times New Roman" w:hAnsi="Times New Roman"/>
          <w:sz w:val="24"/>
          <w:szCs w:val="24"/>
          <w:lang w:val="en-GB"/>
        </w:rPr>
        <w:t>s then dried at 80 ᵒC for 24 h for complete drying</w:t>
      </w:r>
      <w:r w:rsidR="00AE3D86" w:rsidRPr="00C0476D">
        <w:rPr>
          <w:rFonts w:ascii="Times New Roman" w:hAnsi="Times New Roman"/>
          <w:sz w:val="24"/>
          <w:szCs w:val="24"/>
          <w:lang w:val="en-GB"/>
        </w:rPr>
        <w:t xml:space="preserve"> </w:t>
      </w:r>
      <w:r w:rsidR="00CF6BB1"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{"citationItems":[{"id":"ITEM-1","itemData":{"DOI":"10.1016/j.cej.2014.03.081","ISSN":"13858947","abstract":"•Novel, green and one-step facile exfoliation approach in ethanol/water mixture.•Comprehensive parametric study yielding optimised synthesis parameters.•Biosensing application of produced graphene shown through electrochemical analysis.•Cyclic voltammetry and amperometric study of graphene towards hydrogen peroxide.•As produced graphene is up to 22 times more sensitive compared to control specimen. Graphene, an extraordinary two-dimensional carbon nanostructure, has attracted global attention due to its remarkable electronic, mechanical and chemical properties. This work reports a novel one-step green and versatile route to produce up to 1mg/mL of graphene by facile exfoliation of raw graphite in ethanol-water mixtures. This approach is viable due to the predictions of material solubility by exploiting the Hansen Solubility Parameters. The effective surface area of the graphene was estimated to be about 1000m2/g while Atomic Force Microscopy (AFM) analysis was adopted to evaluate the surface characteristics of the samples, whereby the graphene sheets were found to have an average thickness of below 2nm. The electrochemical characteristic of the graphene was investigated by cyclic voltammetry tests and amperometric detections of hydrogen peroxide (H2O2), a by-product of most oxidase based enzymatic reactions. The graphene was deposited onto the surface of screen printed carbon electrodes (SPCEs) and the modified electrode was found to demonstrate enhanced electro-catalytic response of more than two-fold compared to unmodified electrodes, while the detection of H2O2 showed excellent stability with a 22 times improvement in sensitivity by optimising the number of deposition layers on the electrode surface. © 2014 Elsevier B.V.","author":[{"dropping-particle":"","family":"Chia","given":"Joanna Su Yuin","non-dropping-particle":"","parse-names":false,"suffix":""},{"dropping-particle":"","family":"Tan","given":"Michelle T.T.","non-dropping-particle":"","parse-names":false,"suffix":""},{"dropping-particle":"","family":"Khiew","given":"Poi Sim","non-dropping-particle":"","parse-names":false,"suffix":""},{"dropping-particle":"","family":"Chin","given":"Jit Kai","non-dropping-particle":"","parse-names":false,"suffix":""},{"dropping-particle":"","family":"Lee","given":"Hingwah","non-dropping-particle":"","parse-names":false,"suffix":""},{"dropping-particle":"","family":"Bien","given":"D. C.S.","non-dropping-particle":"","parse-names":false,"suffix":""},{"dropping-particle":"","family":"Siong","given":"Chiu Wee","non-dropping-particle":"","parse-names":false,"suffix":""}],"container-title":"Chemical Engineering Journal","id":"ITEM-1","issued":{"date-parts":[["2014"]]},"page":"270-278","publisher":"Elsevier B.V.","title":"A novel one step synthesis of graphene via sonochemical-assisted solvent exfoliation approach for electrochemical sensing application","type":"article-journal","volume":"249"},"uris":["http://www.mendeley.com/documents/?uuid=caca0e7c-8cea-452a-8a5f-9f725e9279cc"]}],"mendeley":{"formattedCitation":"[3]","plainTextFormattedCitation":"[3]","previouslyFormattedCitation":"(Chia et al., 2014)"},"properties":{"noteIndex":0},"schema":"https://github.com/citation-style-language/schema/raw/master/csl-citation.json"}</w:instrText>
      </w:r>
      <w:r w:rsidR="00CF6BB1"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[3]</w:t>
      </w:r>
      <w:r w:rsidR="00CF6BB1" w:rsidRPr="00C0476D">
        <w:rPr>
          <w:rFonts w:ascii="Times New Roman" w:hAnsi="Times New Roman"/>
          <w:sz w:val="24"/>
          <w:szCs w:val="24"/>
          <w:lang w:val="en-GB"/>
        </w:rPr>
        <w:fldChar w:fldCharType="end"/>
      </w:r>
      <w:r w:rsidRPr="00C0476D">
        <w:rPr>
          <w:rFonts w:ascii="Times New Roman" w:hAnsi="Times New Roman"/>
          <w:sz w:val="24"/>
          <w:szCs w:val="24"/>
          <w:lang w:val="en-GB"/>
        </w:rPr>
        <w:t xml:space="preserve">. </w:t>
      </w:r>
    </w:p>
    <w:p w14:paraId="2F8ED8F0" w14:textId="75C627A9" w:rsidR="005668A7" w:rsidRPr="00C0476D" w:rsidRDefault="00901E23" w:rsidP="00CE43B6">
      <w:pPr>
        <w:spacing w:line="480" w:lineRule="auto"/>
        <w:jc w:val="both"/>
        <w:rPr>
          <w:rFonts w:ascii="Times New Roman" w:hAnsi="Times New Roman"/>
          <w:b/>
          <w:sz w:val="24"/>
          <w:szCs w:val="24"/>
          <w:lang w:val="en-GB"/>
        </w:rPr>
      </w:pPr>
      <w:r>
        <w:rPr>
          <w:rFonts w:ascii="Times New Roman" w:hAnsi="Times New Roman"/>
          <w:b/>
          <w:sz w:val="24"/>
          <w:szCs w:val="24"/>
          <w:lang w:val="en-GB"/>
        </w:rPr>
        <w:t>M3</w:t>
      </w:r>
      <w:r w:rsidR="00F4624E" w:rsidRPr="00C0476D">
        <w:rPr>
          <w:rFonts w:ascii="Times New Roman" w:hAnsi="Times New Roman"/>
          <w:b/>
          <w:sz w:val="24"/>
          <w:szCs w:val="24"/>
          <w:lang w:val="en-GB"/>
        </w:rPr>
        <w:t xml:space="preserve">S3: </w:t>
      </w:r>
      <w:r w:rsidR="005668A7" w:rsidRPr="00C0476D">
        <w:rPr>
          <w:rFonts w:ascii="Times New Roman" w:hAnsi="Times New Roman"/>
          <w:b/>
          <w:sz w:val="24"/>
          <w:szCs w:val="24"/>
          <w:lang w:val="en-GB"/>
        </w:rPr>
        <w:t xml:space="preserve">Characterization </w:t>
      </w:r>
    </w:p>
    <w:p w14:paraId="16253E2A" w14:textId="4F0FD810" w:rsidR="003860A0" w:rsidRPr="00C0476D" w:rsidRDefault="00ED5C69" w:rsidP="00CE43B6">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R</w:t>
      </w:r>
      <w:proofErr w:type="spellStart"/>
      <w:r w:rsidR="00DC2E26" w:rsidRPr="00C0476D">
        <w:rPr>
          <w:rFonts w:ascii="Times New Roman" w:hAnsi="Times New Roman"/>
          <w:sz w:val="24"/>
          <w:szCs w:val="24"/>
          <w:lang w:val="en-US"/>
        </w:rPr>
        <w:t>aman</w:t>
      </w:r>
      <w:proofErr w:type="spellEnd"/>
      <w:r w:rsidR="00DC2E26" w:rsidRPr="00C0476D">
        <w:rPr>
          <w:rFonts w:ascii="Times New Roman" w:hAnsi="Times New Roman"/>
          <w:sz w:val="24"/>
          <w:szCs w:val="24"/>
          <w:lang w:val="en-US"/>
        </w:rPr>
        <w:t xml:space="preserve"> spectroscopy (acquisition at 532 nm) (Anton </w:t>
      </w:r>
      <w:proofErr w:type="spellStart"/>
      <w:r w:rsidR="00DC2E26" w:rsidRPr="00C0476D">
        <w:rPr>
          <w:rFonts w:ascii="Times New Roman" w:hAnsi="Times New Roman"/>
          <w:sz w:val="24"/>
          <w:szCs w:val="24"/>
          <w:lang w:val="en-US"/>
        </w:rPr>
        <w:t>Paar</w:t>
      </w:r>
      <w:proofErr w:type="spellEnd"/>
      <w:r w:rsidR="00DC2E26" w:rsidRPr="00C0476D">
        <w:rPr>
          <w:rFonts w:ascii="Times New Roman" w:hAnsi="Times New Roman"/>
          <w:sz w:val="24"/>
          <w:szCs w:val="24"/>
          <w:lang w:val="en-US"/>
        </w:rPr>
        <w:t xml:space="preserve"> Cora 5001, Austria) was used for confirmation</w:t>
      </w:r>
      <w:r w:rsidR="00932022" w:rsidRPr="00C0476D">
        <w:rPr>
          <w:rFonts w:ascii="Times New Roman" w:hAnsi="Times New Roman"/>
          <w:sz w:val="24"/>
          <w:szCs w:val="24"/>
          <w:lang w:val="en-US"/>
        </w:rPr>
        <w:t xml:space="preserve"> of defects</w:t>
      </w:r>
      <w:r w:rsidR="007A5726" w:rsidRPr="00C0476D">
        <w:rPr>
          <w:rFonts w:ascii="Times New Roman" w:hAnsi="Times New Roman"/>
          <w:sz w:val="24"/>
          <w:szCs w:val="24"/>
          <w:lang w:val="en-US"/>
        </w:rPr>
        <w:t xml:space="preserve"> in the GFNs</w:t>
      </w:r>
      <w:r w:rsidR="00DC2E26" w:rsidRPr="00C0476D">
        <w:rPr>
          <w:rFonts w:ascii="Times New Roman" w:hAnsi="Times New Roman"/>
          <w:sz w:val="24"/>
          <w:szCs w:val="24"/>
          <w:lang w:val="en-US"/>
        </w:rPr>
        <w:t xml:space="preserve">. </w:t>
      </w:r>
      <w:r w:rsidR="00310FD1" w:rsidRPr="00C0476D">
        <w:rPr>
          <w:rFonts w:ascii="Times New Roman" w:hAnsi="Times New Roman"/>
          <w:sz w:val="24"/>
          <w:szCs w:val="24"/>
          <w:lang w:val="en-GB"/>
        </w:rPr>
        <w:t xml:space="preserve">The </w:t>
      </w:r>
      <w:r w:rsidR="00E55D51" w:rsidRPr="00C0476D">
        <w:rPr>
          <w:rFonts w:ascii="Times New Roman" w:hAnsi="Times New Roman"/>
          <w:sz w:val="24"/>
          <w:szCs w:val="24"/>
          <w:lang w:val="en-GB"/>
        </w:rPr>
        <w:t xml:space="preserve">shape </w:t>
      </w:r>
      <w:r w:rsidR="00310FD1" w:rsidRPr="00C0476D">
        <w:rPr>
          <w:rFonts w:ascii="Times New Roman" w:hAnsi="Times New Roman"/>
          <w:sz w:val="24"/>
          <w:szCs w:val="24"/>
          <w:lang w:val="en-GB"/>
        </w:rPr>
        <w:t xml:space="preserve">of the </w:t>
      </w:r>
      <w:r w:rsidR="00E55D51" w:rsidRPr="00C0476D">
        <w:rPr>
          <w:rFonts w:ascii="Times New Roman" w:hAnsi="Times New Roman"/>
          <w:sz w:val="24"/>
          <w:szCs w:val="24"/>
          <w:lang w:val="en-GB"/>
        </w:rPr>
        <w:t xml:space="preserve">GFNs </w:t>
      </w:r>
      <w:r w:rsidR="00310FD1" w:rsidRPr="00C0476D">
        <w:rPr>
          <w:rFonts w:ascii="Times New Roman" w:hAnsi="Times New Roman"/>
          <w:sz w:val="24"/>
          <w:szCs w:val="24"/>
          <w:lang w:val="en-GB"/>
        </w:rPr>
        <w:t xml:space="preserve">were precisely </w:t>
      </w:r>
      <w:proofErr w:type="spellStart"/>
      <w:r w:rsidR="00310FD1" w:rsidRPr="00C0476D">
        <w:rPr>
          <w:rFonts w:ascii="Times New Roman" w:hAnsi="Times New Roman"/>
          <w:sz w:val="24"/>
          <w:szCs w:val="24"/>
          <w:lang w:val="en-GB"/>
        </w:rPr>
        <w:t>analyzed</w:t>
      </w:r>
      <w:proofErr w:type="spellEnd"/>
      <w:r w:rsidR="00310FD1" w:rsidRPr="00C0476D">
        <w:rPr>
          <w:rFonts w:ascii="Times New Roman" w:hAnsi="Times New Roman"/>
          <w:sz w:val="24"/>
          <w:szCs w:val="24"/>
          <w:lang w:val="en-GB"/>
        </w:rPr>
        <w:t xml:space="preserve"> by </w:t>
      </w:r>
      <w:r w:rsidR="00AF77A9" w:rsidRPr="00C0476D">
        <w:rPr>
          <w:rFonts w:ascii="Times New Roman" w:hAnsi="Times New Roman"/>
          <w:sz w:val="24"/>
          <w:szCs w:val="24"/>
          <w:lang w:val="en-GB"/>
        </w:rPr>
        <w:t xml:space="preserve">Transmission </w:t>
      </w:r>
      <w:r w:rsidRPr="00C0476D">
        <w:rPr>
          <w:rFonts w:ascii="Times New Roman" w:hAnsi="Times New Roman"/>
          <w:sz w:val="24"/>
          <w:szCs w:val="24"/>
          <w:lang w:val="en-GB"/>
        </w:rPr>
        <w:t>E</w:t>
      </w:r>
      <w:r w:rsidR="00AF77A9" w:rsidRPr="00C0476D">
        <w:rPr>
          <w:rFonts w:ascii="Times New Roman" w:hAnsi="Times New Roman"/>
          <w:sz w:val="24"/>
          <w:szCs w:val="24"/>
          <w:lang w:val="en-GB"/>
        </w:rPr>
        <w:t xml:space="preserve">lectron </w:t>
      </w:r>
      <w:r w:rsidRPr="00C0476D">
        <w:rPr>
          <w:rFonts w:ascii="Times New Roman" w:hAnsi="Times New Roman"/>
          <w:sz w:val="24"/>
          <w:szCs w:val="24"/>
          <w:lang w:val="en-GB"/>
        </w:rPr>
        <w:t>M</w:t>
      </w:r>
      <w:r w:rsidR="00AF77A9" w:rsidRPr="00C0476D">
        <w:rPr>
          <w:rFonts w:ascii="Times New Roman" w:hAnsi="Times New Roman"/>
          <w:sz w:val="24"/>
          <w:szCs w:val="24"/>
          <w:lang w:val="en-GB"/>
        </w:rPr>
        <w:t>icroscop</w:t>
      </w:r>
      <w:r w:rsidRPr="00C0476D">
        <w:rPr>
          <w:rFonts w:ascii="Times New Roman" w:hAnsi="Times New Roman"/>
          <w:sz w:val="24"/>
          <w:szCs w:val="24"/>
          <w:lang w:val="en-GB"/>
        </w:rPr>
        <w:t xml:space="preserve">y </w:t>
      </w:r>
      <w:r w:rsidR="00AF77A9" w:rsidRPr="00C0476D">
        <w:rPr>
          <w:rFonts w:ascii="Times New Roman" w:hAnsi="Times New Roman"/>
          <w:sz w:val="24"/>
          <w:szCs w:val="24"/>
          <w:lang w:val="en-GB"/>
        </w:rPr>
        <w:t xml:space="preserve">(TEM) </w:t>
      </w:r>
      <w:r w:rsidR="000F5474"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author":[{"dropping-particle":"","family":"Roy","given":"Namrata","non-dropping-particle":"","parse-names":false,"suffix":""},{"dropping-particle":"","family":"Kannabiran","given":"Krishnan","non-dropping-particle":"","parse-names":false,"suffix":""},{"dropping-particle":"","family":"Mukherjee","given":"Amitava","non-dropping-particle":"","parse-names":false,"suffix":""}],"id":"ITEM-1","issue":"May","issued":{"date-parts":[["2023"]]},"publisher":"Elsevier Ltd","title":"Chemosphere Integrated adsorption and photocatalytic degradation based removal of ciprofloxacin and sulfamethoxazole antibiotics using Fc @ rGO-ZnO nanocomposite in aqueous systems","type":"article-journal","volume":"333"},"uris":["http://www.mendeley.com/documents/?uuid=67a055aa-1efb-48ef-95de-ad59119d4dae"]}],"mendeley":{"formattedCitation":"[1]","plainTextFormattedCitation":"[1]","previouslyFormattedCitation":"(Roy et al., 2023)"},"properties":{"noteIndex":0},"schema":"https://github.com/citation-style-language/schema/raw/master/csl-citation.json"}</w:instrText>
      </w:r>
      <w:r w:rsidR="000F5474"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[1]</w:t>
      </w:r>
      <w:r w:rsidR="000F5474" w:rsidRPr="00C0476D">
        <w:rPr>
          <w:rFonts w:ascii="Times New Roman" w:hAnsi="Times New Roman"/>
          <w:sz w:val="24"/>
          <w:szCs w:val="24"/>
          <w:lang w:val="en-GB"/>
        </w:rPr>
        <w:fldChar w:fldCharType="end"/>
      </w:r>
      <w:r w:rsidR="00310FD1" w:rsidRPr="00C0476D">
        <w:rPr>
          <w:rFonts w:ascii="Times New Roman" w:hAnsi="Times New Roman"/>
          <w:sz w:val="24"/>
          <w:szCs w:val="24"/>
          <w:lang w:val="en-GB"/>
        </w:rPr>
        <w:t>.</w:t>
      </w:r>
    </w:p>
    <w:p w14:paraId="2DCE95F8" w14:textId="6A00CCA6" w:rsidR="00C030A2" w:rsidRPr="00C0476D" w:rsidRDefault="00901E23" w:rsidP="00CE43B6">
      <w:pPr>
        <w:spacing w:line="480" w:lineRule="auto"/>
        <w:jc w:val="both"/>
        <w:rPr>
          <w:rFonts w:ascii="Times New Roman" w:hAnsi="Times New Roman"/>
          <w:b/>
          <w:sz w:val="24"/>
          <w:szCs w:val="24"/>
          <w:lang w:val="en-GB"/>
        </w:rPr>
      </w:pPr>
      <w:r>
        <w:rPr>
          <w:rFonts w:ascii="Times New Roman" w:hAnsi="Times New Roman"/>
          <w:b/>
          <w:sz w:val="24"/>
          <w:szCs w:val="24"/>
          <w:lang w:val="en-GB"/>
        </w:rPr>
        <w:t>M4</w:t>
      </w:r>
      <w:r w:rsidR="006E4011" w:rsidRPr="00C0476D">
        <w:rPr>
          <w:rFonts w:ascii="Times New Roman" w:hAnsi="Times New Roman"/>
          <w:b/>
          <w:sz w:val="24"/>
          <w:szCs w:val="24"/>
          <w:lang w:val="en-GB"/>
        </w:rPr>
        <w:t>S4</w:t>
      </w:r>
      <w:r w:rsidR="003074E9" w:rsidRPr="00C0476D">
        <w:rPr>
          <w:rFonts w:ascii="Times New Roman" w:hAnsi="Times New Roman"/>
          <w:b/>
          <w:sz w:val="24"/>
          <w:szCs w:val="24"/>
          <w:lang w:val="en-GB"/>
        </w:rPr>
        <w:t xml:space="preserve">: </w:t>
      </w:r>
      <w:r w:rsidR="00131585" w:rsidRPr="00C0476D">
        <w:rPr>
          <w:rFonts w:ascii="Times New Roman" w:hAnsi="Times New Roman"/>
          <w:b/>
          <w:sz w:val="24"/>
          <w:szCs w:val="24"/>
          <w:lang w:val="en-GB"/>
        </w:rPr>
        <w:t>Surface charge</w:t>
      </w:r>
      <w:r w:rsidR="000E61F6">
        <w:rPr>
          <w:rFonts w:ascii="Times New Roman" w:hAnsi="Times New Roman"/>
          <w:b/>
          <w:sz w:val="24"/>
          <w:szCs w:val="24"/>
          <w:lang w:val="en-GB"/>
        </w:rPr>
        <w:t>,</w:t>
      </w:r>
      <w:r w:rsidR="00131585" w:rsidRPr="00C0476D">
        <w:rPr>
          <w:rFonts w:ascii="Times New Roman" w:hAnsi="Times New Roman"/>
          <w:b/>
          <w:sz w:val="24"/>
          <w:szCs w:val="24"/>
          <w:lang w:val="en-GB"/>
        </w:rPr>
        <w:t xml:space="preserve"> hydrophobicity</w:t>
      </w:r>
      <w:r w:rsidR="001159B3" w:rsidRPr="00C0476D">
        <w:rPr>
          <w:rFonts w:ascii="Times New Roman" w:hAnsi="Times New Roman"/>
          <w:b/>
          <w:sz w:val="24"/>
          <w:szCs w:val="24"/>
          <w:lang w:val="en-GB"/>
        </w:rPr>
        <w:t>, and adsorption</w:t>
      </w:r>
    </w:p>
    <w:p w14:paraId="3EAD0EE2" w14:textId="5F3332D5" w:rsidR="001159B3" w:rsidRPr="00C0476D" w:rsidRDefault="001159B3" w:rsidP="001159B3">
      <w:pPr>
        <w:spacing w:line="480" w:lineRule="auto"/>
        <w:jc w:val="both"/>
        <w:rPr>
          <w:rFonts w:ascii="Times New Roman" w:hAnsi="Times New Roman"/>
          <w:sz w:val="24"/>
          <w:szCs w:val="24"/>
          <w:lang w:val="en-GB"/>
        </w:rPr>
      </w:pPr>
      <w:r w:rsidRPr="00C0476D">
        <w:rPr>
          <w:rFonts w:ascii="Times New Roman" w:hAnsi="Times New Roman"/>
          <w:sz w:val="24"/>
          <w:szCs w:val="24"/>
          <w:lang w:val="en-US"/>
        </w:rPr>
        <w:t xml:space="preserve">The surface charge of pristine materials and their mixtures were analyzed by zeta potential analysis (90 Plus Particle Size Analyzer, Brookhaven Instruments Corp., USA). The </w:t>
      </w:r>
      <w:r w:rsidRPr="00C0476D">
        <w:rPr>
          <w:rFonts w:ascii="Times New Roman" w:hAnsi="Times New Roman"/>
          <w:sz w:val="24"/>
          <w:szCs w:val="24"/>
          <w:lang w:val="en-US"/>
        </w:rPr>
        <w:lastRenderedPageBreak/>
        <w:t>hydrophobicity/hydrophilicity of the samples were measured using a goniometer (Model: DMs-401, Kyowa Interface Scie</w:t>
      </w:r>
      <w:r w:rsidR="00E12406" w:rsidRPr="00C0476D">
        <w:rPr>
          <w:rFonts w:ascii="Times New Roman" w:hAnsi="Times New Roman"/>
          <w:sz w:val="24"/>
          <w:szCs w:val="24"/>
          <w:lang w:val="en-US"/>
        </w:rPr>
        <w:t>nce Co., Ltd.; software- FAMAS)</w:t>
      </w:r>
      <w:r w:rsidRPr="00C0476D">
        <w:rPr>
          <w:rFonts w:ascii="Times New Roman" w:hAnsi="Times New Roman"/>
          <w:sz w:val="24"/>
          <w:szCs w:val="24"/>
          <w:lang w:val="en-US"/>
        </w:rPr>
        <w:t xml:space="preserve">. </w:t>
      </w:r>
    </w:p>
    <w:p w14:paraId="1020C3AE" w14:textId="75ADAB0E" w:rsidR="001159B3" w:rsidRPr="00C0476D" w:rsidRDefault="001159B3" w:rsidP="001159B3">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 xml:space="preserve">Surface charge of the liquid sample was measured by zeta potential. To check the hydrophobicity, a minute drop of liquid sample was taken and kept over the glass slide for air drying. When the sample was properly air dried, contact angle was measured. The contact angles were measured with the sessile drop technique using water </w:t>
      </w:r>
      <w:r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{"citationItems":[{"id":"ITEM-1","itemData":{"DOI":"10.1680/si.13.00010","ISSN":"20506260","abstract":"The current broad interest in wetting characterization of solid surfaces is driven by recent advances in the formulation of surfaces and coatings that are superhydrophobic, superhydrophilic, oleophobic, oleophilic and so on. Unfortunately, the contact angle data presented in many publications raise some concerns among the surface chemists and physicists who work with contact angle measurement techniques on a regular basis. In those articles, best practices are often ignored, and the data presented are limited to the static contact angles measured for small droplets, a few times smaller than typically recommended. The reported contact angles are neither advancing nor receding, and their reproducibility in different laboratories is therefore questionable. In this note, guidelines to measurements of reproducible and reliable advancing and receding contact angles are summarized.","author":[{"dropping-particle":"","family":"Drelich","given":"Jaroslaw","non-dropping-particle":"","parse-names":false,"suffix":""}],"container-title":"Surface Innovations","id":"ITEM-1","issue":"4","issued":{"date-parts":[["2013"]]},"page":"248-254","title":"Guidelines to measurements of reproducible contact angles using a sessile-drop technique","type":"article-journal","volume":"1"},"uris":["http://www.mendeley.com/documents/?uuid=50148e3b-1901-45e0-a9a7-9d3a4e97b2a0","http://www.mendeley.com/documents/?uuid=b7da4e22-750c-42aa-b324-29a4be7e268e","http://www.mendeley.com/documents/?uuid=fd036d75-ebee-4118-b810-1df38c0e009c"]}],"mendeley":{"formattedCitation":"[4]","plainTextFormattedCitation":"[4]","previouslyFormattedCitation":"(Drelich, 2013)"},"properties":{"noteIndex":0},"schema":"https://github.com/citation-style-language/schema/raw/master/csl-citation.json"}</w:instrText>
      </w:r>
      <w:r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[4]</w:t>
      </w:r>
      <w:r w:rsidRPr="00C0476D">
        <w:rPr>
          <w:rFonts w:ascii="Times New Roman" w:hAnsi="Times New Roman"/>
          <w:sz w:val="24"/>
          <w:szCs w:val="24"/>
          <w:lang w:val="en-GB"/>
        </w:rPr>
        <w:fldChar w:fldCharType="end"/>
      </w:r>
      <w:r w:rsidRPr="00C0476D">
        <w:rPr>
          <w:rFonts w:ascii="Times New Roman" w:hAnsi="Times New Roman"/>
          <w:sz w:val="24"/>
          <w:szCs w:val="24"/>
          <w:lang w:val="en-GB"/>
        </w:rPr>
        <w:t xml:space="preserve">. </w:t>
      </w:r>
    </w:p>
    <w:p w14:paraId="53FF99F0" w14:textId="30F9F731" w:rsidR="001159B3" w:rsidRPr="00C0476D" w:rsidRDefault="001159B3" w:rsidP="001159B3">
      <w:pPr>
        <w:spacing w:line="480" w:lineRule="auto"/>
        <w:jc w:val="both"/>
        <w:rPr>
          <w:rFonts w:ascii="Times New Roman" w:hAnsi="Times New Roman"/>
          <w:sz w:val="24"/>
          <w:szCs w:val="24"/>
          <w:lang w:val="en-GB"/>
        </w:rPr>
      </w:pPr>
      <w:r w:rsidRPr="00C0476D">
        <w:rPr>
          <w:rFonts w:ascii="Times New Roman" w:hAnsi="Times New Roman"/>
          <w:sz w:val="24"/>
          <w:szCs w:val="24"/>
          <w:lang w:val="en-US"/>
        </w:rPr>
        <w:t xml:space="preserve">Ultra-performance liquid chromatography (UPLC system, Waters Inc., Bedford, MA, US) technique was used to measure the concentration of </w:t>
      </w:r>
      <w:r w:rsidR="00B916E5">
        <w:rPr>
          <w:rFonts w:ascii="Times New Roman" w:hAnsi="Times New Roman"/>
          <w:sz w:val="24"/>
          <w:szCs w:val="24"/>
          <w:lang w:val="en-US"/>
        </w:rPr>
        <w:t xml:space="preserve">atrazine </w:t>
      </w:r>
      <w:r w:rsidRPr="00C0476D">
        <w:rPr>
          <w:rFonts w:ascii="Times New Roman" w:hAnsi="Times New Roman"/>
          <w:sz w:val="24"/>
          <w:szCs w:val="24"/>
          <w:lang w:val="en-US"/>
        </w:rPr>
        <w:t xml:space="preserve">in pristine form as well as for the mixture treatment groups of </w:t>
      </w:r>
      <w:r w:rsidR="00B916E5">
        <w:rPr>
          <w:rFonts w:ascii="Times New Roman" w:hAnsi="Times New Roman"/>
          <w:sz w:val="24"/>
          <w:szCs w:val="24"/>
          <w:lang w:val="en-US"/>
        </w:rPr>
        <w:t xml:space="preserve">atrazine </w:t>
      </w:r>
      <w:r w:rsidRPr="00C0476D">
        <w:rPr>
          <w:rFonts w:ascii="Times New Roman" w:hAnsi="Times New Roman"/>
          <w:sz w:val="24"/>
          <w:szCs w:val="24"/>
          <w:lang w:val="en-US"/>
        </w:rPr>
        <w:t>with GFNs at 0 and 72 h (abiotic conditions, without algal cells).  It was carried in abiotic condition, without algal cells in replicates. For UPLC, the protocol was followed from</w:t>
      </w:r>
      <w:r w:rsidR="00B916E5">
        <w:rPr>
          <w:rFonts w:ascii="Times New Roman" w:hAnsi="Times New Roman"/>
          <w:sz w:val="24"/>
          <w:szCs w:val="24"/>
          <w:lang w:val="en-US"/>
        </w:rPr>
        <w:t xml:space="preserve"> </w:t>
      </w:r>
      <w:r w:rsidR="00B916E5">
        <w:rPr>
          <w:rFonts w:ascii="Times New Roman" w:hAnsi="Times New Roman"/>
          <w:sz w:val="24"/>
          <w:szCs w:val="24"/>
          <w:lang w:val="en-US"/>
        </w:rPr>
        <w:fldChar w:fldCharType="begin" w:fldLock="1"/>
      </w:r>
      <w:r w:rsidR="008C2E71">
        <w:rPr>
          <w:rFonts w:ascii="Times New Roman" w:hAnsi="Times New Roman"/>
          <w:sz w:val="24"/>
          <w:szCs w:val="24"/>
          <w:lang w:val="en-US"/>
        </w:rPr>
        <w:instrText>ADDIN CSL_CITATION {"citationItems":[{"id":"ITEM-1","itemData":{"DOI":"10.1081/JLC-120021757","ISSN":"10826076","abstract":"A method for the analysis of atrazine in freshwater bivalves has been developed. The method involves a simple liquid-liquid extraction procedure followed by high-performance liquid chromatography analysis using a C18 column, a methanol-water (60:40, v/v) mobile phase, a flow-rate of 1 mL/min, and UV detection at 230 nm. After optimization of the conditions, the method was validated, showing 81.7% atrazine recovery. Performance data for the method such as linearity, precision, and quantitation limit are also reported.","author":[{"dropping-particle":"","family":"Jacomini","given":"Analu Egydio","non-dropping-particle":"","parse-names":false,"suffix":""},{"dropping-particle":"","family":"Bonato","given":"Pierina Sueli","non-dropping-particle":"","parse-names":false,"suffix":""},{"dropping-particle":"","family":"Avelar","given":"Wagner Eustáquio Paiva","non-dropping-particle":"","parse-names":false,"suffix":""}],"container-title":"Journal of Liquid Chromatography and Related Technologies","id":"ITEM-1","issue":"12","issued":{"date-parts":[["2003"]]},"page":"1885-1894","title":"HPLC method for the analysis of atrazine in freshwater bivalves","type":"article-journal","volume":"26"},"uris":["http://www.mendeley.com/documents/?uuid=9d9cb34a-c773-41b8-b9f8-0527f8c44b3d"]}],"mendeley":{"formattedCitation":"[5]","plainTextFormattedCitation":"[5]","previouslyFormattedCitation":"(Jacomini et al., 2003)"},"properties":{"noteIndex":0},"schema":"https://github.com/citation-style-language/schema/raw/master/csl-citation.json"}</w:instrText>
      </w:r>
      <w:r w:rsidR="00B916E5">
        <w:rPr>
          <w:rFonts w:ascii="Times New Roman" w:hAnsi="Times New Roman"/>
          <w:sz w:val="24"/>
          <w:szCs w:val="24"/>
          <w:lang w:val="en-US"/>
        </w:rPr>
        <w:fldChar w:fldCharType="separate"/>
      </w:r>
      <w:r w:rsidR="008C2E71" w:rsidRPr="008C2E71">
        <w:rPr>
          <w:rFonts w:ascii="Times New Roman" w:hAnsi="Times New Roman"/>
          <w:noProof/>
          <w:sz w:val="24"/>
          <w:szCs w:val="24"/>
          <w:lang w:val="en-US"/>
        </w:rPr>
        <w:t>[5]</w:t>
      </w:r>
      <w:r w:rsidR="00B916E5">
        <w:rPr>
          <w:rFonts w:ascii="Times New Roman" w:hAnsi="Times New Roman"/>
          <w:sz w:val="24"/>
          <w:szCs w:val="24"/>
          <w:lang w:val="en-US"/>
        </w:rPr>
        <w:fldChar w:fldCharType="end"/>
      </w:r>
      <w:r w:rsidRPr="00C0476D">
        <w:rPr>
          <w:rFonts w:ascii="Times New Roman" w:hAnsi="Times New Roman"/>
          <w:sz w:val="24"/>
          <w:szCs w:val="24"/>
          <w:lang w:val="en-US"/>
        </w:rPr>
        <w:t xml:space="preserve">. </w:t>
      </w:r>
    </w:p>
    <w:p w14:paraId="0C80B357" w14:textId="3D1AA625" w:rsidR="00725FC6" w:rsidRPr="00C0476D" w:rsidRDefault="00901E23" w:rsidP="00CE43B6">
      <w:pPr>
        <w:spacing w:line="480" w:lineRule="auto"/>
        <w:jc w:val="both"/>
        <w:rPr>
          <w:rFonts w:ascii="Times New Roman" w:hAnsi="Times New Roman"/>
          <w:b/>
          <w:sz w:val="24"/>
          <w:szCs w:val="24"/>
          <w:lang w:val="en-GB"/>
        </w:rPr>
      </w:pPr>
      <w:r>
        <w:rPr>
          <w:rFonts w:ascii="Times New Roman" w:hAnsi="Times New Roman"/>
          <w:b/>
          <w:sz w:val="24"/>
          <w:szCs w:val="24"/>
          <w:lang w:val="en-GB"/>
        </w:rPr>
        <w:t>M5</w:t>
      </w:r>
      <w:r w:rsidR="006E4011" w:rsidRPr="00C0476D">
        <w:rPr>
          <w:rFonts w:ascii="Times New Roman" w:hAnsi="Times New Roman"/>
          <w:b/>
          <w:sz w:val="24"/>
          <w:szCs w:val="24"/>
          <w:lang w:val="en-GB"/>
        </w:rPr>
        <w:t>S5</w:t>
      </w:r>
      <w:r w:rsidR="00725FC6" w:rsidRPr="00C0476D">
        <w:rPr>
          <w:rFonts w:ascii="Times New Roman" w:hAnsi="Times New Roman"/>
          <w:b/>
          <w:sz w:val="24"/>
          <w:szCs w:val="24"/>
          <w:lang w:val="en-GB"/>
        </w:rPr>
        <w:t>: Effects o</w:t>
      </w:r>
      <w:r w:rsidR="00877D1C" w:rsidRPr="00C0476D">
        <w:rPr>
          <w:rFonts w:ascii="Times New Roman" w:hAnsi="Times New Roman"/>
          <w:b/>
          <w:sz w:val="24"/>
          <w:szCs w:val="24"/>
          <w:lang w:val="en-GB"/>
        </w:rPr>
        <w:t>n</w:t>
      </w:r>
      <w:r w:rsidR="00725FC6" w:rsidRPr="00C0476D">
        <w:rPr>
          <w:rFonts w:ascii="Times New Roman" w:hAnsi="Times New Roman"/>
          <w:b/>
          <w:sz w:val="24"/>
          <w:szCs w:val="24"/>
          <w:lang w:val="en-GB"/>
        </w:rPr>
        <w:t xml:space="preserve"> growth inhibition </w:t>
      </w:r>
    </w:p>
    <w:p w14:paraId="406CC1E9" w14:textId="5872D34C" w:rsidR="00ED2C42" w:rsidRPr="00C0476D" w:rsidRDefault="00A40CDA" w:rsidP="00CE43B6">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The g</w:t>
      </w:r>
      <w:r w:rsidR="007A462E" w:rsidRPr="00C0476D">
        <w:rPr>
          <w:rFonts w:ascii="Times New Roman" w:hAnsi="Times New Roman"/>
          <w:sz w:val="24"/>
          <w:szCs w:val="24"/>
          <w:lang w:val="en-GB"/>
        </w:rPr>
        <w:t>rowth inhibition was assessed after the incubation time</w:t>
      </w:r>
      <w:r w:rsidRPr="00C0476D">
        <w:rPr>
          <w:rFonts w:ascii="Times New Roman" w:hAnsi="Times New Roman"/>
          <w:sz w:val="24"/>
          <w:szCs w:val="24"/>
          <w:lang w:val="en-GB"/>
        </w:rPr>
        <w:t>,</w:t>
      </w:r>
      <w:r w:rsidR="007A462E" w:rsidRPr="00C0476D">
        <w:rPr>
          <w:rFonts w:ascii="Times New Roman" w:hAnsi="Times New Roman"/>
          <w:sz w:val="24"/>
          <w:szCs w:val="24"/>
          <w:lang w:val="en-GB"/>
        </w:rPr>
        <w:t xml:space="preserve"> by counting the healthy cells on a h</w:t>
      </w:r>
      <w:r w:rsidR="00EC3990" w:rsidRPr="00C0476D">
        <w:rPr>
          <w:rFonts w:ascii="Times New Roman" w:hAnsi="Times New Roman"/>
          <w:sz w:val="24"/>
          <w:szCs w:val="24"/>
          <w:lang w:val="en-GB"/>
        </w:rPr>
        <w:t>a</w:t>
      </w:r>
      <w:r w:rsidR="007A462E" w:rsidRPr="00C0476D">
        <w:rPr>
          <w:rFonts w:ascii="Times New Roman" w:hAnsi="Times New Roman"/>
          <w:sz w:val="24"/>
          <w:szCs w:val="24"/>
          <w:lang w:val="en-GB"/>
        </w:rPr>
        <w:t>emocytometer and examined under a</w:t>
      </w:r>
      <w:r w:rsidR="00AF2FD9" w:rsidRPr="00C0476D">
        <w:rPr>
          <w:rFonts w:ascii="Times New Roman" w:hAnsi="Times New Roman"/>
          <w:sz w:val="24"/>
          <w:szCs w:val="24"/>
          <w:lang w:val="en-GB"/>
        </w:rPr>
        <w:t>n</w:t>
      </w:r>
      <w:r w:rsidR="007A462E" w:rsidRPr="00C0476D">
        <w:rPr>
          <w:rFonts w:ascii="Times New Roman" w:hAnsi="Times New Roman"/>
          <w:sz w:val="24"/>
          <w:szCs w:val="24"/>
          <w:lang w:val="en-GB"/>
        </w:rPr>
        <w:t xml:space="preserve"> </w:t>
      </w:r>
      <w:r w:rsidR="00EC3990" w:rsidRPr="00C0476D">
        <w:rPr>
          <w:rFonts w:ascii="Times New Roman" w:hAnsi="Times New Roman"/>
          <w:sz w:val="24"/>
          <w:szCs w:val="24"/>
          <w:lang w:val="en-GB"/>
        </w:rPr>
        <w:t xml:space="preserve">optical </w:t>
      </w:r>
      <w:r w:rsidR="007A462E" w:rsidRPr="00C0476D">
        <w:rPr>
          <w:rFonts w:ascii="Times New Roman" w:hAnsi="Times New Roman"/>
          <w:sz w:val="24"/>
          <w:szCs w:val="24"/>
          <w:lang w:val="en-GB"/>
        </w:rPr>
        <w:t xml:space="preserve">microscope. </w:t>
      </w:r>
      <w:r w:rsidR="001C56AE" w:rsidRPr="00C0476D">
        <w:rPr>
          <w:rFonts w:ascii="Times New Roman" w:hAnsi="Times New Roman"/>
          <w:sz w:val="24"/>
          <w:szCs w:val="24"/>
          <w:lang w:val="en-GB"/>
        </w:rPr>
        <w:t>H</w:t>
      </w:r>
      <w:r w:rsidR="007A462E" w:rsidRPr="00C0476D">
        <w:rPr>
          <w:rFonts w:ascii="Times New Roman" w:hAnsi="Times New Roman"/>
          <w:sz w:val="24"/>
          <w:szCs w:val="24"/>
          <w:lang w:val="en-GB"/>
        </w:rPr>
        <w:t>ealthy</w:t>
      </w:r>
      <w:r w:rsidR="001C56AE" w:rsidRPr="00C0476D">
        <w:rPr>
          <w:rFonts w:ascii="Times New Roman" w:hAnsi="Times New Roman"/>
          <w:sz w:val="24"/>
          <w:szCs w:val="24"/>
          <w:lang w:val="en-GB"/>
        </w:rPr>
        <w:t xml:space="preserve"> algal cells</w:t>
      </w:r>
      <w:r w:rsidR="007A462E" w:rsidRPr="00C0476D">
        <w:rPr>
          <w:rFonts w:ascii="Times New Roman" w:hAnsi="Times New Roman"/>
          <w:sz w:val="24"/>
          <w:szCs w:val="24"/>
          <w:lang w:val="en-GB"/>
        </w:rPr>
        <w:t xml:space="preserve"> can be differentiated from dead algal cells as they exist as distinct, relatively big cells</w:t>
      </w:r>
      <w:r w:rsidRPr="00C0476D">
        <w:rPr>
          <w:rFonts w:ascii="Times New Roman" w:hAnsi="Times New Roman"/>
          <w:sz w:val="24"/>
          <w:szCs w:val="24"/>
          <w:lang w:val="en-GB"/>
        </w:rPr>
        <w:t>,</w:t>
      </w:r>
      <w:r w:rsidR="007A462E" w:rsidRPr="00C0476D">
        <w:rPr>
          <w:rFonts w:ascii="Times New Roman" w:hAnsi="Times New Roman"/>
          <w:sz w:val="24"/>
          <w:szCs w:val="24"/>
          <w:lang w:val="en-GB"/>
        </w:rPr>
        <w:t xml:space="preserve"> w</w:t>
      </w:r>
      <w:r w:rsidR="001C56AE" w:rsidRPr="00C0476D">
        <w:rPr>
          <w:rFonts w:ascii="Times New Roman" w:hAnsi="Times New Roman"/>
          <w:sz w:val="24"/>
          <w:szCs w:val="24"/>
          <w:lang w:val="en-GB"/>
        </w:rPr>
        <w:t>hereas</w:t>
      </w:r>
      <w:r w:rsidRPr="00C0476D">
        <w:rPr>
          <w:rFonts w:ascii="Times New Roman" w:hAnsi="Times New Roman"/>
          <w:sz w:val="24"/>
          <w:szCs w:val="24"/>
          <w:lang w:val="en-GB"/>
        </w:rPr>
        <w:t>,</w:t>
      </w:r>
      <w:r w:rsidR="001C56AE" w:rsidRPr="00C0476D">
        <w:rPr>
          <w:rFonts w:ascii="Times New Roman" w:hAnsi="Times New Roman"/>
          <w:sz w:val="24"/>
          <w:szCs w:val="24"/>
          <w:lang w:val="en-GB"/>
        </w:rPr>
        <w:t xml:space="preserve"> dead cells form clusters. Highly damaged cells were also counted as dead cell</w:t>
      </w:r>
      <w:r w:rsidR="00ED5C69" w:rsidRPr="00C0476D">
        <w:rPr>
          <w:rFonts w:ascii="Times New Roman" w:hAnsi="Times New Roman"/>
          <w:sz w:val="24"/>
          <w:szCs w:val="24"/>
          <w:lang w:val="en-GB"/>
        </w:rPr>
        <w:t>s</w:t>
      </w:r>
      <w:r w:rsidR="001C56AE" w:rsidRPr="00C0476D">
        <w:rPr>
          <w:rFonts w:ascii="Times New Roman" w:hAnsi="Times New Roman"/>
          <w:sz w:val="24"/>
          <w:szCs w:val="24"/>
          <w:lang w:val="en-GB"/>
        </w:rPr>
        <w:t>.</w:t>
      </w:r>
      <w:r w:rsidR="007A462E" w:rsidRPr="00C0476D">
        <w:rPr>
          <w:rFonts w:ascii="Times New Roman" w:hAnsi="Times New Roman"/>
          <w:sz w:val="24"/>
          <w:szCs w:val="24"/>
          <w:lang w:val="en-GB"/>
        </w:rPr>
        <w:t xml:space="preserve"> The cell counts for the treatment groups were compared with the contr</w:t>
      </w:r>
      <w:r w:rsidR="00422FDB" w:rsidRPr="00C0476D">
        <w:rPr>
          <w:rFonts w:ascii="Times New Roman" w:hAnsi="Times New Roman"/>
          <w:sz w:val="24"/>
          <w:szCs w:val="24"/>
          <w:lang w:val="en-GB"/>
        </w:rPr>
        <w:t xml:space="preserve">ol group </w:t>
      </w:r>
      <w:r w:rsidR="00422FDB"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{"citationItems":[{"id":"ITEM-1","itemData":{"DOI":"10.1080/17435390.2023.2179438","ISSN":"17435404","PMID":"36789517","abstract":"The continuous release of nanoparticles and nanoplastics into the marine environment necessitates the examination of their combined effects in marine organisms. Natural Organic Matter (NOM) can significantly influence the behavior of nanomaterials in the marine environment. The present study explores the effects of algal Extracellular Polymeric Substances (EPS) in reducing the combined toxic effects of three different polystyrene nanoplastics (PSNPs)— aminated (NH2-PSNPs), carboxylated (COOH-PSNPs), and plain PSNPs — and P25 titanium dioxide nanoparticles (Nano-TiO2) towards the marine alga, Chlorella sp. Two doses (0.25 and 2.5 mg/L) of nano-TiO2 mixed with the PSNPs (1 mg/L) were employed. The COOH-PSNPs with 2.5 mg/L nano-TiO2 exhibited higher growth inhibition toward algal cells. Addition of algal EPS to the mixture of NMs decreased the negative effect significantly. The mean hydrodynamic diameter increased significantly from 666 to 797 nm and 1248 to 3589 nm at concentrations 0.25 and 2.5 mg/L, respectively when the mixtures of nano-TiO2 and COOH-PSNPs were incubated with the algal EPS. In comparison to the pristine NMs, the EPS-NMs were found to significantly reduce the superoxide and hydroxyl radical production. The results were further validated with the estimation of lipid peroxidation (LPO), esterase activity, photosynthetic efficiency, and membrane permeability in the cells. The major outcomes from this study highlight the role of algal EPS in significantly reducing the toxic impact of binary mixture of NMs in marine organisms.","author":[{"dropping-particle":"","family":"Natarajan","given":"Lokeshwari","non-dropping-particle":"","parse-names":false,"suffix":""},{"dropping-particle":"","family":"Annie Jenifer","given":"M.","non-dropping-particle":"","parse-names":false,"suffix":""},{"dropping-particle":"","family":"Peijnenburg","given":"Willie J.G.M.","non-dropping-particle":"","parse-names":false,"suffix":""},{"dropping-particle":"","family":"Mukherjee","given":"Amitava","non-dropping-particle":"","parse-names":false,"suffix":""}],"container-title":"Nanotoxicology","id":"ITEM-1","issue":"0","issued":{"date-parts":[["2023"]]},"page":"1-14","publisher":"Taylor &amp; Francis","title":"Algal extracellular polymeric substances (algal-EPS) for mitigating the combined toxic effects of polystyrene nanoplastics and nano-TiO2 in Chlorella sp.","type":"article-journal","volume":"0"},"uris":["http://www.mendeley.com/documents/?uuid=bab99d6f-e9c6-4c39-afc8-36d764cb7002"]}],"mendeley":{"formattedCitation":"[6]","plainTextFormattedCitation":"[6]","previouslyFormattedCitation":"(Natarajan et al., 2023)"},"properties":{"noteIndex":0},"schema":"https://github.com/citation-style-language/schema/raw/master/csl-citation.json"}</w:instrText>
      </w:r>
      <w:r w:rsidR="00422FDB"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[6]</w:t>
      </w:r>
      <w:r w:rsidR="00422FDB" w:rsidRPr="00C0476D">
        <w:rPr>
          <w:rFonts w:ascii="Times New Roman" w:hAnsi="Times New Roman"/>
          <w:sz w:val="24"/>
          <w:szCs w:val="24"/>
          <w:lang w:val="en-GB"/>
        </w:rPr>
        <w:fldChar w:fldCharType="end"/>
      </w:r>
      <w:r w:rsidR="007A462E" w:rsidRPr="00C0476D">
        <w:rPr>
          <w:rFonts w:ascii="Times New Roman" w:hAnsi="Times New Roman"/>
          <w:sz w:val="24"/>
          <w:szCs w:val="24"/>
          <w:lang w:val="en-GB"/>
        </w:rPr>
        <w:t>.</w:t>
      </w:r>
      <w:r w:rsidR="00DC4667" w:rsidRPr="00C0476D">
        <w:rPr>
          <w:rFonts w:ascii="Times New Roman" w:hAnsi="Times New Roman"/>
          <w:sz w:val="24"/>
          <w:szCs w:val="24"/>
          <w:lang w:val="en-GB"/>
        </w:rPr>
        <w:t xml:space="preserve"> </w:t>
      </w:r>
    </w:p>
    <w:p w14:paraId="32E797F8" w14:textId="310838AF" w:rsidR="00545034" w:rsidRPr="00C0476D" w:rsidRDefault="007439B0" w:rsidP="00CE43B6">
      <w:pPr>
        <w:spacing w:line="480" w:lineRule="auto"/>
        <w:jc w:val="both"/>
        <w:rPr>
          <w:rFonts w:ascii="Times New Roman" w:hAnsi="Times New Roman"/>
          <w:sz w:val="24"/>
          <w:szCs w:val="24"/>
          <w:lang w:val="en-GB"/>
        </w:rPr>
      </w:pPr>
      <m:oMathPara>
        <m:oMath>
          <m:r>
            <w:rPr>
              <w:rFonts w:ascii="Cambria Math" w:hAnsi="Cambria Math"/>
              <w:sz w:val="24"/>
              <w:szCs w:val="24"/>
              <w:lang w:val="en-GB"/>
            </w:rPr>
            <m:t>Growth Inhibition (%)=100-</m:t>
          </m:r>
          <m:d>
            <m:dPr>
              <m:ctrlPr>
                <w:rPr>
                  <w:rFonts w:ascii="Cambria Math" w:hAnsi="Cambria Math"/>
                  <w:i/>
                  <w:sz w:val="24"/>
                  <w:szCs w:val="24"/>
                  <w:lang w:val="en-GB"/>
                </w:rPr>
              </m:ctrlPr>
            </m:dPr>
            <m:e>
              <m:f>
                <m:fPr>
                  <m:ctrlPr>
                    <w:rPr>
                      <w:rFonts w:ascii="Cambria Math" w:hAnsi="Cambria Math"/>
                      <w:i/>
                      <w:sz w:val="24"/>
                      <w:szCs w:val="24"/>
                      <w:lang w:val="en-GB"/>
                    </w:rPr>
                  </m:ctrlPr>
                </m:fPr>
                <m:num>
                  <m:r>
                    <w:rPr>
                      <w:rFonts w:ascii="Cambria Math" w:hAnsi="Cambria Math"/>
                      <w:sz w:val="24"/>
                      <w:szCs w:val="24"/>
                      <w:lang w:val="en-GB"/>
                    </w:rPr>
                    <m:t>Test</m:t>
                  </m:r>
                </m:num>
                <m:den>
                  <m:r>
                    <w:rPr>
                      <w:rFonts w:ascii="Cambria Math" w:hAnsi="Cambria Math"/>
                      <w:sz w:val="24"/>
                      <w:szCs w:val="24"/>
                      <w:lang w:val="en-GB"/>
                    </w:rPr>
                    <m:t>Control</m:t>
                  </m:r>
                </m:den>
              </m:f>
              <m:r>
                <w:rPr>
                  <w:rFonts w:ascii="Cambria Math" w:hAnsi="Cambria Math"/>
                  <w:sz w:val="24"/>
                  <w:szCs w:val="24"/>
                  <w:lang w:val="en-GB"/>
                </w:rPr>
                <m:t>*100</m:t>
              </m:r>
            </m:e>
          </m:d>
        </m:oMath>
      </m:oMathPara>
    </w:p>
    <w:p w14:paraId="040FC2B4" w14:textId="6351076D" w:rsidR="00C35A85" w:rsidRPr="00D1655A" w:rsidRDefault="00C35A85" w:rsidP="00D1655A">
      <w:pPr>
        <w:spacing w:line="480" w:lineRule="auto"/>
        <w:jc w:val="both"/>
        <w:rPr>
          <w:rFonts w:ascii="Times New Roman" w:hAnsi="Times New Roman"/>
          <w:sz w:val="24"/>
          <w:szCs w:val="24"/>
        </w:rPr>
      </w:pPr>
      <w:r w:rsidRPr="00C0476D">
        <w:rPr>
          <w:rFonts w:ascii="Times New Roman" w:hAnsi="Times New Roman"/>
          <w:sz w:val="24"/>
          <w:szCs w:val="24"/>
        </w:rPr>
        <w:t>EC</w:t>
      </w:r>
      <w:r w:rsidRPr="00C0476D">
        <w:rPr>
          <w:rFonts w:ascii="Times New Roman" w:hAnsi="Times New Roman"/>
          <w:sz w:val="24"/>
          <w:szCs w:val="24"/>
          <w:vertAlign w:val="subscript"/>
        </w:rPr>
        <w:t>50</w:t>
      </w:r>
      <w:r w:rsidRPr="00C0476D">
        <w:rPr>
          <w:rFonts w:ascii="Times New Roman" w:hAnsi="Times New Roman"/>
          <w:sz w:val="24"/>
          <w:szCs w:val="24"/>
        </w:rPr>
        <w:t xml:space="preserve"> was calculated with</w:t>
      </w:r>
      <w:r w:rsidR="003542F5">
        <w:rPr>
          <w:rFonts w:ascii="Times New Roman" w:hAnsi="Times New Roman"/>
          <w:sz w:val="24"/>
          <w:szCs w:val="24"/>
        </w:rPr>
        <w:t xml:space="preserve"> a range of concentration of 0.025 mg/L to 25.6</w:t>
      </w:r>
      <w:r w:rsidRPr="00C0476D">
        <w:rPr>
          <w:rFonts w:ascii="Times New Roman" w:hAnsi="Times New Roman"/>
          <w:sz w:val="24"/>
          <w:szCs w:val="24"/>
        </w:rPr>
        <w:t xml:space="preserve"> mg/L for </w:t>
      </w:r>
      <w:r w:rsidR="00EB413D">
        <w:rPr>
          <w:rFonts w:ascii="Times New Roman" w:hAnsi="Times New Roman"/>
          <w:sz w:val="24"/>
          <w:szCs w:val="24"/>
        </w:rPr>
        <w:t xml:space="preserve">atrazine </w:t>
      </w:r>
      <w:r w:rsidRPr="00C0476D">
        <w:rPr>
          <w:rFonts w:ascii="Times New Roman" w:hAnsi="Times New Roman"/>
          <w:sz w:val="24"/>
          <w:szCs w:val="24"/>
        </w:rPr>
        <w:t>pristine</w:t>
      </w:r>
      <w:r w:rsidR="008F7E86" w:rsidRPr="00C0476D">
        <w:rPr>
          <w:rFonts w:ascii="Times New Roman" w:hAnsi="Times New Roman"/>
          <w:sz w:val="24"/>
          <w:szCs w:val="24"/>
        </w:rPr>
        <w:t xml:space="preserve">, by following the log concentration and </w:t>
      </w:r>
      <w:proofErr w:type="spellStart"/>
      <w:r w:rsidR="008F7E86" w:rsidRPr="00C0476D">
        <w:rPr>
          <w:rFonts w:ascii="Times New Roman" w:hAnsi="Times New Roman"/>
          <w:sz w:val="24"/>
          <w:szCs w:val="24"/>
        </w:rPr>
        <w:t>probit</w:t>
      </w:r>
      <w:proofErr w:type="spellEnd"/>
      <w:r w:rsidR="008F7E86" w:rsidRPr="00C0476D">
        <w:rPr>
          <w:rFonts w:ascii="Times New Roman" w:hAnsi="Times New Roman"/>
          <w:sz w:val="24"/>
          <w:szCs w:val="24"/>
        </w:rPr>
        <w:t xml:space="preserve"> values</w:t>
      </w:r>
      <w:r w:rsidR="00D1655A">
        <w:rPr>
          <w:rFonts w:ascii="Times New Roman" w:hAnsi="Times New Roman"/>
          <w:sz w:val="24"/>
          <w:szCs w:val="24"/>
        </w:rPr>
        <w:t xml:space="preserve">. For </w:t>
      </w:r>
      <w:r w:rsidR="00D1655A" w:rsidRPr="00C0476D">
        <w:rPr>
          <w:rFonts w:ascii="Times New Roman" w:hAnsi="Times New Roman"/>
          <w:sz w:val="24"/>
          <w:szCs w:val="24"/>
        </w:rPr>
        <w:t>EC</w:t>
      </w:r>
      <w:r w:rsidR="00D1655A" w:rsidRPr="00C0476D">
        <w:rPr>
          <w:rFonts w:ascii="Times New Roman" w:hAnsi="Times New Roman"/>
          <w:sz w:val="24"/>
          <w:szCs w:val="24"/>
          <w:vertAlign w:val="subscript"/>
        </w:rPr>
        <w:t>50</w:t>
      </w:r>
      <w:r w:rsidR="00D1655A">
        <w:rPr>
          <w:rFonts w:ascii="Times New Roman" w:hAnsi="Times New Roman"/>
          <w:sz w:val="24"/>
          <w:szCs w:val="24"/>
        </w:rPr>
        <w:t xml:space="preserve"> calculation, a</w:t>
      </w:r>
      <w:r w:rsidR="00D1655A" w:rsidRPr="00D1655A">
        <w:rPr>
          <w:rFonts w:ascii="Times New Roman" w:hAnsi="Times New Roman"/>
          <w:sz w:val="24"/>
          <w:szCs w:val="24"/>
        </w:rPr>
        <w:t>t first, the percentage of growth inhibition</w:t>
      </w:r>
      <w:r w:rsidR="00202EA2">
        <w:rPr>
          <w:rFonts w:ascii="Times New Roman" w:hAnsi="Times New Roman"/>
          <w:sz w:val="24"/>
          <w:szCs w:val="24"/>
        </w:rPr>
        <w:t xml:space="preserve"> (rounded off)</w:t>
      </w:r>
      <w:r w:rsidR="00D1655A" w:rsidRPr="00D1655A">
        <w:rPr>
          <w:rFonts w:ascii="Times New Roman" w:hAnsi="Times New Roman"/>
          <w:sz w:val="24"/>
          <w:szCs w:val="24"/>
        </w:rPr>
        <w:t xml:space="preserve"> of the various concentrations of atrazine tested on algal cells were recorded in comparison to the control cells, this was followed by the </w:t>
      </w:r>
      <w:proofErr w:type="spellStart"/>
      <w:r w:rsidR="00D1655A" w:rsidRPr="00D1655A">
        <w:rPr>
          <w:rFonts w:ascii="Times New Roman" w:hAnsi="Times New Roman"/>
          <w:sz w:val="24"/>
          <w:szCs w:val="24"/>
        </w:rPr>
        <w:t>probit</w:t>
      </w:r>
      <w:proofErr w:type="spellEnd"/>
      <w:r w:rsidR="00D1655A" w:rsidRPr="00D1655A">
        <w:rPr>
          <w:rFonts w:ascii="Times New Roman" w:hAnsi="Times New Roman"/>
          <w:sz w:val="24"/>
          <w:szCs w:val="24"/>
        </w:rPr>
        <w:t xml:space="preserve"> analysis of the growth inhibition percentages. Then a graph was plotted in MS Excel by plotting </w:t>
      </w:r>
      <w:r w:rsidR="00D1655A" w:rsidRPr="00D1655A">
        <w:rPr>
          <w:rFonts w:ascii="Times New Roman" w:hAnsi="Times New Roman"/>
          <w:sz w:val="24"/>
          <w:szCs w:val="24"/>
        </w:rPr>
        <w:lastRenderedPageBreak/>
        <w:t xml:space="preserve">the values of </w:t>
      </w:r>
      <w:proofErr w:type="spellStart"/>
      <w:r w:rsidR="00D1655A" w:rsidRPr="00D1655A">
        <w:rPr>
          <w:rFonts w:ascii="Times New Roman" w:hAnsi="Times New Roman"/>
          <w:sz w:val="24"/>
          <w:szCs w:val="24"/>
        </w:rPr>
        <w:t>probit</w:t>
      </w:r>
      <w:proofErr w:type="spellEnd"/>
      <w:r w:rsidR="00D1655A" w:rsidRPr="00D1655A">
        <w:rPr>
          <w:rFonts w:ascii="Times New Roman" w:hAnsi="Times New Roman"/>
          <w:sz w:val="24"/>
          <w:szCs w:val="24"/>
        </w:rPr>
        <w:t xml:space="preserve"> against the log value of the atrazine concentrations used. From this graph, r</w:t>
      </w:r>
      <w:r w:rsidR="00D1655A" w:rsidRPr="00D1655A">
        <w:rPr>
          <w:rFonts w:ascii="Times New Roman" w:hAnsi="Times New Roman"/>
          <w:sz w:val="24"/>
          <w:szCs w:val="24"/>
          <w:vertAlign w:val="superscript"/>
        </w:rPr>
        <w:t>2</w:t>
      </w:r>
      <w:r w:rsidR="00D1655A" w:rsidRPr="00D1655A">
        <w:rPr>
          <w:rFonts w:ascii="Times New Roman" w:hAnsi="Times New Roman"/>
          <w:sz w:val="24"/>
          <w:szCs w:val="24"/>
        </w:rPr>
        <w:t xml:space="preserve"> value was determined along with the equation. Using this equation, the value of the EC</w:t>
      </w:r>
      <w:r w:rsidR="00D1655A" w:rsidRPr="00D1655A">
        <w:rPr>
          <w:rFonts w:ascii="Times New Roman" w:hAnsi="Times New Roman"/>
          <w:sz w:val="24"/>
          <w:szCs w:val="24"/>
          <w:vertAlign w:val="subscript"/>
        </w:rPr>
        <w:t xml:space="preserve">50 </w:t>
      </w:r>
      <w:r w:rsidR="00D1655A" w:rsidRPr="00D1655A">
        <w:rPr>
          <w:rFonts w:ascii="Times New Roman" w:hAnsi="Times New Roman"/>
          <w:sz w:val="24"/>
          <w:szCs w:val="24"/>
        </w:rPr>
        <w:t>concentration was determined</w:t>
      </w:r>
      <w:r w:rsidR="00202EA2">
        <w:rPr>
          <w:rFonts w:ascii="Times New Roman" w:hAnsi="Times New Roman"/>
          <w:sz w:val="24"/>
          <w:szCs w:val="24"/>
        </w:rPr>
        <w:t>, after considering the anti-log at the end</w:t>
      </w:r>
      <w:r w:rsidR="00D1655A" w:rsidRPr="00D1655A">
        <w:rPr>
          <w:rFonts w:ascii="Times New Roman" w:hAnsi="Times New Roman"/>
          <w:sz w:val="24"/>
          <w:szCs w:val="24"/>
        </w:rPr>
        <w:t>.</w:t>
      </w:r>
    </w:p>
    <w:p w14:paraId="40F32841" w14:textId="3070BFF5" w:rsidR="00584F2E" w:rsidRPr="00C0476D" w:rsidRDefault="00584F2E" w:rsidP="00584F2E">
      <w:pPr>
        <w:spacing w:line="480" w:lineRule="auto"/>
        <w:jc w:val="both"/>
        <w:rPr>
          <w:rFonts w:ascii="Times New Roman" w:hAnsi="Times New Roman"/>
          <w:sz w:val="24"/>
          <w:szCs w:val="24"/>
          <w:lang w:val="en-GB"/>
        </w:rPr>
      </w:pPr>
      <w:r w:rsidRPr="00C0476D">
        <w:rPr>
          <w:rFonts w:ascii="Times New Roman" w:hAnsi="Times New Roman"/>
          <w:sz w:val="24"/>
          <w:szCs w:val="24"/>
        </w:rPr>
        <w:t xml:space="preserve">On the basis of the growth inhibition data, Abbott’s model predicts the toxicity by examining the interaction between the contaminants in the combination of </w:t>
      </w:r>
      <w:r w:rsidR="000C06DA">
        <w:rPr>
          <w:rFonts w:ascii="Times New Roman" w:hAnsi="Times New Roman"/>
          <w:sz w:val="24"/>
          <w:szCs w:val="24"/>
        </w:rPr>
        <w:t>atrazine</w:t>
      </w:r>
      <w:r w:rsidRPr="00C0476D">
        <w:rPr>
          <w:rFonts w:ascii="Times New Roman" w:hAnsi="Times New Roman"/>
          <w:sz w:val="24"/>
          <w:szCs w:val="24"/>
        </w:rPr>
        <w:t xml:space="preserve"> and GFNs. </w:t>
      </w:r>
      <w:r w:rsidRPr="00C0476D">
        <w:rPr>
          <w:rFonts w:ascii="Times New Roman" w:eastAsiaTheme="minorEastAsia" w:hAnsi="Times New Roman"/>
          <w:sz w:val="24"/>
          <w:szCs w:val="24"/>
        </w:rPr>
        <w:t>The ratio between the expected value (</w:t>
      </w:r>
      <w:proofErr w:type="spellStart"/>
      <w:r w:rsidRPr="00C0476D">
        <w:rPr>
          <w:rFonts w:ascii="Times New Roman" w:eastAsiaTheme="minorEastAsia" w:hAnsi="Times New Roman"/>
          <w:sz w:val="24"/>
          <w:szCs w:val="24"/>
        </w:rPr>
        <w:t>C</w:t>
      </w:r>
      <w:r w:rsidRPr="00C0476D">
        <w:rPr>
          <w:rFonts w:ascii="Times New Roman" w:eastAsiaTheme="minorEastAsia" w:hAnsi="Times New Roman"/>
          <w:sz w:val="24"/>
          <w:szCs w:val="24"/>
          <w:vertAlign w:val="subscript"/>
        </w:rPr>
        <w:t>exp</w:t>
      </w:r>
      <w:proofErr w:type="spellEnd"/>
      <w:r w:rsidRPr="00C0476D">
        <w:rPr>
          <w:rFonts w:ascii="Times New Roman" w:eastAsiaTheme="minorEastAsia" w:hAnsi="Times New Roman"/>
          <w:sz w:val="24"/>
          <w:szCs w:val="24"/>
        </w:rPr>
        <w:t>) and the observed value (C</w:t>
      </w:r>
      <w:r w:rsidRPr="00C0476D">
        <w:rPr>
          <w:rFonts w:ascii="Times New Roman" w:eastAsiaTheme="minorEastAsia" w:hAnsi="Times New Roman"/>
          <w:sz w:val="24"/>
          <w:szCs w:val="24"/>
          <w:vertAlign w:val="subscript"/>
        </w:rPr>
        <w:t>obs</w:t>
      </w:r>
      <w:r w:rsidRPr="00C0476D">
        <w:rPr>
          <w:rFonts w:ascii="Times New Roman" w:eastAsiaTheme="minorEastAsia" w:hAnsi="Times New Roman"/>
          <w:sz w:val="24"/>
          <w:szCs w:val="24"/>
        </w:rPr>
        <w:t>) was presented by R</w:t>
      </w:r>
      <w:r w:rsidRPr="00C0476D">
        <w:rPr>
          <w:rFonts w:ascii="Times New Roman" w:eastAsiaTheme="minorEastAsia" w:hAnsi="Times New Roman"/>
          <w:sz w:val="24"/>
          <w:szCs w:val="24"/>
          <w:vertAlign w:val="subscript"/>
        </w:rPr>
        <w:t xml:space="preserve">I </w:t>
      </w:r>
      <w:r w:rsidRPr="00C0476D">
        <w:rPr>
          <w:rFonts w:ascii="Times New Roman" w:eastAsiaTheme="minorEastAsia" w:hAnsi="Times New Roman"/>
          <w:sz w:val="24"/>
          <w:szCs w:val="24"/>
        </w:rPr>
        <w:t>(ratio of inhibition).</w:t>
      </w:r>
      <w:r w:rsidRPr="00C0476D">
        <w:rPr>
          <w:rFonts w:ascii="Times New Roman" w:hAnsi="Times New Roman"/>
          <w:sz w:val="24"/>
          <w:szCs w:val="24"/>
        </w:rPr>
        <w:t xml:space="preserve"> </w:t>
      </w:r>
      <w:r w:rsidRPr="00C0476D">
        <w:rPr>
          <w:rFonts w:ascii="Times New Roman" w:hAnsi="Times New Roman"/>
          <w:sz w:val="24"/>
          <w:szCs w:val="24"/>
          <w:lang w:val="en-GB"/>
        </w:rPr>
        <w:t>For Abbott’s model, if the computed RI value is equal to 1, then the nature of interaction is stated to be additive. If the calculated RI value is less than 1, then the interaction is antagonistic. Similarly, the interaction is said to be synergistic, if the RI value obtained is greater than 1. Statistical significance between C</w:t>
      </w:r>
      <w:r w:rsidRPr="00C0476D">
        <w:rPr>
          <w:rFonts w:ascii="Times New Roman" w:hAnsi="Times New Roman"/>
          <w:sz w:val="24"/>
          <w:szCs w:val="24"/>
          <w:vertAlign w:val="subscript"/>
          <w:lang w:val="en-GB"/>
        </w:rPr>
        <w:t>obs</w:t>
      </w:r>
      <w:r w:rsidRPr="00C0476D">
        <w:rPr>
          <w:rFonts w:ascii="Times New Roman" w:hAnsi="Times New Roman"/>
          <w:sz w:val="24"/>
          <w:szCs w:val="24"/>
          <w:lang w:val="en-GB"/>
        </w:rPr>
        <w:t xml:space="preserve"> and </w:t>
      </w:r>
      <w:proofErr w:type="spellStart"/>
      <w:r w:rsidRPr="00C0476D">
        <w:rPr>
          <w:rFonts w:ascii="Times New Roman" w:hAnsi="Times New Roman"/>
          <w:sz w:val="24"/>
          <w:szCs w:val="24"/>
          <w:lang w:val="en-GB"/>
        </w:rPr>
        <w:t>C</w:t>
      </w:r>
      <w:r w:rsidRPr="00C0476D">
        <w:rPr>
          <w:rFonts w:ascii="Times New Roman" w:hAnsi="Times New Roman"/>
          <w:sz w:val="24"/>
          <w:szCs w:val="24"/>
          <w:vertAlign w:val="subscript"/>
          <w:lang w:val="en-GB"/>
        </w:rPr>
        <w:t>exp</w:t>
      </w:r>
      <w:proofErr w:type="spellEnd"/>
      <w:r w:rsidRPr="00C0476D">
        <w:rPr>
          <w:rFonts w:ascii="Times New Roman" w:hAnsi="Times New Roman"/>
          <w:sz w:val="24"/>
          <w:szCs w:val="24"/>
          <w:lang w:val="en-GB"/>
        </w:rPr>
        <w:t xml:space="preserve"> values were performed using Two-way ANOVA (</w:t>
      </w:r>
      <w:proofErr w:type="spellStart"/>
      <w:r w:rsidRPr="00C0476D">
        <w:rPr>
          <w:rFonts w:ascii="Times New Roman" w:hAnsi="Times New Roman"/>
          <w:sz w:val="24"/>
          <w:szCs w:val="24"/>
          <w:lang w:val="en-GB"/>
        </w:rPr>
        <w:t>Bonferroni</w:t>
      </w:r>
      <w:proofErr w:type="spellEnd"/>
      <w:r w:rsidRPr="00C0476D">
        <w:rPr>
          <w:rFonts w:ascii="Times New Roman" w:hAnsi="Times New Roman"/>
          <w:sz w:val="24"/>
          <w:szCs w:val="24"/>
          <w:lang w:val="en-GB"/>
        </w:rPr>
        <w:t xml:space="preserve"> post-test) to validate the computed RI value. Despite the RI values obtained, the interaction between GFNs and </w:t>
      </w:r>
      <w:r w:rsidR="000C06DA">
        <w:rPr>
          <w:rFonts w:ascii="Times New Roman" w:hAnsi="Times New Roman"/>
          <w:sz w:val="24"/>
          <w:szCs w:val="24"/>
        </w:rPr>
        <w:t>atrazine</w:t>
      </w:r>
      <w:r w:rsidRPr="00C0476D">
        <w:rPr>
          <w:rFonts w:ascii="Times New Roman" w:hAnsi="Times New Roman"/>
          <w:sz w:val="24"/>
          <w:szCs w:val="24"/>
          <w:lang w:val="en-GB"/>
        </w:rPr>
        <w:t xml:space="preserve"> were considered as additive when the toxicity difference between C</w:t>
      </w:r>
      <w:r w:rsidRPr="00C0476D">
        <w:rPr>
          <w:rFonts w:ascii="Times New Roman" w:hAnsi="Times New Roman"/>
          <w:sz w:val="24"/>
          <w:szCs w:val="24"/>
          <w:vertAlign w:val="subscript"/>
          <w:lang w:val="en-GB"/>
        </w:rPr>
        <w:t>obs</w:t>
      </w:r>
      <w:r w:rsidRPr="00C0476D">
        <w:rPr>
          <w:rFonts w:ascii="Times New Roman" w:hAnsi="Times New Roman"/>
          <w:sz w:val="24"/>
          <w:szCs w:val="24"/>
          <w:lang w:val="en-GB"/>
        </w:rPr>
        <w:t xml:space="preserve"> and </w:t>
      </w:r>
      <w:proofErr w:type="spellStart"/>
      <w:r w:rsidRPr="00C0476D">
        <w:rPr>
          <w:rFonts w:ascii="Times New Roman" w:hAnsi="Times New Roman"/>
          <w:sz w:val="24"/>
          <w:szCs w:val="24"/>
          <w:lang w:val="en-GB"/>
        </w:rPr>
        <w:t>C</w:t>
      </w:r>
      <w:r w:rsidRPr="00C0476D">
        <w:rPr>
          <w:rFonts w:ascii="Times New Roman" w:hAnsi="Times New Roman"/>
          <w:sz w:val="24"/>
          <w:szCs w:val="24"/>
          <w:vertAlign w:val="subscript"/>
          <w:lang w:val="en-GB"/>
        </w:rPr>
        <w:t>exp</w:t>
      </w:r>
      <w:proofErr w:type="spellEnd"/>
      <w:r w:rsidRPr="00C0476D">
        <w:rPr>
          <w:rFonts w:ascii="Times New Roman" w:hAnsi="Times New Roman"/>
          <w:sz w:val="24"/>
          <w:szCs w:val="24"/>
          <w:lang w:val="en-GB"/>
        </w:rPr>
        <w:t xml:space="preserve"> were statistically insignificant at p&lt; 0.05. </w:t>
      </w:r>
    </w:p>
    <w:p w14:paraId="23736E0A" w14:textId="39B14C06" w:rsidR="00E978E1" w:rsidRPr="00C0476D" w:rsidRDefault="00E978E1" w:rsidP="00CE43B6">
      <w:pPr>
        <w:spacing w:line="480" w:lineRule="auto"/>
        <w:jc w:val="both"/>
        <w:rPr>
          <w:rFonts w:ascii="Times New Roman" w:hAnsi="Times New Roman"/>
          <w:sz w:val="24"/>
          <w:szCs w:val="24"/>
          <w:lang w:val="en-GB"/>
        </w:rPr>
      </w:pPr>
    </w:p>
    <w:p w14:paraId="6EAF0388" w14:textId="7D351071" w:rsidR="006D51D7" w:rsidRPr="00C0476D" w:rsidRDefault="00901E23" w:rsidP="00CE43B6">
      <w:pPr>
        <w:spacing w:line="480" w:lineRule="auto"/>
        <w:jc w:val="both"/>
        <w:rPr>
          <w:rFonts w:ascii="Times New Roman" w:hAnsi="Times New Roman"/>
          <w:b/>
          <w:sz w:val="24"/>
          <w:szCs w:val="24"/>
          <w:lang w:val="en-GB"/>
        </w:rPr>
      </w:pPr>
      <w:r>
        <w:rPr>
          <w:rFonts w:ascii="Times New Roman" w:hAnsi="Times New Roman"/>
          <w:b/>
          <w:sz w:val="24"/>
          <w:szCs w:val="24"/>
          <w:lang w:val="en-GB"/>
        </w:rPr>
        <w:t>M6</w:t>
      </w:r>
      <w:r w:rsidR="006E4011" w:rsidRPr="00C0476D">
        <w:rPr>
          <w:rFonts w:ascii="Times New Roman" w:hAnsi="Times New Roman"/>
          <w:b/>
          <w:sz w:val="24"/>
          <w:szCs w:val="24"/>
          <w:lang w:val="en-GB"/>
        </w:rPr>
        <w:t>S6</w:t>
      </w:r>
      <w:r w:rsidR="007D2C57" w:rsidRPr="00C0476D">
        <w:rPr>
          <w:rFonts w:ascii="Times New Roman" w:hAnsi="Times New Roman"/>
          <w:b/>
          <w:sz w:val="24"/>
          <w:szCs w:val="24"/>
          <w:lang w:val="en-GB"/>
        </w:rPr>
        <w:t xml:space="preserve">: Oxidative stress- Total ROS </w:t>
      </w:r>
    </w:p>
    <w:p w14:paraId="4B276221" w14:textId="25240F5B" w:rsidR="004859C6" w:rsidRPr="00C0476D" w:rsidRDefault="004859C6" w:rsidP="00CE43B6">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DCFH-DA</w:t>
      </w:r>
      <w:r w:rsidR="008A2BC9" w:rsidRPr="00C0476D">
        <w:rPr>
          <w:rFonts w:ascii="Times New Roman" w:hAnsi="Times New Roman"/>
          <w:sz w:val="24"/>
          <w:szCs w:val="24"/>
          <w:lang w:val="en-GB"/>
        </w:rPr>
        <w:t xml:space="preserve"> is</w:t>
      </w:r>
      <w:r w:rsidRPr="00C0476D">
        <w:rPr>
          <w:rFonts w:ascii="Times New Roman" w:hAnsi="Times New Roman"/>
          <w:sz w:val="24"/>
          <w:szCs w:val="24"/>
          <w:lang w:val="en-GB"/>
        </w:rPr>
        <w:t xml:space="preserve"> a non-fluorescent cell permeable dye</w:t>
      </w:r>
      <w:r w:rsidR="008A2BC9" w:rsidRPr="00C0476D">
        <w:rPr>
          <w:rFonts w:ascii="Times New Roman" w:hAnsi="Times New Roman"/>
          <w:sz w:val="24"/>
          <w:szCs w:val="24"/>
          <w:lang w:val="en-GB"/>
        </w:rPr>
        <w:t>. In</w:t>
      </w:r>
      <w:r w:rsidRPr="00C0476D">
        <w:rPr>
          <w:rFonts w:ascii="Times New Roman" w:hAnsi="Times New Roman"/>
          <w:sz w:val="24"/>
          <w:szCs w:val="24"/>
          <w:lang w:val="en-GB"/>
        </w:rPr>
        <w:t xml:space="preserve"> reaction with ROS</w:t>
      </w:r>
      <w:r w:rsidR="008A2BC9" w:rsidRPr="00C0476D">
        <w:rPr>
          <w:rFonts w:ascii="Times New Roman" w:hAnsi="Times New Roman"/>
          <w:sz w:val="24"/>
          <w:szCs w:val="24"/>
          <w:lang w:val="en-GB"/>
        </w:rPr>
        <w:t>, this dye</w:t>
      </w:r>
      <w:r w:rsidRPr="00C0476D">
        <w:rPr>
          <w:rFonts w:ascii="Times New Roman" w:hAnsi="Times New Roman"/>
          <w:sz w:val="24"/>
          <w:szCs w:val="24"/>
          <w:lang w:val="en-GB"/>
        </w:rPr>
        <w:t xml:space="preserve"> is oxi</w:t>
      </w:r>
      <w:r w:rsidR="008A2BC9" w:rsidRPr="00C0476D">
        <w:rPr>
          <w:rFonts w:ascii="Times New Roman" w:hAnsi="Times New Roman"/>
          <w:sz w:val="24"/>
          <w:szCs w:val="24"/>
          <w:lang w:val="en-GB"/>
        </w:rPr>
        <w:t>dized to a highly fluorescent 2’,7’</w:t>
      </w:r>
      <w:r w:rsidRPr="00C0476D">
        <w:rPr>
          <w:rFonts w:ascii="Times New Roman" w:hAnsi="Times New Roman"/>
          <w:sz w:val="24"/>
          <w:szCs w:val="24"/>
          <w:lang w:val="en-GB"/>
        </w:rPr>
        <w:t>-dichlorofluorescein</w:t>
      </w:r>
      <w:r w:rsidR="00695A88" w:rsidRPr="00C0476D">
        <w:rPr>
          <w:rFonts w:ascii="Times New Roman" w:hAnsi="Times New Roman"/>
          <w:sz w:val="24"/>
          <w:szCs w:val="24"/>
          <w:lang w:val="en-GB"/>
        </w:rPr>
        <w:t>,</w:t>
      </w:r>
      <w:r w:rsidRPr="00C0476D">
        <w:rPr>
          <w:rFonts w:ascii="Times New Roman" w:hAnsi="Times New Roman"/>
          <w:sz w:val="24"/>
          <w:szCs w:val="24"/>
          <w:lang w:val="en-GB"/>
        </w:rPr>
        <w:t xml:space="preserve"> which is detected. After</w:t>
      </w:r>
      <w:r w:rsidR="00695A88" w:rsidRPr="00C0476D">
        <w:rPr>
          <w:rFonts w:ascii="Times New Roman" w:hAnsi="Times New Roman"/>
          <w:sz w:val="24"/>
          <w:szCs w:val="24"/>
          <w:lang w:val="en-GB"/>
        </w:rPr>
        <w:t xml:space="preserve"> </w:t>
      </w:r>
      <w:r w:rsidR="008A2BC9" w:rsidRPr="00C0476D">
        <w:rPr>
          <w:rFonts w:ascii="Times New Roman" w:hAnsi="Times New Roman"/>
          <w:sz w:val="24"/>
          <w:szCs w:val="24"/>
          <w:lang w:val="en-GB"/>
        </w:rPr>
        <w:t>72 h</w:t>
      </w:r>
      <w:r w:rsidRPr="00C0476D">
        <w:rPr>
          <w:rFonts w:ascii="Times New Roman" w:hAnsi="Times New Roman"/>
          <w:sz w:val="24"/>
          <w:szCs w:val="24"/>
          <w:lang w:val="en-GB"/>
        </w:rPr>
        <w:t>, 10 ml of algal cell sus</w:t>
      </w:r>
      <w:r w:rsidR="008A2BC9" w:rsidRPr="00C0476D">
        <w:rPr>
          <w:rFonts w:ascii="Times New Roman" w:hAnsi="Times New Roman"/>
          <w:sz w:val="24"/>
          <w:szCs w:val="24"/>
          <w:lang w:val="en-GB"/>
        </w:rPr>
        <w:t>pension was incubated with 100 µl</w:t>
      </w:r>
      <w:r w:rsidRPr="00C0476D">
        <w:rPr>
          <w:rFonts w:ascii="Times New Roman" w:hAnsi="Times New Roman"/>
          <w:sz w:val="24"/>
          <w:szCs w:val="24"/>
          <w:lang w:val="en-GB"/>
        </w:rPr>
        <w:t xml:space="preserve"> of DCFH-DA (100 </w:t>
      </w:r>
      <w:proofErr w:type="spellStart"/>
      <w:r w:rsidRPr="00C0476D">
        <w:rPr>
          <w:rFonts w:ascii="Times New Roman" w:hAnsi="Times New Roman"/>
          <w:sz w:val="24"/>
          <w:szCs w:val="24"/>
          <w:lang w:val="en-GB"/>
        </w:rPr>
        <w:t>mM</w:t>
      </w:r>
      <w:proofErr w:type="spellEnd"/>
      <w:r w:rsidRPr="00C0476D">
        <w:rPr>
          <w:rFonts w:ascii="Times New Roman" w:hAnsi="Times New Roman"/>
          <w:sz w:val="24"/>
          <w:szCs w:val="24"/>
          <w:lang w:val="en-GB"/>
        </w:rPr>
        <w:t>) under the dark condition for 30 min. The fluorescence inte</w:t>
      </w:r>
      <w:r w:rsidR="008A2BC9" w:rsidRPr="00C0476D">
        <w:rPr>
          <w:rFonts w:ascii="Times New Roman" w:hAnsi="Times New Roman"/>
          <w:sz w:val="24"/>
          <w:szCs w:val="24"/>
          <w:lang w:val="en-GB"/>
        </w:rPr>
        <w:t>nsity of the samples loaded in</w:t>
      </w:r>
      <w:r w:rsidRPr="00C0476D">
        <w:rPr>
          <w:rFonts w:ascii="Times New Roman" w:hAnsi="Times New Roman"/>
          <w:sz w:val="24"/>
          <w:szCs w:val="24"/>
          <w:lang w:val="en-GB"/>
        </w:rPr>
        <w:t xml:space="preserve"> 96 well plate</w:t>
      </w:r>
      <w:r w:rsidR="00953D26" w:rsidRPr="00C0476D">
        <w:rPr>
          <w:rFonts w:ascii="Times New Roman" w:hAnsi="Times New Roman"/>
          <w:sz w:val="24"/>
          <w:szCs w:val="24"/>
          <w:lang w:val="en-GB"/>
        </w:rPr>
        <w:t xml:space="preserve"> (white)</w:t>
      </w:r>
      <w:r w:rsidRPr="00C0476D">
        <w:rPr>
          <w:rFonts w:ascii="Times New Roman" w:hAnsi="Times New Roman"/>
          <w:sz w:val="24"/>
          <w:szCs w:val="24"/>
          <w:lang w:val="en-GB"/>
        </w:rPr>
        <w:t xml:space="preserve"> was measured at an excitation and emission wavelength of 485 nm and 530 nm respectively</w:t>
      </w:r>
      <w:r w:rsidR="00695A88" w:rsidRPr="00C0476D">
        <w:rPr>
          <w:rFonts w:ascii="Times New Roman" w:hAnsi="Times New Roman"/>
          <w:sz w:val="24"/>
          <w:szCs w:val="24"/>
          <w:lang w:val="en-GB"/>
        </w:rPr>
        <w:t>,</w:t>
      </w:r>
      <w:r w:rsidRPr="00C0476D">
        <w:rPr>
          <w:rFonts w:ascii="Times New Roman" w:hAnsi="Times New Roman"/>
          <w:sz w:val="24"/>
          <w:szCs w:val="24"/>
          <w:lang w:val="en-GB"/>
        </w:rPr>
        <w:t xml:space="preserve"> using a </w:t>
      </w:r>
      <w:proofErr w:type="spellStart"/>
      <w:r w:rsidRPr="00C0476D">
        <w:rPr>
          <w:rFonts w:ascii="Times New Roman" w:hAnsi="Times New Roman"/>
          <w:sz w:val="24"/>
          <w:szCs w:val="24"/>
          <w:lang w:val="en-GB"/>
        </w:rPr>
        <w:t>spectrof</w:t>
      </w:r>
      <w:r w:rsidR="00953D26" w:rsidRPr="00C0476D">
        <w:rPr>
          <w:rFonts w:ascii="Times New Roman" w:hAnsi="Times New Roman"/>
          <w:sz w:val="24"/>
          <w:szCs w:val="24"/>
          <w:lang w:val="en-GB"/>
        </w:rPr>
        <w:t>luorometer</w:t>
      </w:r>
      <w:proofErr w:type="spellEnd"/>
      <w:r w:rsidRPr="00C0476D">
        <w:rPr>
          <w:rFonts w:ascii="Times New Roman" w:hAnsi="Times New Roman"/>
          <w:sz w:val="24"/>
          <w:szCs w:val="24"/>
          <w:lang w:val="en-GB"/>
        </w:rPr>
        <w:t>. The</w:t>
      </w:r>
      <w:r w:rsidR="00953D26" w:rsidRPr="00C0476D">
        <w:rPr>
          <w:rFonts w:ascii="Times New Roman" w:hAnsi="Times New Roman"/>
          <w:sz w:val="24"/>
          <w:szCs w:val="24"/>
          <w:lang w:val="en-GB"/>
        </w:rPr>
        <w:t xml:space="preserve"> generated</w:t>
      </w:r>
      <w:r w:rsidRPr="00C0476D">
        <w:rPr>
          <w:rFonts w:ascii="Times New Roman" w:hAnsi="Times New Roman"/>
          <w:sz w:val="24"/>
          <w:szCs w:val="24"/>
          <w:lang w:val="en-GB"/>
        </w:rPr>
        <w:t xml:space="preserve"> ROS was calculated with refe</w:t>
      </w:r>
      <w:r w:rsidR="00953D26" w:rsidRPr="00C0476D">
        <w:rPr>
          <w:rFonts w:ascii="Times New Roman" w:hAnsi="Times New Roman"/>
          <w:sz w:val="24"/>
          <w:szCs w:val="24"/>
          <w:lang w:val="en-GB"/>
        </w:rPr>
        <w:t xml:space="preserve">rence to </w:t>
      </w:r>
      <w:r w:rsidR="00695A88" w:rsidRPr="00C0476D">
        <w:rPr>
          <w:rFonts w:ascii="Times New Roman" w:hAnsi="Times New Roman"/>
          <w:sz w:val="24"/>
          <w:szCs w:val="24"/>
          <w:lang w:val="en-GB"/>
        </w:rPr>
        <w:t xml:space="preserve">the </w:t>
      </w:r>
      <w:r w:rsidR="00953D26" w:rsidRPr="00C0476D">
        <w:rPr>
          <w:rFonts w:ascii="Times New Roman" w:hAnsi="Times New Roman"/>
          <w:sz w:val="24"/>
          <w:szCs w:val="24"/>
          <w:lang w:val="en-GB"/>
        </w:rPr>
        <w:t>algal cells without</w:t>
      </w:r>
      <w:r w:rsidRPr="00C0476D">
        <w:rPr>
          <w:rFonts w:ascii="Times New Roman" w:hAnsi="Times New Roman"/>
          <w:sz w:val="24"/>
          <w:szCs w:val="24"/>
          <w:lang w:val="en-GB"/>
        </w:rPr>
        <w:t xml:space="preserve"> treatment</w:t>
      </w:r>
      <w:r w:rsidR="00AF1774" w:rsidRPr="00C0476D">
        <w:rPr>
          <w:rFonts w:ascii="Times New Roman" w:hAnsi="Times New Roman"/>
          <w:sz w:val="24"/>
          <w:szCs w:val="24"/>
          <w:lang w:val="en-GB"/>
        </w:rPr>
        <w:t xml:space="preserve"> </w:t>
      </w:r>
      <w:r w:rsidR="00AF1774"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{"citationItems":[{"id":"ITEM-1","itemData":{"DOI":"10.1016/j.chemosphere.2019.05.270","ISSN":"18791298","PMID":"31176899","abstract":"Titanium dioxide nanoparticles (TiO2 NPs) find applications in our day-to-day life because of unique physicochemical properties. Their release into the aquatic environment poses a possible risk to the organisms. However, the continuing exposure of NPs might reduce their bioavailability to marine organisms owing to aggregation and sedimentation in the aqueous systems thus significantly reducing their toxic impact. In this regard, the present study investigates the effect of continuous exposure of TiO2 NPs to marine microalgae Chlorella sp. under UV-A irradiation through “tanks in series” mode of experiments. In a three-cycle experiment, concentration of TiO2 NPs in the first cycle was fixed at 62.6 μM, and the interacted nanoparticles was subsequently exposed to fresh batches of algae in the next two cycles. After the interaction, the NPs underwent severe aggregation (mean hydrodynamic diameter 3000 ± 18.2 nm after cycle I) leading to gravitational settling in the medium and thus decreased bioavailability. The aggregation can be attributed to interactions between the particles themselves (homo-aggregation) further aggravated by the presence of the algal cells (hetero-aggregation). Cellular viability after cycle I was found to be only 24.2 ± 2.5%, and it was enhanced to 96.5 ± 2.8% after the cycle III in the course of continuous exposure. The results were validated with estimation of oxidative stress markers such as intracellular ROS (total ROS, superoxide and hydroxyl radicals) and LPO after each cycle of exposure. The continuing decrease in the EPS across the cycles further confirmed the diminishing toxicity of the NPs.","author":[{"dropping-particle":"","family":"Thiagarajan","given":"Vignesh","non-dropping-particle":"","parse-names":false,"suffix":""},{"dropping-particle":"","family":"M.","given":"Pavani","non-dropping-particle":"","parse-names":false,"suffix":""},{"dropping-particle":"","family":"S.","given":"Archanaa","non-dropping-particle":"","parse-names":false,"suffix":""},{"dropping-particle":"","family":"R.","given":"Seenivasan","non-dropping-particle":"","parse-names":false,"suffix":""},{"dropping-particle":"","family":"N.","given":"Chandrasekaran","non-dropping-particle":"","parse-names":false,"suffix":""},{"dropping-particle":"","family":"G.K.","given":"Suraishkumar","non-dropping-particle":"","parse-names":false,"suffix":""},{"dropping-particle":"","family":"Mukherjee","given":"Amitava","non-dropping-particle":"","parse-names":false,"suffix":""}],"container-title":"Chemosphere","id":"ITEM-1","issued":{"date-parts":[["2019"]]},"page":"363-372","publisher":"Elsevier Ltd","title":"Diminishing bioavailability and toxicity of P25 TiO2 NPs during continuous exposure to marine algae Chlorella sp.","type":"article-journal","volume":"233"},"uris":["http://www.mendeley.com/documents/?uuid=b02a2bc0-c034-4989-b96d-0d1adbec9580","http://www.mendeley.com/documents/?uuid=bb6227cf-fde3-4c91-abce-3374075a2fcd"]}],"mendeley":{"formattedCitation":"[7]","plainTextFormattedCitation":"[7]","previouslyFormattedCitation":"(Thiagarajan et al., 2019)"},"properties":{"noteIndex":0},"schema":"https://github.com/citation-style-language/schema/raw/master/csl-citation.json"}</w:instrText>
      </w:r>
      <w:r w:rsidR="00AF1774"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[7]</w:t>
      </w:r>
      <w:r w:rsidR="00AF1774" w:rsidRPr="00C0476D">
        <w:rPr>
          <w:rFonts w:ascii="Times New Roman" w:hAnsi="Times New Roman"/>
          <w:sz w:val="24"/>
          <w:szCs w:val="24"/>
          <w:lang w:val="en-GB"/>
        </w:rPr>
        <w:fldChar w:fldCharType="end"/>
      </w:r>
      <w:r w:rsidRPr="00C0476D">
        <w:rPr>
          <w:rFonts w:ascii="Times New Roman" w:hAnsi="Times New Roman"/>
          <w:sz w:val="24"/>
          <w:szCs w:val="24"/>
          <w:lang w:val="en-GB"/>
        </w:rPr>
        <w:t>.</w:t>
      </w:r>
      <w:r w:rsidR="00AF1774" w:rsidRPr="00C0476D">
        <w:rPr>
          <w:rFonts w:ascii="Times New Roman" w:hAnsi="Times New Roman"/>
          <w:sz w:val="24"/>
          <w:szCs w:val="24"/>
          <w:lang w:val="en-GB"/>
        </w:rPr>
        <w:t xml:space="preserve"> </w:t>
      </w:r>
    </w:p>
    <w:p w14:paraId="40EC7137" w14:textId="41144811" w:rsidR="00D36ECE" w:rsidRPr="00C0476D" w:rsidRDefault="00901E23" w:rsidP="00475879">
      <w:pPr>
        <w:spacing w:line="480" w:lineRule="auto"/>
        <w:jc w:val="both"/>
        <w:rPr>
          <w:rFonts w:ascii="Times New Roman" w:hAnsi="Times New Roman"/>
          <w:b/>
          <w:sz w:val="24"/>
          <w:szCs w:val="24"/>
          <w:lang w:val="en-GB"/>
        </w:rPr>
      </w:pPr>
      <w:r>
        <w:rPr>
          <w:rFonts w:ascii="Times New Roman" w:hAnsi="Times New Roman"/>
          <w:b/>
          <w:sz w:val="24"/>
          <w:szCs w:val="24"/>
          <w:lang w:val="en-GB"/>
        </w:rPr>
        <w:t>M7</w:t>
      </w:r>
      <w:r w:rsidR="006E4011" w:rsidRPr="00C0476D">
        <w:rPr>
          <w:rFonts w:ascii="Times New Roman" w:hAnsi="Times New Roman"/>
          <w:b/>
          <w:sz w:val="24"/>
          <w:szCs w:val="24"/>
          <w:lang w:val="en-GB"/>
        </w:rPr>
        <w:t>S7</w:t>
      </w:r>
      <w:r w:rsidR="0018374E" w:rsidRPr="00C0476D">
        <w:rPr>
          <w:rFonts w:ascii="Times New Roman" w:hAnsi="Times New Roman"/>
          <w:b/>
          <w:sz w:val="24"/>
          <w:szCs w:val="24"/>
          <w:lang w:val="en-GB"/>
        </w:rPr>
        <w:t xml:space="preserve">: Oxidative stress- MDA content </w:t>
      </w:r>
    </w:p>
    <w:p w14:paraId="49C03408" w14:textId="74E44475" w:rsidR="007D2C57" w:rsidRPr="00C0476D" w:rsidRDefault="002829D9" w:rsidP="00CE43B6">
      <w:pPr>
        <w:spacing w:line="480" w:lineRule="auto"/>
        <w:jc w:val="both"/>
        <w:rPr>
          <w:rFonts w:ascii="Times New Roman" w:hAnsi="Times New Roman"/>
          <w:sz w:val="24"/>
          <w:szCs w:val="24"/>
          <w:lang w:val="en-GB"/>
        </w:rPr>
      </w:pPr>
      <w:r w:rsidRPr="00C0476D">
        <w:rPr>
          <w:rFonts w:ascii="Times New Roman" w:hAnsi="Times New Roman"/>
          <w:sz w:val="24"/>
          <w:szCs w:val="24"/>
          <w:lang w:val="en-GB"/>
        </w:rPr>
        <w:lastRenderedPageBreak/>
        <w:t xml:space="preserve">After 72 h of interaction, treated samples </w:t>
      </w:r>
      <w:r w:rsidR="00624313" w:rsidRPr="00C0476D">
        <w:rPr>
          <w:rFonts w:ascii="Times New Roman" w:hAnsi="Times New Roman"/>
          <w:sz w:val="24"/>
          <w:szCs w:val="24"/>
          <w:lang w:val="en-GB"/>
        </w:rPr>
        <w:t>were centrifuged at 4 °C for 1</w:t>
      </w:r>
      <w:r w:rsidRPr="00C0476D">
        <w:rPr>
          <w:rFonts w:ascii="Times New Roman" w:hAnsi="Times New Roman"/>
          <w:sz w:val="24"/>
          <w:szCs w:val="24"/>
          <w:lang w:val="en-GB"/>
        </w:rPr>
        <w:t xml:space="preserve">0 min at 7000 rpm. </w:t>
      </w:r>
      <w:r w:rsidR="00695A88" w:rsidRPr="00C0476D">
        <w:rPr>
          <w:rFonts w:ascii="Times New Roman" w:hAnsi="Times New Roman"/>
          <w:sz w:val="24"/>
          <w:szCs w:val="24"/>
          <w:lang w:val="en-GB"/>
        </w:rPr>
        <w:t>The c</w:t>
      </w:r>
      <w:r w:rsidR="00624313" w:rsidRPr="00C0476D">
        <w:rPr>
          <w:rFonts w:ascii="Times New Roman" w:hAnsi="Times New Roman"/>
          <w:sz w:val="24"/>
          <w:szCs w:val="24"/>
          <w:lang w:val="en-GB"/>
        </w:rPr>
        <w:t>ell pellet</w:t>
      </w:r>
      <w:r w:rsidRPr="00C0476D">
        <w:rPr>
          <w:rFonts w:ascii="Times New Roman" w:hAnsi="Times New Roman"/>
          <w:sz w:val="24"/>
          <w:szCs w:val="24"/>
          <w:lang w:val="en-GB"/>
        </w:rPr>
        <w:t>s were further</w:t>
      </w:r>
      <w:r w:rsidR="00624313" w:rsidRPr="00C0476D">
        <w:rPr>
          <w:rFonts w:ascii="Times New Roman" w:hAnsi="Times New Roman"/>
          <w:sz w:val="24"/>
          <w:szCs w:val="24"/>
          <w:lang w:val="en-GB"/>
        </w:rPr>
        <w:t xml:space="preserve"> treated with 0.25% TBA (prepared in a 10% TCA solution) and </w:t>
      </w:r>
      <w:r w:rsidRPr="00C0476D">
        <w:rPr>
          <w:rFonts w:ascii="Times New Roman" w:hAnsi="Times New Roman"/>
          <w:sz w:val="24"/>
          <w:szCs w:val="24"/>
          <w:lang w:val="en-GB"/>
        </w:rPr>
        <w:t xml:space="preserve">kept </w:t>
      </w:r>
      <w:r w:rsidR="00624313" w:rsidRPr="00C0476D">
        <w:rPr>
          <w:rFonts w:ascii="Times New Roman" w:hAnsi="Times New Roman"/>
          <w:sz w:val="24"/>
          <w:szCs w:val="24"/>
          <w:lang w:val="en-GB"/>
        </w:rPr>
        <w:t>in a water bath at 95 °C for 30 min. The heated sample mixtures were quickly pl</w:t>
      </w:r>
      <w:r w:rsidRPr="00C0476D">
        <w:rPr>
          <w:rFonts w:ascii="Times New Roman" w:hAnsi="Times New Roman"/>
          <w:sz w:val="24"/>
          <w:szCs w:val="24"/>
          <w:lang w:val="en-GB"/>
        </w:rPr>
        <w:t>aced on ice to stop the reaction and centrifuged at 7000 rpm for 10 min. The</w:t>
      </w:r>
      <w:r w:rsidR="00624313" w:rsidRPr="00C0476D">
        <w:rPr>
          <w:rFonts w:ascii="Times New Roman" w:hAnsi="Times New Roman"/>
          <w:sz w:val="24"/>
          <w:szCs w:val="24"/>
          <w:lang w:val="en-GB"/>
        </w:rPr>
        <w:t xml:space="preserve"> supernatant’s absorbance containing the released MDA enzyme was measured </w:t>
      </w:r>
      <w:r w:rsidR="00695A88" w:rsidRPr="00C0476D">
        <w:rPr>
          <w:rFonts w:ascii="Times New Roman" w:hAnsi="Times New Roman"/>
          <w:sz w:val="24"/>
          <w:szCs w:val="24"/>
          <w:lang w:val="en-GB"/>
        </w:rPr>
        <w:t>b</w:t>
      </w:r>
      <w:r w:rsidR="00624313" w:rsidRPr="00C0476D">
        <w:rPr>
          <w:rFonts w:ascii="Times New Roman" w:hAnsi="Times New Roman"/>
          <w:sz w:val="24"/>
          <w:szCs w:val="24"/>
          <w:lang w:val="en-GB"/>
        </w:rPr>
        <w:t xml:space="preserve">y subtracting the absorbance at </w:t>
      </w:r>
      <w:r w:rsidR="00932022" w:rsidRPr="00C0476D">
        <w:rPr>
          <w:rFonts w:ascii="Times New Roman" w:hAnsi="Times New Roman"/>
          <w:sz w:val="24"/>
          <w:szCs w:val="24"/>
          <w:lang w:val="en-GB"/>
        </w:rPr>
        <w:t xml:space="preserve">from 532 nm to </w:t>
      </w:r>
      <w:r w:rsidR="00624313" w:rsidRPr="00C0476D">
        <w:rPr>
          <w:rFonts w:ascii="Times New Roman" w:hAnsi="Times New Roman"/>
          <w:sz w:val="24"/>
          <w:szCs w:val="24"/>
          <w:lang w:val="en-GB"/>
        </w:rPr>
        <w:t>600 nm</w:t>
      </w:r>
      <w:r w:rsidR="00F20559" w:rsidRPr="00C0476D">
        <w:rPr>
          <w:rFonts w:ascii="Times New Roman" w:hAnsi="Times New Roman"/>
          <w:sz w:val="24"/>
          <w:szCs w:val="24"/>
          <w:lang w:val="en-GB"/>
        </w:rPr>
        <w:t xml:space="preserve"> </w:t>
      </w:r>
      <w:r w:rsidR="00F20559"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{"citationItems":[{"id":"ITEM-1","itemData":{"DOI":"10.1007/s11356-023-27367-6","ISBN":"1135602327367","ISSN":"16147499","abstract":"Due to their remarkable properties, the applications of carbon-based nanomaterials (CNMs) such as graphene and functionalized multi-walled carbon nanotubes (f-MWCNTs) are increasing. These CNMs can enter the freshwater environment via numerous routes, potentially exposing various organisms. The current study assesses the effects of graphene, f-MWCNTs, and their binary mixture on the freshwater algal species Scenedesmus obliquus. The concentration for the individual materials was kept at 1 mg L−1, while graphene and f-MWCNTs were taken at 0.5 mg L−1 each for the combination. Both the CNMs caused a decrease in cell viability, esterase activity, and photosynthetic efficiency in the cells. The cytotoxic effects were accompanied by increased hydroxyl and superoxide radical generation, lipid peroxidation, antioxidant enzyme activity (catalase and superoxide dismutase), and mitochondrial membrane potential. Graphene was more toxic compared to f-MWCNTs. The binary mixture of the pollutants demonstrated a synergistic enhancement of the toxic potential. Oxidative stress generation played a critical role in toxicity responses, as noted by a strong correlation between the physiological parameters and the biomarkers of oxidative stress. The outcomes from this study emphasize the significance of considering the combined effects of various CNMs as part of a thorough evaluation of ecotoxicity in freshwater organisms.","author":[{"dropping-particle":"","family":"Das","given":"Soupam","non-dropping-particle":"","parse-names":false,"suffix":""},{"dropping-particle":"","family":"Giri","given":"Sayani","non-dropping-particle":"","parse-names":false,"suffix":""},{"dropping-particle":"","family":"Wadhwa","given":"Gaurav","non-dropping-particle":"","parse-names":false,"suffix":""},{"dropping-particle":"","family":"Pulimi","given":"Mrudula","non-dropping-particle":"","parse-names":false,"suffix":""},{"dropping-particle":"","family":"Anand","given":"Shalini","non-dropping-particle":"","parse-names":false,"suffix":""},{"dropping-particle":"","family":"Chandrasekaran","given":"Natarajan","non-dropping-particle":"","parse-names":false,"suffix":""},{"dropping-particle":"","family":"Johari","given":"Seyed Ali","non-dropping-particle":"","parse-names":false,"suffix":""},{"dropping-particle":"","family":"Rai","given":"Pramod Kumar","non-dropping-particle":"","parse-names":false,"suffix":""},{"dropping-particle":"","family":"Mukherjee","given":"Amitava","non-dropping-particle":"","parse-names":false,"suffix":""}],"container-title":"Environmental Science and Pollution Research","id":"ITEM-1","issued":{"date-parts":[["2023"]]},"page":"70246-70259","publisher":"Springer Berlin Heidelberg","title":"Comparative ecotoxicity of graphene, functionalized multi-walled CNTs, and their mixture in freshwater microalgae, Scenedesmus obliquus: analyzing the role of oxidative stress","type":"article-journal"},"uris":["http://www.mendeley.com/documents/?uuid=6361d36f-1922-4d3c-a775-c73c16f541f9","http://www.mendeley.com/documents/?uuid=d2b01e90-428a-4777-8a08-4a3cdd653100"]}],"mendeley":{"formattedCitation":"[8]","plainTextFormattedCitation":"[8]","previouslyFormattedCitation":"(Das et al., 2023)"},"properties":{"noteIndex":0},"schema":"https://github.com/citation-style-language/schema/raw/master/csl-citation.json"}</w:instrText>
      </w:r>
      <w:r w:rsidR="00F20559"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[8]</w:t>
      </w:r>
      <w:r w:rsidR="00F20559" w:rsidRPr="00C0476D">
        <w:rPr>
          <w:rFonts w:ascii="Times New Roman" w:hAnsi="Times New Roman"/>
          <w:sz w:val="24"/>
          <w:szCs w:val="24"/>
          <w:lang w:val="en-GB"/>
        </w:rPr>
        <w:fldChar w:fldCharType="end"/>
      </w:r>
      <w:r w:rsidR="00624313" w:rsidRPr="00C0476D">
        <w:rPr>
          <w:rFonts w:ascii="Times New Roman" w:hAnsi="Times New Roman"/>
          <w:sz w:val="24"/>
          <w:szCs w:val="24"/>
          <w:lang w:val="en-GB"/>
        </w:rPr>
        <w:t>.</w:t>
      </w:r>
    </w:p>
    <w:p w14:paraId="6E156F14" w14:textId="63F71B5A" w:rsidR="001D159F" w:rsidRPr="00C0476D" w:rsidRDefault="00901E23" w:rsidP="001D159F">
      <w:pPr>
        <w:spacing w:line="480" w:lineRule="auto"/>
        <w:jc w:val="both"/>
        <w:rPr>
          <w:rFonts w:ascii="Times New Roman" w:hAnsi="Times New Roman"/>
          <w:b/>
          <w:bCs/>
          <w:sz w:val="24"/>
          <w:szCs w:val="24"/>
          <w:lang w:val="en-US"/>
        </w:rPr>
      </w:pPr>
      <w:r>
        <w:rPr>
          <w:rFonts w:ascii="Times New Roman" w:hAnsi="Times New Roman"/>
          <w:b/>
          <w:sz w:val="24"/>
          <w:szCs w:val="24"/>
          <w:lang w:val="en-GB"/>
        </w:rPr>
        <w:t>M8</w:t>
      </w:r>
      <w:r w:rsidR="001D159F" w:rsidRPr="00C0476D">
        <w:rPr>
          <w:rFonts w:ascii="Times New Roman" w:hAnsi="Times New Roman"/>
          <w:b/>
          <w:sz w:val="24"/>
          <w:szCs w:val="24"/>
          <w:lang w:val="en-GB"/>
        </w:rPr>
        <w:t>S8:</w:t>
      </w:r>
      <w:r w:rsidR="001D159F" w:rsidRPr="00C0476D">
        <w:rPr>
          <w:rFonts w:ascii="Times New Roman" w:hAnsi="Times New Roman"/>
          <w:sz w:val="24"/>
          <w:szCs w:val="24"/>
          <w:lang w:val="en-GB"/>
        </w:rPr>
        <w:t xml:space="preserve"> </w:t>
      </w:r>
      <w:r w:rsidR="001D159F" w:rsidRPr="00C0476D">
        <w:rPr>
          <w:rFonts w:ascii="Times New Roman" w:hAnsi="Times New Roman"/>
          <w:b/>
          <w:bCs/>
          <w:sz w:val="24"/>
          <w:szCs w:val="24"/>
          <w:lang w:val="en-US"/>
        </w:rPr>
        <w:t>Photosynthetic parameters assessment</w:t>
      </w:r>
    </w:p>
    <w:p w14:paraId="2F413EE8" w14:textId="1F221A4C" w:rsidR="001D159F" w:rsidRPr="00C0476D" w:rsidRDefault="001D159F" w:rsidP="00CE43B6">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 xml:space="preserve">In this study, a photosynthesis yield </w:t>
      </w:r>
      <w:proofErr w:type="spellStart"/>
      <w:r w:rsidRPr="00C0476D">
        <w:rPr>
          <w:rFonts w:ascii="Times New Roman" w:hAnsi="Times New Roman"/>
          <w:sz w:val="24"/>
          <w:szCs w:val="24"/>
          <w:lang w:val="en-GB"/>
        </w:rPr>
        <w:t>analyzer</w:t>
      </w:r>
      <w:proofErr w:type="spellEnd"/>
      <w:r w:rsidRPr="00C0476D">
        <w:rPr>
          <w:rFonts w:ascii="Times New Roman" w:hAnsi="Times New Roman"/>
          <w:sz w:val="24"/>
          <w:szCs w:val="24"/>
          <w:lang w:val="en-GB"/>
        </w:rPr>
        <w:t xml:space="preserve"> (Mini PAM, Heinz </w:t>
      </w:r>
      <w:proofErr w:type="spellStart"/>
      <w:r w:rsidRPr="00C0476D">
        <w:rPr>
          <w:rFonts w:ascii="Times New Roman" w:hAnsi="Times New Roman"/>
          <w:sz w:val="24"/>
          <w:szCs w:val="24"/>
          <w:lang w:val="en-GB"/>
        </w:rPr>
        <w:t>Walz</w:t>
      </w:r>
      <w:proofErr w:type="spellEnd"/>
      <w:r w:rsidRPr="00C0476D">
        <w:rPr>
          <w:rFonts w:ascii="Times New Roman" w:hAnsi="Times New Roman"/>
          <w:sz w:val="24"/>
          <w:szCs w:val="24"/>
          <w:lang w:val="en-GB"/>
        </w:rPr>
        <w:t>, Germany) was used to measure the light response curve of photochemical quantum yield of the PS II (Y II) system, and electron transport rate (ETR) in the treated and control algal cells. After 72 h of interaction, the control and the treated cells were placed in dark incubation for 15 min</w:t>
      </w:r>
      <w:r w:rsidR="00695A88" w:rsidRPr="00C0476D">
        <w:rPr>
          <w:rFonts w:ascii="Times New Roman" w:hAnsi="Times New Roman"/>
          <w:sz w:val="24"/>
          <w:szCs w:val="24"/>
          <w:lang w:val="en-GB"/>
        </w:rPr>
        <w:t>,</w:t>
      </w:r>
      <w:r w:rsidRPr="00C0476D">
        <w:rPr>
          <w:rFonts w:ascii="Times New Roman" w:hAnsi="Times New Roman"/>
          <w:sz w:val="24"/>
          <w:szCs w:val="24"/>
          <w:lang w:val="en-GB"/>
        </w:rPr>
        <w:t xml:space="preserve"> followed by</w:t>
      </w:r>
      <w:r w:rsidR="00695A88" w:rsidRPr="00C0476D">
        <w:rPr>
          <w:rFonts w:ascii="Times New Roman" w:hAnsi="Times New Roman"/>
          <w:sz w:val="24"/>
          <w:szCs w:val="24"/>
          <w:lang w:val="en-GB"/>
        </w:rPr>
        <w:t>,</w:t>
      </w:r>
      <w:r w:rsidRPr="00C0476D">
        <w:rPr>
          <w:rFonts w:ascii="Times New Roman" w:hAnsi="Times New Roman"/>
          <w:sz w:val="24"/>
          <w:szCs w:val="24"/>
          <w:lang w:val="en-GB"/>
        </w:rPr>
        <w:t xml:space="preserve"> addition of 400 µl of sample into the instrument chamber and passing on the high-intensity Actinic light to record the effective quantum yield of PS II (Y II) and ETR of the samples </w:t>
      </w:r>
      <w:r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{"citationItems":[{"id":"ITEM-1","itemData":{"DOI":"10.1016/j.jece.2021.105978","ISSN":"22133437","abstract":"The increase in the daily usage of the plastics aggravates their risk of accumulation in the freshwater bodies. The extra polymeric substances (EPS) secreted by the freshwater algae can interact with these particles altering their physicochemical behaviour and fate in the process. The effects of the EPS coated polystyrene nanoparticles (EPS-PSNPs) in freshwater microalgae are still not very clear. The current work investigates the role of ageing the PSNPs (plain, aminated and carboxylated) with EPS in the freshwater medium in influencing their toxic effects towards a freshwater microalga Scenedesmus obliquus. A significant increase in the hydrodynamic size of the PSNPs was noted upon ageing in the EPS-containing medium due to induced agglomeration. The aged PSNPs had significantly lesser toxic effects compared to the pristine forms. The surface functionalization of the PSNPs and the duration of ageing played a significant role in the process. A substantial decline in the levels of the reactive oxygen species, activity of the oxidative stress markers (SOD and CAT) and cell membrane damage corroborated well with observed increase in the cell viability. Improved photosynthetic efficiency parameters (electron transport rate and maximum quantum yield of PS II system) correlated well with decreased levels of the reactive species in the cells. The principal component analysis of the results helped to gain better understanding of how ageing of the PSNPs influenced the various biological parameters.","author":[{"dropping-particle":"","family":"Giri","given":"Sayani","non-dropping-particle":"","parse-names":false,"suffix":""},{"dropping-particle":"","family":"Mukherjee","given":"Amitava","non-dropping-particle":"","parse-names":false,"suffix":""}],"container-title":"Journal of Environmental Chemical Engineering","id":"ITEM-1","issue":"5","issued":{"date-parts":[["2021"]]},"page":"105978","publisher":"Elsevier Ltd","title":"Ageing with algal EPS reduces the toxic effects of polystyrene nanoplastics in freshwater microalgae Scenedesmus obliquus","type":"article-journal","volume":"9"},"uris":["http://www.mendeley.com/documents/?uuid=e5871322-1c05-4fbf-bcfb-31b3410a5c09"]}],"mendeley":{"formattedCitation":"[9]","plainTextFormattedCitation":"[9]","previouslyFormattedCitation":"(Giri and Mukherjee, 2021)"},"properties":{"noteIndex":0},"schema":"https://github.com/citation-style-language/schema/raw/master/csl-citation.json"}</w:instrText>
      </w:r>
      <w:r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[9]</w:t>
      </w:r>
      <w:r w:rsidRPr="00C0476D">
        <w:rPr>
          <w:rFonts w:ascii="Times New Roman" w:hAnsi="Times New Roman"/>
          <w:sz w:val="24"/>
          <w:szCs w:val="24"/>
          <w:lang w:val="en-GB"/>
        </w:rPr>
        <w:fldChar w:fldCharType="end"/>
      </w:r>
      <w:r w:rsidRPr="00C0476D">
        <w:rPr>
          <w:rFonts w:ascii="Times New Roman" w:hAnsi="Times New Roman"/>
          <w:sz w:val="24"/>
          <w:szCs w:val="24"/>
          <w:lang w:val="en-GB"/>
        </w:rPr>
        <w:t xml:space="preserve">.  </w:t>
      </w:r>
    </w:p>
    <w:p w14:paraId="6D98E3B5" w14:textId="5E3A921A" w:rsidR="00945659" w:rsidRPr="00C0476D" w:rsidRDefault="00901E23" w:rsidP="00CE43B6">
      <w:pPr>
        <w:spacing w:line="480" w:lineRule="auto"/>
        <w:jc w:val="both"/>
        <w:rPr>
          <w:rFonts w:ascii="Times New Roman" w:hAnsi="Times New Roman"/>
          <w:b/>
          <w:sz w:val="24"/>
          <w:szCs w:val="24"/>
          <w:lang w:val="en-GB"/>
        </w:rPr>
      </w:pPr>
      <w:r>
        <w:rPr>
          <w:rFonts w:ascii="Times New Roman" w:hAnsi="Times New Roman"/>
          <w:b/>
          <w:sz w:val="24"/>
          <w:szCs w:val="24"/>
          <w:lang w:val="en-GB"/>
        </w:rPr>
        <w:t>M9</w:t>
      </w:r>
      <w:r w:rsidR="001D159F" w:rsidRPr="00C0476D">
        <w:rPr>
          <w:rFonts w:ascii="Times New Roman" w:hAnsi="Times New Roman"/>
          <w:b/>
          <w:sz w:val="24"/>
          <w:szCs w:val="24"/>
          <w:lang w:val="en-GB"/>
        </w:rPr>
        <w:t>S9</w:t>
      </w:r>
      <w:r w:rsidR="00B16B45" w:rsidRPr="00C0476D">
        <w:rPr>
          <w:rFonts w:ascii="Times New Roman" w:hAnsi="Times New Roman"/>
          <w:b/>
          <w:sz w:val="24"/>
          <w:szCs w:val="24"/>
          <w:lang w:val="en-GB"/>
        </w:rPr>
        <w:t xml:space="preserve">: </w:t>
      </w:r>
      <w:r w:rsidR="000C06DA">
        <w:rPr>
          <w:rFonts w:ascii="Times New Roman" w:hAnsi="Times New Roman"/>
          <w:b/>
          <w:sz w:val="24"/>
          <w:szCs w:val="24"/>
          <w:lang w:val="en-GB"/>
        </w:rPr>
        <w:t>A</w:t>
      </w:r>
      <w:r w:rsidR="00B16B45" w:rsidRPr="00C0476D">
        <w:rPr>
          <w:rFonts w:ascii="Times New Roman" w:hAnsi="Times New Roman"/>
          <w:b/>
          <w:sz w:val="24"/>
          <w:szCs w:val="24"/>
          <w:lang w:val="en-GB"/>
        </w:rPr>
        <w:t>ntioxidant enzyme</w:t>
      </w:r>
      <w:r w:rsidR="00B17D66" w:rsidRPr="00C0476D">
        <w:rPr>
          <w:rFonts w:ascii="Times New Roman" w:hAnsi="Times New Roman"/>
          <w:b/>
          <w:sz w:val="24"/>
          <w:szCs w:val="24"/>
          <w:lang w:val="en-GB"/>
        </w:rPr>
        <w:t xml:space="preserve"> estimation </w:t>
      </w:r>
    </w:p>
    <w:p w14:paraId="50493361" w14:textId="77777777" w:rsidR="00CA1DCF" w:rsidRPr="00C0476D" w:rsidRDefault="00CA1DCF" w:rsidP="00CA1DCF">
      <w:pPr>
        <w:spacing w:line="480" w:lineRule="auto"/>
        <w:jc w:val="both"/>
        <w:rPr>
          <w:rFonts w:ascii="Times New Roman" w:hAnsi="Times New Roman"/>
          <w:sz w:val="24"/>
          <w:szCs w:val="24"/>
          <w:lang w:val="en-GB"/>
        </w:rPr>
      </w:pPr>
      <w:r w:rsidRPr="00C0476D">
        <w:rPr>
          <w:rFonts w:ascii="Times New Roman" w:hAnsi="Times New Roman"/>
          <w:sz w:val="24"/>
          <w:szCs w:val="24"/>
          <w:lang w:val="en-GB"/>
        </w:rPr>
        <w:t xml:space="preserve">For SOD, after 72 h interaction, the algal cells were collected by centrifugation at 7000 rpm for 10 min at 4 °C followed by washing with 0.5 M phosphate buffer saline (PBS). Samples were further homogenized in PBS followed by centrifugation at 13,000 rpm for 20 min at 4 °C. After that, supernatant had been collected, it was then mixed with other chemicals (hydroxylamine hydrochlorides at a concentration of 20 </w:t>
      </w:r>
      <w:proofErr w:type="spellStart"/>
      <w:r w:rsidRPr="00C0476D">
        <w:rPr>
          <w:rFonts w:ascii="Times New Roman" w:hAnsi="Times New Roman"/>
          <w:sz w:val="24"/>
          <w:szCs w:val="24"/>
          <w:lang w:val="en-GB"/>
        </w:rPr>
        <w:t>mM</w:t>
      </w:r>
      <w:proofErr w:type="spellEnd"/>
      <w:r w:rsidRPr="00C0476D">
        <w:rPr>
          <w:rFonts w:ascii="Times New Roman" w:hAnsi="Times New Roman"/>
          <w:sz w:val="24"/>
          <w:szCs w:val="24"/>
          <w:lang w:val="en-GB"/>
        </w:rPr>
        <w:t xml:space="preserve">, nitro blue tetrazolium chloride at a concentration of 96 </w:t>
      </w:r>
      <w:proofErr w:type="spellStart"/>
      <w:r w:rsidRPr="00C0476D">
        <w:rPr>
          <w:rFonts w:ascii="Times New Roman" w:hAnsi="Times New Roman"/>
          <w:sz w:val="24"/>
          <w:szCs w:val="24"/>
          <w:lang w:val="en-GB"/>
        </w:rPr>
        <w:t>mM</w:t>
      </w:r>
      <w:proofErr w:type="spellEnd"/>
      <w:r w:rsidRPr="00C0476D">
        <w:rPr>
          <w:rFonts w:ascii="Times New Roman" w:hAnsi="Times New Roman"/>
          <w:sz w:val="24"/>
          <w:szCs w:val="24"/>
          <w:lang w:val="en-GB"/>
        </w:rPr>
        <w:t>, Na</w:t>
      </w:r>
      <w:r w:rsidRPr="00C0476D">
        <w:rPr>
          <w:rFonts w:ascii="Times New Roman" w:hAnsi="Times New Roman"/>
          <w:sz w:val="24"/>
          <w:szCs w:val="24"/>
          <w:vertAlign w:val="subscript"/>
          <w:lang w:val="en-GB"/>
        </w:rPr>
        <w:t>2</w:t>
      </w:r>
      <w:r w:rsidRPr="00C0476D">
        <w:rPr>
          <w:rFonts w:ascii="Times New Roman" w:hAnsi="Times New Roman"/>
          <w:sz w:val="24"/>
          <w:szCs w:val="24"/>
          <w:lang w:val="en-GB"/>
        </w:rPr>
        <w:t>CO</w:t>
      </w:r>
      <w:r w:rsidRPr="00C0476D">
        <w:rPr>
          <w:rFonts w:ascii="Times New Roman" w:hAnsi="Times New Roman"/>
          <w:sz w:val="24"/>
          <w:szCs w:val="24"/>
          <w:vertAlign w:val="subscript"/>
          <w:lang w:val="en-GB"/>
        </w:rPr>
        <w:t>3</w:t>
      </w:r>
      <w:r w:rsidRPr="00C0476D">
        <w:rPr>
          <w:rFonts w:ascii="Times New Roman" w:hAnsi="Times New Roman"/>
          <w:sz w:val="24"/>
          <w:szCs w:val="24"/>
          <w:lang w:val="en-GB"/>
        </w:rPr>
        <w:t xml:space="preserve"> buffer at a concentration of 50 </w:t>
      </w:r>
      <w:proofErr w:type="spellStart"/>
      <w:r w:rsidRPr="00C0476D">
        <w:rPr>
          <w:rFonts w:ascii="Times New Roman" w:hAnsi="Times New Roman"/>
          <w:sz w:val="24"/>
          <w:szCs w:val="24"/>
          <w:lang w:val="en-GB"/>
        </w:rPr>
        <w:t>mM</w:t>
      </w:r>
      <w:proofErr w:type="spellEnd"/>
      <w:r w:rsidRPr="00C0476D">
        <w:rPr>
          <w:rFonts w:ascii="Times New Roman" w:hAnsi="Times New Roman"/>
          <w:sz w:val="24"/>
          <w:szCs w:val="24"/>
          <w:lang w:val="en-GB"/>
        </w:rPr>
        <w:t xml:space="preserve"> with a pH of 10, and Triton X-100 at a concentration of 0.6%) and kept under visible light for 20 min. The reaction mixture was </w:t>
      </w:r>
      <w:proofErr w:type="spellStart"/>
      <w:r w:rsidRPr="00C0476D">
        <w:rPr>
          <w:rFonts w:ascii="Times New Roman" w:hAnsi="Times New Roman"/>
          <w:sz w:val="24"/>
          <w:szCs w:val="24"/>
          <w:lang w:val="en-GB"/>
        </w:rPr>
        <w:t>analyzed</w:t>
      </w:r>
      <w:proofErr w:type="spellEnd"/>
      <w:r w:rsidRPr="00C0476D">
        <w:rPr>
          <w:rFonts w:ascii="Times New Roman" w:hAnsi="Times New Roman"/>
          <w:sz w:val="24"/>
          <w:szCs w:val="24"/>
          <w:lang w:val="en-GB"/>
        </w:rPr>
        <w:t xml:space="preserve"> using a UV–Vis microplate-reader (</w:t>
      </w:r>
      <w:proofErr w:type="spellStart"/>
      <w:r w:rsidRPr="00C0476D">
        <w:rPr>
          <w:rFonts w:ascii="Times New Roman" w:hAnsi="Times New Roman"/>
          <w:sz w:val="24"/>
          <w:szCs w:val="24"/>
          <w:lang w:val="en-GB"/>
        </w:rPr>
        <w:t>xMARK</w:t>
      </w:r>
      <w:proofErr w:type="spellEnd"/>
      <w:r w:rsidRPr="00C0476D">
        <w:rPr>
          <w:rFonts w:ascii="Times New Roman" w:hAnsi="Times New Roman"/>
          <w:sz w:val="24"/>
          <w:szCs w:val="24"/>
          <w:lang w:val="en-GB"/>
        </w:rPr>
        <w:t xml:space="preserve"> microplate absorbance spectrophotometer, BIO-RAD) at a wavelength of 560 nm. </w:t>
      </w:r>
    </w:p>
    <w:p w14:paraId="0C893852" w14:textId="3EE2B372" w:rsidR="00CA1DCF" w:rsidRPr="00C0476D" w:rsidRDefault="00CA1DCF" w:rsidP="00CE43B6">
      <w:pPr>
        <w:spacing w:line="480" w:lineRule="auto"/>
        <w:jc w:val="both"/>
        <w:rPr>
          <w:rFonts w:ascii="Times New Roman" w:hAnsi="Times New Roman"/>
          <w:sz w:val="24"/>
          <w:szCs w:val="24"/>
          <w:lang w:val="en-GB"/>
        </w:rPr>
      </w:pPr>
      <w:r w:rsidRPr="00C0476D">
        <w:rPr>
          <w:rFonts w:ascii="Times New Roman" w:hAnsi="Times New Roman"/>
          <w:sz w:val="24"/>
          <w:szCs w:val="24"/>
          <w:lang w:val="en-GB"/>
        </w:rPr>
        <w:lastRenderedPageBreak/>
        <w:t>For catalase activity, 72 h treated algal cells were centrifuged at a temperature of 4 °C for 10 min at 7000 rpm. The collected cell pellet was treated in the similar fashion as mentioned prior for the SOD activity. Using a spectrophotometer (</w:t>
      </w:r>
      <w:proofErr w:type="spellStart"/>
      <w:r w:rsidRPr="00C0476D">
        <w:rPr>
          <w:rFonts w:ascii="Times New Roman" w:hAnsi="Times New Roman"/>
          <w:sz w:val="24"/>
          <w:szCs w:val="24"/>
          <w:lang w:val="en-GB"/>
        </w:rPr>
        <w:t>Thermofisher</w:t>
      </w:r>
      <w:proofErr w:type="spellEnd"/>
      <w:r w:rsidRPr="00C0476D">
        <w:rPr>
          <w:rFonts w:ascii="Times New Roman" w:hAnsi="Times New Roman"/>
          <w:sz w:val="24"/>
          <w:szCs w:val="24"/>
          <w:lang w:val="en-GB"/>
        </w:rPr>
        <w:t xml:space="preserve"> evolution 220), the absorbance decrease was recorded at 240 nm for 3 min after adding 800 µl of freshly made H</w:t>
      </w:r>
      <w:r w:rsidRPr="00C0476D">
        <w:rPr>
          <w:rFonts w:ascii="Times New Roman" w:hAnsi="Times New Roman"/>
          <w:sz w:val="24"/>
          <w:szCs w:val="24"/>
          <w:vertAlign w:val="subscript"/>
          <w:lang w:val="en-GB"/>
        </w:rPr>
        <w:t>2</w:t>
      </w:r>
      <w:r w:rsidRPr="00C0476D">
        <w:rPr>
          <w:rFonts w:ascii="Times New Roman" w:hAnsi="Times New Roman"/>
          <w:sz w:val="24"/>
          <w:szCs w:val="24"/>
          <w:lang w:val="en-GB"/>
        </w:rPr>
        <w:t>O</w:t>
      </w:r>
      <w:r w:rsidRPr="00C0476D">
        <w:rPr>
          <w:rFonts w:ascii="Times New Roman" w:hAnsi="Times New Roman"/>
          <w:sz w:val="24"/>
          <w:szCs w:val="24"/>
          <w:vertAlign w:val="subscript"/>
          <w:lang w:val="en-GB"/>
        </w:rPr>
        <w:t>2</w:t>
      </w:r>
      <w:r w:rsidRPr="00C0476D">
        <w:rPr>
          <w:rFonts w:ascii="Times New Roman" w:hAnsi="Times New Roman"/>
          <w:sz w:val="24"/>
          <w:szCs w:val="24"/>
          <w:lang w:val="en-GB"/>
        </w:rPr>
        <w:t xml:space="preserve"> solution (0.3% v/v) to 200 µl of supernatant. The reaction solution lacking H</w:t>
      </w:r>
      <w:r w:rsidRPr="00C0476D">
        <w:rPr>
          <w:rFonts w:ascii="Times New Roman" w:hAnsi="Times New Roman"/>
          <w:sz w:val="24"/>
          <w:szCs w:val="24"/>
          <w:vertAlign w:val="subscript"/>
          <w:lang w:val="en-GB"/>
        </w:rPr>
        <w:t>2</w:t>
      </w:r>
      <w:r w:rsidRPr="00C0476D">
        <w:rPr>
          <w:rFonts w:ascii="Times New Roman" w:hAnsi="Times New Roman"/>
          <w:sz w:val="24"/>
          <w:szCs w:val="24"/>
          <w:lang w:val="en-GB"/>
        </w:rPr>
        <w:t>O</w:t>
      </w:r>
      <w:r w:rsidRPr="00C0476D">
        <w:rPr>
          <w:rFonts w:ascii="Times New Roman" w:hAnsi="Times New Roman"/>
          <w:sz w:val="24"/>
          <w:szCs w:val="24"/>
          <w:vertAlign w:val="subscript"/>
          <w:lang w:val="en-GB"/>
        </w:rPr>
        <w:t>2</w:t>
      </w:r>
      <w:r w:rsidRPr="00C0476D">
        <w:rPr>
          <w:rFonts w:ascii="Times New Roman" w:hAnsi="Times New Roman"/>
          <w:sz w:val="24"/>
          <w:szCs w:val="24"/>
          <w:lang w:val="en-GB"/>
        </w:rPr>
        <w:t xml:space="preserve"> was treated as a blank </w:t>
      </w:r>
      <w:r w:rsidRPr="00C0476D">
        <w:rPr>
          <w:rFonts w:ascii="Times New Roman" w:hAnsi="Times New Roman"/>
          <w:sz w:val="24"/>
          <w:szCs w:val="24"/>
          <w:lang w:val="en-GB"/>
        </w:rPr>
        <w:fldChar w:fldCharType="begin" w:fldLock="1"/>
      </w:r>
      <w:r w:rsidR="008C2E71">
        <w:rPr>
          <w:rFonts w:ascii="Times New Roman" w:hAnsi="Times New Roman"/>
          <w:sz w:val="24"/>
          <w:szCs w:val="24"/>
          <w:lang w:val="en-GB"/>
        </w:rPr>
        <w:instrText>ADDIN CSL_CITATION {"citationItems":[{"id":"ITEM-1","itemData":{"ISSN":"0981-9428","author":[{"dropping-particle":"","family":"Giri","given":"Sayani","non-dropping-particle":"","parse-names":false,"suffix":""},{"dropping-particle":"","family":"Christudoss","given":"Abisha Christy","non-dropping-particle":"","parse-names":false,"suffix":""},{"dropping-particle":"","family":"Chandrasekaran","given":"Natarajan","non-dropping-particle":"","parse-names":false,"suffix":""},{"dropping-particle":"","family":"Peijnenburg","given":"Willie J G M","non-dropping-particle":"","parse-names":false,"suffix":""},{"dropping-particle":"","family":"Mukherjee","given":"Amitava","non-dropping-particle":"","parse-names":false,"suffix":""}],"container-title":"Plant Physiology and Biochemistry","id":"ITEM-1","issued":{"date-parts":[["2023"]]},"page":"107664","publisher":"Elsevier","title":"The role of algal EPS in reducing the combined toxicity of BPA and polystyrene nanoparticles to the freshwater algae Scenedesmus obliquus","type":"article-journal","volume":"197"},"uris":["http://www.mendeley.com/documents/?uuid=c95ec9dc-2f7b-4478-b4f5-6692e247834f","http://www.mendeley.com/documents/?uuid=3029cb4b-e78e-4253-b48e-42e64bca3da3","http://www.mendeley.com/documents/?uuid=59228a5a-3267-4799-8758-6ded2caa9a05"]}],"mendeley":{"formattedCitation":"[10]","plainTextFormattedCitation":"[10]","previouslyFormattedCitation":"(Giri et al., 2023)"},"properties":{"noteIndex":0},"schema":"https://github.com/citation-style-language/schema/raw/master/csl-citation.json"}</w:instrText>
      </w:r>
      <w:r w:rsidRPr="00C0476D">
        <w:rPr>
          <w:rFonts w:ascii="Times New Roman" w:hAnsi="Times New Roman"/>
          <w:sz w:val="24"/>
          <w:szCs w:val="24"/>
          <w:lang w:val="en-GB"/>
        </w:rPr>
        <w:fldChar w:fldCharType="separate"/>
      </w:r>
      <w:r w:rsidR="008C2E71" w:rsidRPr="008C2E71">
        <w:rPr>
          <w:rFonts w:ascii="Times New Roman" w:hAnsi="Times New Roman"/>
          <w:noProof/>
          <w:sz w:val="24"/>
          <w:szCs w:val="24"/>
          <w:lang w:val="en-GB"/>
        </w:rPr>
        <w:t>[10]</w:t>
      </w:r>
      <w:r w:rsidRPr="00C0476D">
        <w:rPr>
          <w:rFonts w:ascii="Times New Roman" w:hAnsi="Times New Roman"/>
          <w:sz w:val="24"/>
          <w:szCs w:val="24"/>
          <w:lang w:val="en-GB"/>
        </w:rPr>
        <w:fldChar w:fldCharType="end"/>
      </w:r>
      <w:r w:rsidRPr="00C0476D">
        <w:rPr>
          <w:rFonts w:ascii="Times New Roman" w:hAnsi="Times New Roman"/>
          <w:sz w:val="24"/>
          <w:szCs w:val="24"/>
          <w:lang w:val="en-GB"/>
        </w:rPr>
        <w:t>.</w:t>
      </w:r>
    </w:p>
    <w:p w14:paraId="4977B6F7" w14:textId="77777777" w:rsidR="00A56C64" w:rsidRPr="00C0476D" w:rsidRDefault="00A56C64">
      <w:pPr>
        <w:spacing w:after="200" w:line="276" w:lineRule="auto"/>
        <w:rPr>
          <w:rFonts w:ascii="Times New Roman" w:hAnsi="Times New Roman"/>
          <w:b/>
          <w:sz w:val="24"/>
          <w:szCs w:val="24"/>
          <w:lang w:val="en-GB"/>
        </w:rPr>
      </w:pPr>
      <w:r w:rsidRPr="00C0476D">
        <w:rPr>
          <w:rFonts w:ascii="Times New Roman" w:hAnsi="Times New Roman"/>
          <w:b/>
          <w:sz w:val="24"/>
          <w:szCs w:val="24"/>
          <w:lang w:val="en-GB"/>
        </w:rPr>
        <w:br w:type="page"/>
      </w:r>
    </w:p>
    <w:p w14:paraId="5A453FDF" w14:textId="48C439C2" w:rsidR="004963E1" w:rsidRDefault="004963E1">
      <w:pPr>
        <w:spacing w:after="200" w:line="276" w:lineRule="auto"/>
        <w:rPr>
          <w:rFonts w:ascii="Times New Roman" w:hAnsi="Times New Roman"/>
          <w:b/>
          <w:sz w:val="24"/>
          <w:szCs w:val="24"/>
          <w:lang w:val="en-GB"/>
        </w:rPr>
      </w:pPr>
      <w:r w:rsidRPr="00C0476D">
        <w:rPr>
          <w:rFonts w:ascii="Times New Roman" w:hAnsi="Times New Roman"/>
          <w:b/>
          <w:sz w:val="24"/>
          <w:szCs w:val="24"/>
          <w:lang w:val="en-GB"/>
        </w:rPr>
        <w:lastRenderedPageBreak/>
        <w:t xml:space="preserve">Figures </w:t>
      </w:r>
    </w:p>
    <w:p w14:paraId="2AE8A5F6" w14:textId="746426BE" w:rsidR="000C06DA" w:rsidRPr="00C0476D" w:rsidRDefault="000C06DA" w:rsidP="000C06DA">
      <w:pPr>
        <w:spacing w:after="200" w:line="276" w:lineRule="auto"/>
        <w:jc w:val="center"/>
        <w:rPr>
          <w:rFonts w:ascii="Times New Roman" w:hAnsi="Times New Roman"/>
          <w:b/>
          <w:sz w:val="24"/>
          <w:szCs w:val="24"/>
          <w:lang w:val="en-GB"/>
        </w:rPr>
      </w:pPr>
      <w:r w:rsidRPr="000C06DA">
        <w:rPr>
          <w:rFonts w:ascii="Times New Roman" w:hAnsi="Times New Roman"/>
          <w:b/>
          <w:noProof/>
          <w:sz w:val="24"/>
          <w:szCs w:val="24"/>
          <w:lang w:eastAsia="en-IN"/>
        </w:rPr>
        <w:drawing>
          <wp:inline distT="0" distB="0" distL="0" distR="0" wp14:anchorId="76EF1008" wp14:editId="02759866">
            <wp:extent cx="3000375" cy="2771775"/>
            <wp:effectExtent l="0" t="0" r="9525" b="9525"/>
            <wp:docPr id="9" name="Picture 9" descr="D:\Abhrajit VIT\Own research\Obj 2B Own Atrazine\Paper writing\Images\ace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bhrajit VIT\Own research\Obj 2B Own Atrazine\Paper writing\Images\aceto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2771775"/>
                    </a:xfrm>
                    <a:prstGeom prst="rect">
                      <a:avLst/>
                    </a:prstGeom>
                    <a:noFill/>
                    <a:ln>
                      <a:noFill/>
                    </a:ln>
                  </pic:spPr>
                </pic:pic>
              </a:graphicData>
            </a:graphic>
          </wp:inline>
        </w:drawing>
      </w:r>
    </w:p>
    <w:p w14:paraId="484B6202" w14:textId="77777777" w:rsidR="00BC3E05" w:rsidRDefault="000C06DA" w:rsidP="00BC3E05">
      <w:pPr>
        <w:spacing w:after="200" w:line="276" w:lineRule="auto"/>
        <w:jc w:val="center"/>
        <w:rPr>
          <w:rFonts w:ascii="Times New Roman" w:hAnsi="Times New Roman"/>
          <w:b/>
          <w:sz w:val="24"/>
          <w:szCs w:val="24"/>
          <w:lang w:val="en-GB"/>
        </w:rPr>
      </w:pPr>
      <w:r>
        <w:rPr>
          <w:rFonts w:ascii="Times New Roman" w:hAnsi="Times New Roman"/>
          <w:b/>
          <w:sz w:val="24"/>
          <w:szCs w:val="24"/>
          <w:lang w:val="en-GB"/>
        </w:rPr>
        <w:t>Fig S1</w:t>
      </w:r>
      <w:r w:rsidR="00B95078" w:rsidRPr="00C0476D">
        <w:rPr>
          <w:rFonts w:ascii="Times New Roman" w:hAnsi="Times New Roman"/>
          <w:b/>
          <w:sz w:val="24"/>
          <w:szCs w:val="24"/>
          <w:lang w:val="en-GB"/>
        </w:rPr>
        <w:t xml:space="preserve">: Cell viability in the presence of </w:t>
      </w:r>
      <w:r>
        <w:rPr>
          <w:rFonts w:ascii="Times New Roman" w:hAnsi="Times New Roman"/>
          <w:b/>
          <w:sz w:val="24"/>
          <w:szCs w:val="24"/>
          <w:lang w:val="en-GB"/>
        </w:rPr>
        <w:t>acetone</w:t>
      </w:r>
    </w:p>
    <w:p w14:paraId="3A514228" w14:textId="77777777" w:rsidR="00BC3E05" w:rsidRDefault="00BC3E05">
      <w:pPr>
        <w:spacing w:after="200" w:line="276" w:lineRule="auto"/>
        <w:rPr>
          <w:rFonts w:ascii="Times New Roman" w:hAnsi="Times New Roman"/>
          <w:b/>
          <w:sz w:val="24"/>
          <w:szCs w:val="24"/>
          <w:lang w:val="en-GB"/>
        </w:rPr>
      </w:pPr>
      <w:r>
        <w:rPr>
          <w:rFonts w:ascii="Times New Roman" w:hAnsi="Times New Roman"/>
          <w:b/>
          <w:sz w:val="24"/>
          <w:szCs w:val="24"/>
          <w:lang w:val="en-GB"/>
        </w:rPr>
        <w:br w:type="page"/>
      </w:r>
    </w:p>
    <w:p w14:paraId="200BDE30" w14:textId="5D092FEB" w:rsidR="001E22B7" w:rsidRDefault="001E22B7" w:rsidP="00BC3E05">
      <w:pPr>
        <w:spacing w:after="200" w:line="276" w:lineRule="auto"/>
        <w:jc w:val="center"/>
        <w:rPr>
          <w:rFonts w:ascii="Times New Roman" w:hAnsi="Times New Roman"/>
          <w:b/>
          <w:sz w:val="24"/>
          <w:szCs w:val="24"/>
          <w:lang w:val="en-GB"/>
        </w:rPr>
      </w:pPr>
      <w:r w:rsidRPr="001E22B7">
        <w:rPr>
          <w:rFonts w:ascii="Times New Roman" w:hAnsi="Times New Roman"/>
          <w:b/>
          <w:noProof/>
          <w:sz w:val="24"/>
          <w:szCs w:val="24"/>
          <w:lang w:eastAsia="en-IN"/>
        </w:rPr>
        <w:lastRenderedPageBreak/>
        <w:drawing>
          <wp:inline distT="0" distB="0" distL="0" distR="0" wp14:anchorId="4241059B" wp14:editId="116D4601">
            <wp:extent cx="5731510" cy="3223974"/>
            <wp:effectExtent l="0" t="0" r="2540" b="0"/>
            <wp:docPr id="1" name="Picture 1" descr="D:\Abhrajit VIT\Own research\Obj 2B Own Atrazine\Raman PPT\Sli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bhrajit VIT\Own research\Obj 2B Own Atrazine\Raman PPT\Slid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4D540085" w14:textId="501A67C5" w:rsidR="008E2305" w:rsidRPr="00C0476D" w:rsidRDefault="007A19DF" w:rsidP="00BC3E05">
      <w:pPr>
        <w:spacing w:after="200" w:line="276" w:lineRule="auto"/>
        <w:jc w:val="center"/>
        <w:rPr>
          <w:rFonts w:ascii="Times New Roman" w:hAnsi="Times New Roman"/>
          <w:b/>
          <w:sz w:val="24"/>
          <w:szCs w:val="24"/>
          <w:lang w:val="en-GB"/>
        </w:rPr>
      </w:pPr>
      <w:r>
        <w:rPr>
          <w:rFonts w:ascii="Times New Roman" w:hAnsi="Times New Roman"/>
          <w:b/>
          <w:sz w:val="24"/>
          <w:szCs w:val="24"/>
          <w:lang w:val="en-GB"/>
        </w:rPr>
        <w:t>Fig S2</w:t>
      </w:r>
      <w:r w:rsidR="008E2305" w:rsidRPr="00C0476D">
        <w:rPr>
          <w:rFonts w:ascii="Times New Roman" w:hAnsi="Times New Roman"/>
          <w:b/>
          <w:sz w:val="24"/>
          <w:szCs w:val="24"/>
          <w:lang w:val="en-GB"/>
        </w:rPr>
        <w:t>: Raman spectra of</w:t>
      </w:r>
      <w:r>
        <w:rPr>
          <w:rFonts w:ascii="Times New Roman" w:hAnsi="Times New Roman"/>
          <w:b/>
          <w:sz w:val="24"/>
          <w:szCs w:val="24"/>
          <w:lang w:val="en-GB"/>
        </w:rPr>
        <w:t xml:space="preserve"> GO, </w:t>
      </w:r>
      <w:proofErr w:type="spellStart"/>
      <w:r>
        <w:rPr>
          <w:rFonts w:ascii="Times New Roman" w:hAnsi="Times New Roman"/>
          <w:b/>
          <w:sz w:val="24"/>
          <w:szCs w:val="24"/>
          <w:lang w:val="en-GB"/>
        </w:rPr>
        <w:t>rGO</w:t>
      </w:r>
      <w:proofErr w:type="spellEnd"/>
      <w:r>
        <w:rPr>
          <w:rFonts w:ascii="Times New Roman" w:hAnsi="Times New Roman"/>
          <w:b/>
          <w:sz w:val="24"/>
          <w:szCs w:val="24"/>
          <w:lang w:val="en-GB"/>
        </w:rPr>
        <w:t>, Graphene</w:t>
      </w:r>
      <w:r w:rsidR="008E2305" w:rsidRPr="00C0476D">
        <w:rPr>
          <w:rFonts w:ascii="Times New Roman" w:hAnsi="Times New Roman"/>
          <w:b/>
          <w:sz w:val="24"/>
          <w:szCs w:val="24"/>
          <w:lang w:val="en-GB"/>
        </w:rPr>
        <w:t>.</w:t>
      </w:r>
    </w:p>
    <w:p w14:paraId="62CAC9C9" w14:textId="77777777" w:rsidR="00C47985" w:rsidRPr="00C0476D" w:rsidRDefault="00C47985" w:rsidP="00D70F52">
      <w:pPr>
        <w:spacing w:line="480" w:lineRule="auto"/>
        <w:jc w:val="center"/>
        <w:rPr>
          <w:rFonts w:ascii="Times New Roman" w:hAnsi="Times New Roman"/>
          <w:b/>
          <w:sz w:val="24"/>
          <w:szCs w:val="24"/>
          <w:lang w:val="en-GB"/>
        </w:rPr>
      </w:pPr>
    </w:p>
    <w:p w14:paraId="07F1476E" w14:textId="28512DBD" w:rsidR="00AA33AF" w:rsidRPr="00C0476D" w:rsidRDefault="00AD7DD5" w:rsidP="00B472C8">
      <w:pPr>
        <w:spacing w:after="200" w:line="276" w:lineRule="auto"/>
        <w:jc w:val="center"/>
        <w:rPr>
          <w:rFonts w:ascii="Times New Roman" w:hAnsi="Times New Roman"/>
          <w:b/>
          <w:sz w:val="24"/>
          <w:szCs w:val="24"/>
          <w:lang w:val="en-GB"/>
        </w:rPr>
      </w:pPr>
      <w:r w:rsidRPr="00C0476D">
        <w:rPr>
          <w:rFonts w:ascii="Times New Roman" w:hAnsi="Times New Roman"/>
          <w:b/>
          <w:sz w:val="24"/>
          <w:szCs w:val="24"/>
          <w:lang w:val="en-GB"/>
        </w:rPr>
        <w:br w:type="page"/>
      </w:r>
    </w:p>
    <w:p w14:paraId="6D3B2E07" w14:textId="5912FEBA" w:rsidR="00B472C8" w:rsidRDefault="00B472C8" w:rsidP="00095995">
      <w:pPr>
        <w:spacing w:line="480" w:lineRule="auto"/>
        <w:jc w:val="both"/>
        <w:rPr>
          <w:rFonts w:ascii="Times New Roman" w:hAnsi="Times New Roman"/>
          <w:b/>
          <w:sz w:val="24"/>
          <w:szCs w:val="24"/>
          <w:lang w:val="en-GB"/>
        </w:rPr>
      </w:pPr>
      <w:bookmarkStart w:id="0" w:name="OLE_LINK1"/>
      <w:r w:rsidRPr="00B472C8">
        <w:rPr>
          <w:rFonts w:ascii="Times New Roman" w:hAnsi="Times New Roman"/>
          <w:b/>
          <w:noProof/>
          <w:sz w:val="24"/>
          <w:szCs w:val="24"/>
          <w:lang w:eastAsia="en-IN"/>
        </w:rPr>
        <w:lastRenderedPageBreak/>
        <w:drawing>
          <wp:inline distT="0" distB="0" distL="0" distR="0" wp14:anchorId="3764768E" wp14:editId="63FE5DEC">
            <wp:extent cx="5731510" cy="7574888"/>
            <wp:effectExtent l="0" t="0" r="2540" b="7620"/>
            <wp:docPr id="11" name="Picture 11" descr="D:\Abhrajit VIT\Own research\Obj 2B Own Atrazine\Paper writing\Images\PA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bhrajit VIT\Own research\Obj 2B Own Atrazine\Paper writing\Images\PAM.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7574888"/>
                    </a:xfrm>
                    <a:prstGeom prst="rect">
                      <a:avLst/>
                    </a:prstGeom>
                    <a:noFill/>
                    <a:ln>
                      <a:noFill/>
                    </a:ln>
                  </pic:spPr>
                </pic:pic>
              </a:graphicData>
            </a:graphic>
          </wp:inline>
        </w:drawing>
      </w:r>
    </w:p>
    <w:p w14:paraId="00030F96" w14:textId="79685EE8" w:rsidR="004A2F6A" w:rsidRPr="00C0476D" w:rsidRDefault="00D32102" w:rsidP="002B1A07">
      <w:pPr>
        <w:spacing w:line="480" w:lineRule="auto"/>
        <w:jc w:val="both"/>
        <w:rPr>
          <w:rFonts w:ascii="Times New Roman" w:hAnsi="Times New Roman"/>
          <w:b/>
          <w:sz w:val="24"/>
          <w:szCs w:val="24"/>
          <w:lang w:val="en-US"/>
        </w:rPr>
      </w:pPr>
      <w:r>
        <w:rPr>
          <w:rFonts w:ascii="Times New Roman" w:hAnsi="Times New Roman"/>
          <w:b/>
          <w:sz w:val="24"/>
          <w:szCs w:val="24"/>
          <w:lang w:val="en-GB"/>
        </w:rPr>
        <w:t>Fig S3</w:t>
      </w:r>
      <w:r w:rsidR="00AD7DD5" w:rsidRPr="00C0476D">
        <w:rPr>
          <w:rFonts w:ascii="Times New Roman" w:hAnsi="Times New Roman"/>
          <w:b/>
          <w:sz w:val="24"/>
          <w:szCs w:val="24"/>
          <w:lang w:val="en-GB"/>
        </w:rPr>
        <w:t xml:space="preserve">: </w:t>
      </w:r>
      <w:r w:rsidR="00AD7DD5" w:rsidRPr="00C0476D">
        <w:rPr>
          <w:rFonts w:ascii="Times New Roman" w:hAnsi="Times New Roman"/>
          <w:b/>
          <w:sz w:val="24"/>
          <w:szCs w:val="24"/>
          <w:lang w:val="en-US"/>
        </w:rPr>
        <w:t>Photosynthetic parameters in algal cells exposed to the pristine</w:t>
      </w:r>
      <w:r w:rsidR="00AB7E6A">
        <w:rPr>
          <w:rFonts w:ascii="Times New Roman" w:hAnsi="Times New Roman"/>
          <w:b/>
          <w:sz w:val="24"/>
          <w:szCs w:val="24"/>
          <w:lang w:val="en-US"/>
        </w:rPr>
        <w:t xml:space="preserve"> atrazine</w:t>
      </w:r>
      <w:r w:rsidR="00AD7DD5" w:rsidRPr="00C0476D">
        <w:rPr>
          <w:rFonts w:ascii="Times New Roman" w:hAnsi="Times New Roman"/>
          <w:b/>
          <w:sz w:val="24"/>
          <w:szCs w:val="24"/>
          <w:lang w:val="en-US"/>
        </w:rPr>
        <w:t xml:space="preserve">, GFNs and </w:t>
      </w:r>
      <w:r w:rsidR="00AB7E6A">
        <w:rPr>
          <w:rFonts w:ascii="Times New Roman" w:hAnsi="Times New Roman"/>
          <w:b/>
          <w:sz w:val="24"/>
          <w:szCs w:val="24"/>
          <w:lang w:val="en-US"/>
        </w:rPr>
        <w:t>atrazine</w:t>
      </w:r>
      <w:r w:rsidR="00AB7E6A" w:rsidRPr="00C0476D">
        <w:rPr>
          <w:rFonts w:ascii="Times New Roman" w:hAnsi="Times New Roman"/>
          <w:b/>
          <w:sz w:val="24"/>
          <w:szCs w:val="24"/>
          <w:lang w:val="en-US"/>
        </w:rPr>
        <w:t xml:space="preserve"> </w:t>
      </w:r>
      <w:r w:rsidR="00AD7DD5" w:rsidRPr="00C0476D">
        <w:rPr>
          <w:rFonts w:ascii="Times New Roman" w:hAnsi="Times New Roman"/>
          <w:b/>
          <w:sz w:val="24"/>
          <w:szCs w:val="24"/>
          <w:lang w:val="en-US"/>
        </w:rPr>
        <w:t>-GFNs were assessed. The comparison of effective quantum yield of PS II (Y II) of (A</w:t>
      </w:r>
      <w:r w:rsidR="00AB7E6A">
        <w:rPr>
          <w:rFonts w:ascii="Times New Roman" w:hAnsi="Times New Roman"/>
          <w:b/>
          <w:sz w:val="24"/>
          <w:szCs w:val="24"/>
          <w:lang w:val="en-US"/>
        </w:rPr>
        <w:t>-</w:t>
      </w:r>
      <w:proofErr w:type="spellStart"/>
      <w:r w:rsidR="00AB7E6A">
        <w:rPr>
          <w:rFonts w:ascii="Times New Roman" w:hAnsi="Times New Roman"/>
          <w:b/>
          <w:sz w:val="24"/>
          <w:szCs w:val="24"/>
          <w:lang w:val="en-US"/>
        </w:rPr>
        <w:t>i</w:t>
      </w:r>
      <w:proofErr w:type="spellEnd"/>
      <w:r w:rsidR="00AD7DD5" w:rsidRPr="00C0476D">
        <w:rPr>
          <w:rFonts w:ascii="Times New Roman" w:hAnsi="Times New Roman"/>
          <w:b/>
          <w:sz w:val="24"/>
          <w:szCs w:val="24"/>
          <w:lang w:val="en-US"/>
        </w:rPr>
        <w:t xml:space="preserve">): pristine </w:t>
      </w:r>
      <w:r w:rsidR="00AB7E6A">
        <w:rPr>
          <w:rFonts w:ascii="Times New Roman" w:hAnsi="Times New Roman"/>
          <w:b/>
          <w:sz w:val="24"/>
          <w:szCs w:val="24"/>
          <w:lang w:val="en-US"/>
        </w:rPr>
        <w:t>GO</w:t>
      </w:r>
      <w:r w:rsidR="00AD7DD5" w:rsidRPr="00C0476D">
        <w:rPr>
          <w:rFonts w:ascii="Times New Roman" w:hAnsi="Times New Roman"/>
          <w:b/>
          <w:sz w:val="24"/>
          <w:szCs w:val="24"/>
          <w:lang w:val="en-US"/>
        </w:rPr>
        <w:t xml:space="preserve"> and the mixture of </w:t>
      </w:r>
      <w:r w:rsidR="00AB7E6A">
        <w:rPr>
          <w:rFonts w:ascii="Times New Roman" w:hAnsi="Times New Roman"/>
          <w:b/>
          <w:sz w:val="24"/>
          <w:szCs w:val="24"/>
          <w:lang w:val="en-US"/>
        </w:rPr>
        <w:t xml:space="preserve">GO </w:t>
      </w:r>
      <w:r w:rsidR="00AD7DD5" w:rsidRPr="00C0476D">
        <w:rPr>
          <w:rFonts w:ascii="Times New Roman" w:hAnsi="Times New Roman"/>
          <w:b/>
          <w:sz w:val="24"/>
          <w:szCs w:val="24"/>
          <w:lang w:val="en-US"/>
        </w:rPr>
        <w:t xml:space="preserve">and </w:t>
      </w:r>
      <w:r w:rsidR="00AB7E6A">
        <w:rPr>
          <w:rFonts w:ascii="Times New Roman" w:hAnsi="Times New Roman"/>
          <w:b/>
          <w:sz w:val="24"/>
          <w:szCs w:val="24"/>
          <w:lang w:val="en-US"/>
        </w:rPr>
        <w:t>atrazine. (A-ii</w:t>
      </w:r>
      <w:r w:rsidR="00AD7DD5" w:rsidRPr="00C0476D">
        <w:rPr>
          <w:rFonts w:ascii="Times New Roman" w:hAnsi="Times New Roman"/>
          <w:b/>
          <w:sz w:val="24"/>
          <w:szCs w:val="24"/>
          <w:lang w:val="en-US"/>
        </w:rPr>
        <w:t xml:space="preserve">): pristine </w:t>
      </w:r>
      <w:proofErr w:type="spellStart"/>
      <w:r w:rsidR="00AB7E6A">
        <w:rPr>
          <w:rFonts w:ascii="Times New Roman" w:hAnsi="Times New Roman"/>
          <w:b/>
          <w:sz w:val="24"/>
          <w:szCs w:val="24"/>
          <w:lang w:val="en-US"/>
        </w:rPr>
        <w:t>r</w:t>
      </w:r>
      <w:r w:rsidR="00AD7DD5" w:rsidRPr="00C0476D">
        <w:rPr>
          <w:rFonts w:ascii="Times New Roman" w:hAnsi="Times New Roman"/>
          <w:b/>
          <w:sz w:val="24"/>
          <w:szCs w:val="24"/>
          <w:lang w:val="en-US"/>
        </w:rPr>
        <w:t>GO</w:t>
      </w:r>
      <w:proofErr w:type="spellEnd"/>
      <w:r w:rsidR="00AD7DD5" w:rsidRPr="00C0476D">
        <w:rPr>
          <w:rFonts w:ascii="Times New Roman" w:hAnsi="Times New Roman"/>
          <w:b/>
          <w:sz w:val="24"/>
          <w:szCs w:val="24"/>
          <w:lang w:val="en-US"/>
        </w:rPr>
        <w:t xml:space="preserve"> and </w:t>
      </w:r>
      <w:r w:rsidR="00AD7DD5" w:rsidRPr="00C0476D">
        <w:rPr>
          <w:rFonts w:ascii="Times New Roman" w:hAnsi="Times New Roman"/>
          <w:b/>
          <w:sz w:val="24"/>
          <w:szCs w:val="24"/>
          <w:lang w:val="en-US"/>
        </w:rPr>
        <w:lastRenderedPageBreak/>
        <w:t xml:space="preserve">the mixture of </w:t>
      </w:r>
      <w:proofErr w:type="spellStart"/>
      <w:r w:rsidR="00AB7E6A">
        <w:rPr>
          <w:rFonts w:ascii="Times New Roman" w:hAnsi="Times New Roman"/>
          <w:b/>
          <w:sz w:val="24"/>
          <w:szCs w:val="24"/>
          <w:lang w:val="en-US"/>
        </w:rPr>
        <w:t>r</w:t>
      </w:r>
      <w:r w:rsidR="00AD7DD5" w:rsidRPr="00C0476D">
        <w:rPr>
          <w:rFonts w:ascii="Times New Roman" w:hAnsi="Times New Roman"/>
          <w:b/>
          <w:sz w:val="24"/>
          <w:szCs w:val="24"/>
          <w:lang w:val="en-US"/>
        </w:rPr>
        <w:t>GO</w:t>
      </w:r>
      <w:proofErr w:type="spellEnd"/>
      <w:r w:rsidR="00AD7DD5" w:rsidRPr="00C0476D">
        <w:rPr>
          <w:rFonts w:ascii="Times New Roman" w:hAnsi="Times New Roman"/>
          <w:b/>
          <w:sz w:val="24"/>
          <w:szCs w:val="24"/>
          <w:lang w:val="en-US"/>
        </w:rPr>
        <w:t xml:space="preserve"> and </w:t>
      </w:r>
      <w:r w:rsidR="00AB7E6A">
        <w:rPr>
          <w:rFonts w:ascii="Times New Roman" w:hAnsi="Times New Roman"/>
          <w:b/>
          <w:sz w:val="24"/>
          <w:szCs w:val="24"/>
          <w:lang w:val="en-US"/>
        </w:rPr>
        <w:t>atrazine; (A-iii</w:t>
      </w:r>
      <w:r w:rsidR="00AD7DD5" w:rsidRPr="00C0476D">
        <w:rPr>
          <w:rFonts w:ascii="Times New Roman" w:hAnsi="Times New Roman"/>
          <w:b/>
          <w:sz w:val="24"/>
          <w:szCs w:val="24"/>
          <w:lang w:val="en-US"/>
        </w:rPr>
        <w:t xml:space="preserve">): pristine </w:t>
      </w:r>
      <w:r w:rsidR="00AB7E6A">
        <w:rPr>
          <w:rFonts w:ascii="Times New Roman" w:hAnsi="Times New Roman"/>
          <w:b/>
          <w:sz w:val="24"/>
          <w:szCs w:val="24"/>
          <w:lang w:val="en-US"/>
        </w:rPr>
        <w:t xml:space="preserve">graphene </w:t>
      </w:r>
      <w:r w:rsidR="00AD7DD5" w:rsidRPr="00C0476D">
        <w:rPr>
          <w:rFonts w:ascii="Times New Roman" w:hAnsi="Times New Roman"/>
          <w:b/>
          <w:sz w:val="24"/>
          <w:szCs w:val="24"/>
          <w:lang w:val="en-US"/>
        </w:rPr>
        <w:t xml:space="preserve">and the mixture of </w:t>
      </w:r>
      <w:r w:rsidR="00AB7E6A">
        <w:rPr>
          <w:rFonts w:ascii="Times New Roman" w:hAnsi="Times New Roman"/>
          <w:b/>
          <w:sz w:val="24"/>
          <w:szCs w:val="24"/>
          <w:lang w:val="en-US"/>
        </w:rPr>
        <w:t xml:space="preserve">graphene </w:t>
      </w:r>
      <w:r w:rsidR="00AD7DD5" w:rsidRPr="00C0476D">
        <w:rPr>
          <w:rFonts w:ascii="Times New Roman" w:hAnsi="Times New Roman"/>
          <w:b/>
          <w:sz w:val="24"/>
          <w:szCs w:val="24"/>
          <w:lang w:val="en-US"/>
        </w:rPr>
        <w:t xml:space="preserve">and </w:t>
      </w:r>
      <w:r w:rsidR="00AB7E6A">
        <w:rPr>
          <w:rFonts w:ascii="Times New Roman" w:hAnsi="Times New Roman"/>
          <w:b/>
          <w:sz w:val="24"/>
          <w:szCs w:val="24"/>
          <w:lang w:val="en-US"/>
        </w:rPr>
        <w:t>atrazine</w:t>
      </w:r>
      <w:r w:rsidR="00AD7DD5" w:rsidRPr="00C0476D">
        <w:rPr>
          <w:rFonts w:ascii="Times New Roman" w:hAnsi="Times New Roman"/>
          <w:b/>
          <w:sz w:val="24"/>
          <w:szCs w:val="24"/>
          <w:lang w:val="en-US"/>
        </w:rPr>
        <w:t xml:space="preserve">. The comparison of electron transport rate of </w:t>
      </w:r>
      <w:r w:rsidR="00AB7E6A">
        <w:rPr>
          <w:rFonts w:ascii="Times New Roman" w:hAnsi="Times New Roman"/>
          <w:b/>
          <w:sz w:val="24"/>
          <w:szCs w:val="24"/>
          <w:lang w:val="en-US"/>
        </w:rPr>
        <w:t>(B-</w:t>
      </w:r>
      <w:proofErr w:type="spellStart"/>
      <w:r w:rsidR="00AB7E6A">
        <w:rPr>
          <w:rFonts w:ascii="Times New Roman" w:hAnsi="Times New Roman"/>
          <w:b/>
          <w:sz w:val="24"/>
          <w:szCs w:val="24"/>
          <w:lang w:val="en-US"/>
        </w:rPr>
        <w:t>i</w:t>
      </w:r>
      <w:proofErr w:type="spellEnd"/>
      <w:r w:rsidR="00AB7E6A" w:rsidRPr="00C0476D">
        <w:rPr>
          <w:rFonts w:ascii="Times New Roman" w:hAnsi="Times New Roman"/>
          <w:b/>
          <w:sz w:val="24"/>
          <w:szCs w:val="24"/>
          <w:lang w:val="en-US"/>
        </w:rPr>
        <w:t xml:space="preserve">): pristine </w:t>
      </w:r>
      <w:r w:rsidR="00AB7E6A">
        <w:rPr>
          <w:rFonts w:ascii="Times New Roman" w:hAnsi="Times New Roman"/>
          <w:b/>
          <w:sz w:val="24"/>
          <w:szCs w:val="24"/>
          <w:lang w:val="en-US"/>
        </w:rPr>
        <w:t>GO</w:t>
      </w:r>
      <w:r w:rsidR="00AB7E6A" w:rsidRPr="00C0476D">
        <w:rPr>
          <w:rFonts w:ascii="Times New Roman" w:hAnsi="Times New Roman"/>
          <w:b/>
          <w:sz w:val="24"/>
          <w:szCs w:val="24"/>
          <w:lang w:val="en-US"/>
        </w:rPr>
        <w:t xml:space="preserve"> and the mixture of </w:t>
      </w:r>
      <w:r w:rsidR="00AB7E6A">
        <w:rPr>
          <w:rFonts w:ascii="Times New Roman" w:hAnsi="Times New Roman"/>
          <w:b/>
          <w:sz w:val="24"/>
          <w:szCs w:val="24"/>
          <w:lang w:val="en-US"/>
        </w:rPr>
        <w:t xml:space="preserve">GO </w:t>
      </w:r>
      <w:r w:rsidR="00AB7E6A" w:rsidRPr="00C0476D">
        <w:rPr>
          <w:rFonts w:ascii="Times New Roman" w:hAnsi="Times New Roman"/>
          <w:b/>
          <w:sz w:val="24"/>
          <w:szCs w:val="24"/>
          <w:lang w:val="en-US"/>
        </w:rPr>
        <w:t xml:space="preserve">and </w:t>
      </w:r>
      <w:r w:rsidR="00AB7E6A">
        <w:rPr>
          <w:rFonts w:ascii="Times New Roman" w:hAnsi="Times New Roman"/>
          <w:b/>
          <w:sz w:val="24"/>
          <w:szCs w:val="24"/>
          <w:lang w:val="en-US"/>
        </w:rPr>
        <w:t>atrazine. (B-ii</w:t>
      </w:r>
      <w:r w:rsidR="00AB7E6A" w:rsidRPr="00C0476D">
        <w:rPr>
          <w:rFonts w:ascii="Times New Roman" w:hAnsi="Times New Roman"/>
          <w:b/>
          <w:sz w:val="24"/>
          <w:szCs w:val="24"/>
          <w:lang w:val="en-US"/>
        </w:rPr>
        <w:t xml:space="preserve">): pristine </w:t>
      </w:r>
      <w:proofErr w:type="spellStart"/>
      <w:r w:rsidR="00AB7E6A">
        <w:rPr>
          <w:rFonts w:ascii="Times New Roman" w:hAnsi="Times New Roman"/>
          <w:b/>
          <w:sz w:val="24"/>
          <w:szCs w:val="24"/>
          <w:lang w:val="en-US"/>
        </w:rPr>
        <w:t>r</w:t>
      </w:r>
      <w:r w:rsidR="00AB7E6A" w:rsidRPr="00C0476D">
        <w:rPr>
          <w:rFonts w:ascii="Times New Roman" w:hAnsi="Times New Roman"/>
          <w:b/>
          <w:sz w:val="24"/>
          <w:szCs w:val="24"/>
          <w:lang w:val="en-US"/>
        </w:rPr>
        <w:t>GO</w:t>
      </w:r>
      <w:proofErr w:type="spellEnd"/>
      <w:r w:rsidR="00AB7E6A" w:rsidRPr="00C0476D">
        <w:rPr>
          <w:rFonts w:ascii="Times New Roman" w:hAnsi="Times New Roman"/>
          <w:b/>
          <w:sz w:val="24"/>
          <w:szCs w:val="24"/>
          <w:lang w:val="en-US"/>
        </w:rPr>
        <w:t xml:space="preserve"> and the </w:t>
      </w:r>
      <w:r w:rsidR="00AB7E6A" w:rsidRPr="002A1C5D">
        <w:rPr>
          <w:rFonts w:ascii="Times New Roman" w:hAnsi="Times New Roman"/>
          <w:b/>
          <w:sz w:val="24"/>
          <w:szCs w:val="24"/>
          <w:lang w:val="en-US"/>
        </w:rPr>
        <w:t xml:space="preserve">mixture of </w:t>
      </w:r>
      <w:proofErr w:type="spellStart"/>
      <w:r w:rsidR="00AB7E6A" w:rsidRPr="002A1C5D">
        <w:rPr>
          <w:rFonts w:ascii="Times New Roman" w:hAnsi="Times New Roman"/>
          <w:b/>
          <w:sz w:val="24"/>
          <w:szCs w:val="24"/>
          <w:lang w:val="en-US"/>
        </w:rPr>
        <w:t>rGO</w:t>
      </w:r>
      <w:proofErr w:type="spellEnd"/>
      <w:r w:rsidR="00AB7E6A" w:rsidRPr="002A1C5D">
        <w:rPr>
          <w:rFonts w:ascii="Times New Roman" w:hAnsi="Times New Roman"/>
          <w:b/>
          <w:sz w:val="24"/>
          <w:szCs w:val="24"/>
          <w:lang w:val="en-US"/>
        </w:rPr>
        <w:t xml:space="preserve"> and atrazine; (B-iii): pristine graphene and the mixture of graphene and atrazine.</w:t>
      </w:r>
      <w:r w:rsidR="00095995" w:rsidRPr="002A1C5D">
        <w:rPr>
          <w:rFonts w:ascii="Times New Roman" w:hAnsi="Times New Roman"/>
          <w:b/>
          <w:sz w:val="24"/>
          <w:szCs w:val="24"/>
          <w:lang w:val="en-US"/>
        </w:rPr>
        <w:t xml:space="preserve"> ‘α, β, </w:t>
      </w:r>
      <w:r w:rsidR="00133354" w:rsidRPr="002A1C5D">
        <w:rPr>
          <w:rFonts w:ascii="Times New Roman" w:hAnsi="Times New Roman"/>
          <w:b/>
          <w:sz w:val="24"/>
          <w:szCs w:val="24"/>
          <w:lang w:val="en-US"/>
        </w:rPr>
        <w:t xml:space="preserve">χ, </w:t>
      </w:r>
      <w:r w:rsidR="00095995" w:rsidRPr="002A1C5D">
        <w:rPr>
          <w:rFonts w:ascii="Times New Roman" w:hAnsi="Times New Roman"/>
          <w:b/>
          <w:sz w:val="24"/>
          <w:szCs w:val="24"/>
          <w:lang w:val="en-US"/>
        </w:rPr>
        <w:t>δ’</w:t>
      </w:r>
      <w:r w:rsidR="00095995" w:rsidRPr="00C0476D">
        <w:rPr>
          <w:rFonts w:ascii="Times New Roman" w:hAnsi="Times New Roman"/>
          <w:b/>
          <w:sz w:val="24"/>
          <w:szCs w:val="24"/>
          <w:lang w:val="en-US"/>
        </w:rPr>
        <w:t xml:space="preserve"> indicates a significant difference b</w:t>
      </w:r>
      <w:r w:rsidR="0013006D" w:rsidRPr="00C0476D">
        <w:rPr>
          <w:rFonts w:ascii="Times New Roman" w:hAnsi="Times New Roman"/>
          <w:b/>
          <w:sz w:val="24"/>
          <w:szCs w:val="24"/>
          <w:lang w:val="en-US"/>
        </w:rPr>
        <w:t>etween pristine and mixture</w:t>
      </w:r>
      <w:r w:rsidR="00095995" w:rsidRPr="00C0476D">
        <w:rPr>
          <w:rFonts w:ascii="Times New Roman" w:hAnsi="Times New Roman"/>
          <w:b/>
          <w:sz w:val="24"/>
          <w:szCs w:val="24"/>
          <w:lang w:val="en-US"/>
        </w:rPr>
        <w:t xml:space="preserve"> treatment groups </w:t>
      </w:r>
      <w:r w:rsidR="00095995" w:rsidRPr="00133354">
        <w:rPr>
          <w:rFonts w:ascii="Times New Roman" w:hAnsi="Times New Roman"/>
          <w:b/>
          <w:sz w:val="24"/>
          <w:szCs w:val="24"/>
          <w:lang w:val="en-US"/>
        </w:rPr>
        <w:t>(α = p &lt; 0.001, β = p &lt; 0.01,</w:t>
      </w:r>
      <w:r w:rsidR="00133354" w:rsidRPr="00133354">
        <w:rPr>
          <w:rFonts w:ascii="Times New Roman" w:hAnsi="Times New Roman"/>
          <w:b/>
          <w:sz w:val="24"/>
          <w:szCs w:val="24"/>
          <w:lang w:val="en-US"/>
        </w:rPr>
        <w:t xml:space="preserve"> χ = p &lt; 0.05,</w:t>
      </w:r>
      <w:r w:rsidR="00095995" w:rsidRPr="00133354">
        <w:rPr>
          <w:rFonts w:ascii="Times New Roman" w:hAnsi="Times New Roman"/>
          <w:b/>
          <w:sz w:val="24"/>
          <w:szCs w:val="24"/>
          <w:lang w:val="en-US"/>
        </w:rPr>
        <w:t xml:space="preserve"> and δ = no significance).</w:t>
      </w:r>
      <w:bookmarkEnd w:id="0"/>
    </w:p>
    <w:p w14:paraId="73906F01" w14:textId="77777777" w:rsidR="004A2F6A" w:rsidRPr="00C0476D" w:rsidRDefault="004A2F6A" w:rsidP="00214B22">
      <w:pPr>
        <w:spacing w:line="480" w:lineRule="auto"/>
        <w:jc w:val="both"/>
        <w:rPr>
          <w:rFonts w:ascii="Times New Roman" w:hAnsi="Times New Roman"/>
          <w:b/>
          <w:sz w:val="24"/>
          <w:szCs w:val="24"/>
          <w:lang w:val="en-US"/>
        </w:rPr>
      </w:pPr>
    </w:p>
    <w:p w14:paraId="210B6E0B" w14:textId="77777777" w:rsidR="004A2F6A" w:rsidRPr="00C0476D" w:rsidRDefault="004A2F6A" w:rsidP="00214B22">
      <w:pPr>
        <w:spacing w:line="480" w:lineRule="auto"/>
        <w:jc w:val="both"/>
        <w:rPr>
          <w:rFonts w:ascii="Times New Roman" w:hAnsi="Times New Roman"/>
          <w:b/>
          <w:sz w:val="24"/>
          <w:szCs w:val="24"/>
          <w:lang w:val="en-US"/>
        </w:rPr>
      </w:pPr>
    </w:p>
    <w:p w14:paraId="459E6367" w14:textId="77777777" w:rsidR="004A2F6A" w:rsidRPr="00C0476D" w:rsidRDefault="004A2F6A" w:rsidP="00214B22">
      <w:pPr>
        <w:spacing w:line="480" w:lineRule="auto"/>
        <w:jc w:val="both"/>
        <w:rPr>
          <w:rFonts w:ascii="Times New Roman" w:hAnsi="Times New Roman"/>
          <w:b/>
          <w:sz w:val="24"/>
          <w:szCs w:val="24"/>
          <w:lang w:val="en-US"/>
        </w:rPr>
      </w:pPr>
    </w:p>
    <w:p w14:paraId="015DA86E" w14:textId="4920DAA9" w:rsidR="004A2F6A" w:rsidRPr="00C0476D" w:rsidRDefault="004A2F6A" w:rsidP="00214B22">
      <w:pPr>
        <w:spacing w:line="480" w:lineRule="auto"/>
        <w:jc w:val="both"/>
        <w:rPr>
          <w:rFonts w:ascii="Times New Roman" w:hAnsi="Times New Roman"/>
          <w:b/>
          <w:sz w:val="24"/>
          <w:szCs w:val="24"/>
          <w:lang w:val="en-US"/>
        </w:rPr>
      </w:pPr>
    </w:p>
    <w:p w14:paraId="0C715FD6" w14:textId="77777777" w:rsidR="00237A80" w:rsidRPr="00C0476D" w:rsidRDefault="00237A80" w:rsidP="00214B22">
      <w:pPr>
        <w:spacing w:line="480" w:lineRule="auto"/>
        <w:jc w:val="both"/>
        <w:rPr>
          <w:rFonts w:ascii="Times New Roman" w:hAnsi="Times New Roman"/>
          <w:b/>
          <w:sz w:val="24"/>
          <w:szCs w:val="24"/>
          <w:lang w:val="en-US"/>
        </w:rPr>
      </w:pPr>
    </w:p>
    <w:p w14:paraId="43ED807B" w14:textId="77777777" w:rsidR="00E331C6" w:rsidRPr="00C0476D" w:rsidRDefault="00E331C6">
      <w:pPr>
        <w:spacing w:after="200" w:line="276" w:lineRule="auto"/>
        <w:rPr>
          <w:rFonts w:ascii="Times New Roman" w:hAnsi="Times New Roman"/>
          <w:b/>
          <w:sz w:val="24"/>
          <w:szCs w:val="24"/>
          <w:lang w:val="en-GB"/>
        </w:rPr>
      </w:pPr>
      <w:r w:rsidRPr="00C0476D">
        <w:rPr>
          <w:rFonts w:ascii="Times New Roman" w:hAnsi="Times New Roman"/>
          <w:b/>
          <w:sz w:val="24"/>
          <w:szCs w:val="24"/>
          <w:lang w:val="en-GB"/>
        </w:rPr>
        <w:br w:type="page"/>
      </w:r>
    </w:p>
    <w:p w14:paraId="3D7534F5" w14:textId="3271699D" w:rsidR="004A2F6A" w:rsidRPr="00C0476D" w:rsidRDefault="004A2F6A" w:rsidP="004A2F6A">
      <w:pPr>
        <w:spacing w:line="480" w:lineRule="auto"/>
        <w:jc w:val="both"/>
        <w:rPr>
          <w:rFonts w:ascii="Times New Roman" w:hAnsi="Times New Roman"/>
          <w:b/>
          <w:sz w:val="24"/>
          <w:szCs w:val="24"/>
          <w:lang w:val="en-GB"/>
        </w:rPr>
      </w:pPr>
      <w:r w:rsidRPr="00C0476D">
        <w:rPr>
          <w:rFonts w:ascii="Times New Roman" w:hAnsi="Times New Roman"/>
          <w:b/>
          <w:sz w:val="24"/>
          <w:szCs w:val="24"/>
          <w:lang w:val="en-GB"/>
        </w:rPr>
        <w:lastRenderedPageBreak/>
        <w:t xml:space="preserve">Tables: </w:t>
      </w:r>
    </w:p>
    <w:p w14:paraId="547D7DFC" w14:textId="77777777" w:rsidR="004A2F6A" w:rsidRPr="00C0476D" w:rsidRDefault="004A2F6A" w:rsidP="004A2F6A">
      <w:pPr>
        <w:spacing w:after="0" w:line="480" w:lineRule="auto"/>
        <w:jc w:val="both"/>
        <w:rPr>
          <w:rFonts w:ascii="Times New Roman" w:eastAsia="Times New Roman" w:hAnsi="Times New Roman"/>
          <w:b/>
          <w:sz w:val="24"/>
          <w:szCs w:val="24"/>
          <w:u w:val="single"/>
        </w:rPr>
      </w:pPr>
      <w:r w:rsidRPr="00C0476D">
        <w:rPr>
          <w:rFonts w:ascii="Times New Roman" w:eastAsia="Times New Roman" w:hAnsi="Times New Roman"/>
          <w:b/>
          <w:sz w:val="24"/>
          <w:szCs w:val="24"/>
        </w:rPr>
        <w:t xml:space="preserve">Table S1. Composition of Artificial Sea Water per 1000 ml </w:t>
      </w:r>
    </w:p>
    <w:p w14:paraId="6D57045C" w14:textId="77777777" w:rsidR="004A2F6A" w:rsidRPr="00C0476D" w:rsidRDefault="004A2F6A" w:rsidP="004A2F6A">
      <w:pPr>
        <w:spacing w:after="0" w:line="360" w:lineRule="auto"/>
        <w:jc w:val="both"/>
        <w:rPr>
          <w:rFonts w:ascii="Times New Roman" w:eastAsia="Times New Roman" w:hAnsi="Times New Roman"/>
          <w:color w:val="000000"/>
          <w:sz w:val="24"/>
          <w:szCs w:val="24"/>
          <w:u w:val="single"/>
        </w:rPr>
      </w:pPr>
    </w:p>
    <w:tbl>
      <w:tblPr>
        <w:tblStyle w:val="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A2F6A" w:rsidRPr="00C0476D" w14:paraId="046D1DEF" w14:textId="77777777" w:rsidTr="004D4184">
        <w:tc>
          <w:tcPr>
            <w:tcW w:w="4675" w:type="dxa"/>
          </w:tcPr>
          <w:p w14:paraId="3E4F3921" w14:textId="77777777" w:rsidR="004A2F6A" w:rsidRPr="00C0476D" w:rsidRDefault="004A2F6A" w:rsidP="004D4184">
            <w:pPr>
              <w:spacing w:line="480" w:lineRule="auto"/>
              <w:jc w:val="center"/>
              <w:rPr>
                <w:rFonts w:ascii="Times New Roman" w:eastAsia="Times New Roman" w:hAnsi="Times New Roman"/>
                <w:b/>
                <w:sz w:val="24"/>
                <w:szCs w:val="24"/>
              </w:rPr>
            </w:pPr>
            <w:r w:rsidRPr="00C0476D">
              <w:rPr>
                <w:rFonts w:ascii="Times New Roman" w:eastAsia="Times New Roman" w:hAnsi="Times New Roman"/>
                <w:b/>
                <w:sz w:val="24"/>
                <w:szCs w:val="24"/>
              </w:rPr>
              <w:t>Chemicals</w:t>
            </w:r>
          </w:p>
        </w:tc>
        <w:tc>
          <w:tcPr>
            <w:tcW w:w="4675" w:type="dxa"/>
          </w:tcPr>
          <w:p w14:paraId="004F7CA3" w14:textId="77777777" w:rsidR="004A2F6A" w:rsidRPr="00C0476D" w:rsidRDefault="004A2F6A" w:rsidP="004D4184">
            <w:pPr>
              <w:spacing w:line="480" w:lineRule="auto"/>
              <w:jc w:val="center"/>
              <w:rPr>
                <w:rFonts w:ascii="Times New Roman" w:eastAsia="Times New Roman" w:hAnsi="Times New Roman"/>
                <w:b/>
                <w:sz w:val="24"/>
                <w:szCs w:val="24"/>
              </w:rPr>
            </w:pPr>
            <w:r w:rsidRPr="00C0476D">
              <w:rPr>
                <w:rFonts w:ascii="Times New Roman" w:eastAsia="Times New Roman" w:hAnsi="Times New Roman"/>
                <w:b/>
                <w:sz w:val="24"/>
                <w:szCs w:val="24"/>
              </w:rPr>
              <w:t>Grams</w:t>
            </w:r>
          </w:p>
        </w:tc>
      </w:tr>
      <w:tr w:rsidR="004A2F6A" w:rsidRPr="00C0476D" w14:paraId="518A0857" w14:textId="77777777" w:rsidTr="004D4184">
        <w:tc>
          <w:tcPr>
            <w:tcW w:w="4675" w:type="dxa"/>
          </w:tcPr>
          <w:p w14:paraId="69220D73"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Sodium Chloride</w:t>
            </w:r>
          </w:p>
        </w:tc>
        <w:tc>
          <w:tcPr>
            <w:tcW w:w="4675" w:type="dxa"/>
          </w:tcPr>
          <w:p w14:paraId="5A6AE2C2"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26.29</w:t>
            </w:r>
          </w:p>
        </w:tc>
      </w:tr>
      <w:tr w:rsidR="004A2F6A" w:rsidRPr="00C0476D" w14:paraId="1C9E18A9" w14:textId="77777777" w:rsidTr="004D4184">
        <w:tc>
          <w:tcPr>
            <w:tcW w:w="4675" w:type="dxa"/>
          </w:tcPr>
          <w:p w14:paraId="376EBF9B"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Potassium chloride</w:t>
            </w:r>
          </w:p>
        </w:tc>
        <w:tc>
          <w:tcPr>
            <w:tcW w:w="4675" w:type="dxa"/>
          </w:tcPr>
          <w:p w14:paraId="2EB97A85"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0.74</w:t>
            </w:r>
          </w:p>
        </w:tc>
      </w:tr>
      <w:tr w:rsidR="004A2F6A" w:rsidRPr="00C0476D" w14:paraId="16B4BA67" w14:textId="77777777" w:rsidTr="004D4184">
        <w:tc>
          <w:tcPr>
            <w:tcW w:w="4675" w:type="dxa"/>
          </w:tcPr>
          <w:p w14:paraId="7824C4C9"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Calcium chloride</w:t>
            </w:r>
          </w:p>
        </w:tc>
        <w:tc>
          <w:tcPr>
            <w:tcW w:w="4675" w:type="dxa"/>
          </w:tcPr>
          <w:p w14:paraId="359E5878"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0.99</w:t>
            </w:r>
          </w:p>
        </w:tc>
      </w:tr>
      <w:tr w:rsidR="004A2F6A" w:rsidRPr="00C0476D" w14:paraId="48F96344" w14:textId="77777777" w:rsidTr="004D4184">
        <w:tc>
          <w:tcPr>
            <w:tcW w:w="4675" w:type="dxa"/>
          </w:tcPr>
          <w:p w14:paraId="2E5FCDD9"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Magnesium chloride</w:t>
            </w:r>
          </w:p>
        </w:tc>
        <w:tc>
          <w:tcPr>
            <w:tcW w:w="4675" w:type="dxa"/>
          </w:tcPr>
          <w:p w14:paraId="2C68BBCD"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6.09</w:t>
            </w:r>
          </w:p>
        </w:tc>
      </w:tr>
      <w:tr w:rsidR="004A2F6A" w:rsidRPr="00C0476D" w14:paraId="5A79A0DA" w14:textId="77777777" w:rsidTr="004D4184">
        <w:tc>
          <w:tcPr>
            <w:tcW w:w="4675" w:type="dxa"/>
          </w:tcPr>
          <w:p w14:paraId="2261FF99"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 xml:space="preserve">Magnesium </w:t>
            </w:r>
            <w:proofErr w:type="spellStart"/>
            <w:r w:rsidRPr="00C0476D">
              <w:rPr>
                <w:rFonts w:ascii="Times New Roman" w:eastAsia="Times New Roman" w:hAnsi="Times New Roman"/>
                <w:sz w:val="24"/>
                <w:szCs w:val="24"/>
              </w:rPr>
              <w:t>sulphate</w:t>
            </w:r>
            <w:proofErr w:type="spellEnd"/>
            <w:r w:rsidRPr="00C0476D">
              <w:rPr>
                <w:rFonts w:ascii="Times New Roman" w:eastAsia="Times New Roman" w:hAnsi="Times New Roman"/>
                <w:sz w:val="24"/>
                <w:szCs w:val="24"/>
              </w:rPr>
              <w:t xml:space="preserve"> </w:t>
            </w:r>
            <w:proofErr w:type="spellStart"/>
            <w:r w:rsidRPr="00C0476D">
              <w:rPr>
                <w:rFonts w:ascii="Times New Roman" w:eastAsia="Times New Roman" w:hAnsi="Times New Roman"/>
                <w:sz w:val="24"/>
                <w:szCs w:val="24"/>
              </w:rPr>
              <w:t>heptahydrate</w:t>
            </w:r>
            <w:proofErr w:type="spellEnd"/>
          </w:p>
        </w:tc>
        <w:tc>
          <w:tcPr>
            <w:tcW w:w="4675" w:type="dxa"/>
          </w:tcPr>
          <w:p w14:paraId="24974688"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3.94</w:t>
            </w:r>
          </w:p>
        </w:tc>
      </w:tr>
    </w:tbl>
    <w:p w14:paraId="071CB60C" w14:textId="77777777" w:rsidR="004A2F6A" w:rsidRPr="00C0476D" w:rsidRDefault="004A2F6A" w:rsidP="004A2F6A">
      <w:pPr>
        <w:spacing w:line="480" w:lineRule="auto"/>
        <w:jc w:val="both"/>
        <w:rPr>
          <w:rFonts w:ascii="Times New Roman" w:hAnsi="Times New Roman"/>
          <w:b/>
          <w:sz w:val="24"/>
          <w:szCs w:val="24"/>
          <w:lang w:val="en-GB"/>
        </w:rPr>
      </w:pPr>
    </w:p>
    <w:p w14:paraId="73809E95" w14:textId="77777777" w:rsidR="004A2F6A" w:rsidRPr="00C0476D" w:rsidRDefault="004A2F6A" w:rsidP="004A2F6A">
      <w:pPr>
        <w:spacing w:line="480" w:lineRule="auto"/>
        <w:rPr>
          <w:rFonts w:ascii="Times New Roman" w:eastAsia="Times New Roman" w:hAnsi="Times New Roman"/>
          <w:b/>
          <w:color w:val="000000"/>
          <w:sz w:val="24"/>
          <w:szCs w:val="24"/>
        </w:rPr>
      </w:pPr>
      <w:r w:rsidRPr="00C0476D">
        <w:rPr>
          <w:rFonts w:ascii="Times New Roman" w:eastAsia="Times New Roman" w:hAnsi="Times New Roman"/>
          <w:b/>
          <w:color w:val="000000"/>
          <w:sz w:val="24"/>
          <w:szCs w:val="24"/>
        </w:rPr>
        <w:t>Table S2. Preparation of stock 1 per 100 ml</w:t>
      </w:r>
    </w:p>
    <w:tbl>
      <w:tblPr>
        <w:tblStyle w:val="3"/>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A2F6A" w:rsidRPr="00C0476D" w14:paraId="535CA2CE" w14:textId="77777777" w:rsidTr="004D4184">
        <w:trPr>
          <w:jc w:val="center"/>
        </w:trPr>
        <w:tc>
          <w:tcPr>
            <w:tcW w:w="4675" w:type="dxa"/>
          </w:tcPr>
          <w:p w14:paraId="2850AB1F"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b/>
                <w:color w:val="000000"/>
                <w:sz w:val="24"/>
                <w:szCs w:val="24"/>
              </w:rPr>
            </w:pPr>
            <w:r w:rsidRPr="00C0476D">
              <w:rPr>
                <w:rFonts w:ascii="Times New Roman" w:eastAsia="Times New Roman" w:hAnsi="Times New Roman"/>
                <w:b/>
                <w:color w:val="000000"/>
                <w:sz w:val="24"/>
                <w:szCs w:val="24"/>
              </w:rPr>
              <w:t>Chemicals</w:t>
            </w:r>
          </w:p>
        </w:tc>
        <w:tc>
          <w:tcPr>
            <w:tcW w:w="4675" w:type="dxa"/>
          </w:tcPr>
          <w:p w14:paraId="39C19ACE"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b/>
                <w:color w:val="000000"/>
                <w:sz w:val="24"/>
                <w:szCs w:val="24"/>
              </w:rPr>
            </w:pPr>
            <w:r w:rsidRPr="00C0476D">
              <w:rPr>
                <w:rFonts w:ascii="Times New Roman" w:eastAsia="Times New Roman" w:hAnsi="Times New Roman"/>
                <w:b/>
                <w:color w:val="000000"/>
                <w:sz w:val="24"/>
                <w:szCs w:val="24"/>
              </w:rPr>
              <w:t>Grams</w:t>
            </w:r>
          </w:p>
        </w:tc>
      </w:tr>
      <w:tr w:rsidR="004A2F6A" w:rsidRPr="00C0476D" w14:paraId="4A9DD3B0" w14:textId="77777777" w:rsidTr="004D4184">
        <w:trPr>
          <w:jc w:val="center"/>
        </w:trPr>
        <w:tc>
          <w:tcPr>
            <w:tcW w:w="4675" w:type="dxa"/>
          </w:tcPr>
          <w:p w14:paraId="23DEAE1A"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color w:val="000000"/>
                <w:sz w:val="24"/>
                <w:szCs w:val="24"/>
              </w:rPr>
            </w:pPr>
            <w:r w:rsidRPr="00C0476D">
              <w:rPr>
                <w:rFonts w:ascii="Times New Roman" w:eastAsia="Times New Roman" w:hAnsi="Times New Roman"/>
                <w:color w:val="000000"/>
                <w:sz w:val="24"/>
                <w:szCs w:val="24"/>
              </w:rPr>
              <w:t>Zinc chloride</w:t>
            </w:r>
          </w:p>
        </w:tc>
        <w:tc>
          <w:tcPr>
            <w:tcW w:w="4675" w:type="dxa"/>
          </w:tcPr>
          <w:p w14:paraId="30C9D930"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color w:val="000000"/>
                <w:sz w:val="24"/>
                <w:szCs w:val="24"/>
              </w:rPr>
            </w:pPr>
            <w:r w:rsidRPr="00C0476D">
              <w:rPr>
                <w:rFonts w:ascii="Times New Roman" w:eastAsia="Times New Roman" w:hAnsi="Times New Roman"/>
                <w:color w:val="000000"/>
                <w:sz w:val="24"/>
                <w:szCs w:val="24"/>
              </w:rPr>
              <w:t>2.1</w:t>
            </w:r>
          </w:p>
        </w:tc>
      </w:tr>
      <w:tr w:rsidR="004A2F6A" w:rsidRPr="00C0476D" w14:paraId="26EA72ED" w14:textId="77777777" w:rsidTr="004D4184">
        <w:trPr>
          <w:jc w:val="center"/>
        </w:trPr>
        <w:tc>
          <w:tcPr>
            <w:tcW w:w="4675" w:type="dxa"/>
          </w:tcPr>
          <w:p w14:paraId="23CEEB32"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color w:val="000000"/>
                <w:sz w:val="24"/>
                <w:szCs w:val="24"/>
              </w:rPr>
            </w:pPr>
            <w:r w:rsidRPr="00C0476D">
              <w:rPr>
                <w:rFonts w:ascii="Times New Roman" w:eastAsia="Times New Roman" w:hAnsi="Times New Roman"/>
                <w:color w:val="000000"/>
                <w:sz w:val="24"/>
                <w:szCs w:val="24"/>
              </w:rPr>
              <w:t>Cobalt chloride</w:t>
            </w:r>
          </w:p>
        </w:tc>
        <w:tc>
          <w:tcPr>
            <w:tcW w:w="4675" w:type="dxa"/>
          </w:tcPr>
          <w:p w14:paraId="542191FD"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color w:val="000000"/>
                <w:sz w:val="24"/>
                <w:szCs w:val="24"/>
              </w:rPr>
            </w:pPr>
            <w:r w:rsidRPr="00C0476D">
              <w:rPr>
                <w:rFonts w:ascii="Times New Roman" w:eastAsia="Times New Roman" w:hAnsi="Times New Roman"/>
                <w:color w:val="000000"/>
                <w:sz w:val="24"/>
                <w:szCs w:val="24"/>
              </w:rPr>
              <w:t>2.0</w:t>
            </w:r>
          </w:p>
        </w:tc>
      </w:tr>
      <w:tr w:rsidR="004A2F6A" w:rsidRPr="00C0476D" w14:paraId="0EBC853C" w14:textId="77777777" w:rsidTr="004D4184">
        <w:trPr>
          <w:jc w:val="center"/>
        </w:trPr>
        <w:tc>
          <w:tcPr>
            <w:tcW w:w="4675" w:type="dxa"/>
          </w:tcPr>
          <w:p w14:paraId="0B47A3AD"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color w:val="000000"/>
                <w:sz w:val="24"/>
                <w:szCs w:val="24"/>
              </w:rPr>
            </w:pPr>
            <w:proofErr w:type="spellStart"/>
            <w:r w:rsidRPr="00C0476D">
              <w:rPr>
                <w:rFonts w:ascii="Times New Roman" w:eastAsia="Times New Roman" w:hAnsi="Times New Roman"/>
                <w:color w:val="000000"/>
                <w:sz w:val="24"/>
                <w:szCs w:val="24"/>
              </w:rPr>
              <w:t>Ammomium</w:t>
            </w:r>
            <w:proofErr w:type="spellEnd"/>
            <w:r w:rsidRPr="00C0476D">
              <w:rPr>
                <w:rFonts w:ascii="Times New Roman" w:eastAsia="Times New Roman" w:hAnsi="Times New Roman"/>
                <w:color w:val="000000"/>
                <w:sz w:val="24"/>
                <w:szCs w:val="24"/>
              </w:rPr>
              <w:t xml:space="preserve"> </w:t>
            </w:r>
            <w:proofErr w:type="spellStart"/>
            <w:r w:rsidRPr="00C0476D">
              <w:rPr>
                <w:rFonts w:ascii="Times New Roman" w:eastAsia="Times New Roman" w:hAnsi="Times New Roman"/>
                <w:color w:val="000000"/>
                <w:sz w:val="24"/>
                <w:szCs w:val="24"/>
              </w:rPr>
              <w:t>molybdate</w:t>
            </w:r>
            <w:proofErr w:type="spellEnd"/>
          </w:p>
        </w:tc>
        <w:tc>
          <w:tcPr>
            <w:tcW w:w="4675" w:type="dxa"/>
          </w:tcPr>
          <w:p w14:paraId="565ED274"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color w:val="000000"/>
                <w:sz w:val="24"/>
                <w:szCs w:val="24"/>
              </w:rPr>
            </w:pPr>
            <w:r w:rsidRPr="00C0476D">
              <w:rPr>
                <w:rFonts w:ascii="Times New Roman" w:eastAsia="Times New Roman" w:hAnsi="Times New Roman"/>
                <w:color w:val="000000"/>
                <w:sz w:val="24"/>
                <w:szCs w:val="24"/>
              </w:rPr>
              <w:t>0.9</w:t>
            </w:r>
          </w:p>
        </w:tc>
      </w:tr>
      <w:tr w:rsidR="004A2F6A" w:rsidRPr="00C0476D" w14:paraId="796DCF8C" w14:textId="77777777" w:rsidTr="004D4184">
        <w:trPr>
          <w:jc w:val="center"/>
        </w:trPr>
        <w:tc>
          <w:tcPr>
            <w:tcW w:w="4675" w:type="dxa"/>
          </w:tcPr>
          <w:p w14:paraId="71500125"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color w:val="000000"/>
                <w:sz w:val="24"/>
                <w:szCs w:val="24"/>
              </w:rPr>
            </w:pPr>
            <w:r w:rsidRPr="00C0476D">
              <w:rPr>
                <w:rFonts w:ascii="Times New Roman" w:eastAsia="Times New Roman" w:hAnsi="Times New Roman"/>
                <w:color w:val="000000"/>
                <w:sz w:val="24"/>
                <w:szCs w:val="24"/>
              </w:rPr>
              <w:t xml:space="preserve">Copper </w:t>
            </w:r>
            <w:proofErr w:type="spellStart"/>
            <w:r w:rsidRPr="00C0476D">
              <w:rPr>
                <w:rFonts w:ascii="Times New Roman" w:eastAsia="Times New Roman" w:hAnsi="Times New Roman"/>
                <w:color w:val="000000"/>
                <w:sz w:val="24"/>
                <w:szCs w:val="24"/>
              </w:rPr>
              <w:t>sulphate</w:t>
            </w:r>
            <w:proofErr w:type="spellEnd"/>
          </w:p>
        </w:tc>
        <w:tc>
          <w:tcPr>
            <w:tcW w:w="4675" w:type="dxa"/>
          </w:tcPr>
          <w:p w14:paraId="2548EB0B" w14:textId="77777777" w:rsidR="004A2F6A" w:rsidRPr="00C0476D" w:rsidRDefault="004A2F6A" w:rsidP="004D4184">
            <w:pPr>
              <w:pBdr>
                <w:top w:val="nil"/>
                <w:left w:val="nil"/>
                <w:bottom w:val="nil"/>
                <w:right w:val="nil"/>
                <w:between w:val="nil"/>
              </w:pBdr>
              <w:spacing w:line="480" w:lineRule="auto"/>
              <w:jc w:val="center"/>
              <w:rPr>
                <w:rFonts w:ascii="Times New Roman" w:eastAsia="Times New Roman" w:hAnsi="Times New Roman"/>
                <w:color w:val="000000"/>
                <w:sz w:val="24"/>
                <w:szCs w:val="24"/>
              </w:rPr>
            </w:pPr>
            <w:r w:rsidRPr="00C0476D">
              <w:rPr>
                <w:rFonts w:ascii="Times New Roman" w:eastAsia="Times New Roman" w:hAnsi="Times New Roman"/>
                <w:color w:val="000000"/>
                <w:sz w:val="24"/>
                <w:szCs w:val="24"/>
              </w:rPr>
              <w:t>2.0</w:t>
            </w:r>
          </w:p>
        </w:tc>
      </w:tr>
    </w:tbl>
    <w:p w14:paraId="04C023CD" w14:textId="77777777" w:rsidR="004A2F6A" w:rsidRPr="00C0476D" w:rsidRDefault="004A2F6A" w:rsidP="004A2F6A">
      <w:pPr>
        <w:pBdr>
          <w:top w:val="nil"/>
          <w:left w:val="nil"/>
          <w:bottom w:val="nil"/>
          <w:right w:val="nil"/>
          <w:between w:val="nil"/>
        </w:pBdr>
        <w:spacing w:after="0" w:line="480" w:lineRule="auto"/>
        <w:rPr>
          <w:rFonts w:ascii="Times New Roman" w:eastAsia="Times New Roman" w:hAnsi="Times New Roman"/>
          <w:b/>
          <w:color w:val="000000"/>
          <w:sz w:val="24"/>
          <w:szCs w:val="24"/>
        </w:rPr>
      </w:pPr>
    </w:p>
    <w:p w14:paraId="5A2A1F5A" w14:textId="77777777" w:rsidR="004A2F6A" w:rsidRPr="00C0476D" w:rsidRDefault="004A2F6A" w:rsidP="004A2F6A">
      <w:pPr>
        <w:pBdr>
          <w:top w:val="nil"/>
          <w:left w:val="nil"/>
          <w:bottom w:val="nil"/>
          <w:right w:val="nil"/>
          <w:between w:val="nil"/>
        </w:pBdr>
        <w:spacing w:after="0" w:line="480" w:lineRule="auto"/>
        <w:rPr>
          <w:rFonts w:ascii="Times New Roman" w:eastAsia="Times New Roman" w:hAnsi="Times New Roman"/>
          <w:b/>
          <w:color w:val="000000"/>
          <w:sz w:val="24"/>
          <w:szCs w:val="24"/>
        </w:rPr>
      </w:pPr>
    </w:p>
    <w:p w14:paraId="1D019C29" w14:textId="77777777" w:rsidR="004A2F6A" w:rsidRPr="00C0476D" w:rsidRDefault="004A2F6A" w:rsidP="004A2F6A">
      <w:pPr>
        <w:pBdr>
          <w:top w:val="nil"/>
          <w:left w:val="nil"/>
          <w:bottom w:val="nil"/>
          <w:right w:val="nil"/>
          <w:between w:val="nil"/>
        </w:pBdr>
        <w:spacing w:after="0" w:line="480" w:lineRule="auto"/>
        <w:rPr>
          <w:rFonts w:ascii="Times New Roman" w:eastAsia="Times New Roman" w:hAnsi="Times New Roman"/>
          <w:b/>
          <w:color w:val="000000"/>
          <w:sz w:val="24"/>
          <w:szCs w:val="24"/>
        </w:rPr>
      </w:pPr>
    </w:p>
    <w:p w14:paraId="61D089EA" w14:textId="77777777" w:rsidR="004A2F6A" w:rsidRPr="00C0476D" w:rsidRDefault="004A2F6A" w:rsidP="004A2F6A">
      <w:pPr>
        <w:pBdr>
          <w:top w:val="nil"/>
          <w:left w:val="nil"/>
          <w:bottom w:val="nil"/>
          <w:right w:val="nil"/>
          <w:between w:val="nil"/>
        </w:pBdr>
        <w:spacing w:after="0" w:line="480" w:lineRule="auto"/>
        <w:rPr>
          <w:rFonts w:ascii="Times New Roman" w:eastAsia="Times New Roman" w:hAnsi="Times New Roman"/>
          <w:b/>
          <w:color w:val="000000"/>
          <w:sz w:val="24"/>
          <w:szCs w:val="24"/>
        </w:rPr>
      </w:pPr>
    </w:p>
    <w:p w14:paraId="00AFC2F5" w14:textId="77777777" w:rsidR="004A2F6A" w:rsidRPr="00C0476D" w:rsidRDefault="004A2F6A" w:rsidP="004A2F6A">
      <w:pPr>
        <w:pBdr>
          <w:top w:val="nil"/>
          <w:left w:val="nil"/>
          <w:bottom w:val="nil"/>
          <w:right w:val="nil"/>
          <w:between w:val="nil"/>
        </w:pBdr>
        <w:spacing w:after="0" w:line="480" w:lineRule="auto"/>
        <w:rPr>
          <w:rFonts w:ascii="Times New Roman" w:eastAsia="Times New Roman" w:hAnsi="Times New Roman"/>
          <w:b/>
          <w:color w:val="000000"/>
          <w:sz w:val="24"/>
          <w:szCs w:val="24"/>
        </w:rPr>
      </w:pPr>
    </w:p>
    <w:p w14:paraId="12823A60" w14:textId="32B542DF" w:rsidR="004A2F6A" w:rsidRPr="00C0476D" w:rsidRDefault="004A2F6A" w:rsidP="004A2F6A">
      <w:pPr>
        <w:pBdr>
          <w:top w:val="nil"/>
          <w:left w:val="nil"/>
          <w:bottom w:val="nil"/>
          <w:right w:val="nil"/>
          <w:between w:val="nil"/>
        </w:pBdr>
        <w:spacing w:after="0" w:line="480" w:lineRule="auto"/>
        <w:rPr>
          <w:rFonts w:ascii="Times New Roman" w:eastAsia="Times New Roman" w:hAnsi="Times New Roman"/>
          <w:b/>
          <w:color w:val="000000"/>
          <w:sz w:val="24"/>
          <w:szCs w:val="24"/>
        </w:rPr>
      </w:pPr>
      <w:r w:rsidRPr="00C0476D">
        <w:rPr>
          <w:rFonts w:ascii="Times New Roman" w:eastAsia="Times New Roman" w:hAnsi="Times New Roman"/>
          <w:b/>
          <w:color w:val="000000"/>
          <w:sz w:val="24"/>
          <w:szCs w:val="24"/>
        </w:rPr>
        <w:lastRenderedPageBreak/>
        <w:t>Table S3 Preparation of stock 2 per 100</w:t>
      </w:r>
      <w:r w:rsidR="00611D9A" w:rsidRPr="00C0476D">
        <w:rPr>
          <w:rFonts w:ascii="Times New Roman" w:eastAsia="Times New Roman" w:hAnsi="Times New Roman"/>
          <w:b/>
          <w:color w:val="000000"/>
          <w:sz w:val="24"/>
          <w:szCs w:val="24"/>
        </w:rPr>
        <w:t xml:space="preserve"> </w:t>
      </w:r>
      <w:r w:rsidRPr="00C0476D">
        <w:rPr>
          <w:rFonts w:ascii="Times New Roman" w:eastAsia="Times New Roman" w:hAnsi="Times New Roman"/>
          <w:b/>
          <w:color w:val="000000"/>
          <w:sz w:val="24"/>
          <w:szCs w:val="24"/>
        </w:rPr>
        <w:t>ml</w:t>
      </w:r>
    </w:p>
    <w:tbl>
      <w:tblPr>
        <w:tblStyle w:val="2"/>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A2F6A" w:rsidRPr="00C0476D" w14:paraId="11BD9C09" w14:textId="77777777" w:rsidTr="004D4184">
        <w:trPr>
          <w:jc w:val="center"/>
        </w:trPr>
        <w:tc>
          <w:tcPr>
            <w:tcW w:w="4675" w:type="dxa"/>
          </w:tcPr>
          <w:p w14:paraId="29063876" w14:textId="77777777" w:rsidR="004A2F6A" w:rsidRPr="00C0476D" w:rsidRDefault="004A2F6A" w:rsidP="004D4184">
            <w:pPr>
              <w:spacing w:line="480" w:lineRule="auto"/>
              <w:jc w:val="center"/>
              <w:rPr>
                <w:rFonts w:ascii="Times New Roman" w:eastAsia="Times New Roman" w:hAnsi="Times New Roman"/>
                <w:b/>
                <w:sz w:val="24"/>
                <w:szCs w:val="24"/>
              </w:rPr>
            </w:pPr>
            <w:r w:rsidRPr="00C0476D">
              <w:rPr>
                <w:rFonts w:ascii="Times New Roman" w:eastAsia="Times New Roman" w:hAnsi="Times New Roman"/>
                <w:b/>
                <w:sz w:val="24"/>
                <w:szCs w:val="24"/>
              </w:rPr>
              <w:t>Chemicals</w:t>
            </w:r>
          </w:p>
        </w:tc>
        <w:tc>
          <w:tcPr>
            <w:tcW w:w="4675" w:type="dxa"/>
          </w:tcPr>
          <w:p w14:paraId="6EB0DA8F" w14:textId="77777777" w:rsidR="004A2F6A" w:rsidRPr="00C0476D" w:rsidRDefault="004A2F6A" w:rsidP="004D4184">
            <w:pPr>
              <w:spacing w:line="480" w:lineRule="auto"/>
              <w:jc w:val="center"/>
              <w:rPr>
                <w:rFonts w:ascii="Times New Roman" w:eastAsia="Times New Roman" w:hAnsi="Times New Roman"/>
                <w:b/>
                <w:sz w:val="24"/>
                <w:szCs w:val="24"/>
              </w:rPr>
            </w:pPr>
            <w:r w:rsidRPr="00C0476D">
              <w:rPr>
                <w:rFonts w:ascii="Times New Roman" w:eastAsia="Times New Roman" w:hAnsi="Times New Roman"/>
                <w:b/>
                <w:sz w:val="24"/>
                <w:szCs w:val="24"/>
              </w:rPr>
              <w:t>Milligrams</w:t>
            </w:r>
          </w:p>
        </w:tc>
      </w:tr>
      <w:tr w:rsidR="004A2F6A" w:rsidRPr="00C0476D" w14:paraId="72BF9935" w14:textId="77777777" w:rsidTr="004D4184">
        <w:trPr>
          <w:jc w:val="center"/>
        </w:trPr>
        <w:tc>
          <w:tcPr>
            <w:tcW w:w="4675" w:type="dxa"/>
          </w:tcPr>
          <w:p w14:paraId="3217B0F4"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Vitamin B12</w:t>
            </w:r>
          </w:p>
        </w:tc>
        <w:tc>
          <w:tcPr>
            <w:tcW w:w="4675" w:type="dxa"/>
          </w:tcPr>
          <w:p w14:paraId="51EC5682"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10</w:t>
            </w:r>
          </w:p>
        </w:tc>
      </w:tr>
      <w:tr w:rsidR="004A2F6A" w:rsidRPr="00C0476D" w14:paraId="5045138F" w14:textId="77777777" w:rsidTr="004D4184">
        <w:trPr>
          <w:jc w:val="center"/>
        </w:trPr>
        <w:tc>
          <w:tcPr>
            <w:tcW w:w="4675" w:type="dxa"/>
          </w:tcPr>
          <w:p w14:paraId="3B657A3E"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Vitamin B6</w:t>
            </w:r>
          </w:p>
        </w:tc>
        <w:tc>
          <w:tcPr>
            <w:tcW w:w="4675" w:type="dxa"/>
          </w:tcPr>
          <w:p w14:paraId="3F0F7D42"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10</w:t>
            </w:r>
          </w:p>
        </w:tc>
      </w:tr>
    </w:tbl>
    <w:p w14:paraId="050C32D7" w14:textId="77777777" w:rsidR="004A2F6A" w:rsidRPr="00C0476D" w:rsidRDefault="004A2F6A" w:rsidP="004A2F6A">
      <w:pPr>
        <w:spacing w:line="480" w:lineRule="auto"/>
        <w:rPr>
          <w:rFonts w:ascii="Times New Roman" w:eastAsia="Times New Roman" w:hAnsi="Times New Roman"/>
          <w:sz w:val="24"/>
          <w:szCs w:val="24"/>
        </w:rPr>
      </w:pPr>
    </w:p>
    <w:p w14:paraId="40070612" w14:textId="77777777" w:rsidR="004A2F6A" w:rsidRPr="00C0476D" w:rsidRDefault="004A2F6A" w:rsidP="004A2F6A">
      <w:pPr>
        <w:spacing w:line="480" w:lineRule="auto"/>
        <w:rPr>
          <w:rFonts w:ascii="Times New Roman" w:eastAsia="Times New Roman" w:hAnsi="Times New Roman"/>
          <w:b/>
          <w:sz w:val="24"/>
          <w:szCs w:val="24"/>
        </w:rPr>
      </w:pPr>
      <w:r w:rsidRPr="00C0476D">
        <w:rPr>
          <w:rFonts w:ascii="Times New Roman" w:eastAsia="Times New Roman" w:hAnsi="Times New Roman"/>
          <w:b/>
          <w:sz w:val="24"/>
          <w:szCs w:val="24"/>
        </w:rPr>
        <w:t>Table S4. Preparation of stock 3 per L</w:t>
      </w:r>
    </w:p>
    <w:tbl>
      <w:tblPr>
        <w:tblStyle w:val="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A2F6A" w:rsidRPr="00C0476D" w14:paraId="3A47358A" w14:textId="77777777" w:rsidTr="004D4184">
        <w:trPr>
          <w:jc w:val="center"/>
        </w:trPr>
        <w:tc>
          <w:tcPr>
            <w:tcW w:w="4675" w:type="dxa"/>
          </w:tcPr>
          <w:p w14:paraId="6880C192" w14:textId="77777777" w:rsidR="004A2F6A" w:rsidRPr="00C0476D" w:rsidRDefault="004A2F6A" w:rsidP="004D4184">
            <w:pPr>
              <w:spacing w:line="480" w:lineRule="auto"/>
              <w:jc w:val="center"/>
              <w:rPr>
                <w:rFonts w:ascii="Times New Roman" w:eastAsia="Times New Roman" w:hAnsi="Times New Roman"/>
                <w:b/>
                <w:sz w:val="24"/>
                <w:szCs w:val="24"/>
              </w:rPr>
            </w:pPr>
            <w:r w:rsidRPr="00C0476D">
              <w:rPr>
                <w:rFonts w:ascii="Times New Roman" w:eastAsia="Times New Roman" w:hAnsi="Times New Roman"/>
                <w:b/>
                <w:sz w:val="24"/>
                <w:szCs w:val="24"/>
              </w:rPr>
              <w:t>Chemicals</w:t>
            </w:r>
          </w:p>
        </w:tc>
        <w:tc>
          <w:tcPr>
            <w:tcW w:w="4675" w:type="dxa"/>
          </w:tcPr>
          <w:p w14:paraId="2E8EE07F" w14:textId="77777777" w:rsidR="004A2F6A" w:rsidRPr="00C0476D" w:rsidRDefault="004A2F6A" w:rsidP="004D4184">
            <w:pPr>
              <w:spacing w:line="480" w:lineRule="auto"/>
              <w:jc w:val="center"/>
              <w:rPr>
                <w:rFonts w:ascii="Times New Roman" w:eastAsia="Times New Roman" w:hAnsi="Times New Roman"/>
                <w:b/>
                <w:sz w:val="24"/>
                <w:szCs w:val="24"/>
              </w:rPr>
            </w:pPr>
            <w:r w:rsidRPr="00C0476D">
              <w:rPr>
                <w:rFonts w:ascii="Times New Roman" w:eastAsia="Times New Roman" w:hAnsi="Times New Roman"/>
                <w:b/>
                <w:sz w:val="24"/>
                <w:szCs w:val="24"/>
              </w:rPr>
              <w:t>Grams</w:t>
            </w:r>
          </w:p>
        </w:tc>
      </w:tr>
      <w:tr w:rsidR="004A2F6A" w:rsidRPr="00C0476D" w14:paraId="1AAED3D4" w14:textId="77777777" w:rsidTr="004D4184">
        <w:trPr>
          <w:jc w:val="center"/>
        </w:trPr>
        <w:tc>
          <w:tcPr>
            <w:tcW w:w="4675" w:type="dxa"/>
          </w:tcPr>
          <w:p w14:paraId="58DDBAF6"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 xml:space="preserve">Iron chloride </w:t>
            </w:r>
            <w:proofErr w:type="spellStart"/>
            <w:r w:rsidRPr="00C0476D">
              <w:rPr>
                <w:rFonts w:ascii="Times New Roman" w:eastAsia="Times New Roman" w:hAnsi="Times New Roman"/>
                <w:sz w:val="24"/>
                <w:szCs w:val="24"/>
              </w:rPr>
              <w:t>hexahydrate</w:t>
            </w:r>
            <w:proofErr w:type="spellEnd"/>
          </w:p>
        </w:tc>
        <w:tc>
          <w:tcPr>
            <w:tcW w:w="4675" w:type="dxa"/>
          </w:tcPr>
          <w:p w14:paraId="4D5A4250"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1.3</w:t>
            </w:r>
          </w:p>
        </w:tc>
      </w:tr>
      <w:tr w:rsidR="004A2F6A" w:rsidRPr="00C0476D" w14:paraId="71D10004" w14:textId="77777777" w:rsidTr="004D4184">
        <w:trPr>
          <w:jc w:val="center"/>
        </w:trPr>
        <w:tc>
          <w:tcPr>
            <w:tcW w:w="4675" w:type="dxa"/>
          </w:tcPr>
          <w:p w14:paraId="40011A8C"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Manganese chloride</w:t>
            </w:r>
          </w:p>
        </w:tc>
        <w:tc>
          <w:tcPr>
            <w:tcW w:w="4675" w:type="dxa"/>
          </w:tcPr>
          <w:p w14:paraId="05643EFC"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0.36</w:t>
            </w:r>
          </w:p>
        </w:tc>
      </w:tr>
      <w:tr w:rsidR="004A2F6A" w:rsidRPr="00C0476D" w14:paraId="2CD324A5" w14:textId="77777777" w:rsidTr="004D4184">
        <w:trPr>
          <w:jc w:val="center"/>
        </w:trPr>
        <w:tc>
          <w:tcPr>
            <w:tcW w:w="4675" w:type="dxa"/>
          </w:tcPr>
          <w:p w14:paraId="79FA9BAD"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Boric chloride</w:t>
            </w:r>
          </w:p>
        </w:tc>
        <w:tc>
          <w:tcPr>
            <w:tcW w:w="4675" w:type="dxa"/>
          </w:tcPr>
          <w:p w14:paraId="1E33305D"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33.6</w:t>
            </w:r>
          </w:p>
        </w:tc>
      </w:tr>
      <w:tr w:rsidR="004A2F6A" w:rsidRPr="00C0476D" w14:paraId="1EBAA2F4" w14:textId="77777777" w:rsidTr="004D4184">
        <w:trPr>
          <w:jc w:val="center"/>
        </w:trPr>
        <w:tc>
          <w:tcPr>
            <w:tcW w:w="4675" w:type="dxa"/>
          </w:tcPr>
          <w:p w14:paraId="3B31A502" w14:textId="77777777" w:rsidR="004A2F6A" w:rsidRPr="00C0476D" w:rsidRDefault="004A2F6A" w:rsidP="004D4184">
            <w:pPr>
              <w:spacing w:line="480" w:lineRule="auto"/>
              <w:jc w:val="center"/>
              <w:rPr>
                <w:rFonts w:ascii="Times New Roman" w:eastAsia="Times New Roman" w:hAnsi="Times New Roman"/>
                <w:sz w:val="24"/>
                <w:szCs w:val="24"/>
              </w:rPr>
            </w:pPr>
            <w:proofErr w:type="spellStart"/>
            <w:r w:rsidRPr="00C0476D">
              <w:rPr>
                <w:rFonts w:ascii="Times New Roman" w:eastAsia="Times New Roman" w:hAnsi="Times New Roman"/>
                <w:sz w:val="24"/>
                <w:szCs w:val="24"/>
              </w:rPr>
              <w:t>Ethylenediaminetetraacetic</w:t>
            </w:r>
            <w:proofErr w:type="spellEnd"/>
            <w:r w:rsidRPr="00C0476D">
              <w:rPr>
                <w:rFonts w:ascii="Times New Roman" w:eastAsia="Times New Roman" w:hAnsi="Times New Roman"/>
                <w:sz w:val="24"/>
                <w:szCs w:val="24"/>
              </w:rPr>
              <w:t xml:space="preserve"> acid</w:t>
            </w:r>
          </w:p>
        </w:tc>
        <w:tc>
          <w:tcPr>
            <w:tcW w:w="4675" w:type="dxa"/>
          </w:tcPr>
          <w:p w14:paraId="7A941A1C"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45.0</w:t>
            </w:r>
          </w:p>
        </w:tc>
      </w:tr>
      <w:tr w:rsidR="004A2F6A" w:rsidRPr="00C0476D" w14:paraId="7CB37DC5" w14:textId="77777777" w:rsidTr="004D4184">
        <w:trPr>
          <w:jc w:val="center"/>
        </w:trPr>
        <w:tc>
          <w:tcPr>
            <w:tcW w:w="4675" w:type="dxa"/>
          </w:tcPr>
          <w:p w14:paraId="790A2B00"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Sodium dihydrogen phosphate dehydrate</w:t>
            </w:r>
          </w:p>
        </w:tc>
        <w:tc>
          <w:tcPr>
            <w:tcW w:w="4675" w:type="dxa"/>
          </w:tcPr>
          <w:p w14:paraId="1620A054"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20.0</w:t>
            </w:r>
          </w:p>
        </w:tc>
      </w:tr>
      <w:tr w:rsidR="004A2F6A" w:rsidRPr="00C0476D" w14:paraId="1B8F32D6" w14:textId="77777777" w:rsidTr="004D4184">
        <w:trPr>
          <w:jc w:val="center"/>
        </w:trPr>
        <w:tc>
          <w:tcPr>
            <w:tcW w:w="4675" w:type="dxa"/>
          </w:tcPr>
          <w:p w14:paraId="0CECE4CF"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Sodium nitrate</w:t>
            </w:r>
          </w:p>
        </w:tc>
        <w:tc>
          <w:tcPr>
            <w:tcW w:w="4675" w:type="dxa"/>
          </w:tcPr>
          <w:p w14:paraId="77127E96" w14:textId="77777777" w:rsidR="004A2F6A" w:rsidRPr="00C0476D" w:rsidRDefault="004A2F6A" w:rsidP="004D4184">
            <w:pPr>
              <w:spacing w:line="480" w:lineRule="auto"/>
              <w:jc w:val="center"/>
              <w:rPr>
                <w:rFonts w:ascii="Times New Roman" w:eastAsia="Times New Roman" w:hAnsi="Times New Roman"/>
                <w:sz w:val="24"/>
                <w:szCs w:val="24"/>
              </w:rPr>
            </w:pPr>
            <w:r w:rsidRPr="00C0476D">
              <w:rPr>
                <w:rFonts w:ascii="Times New Roman" w:eastAsia="Times New Roman" w:hAnsi="Times New Roman"/>
                <w:sz w:val="24"/>
                <w:szCs w:val="24"/>
              </w:rPr>
              <w:t>100</w:t>
            </w:r>
          </w:p>
        </w:tc>
      </w:tr>
    </w:tbl>
    <w:p w14:paraId="5F9DF669" w14:textId="77777777" w:rsidR="004A2F6A" w:rsidRPr="00C0476D" w:rsidRDefault="004A2F6A" w:rsidP="004A2F6A">
      <w:pPr>
        <w:spacing w:line="480" w:lineRule="auto"/>
        <w:jc w:val="both"/>
        <w:rPr>
          <w:rFonts w:ascii="Times New Roman" w:hAnsi="Times New Roman"/>
          <w:b/>
          <w:sz w:val="24"/>
          <w:szCs w:val="24"/>
          <w:lang w:val="en-GB"/>
        </w:rPr>
      </w:pPr>
    </w:p>
    <w:p w14:paraId="0716872D" w14:textId="77777777" w:rsidR="004A2F6A" w:rsidRPr="00C0476D" w:rsidRDefault="004A2F6A" w:rsidP="00214B22">
      <w:pPr>
        <w:spacing w:line="480" w:lineRule="auto"/>
        <w:jc w:val="both"/>
        <w:rPr>
          <w:rFonts w:ascii="Times New Roman" w:hAnsi="Times New Roman"/>
          <w:b/>
          <w:sz w:val="24"/>
          <w:szCs w:val="24"/>
          <w:lang w:val="en-US"/>
        </w:rPr>
      </w:pPr>
    </w:p>
    <w:p w14:paraId="155E99EE" w14:textId="77777777" w:rsidR="003B2926" w:rsidRPr="00C0476D" w:rsidRDefault="003B2926">
      <w:pPr>
        <w:spacing w:after="200" w:line="276" w:lineRule="auto"/>
        <w:rPr>
          <w:rFonts w:ascii="Times New Roman" w:hAnsi="Times New Roman"/>
          <w:b/>
          <w:sz w:val="24"/>
          <w:szCs w:val="24"/>
          <w:lang w:val="en-US"/>
        </w:rPr>
      </w:pPr>
      <w:r w:rsidRPr="00C0476D">
        <w:rPr>
          <w:rFonts w:ascii="Times New Roman" w:hAnsi="Times New Roman"/>
          <w:b/>
          <w:sz w:val="24"/>
          <w:szCs w:val="24"/>
          <w:lang w:val="en-US"/>
        </w:rPr>
        <w:br w:type="page"/>
      </w:r>
    </w:p>
    <w:p w14:paraId="12C30B3A" w14:textId="13F45311" w:rsidR="001E6CB3" w:rsidRPr="00C0476D" w:rsidRDefault="001E6CB3" w:rsidP="001E6CB3">
      <w:pPr>
        <w:spacing w:line="480" w:lineRule="auto"/>
        <w:jc w:val="both"/>
        <w:rPr>
          <w:rFonts w:ascii="Times New Roman" w:hAnsi="Times New Roman"/>
          <w:b/>
          <w:sz w:val="24"/>
          <w:szCs w:val="24"/>
          <w:lang w:val="en-US"/>
        </w:rPr>
      </w:pPr>
      <w:r w:rsidRPr="00C0476D">
        <w:rPr>
          <w:rFonts w:ascii="Times New Roman" w:hAnsi="Times New Roman"/>
          <w:b/>
          <w:sz w:val="24"/>
          <w:szCs w:val="24"/>
          <w:lang w:val="en-US"/>
        </w:rPr>
        <w:lastRenderedPageBreak/>
        <w:t>Table S5:</w:t>
      </w:r>
      <w:r w:rsidRPr="00C0476D">
        <w:rPr>
          <w:rFonts w:ascii="Times New Roman" w:hAnsi="Times New Roman"/>
          <w:b/>
          <w:sz w:val="24"/>
          <w:szCs w:val="24"/>
        </w:rPr>
        <w:t xml:space="preserve"> Zeta potential of the pristine GFNs, </w:t>
      </w:r>
      <w:r w:rsidR="00B916E5">
        <w:rPr>
          <w:rFonts w:ascii="Times New Roman" w:hAnsi="Times New Roman"/>
          <w:b/>
          <w:sz w:val="24"/>
          <w:szCs w:val="24"/>
        </w:rPr>
        <w:t>ATRAZINE</w:t>
      </w:r>
      <w:r w:rsidRPr="00C0476D">
        <w:rPr>
          <w:rFonts w:ascii="Times New Roman" w:hAnsi="Times New Roman"/>
          <w:b/>
          <w:sz w:val="24"/>
          <w:szCs w:val="24"/>
        </w:rPr>
        <w:t xml:space="preserve"> and their mixture</w:t>
      </w:r>
      <w:r w:rsidR="00113AEC" w:rsidRPr="00C0476D">
        <w:rPr>
          <w:rFonts w:ascii="Times New Roman" w:hAnsi="Times New Roman"/>
          <w:b/>
          <w:sz w:val="24"/>
          <w:szCs w:val="24"/>
        </w:rPr>
        <w:t xml:space="preserve"> in the </w:t>
      </w:r>
      <w:r w:rsidR="00274343" w:rsidRPr="00C0476D">
        <w:rPr>
          <w:rFonts w:ascii="Times New Roman" w:hAnsi="Times New Roman"/>
          <w:b/>
          <w:sz w:val="24"/>
          <w:szCs w:val="24"/>
        </w:rPr>
        <w:t>A</w:t>
      </w:r>
      <w:r w:rsidR="00113AEC" w:rsidRPr="00C0476D">
        <w:rPr>
          <w:rFonts w:ascii="Times New Roman" w:hAnsi="Times New Roman"/>
          <w:b/>
          <w:sz w:val="24"/>
          <w:szCs w:val="24"/>
        </w:rPr>
        <w:t>SW medium</w:t>
      </w:r>
    </w:p>
    <w:tbl>
      <w:tblPr>
        <w:tblW w:w="8560" w:type="dxa"/>
        <w:tblLook w:val="04A0" w:firstRow="1" w:lastRow="0" w:firstColumn="1" w:lastColumn="0" w:noHBand="0" w:noVBand="1"/>
      </w:tblPr>
      <w:tblGrid>
        <w:gridCol w:w="1149"/>
        <w:gridCol w:w="2320"/>
        <w:gridCol w:w="2260"/>
        <w:gridCol w:w="1880"/>
        <w:gridCol w:w="1040"/>
      </w:tblGrid>
      <w:tr w:rsidR="00AB38E0" w:rsidRPr="00AB38E0" w14:paraId="756A1C2E" w14:textId="77777777" w:rsidTr="00AB38E0">
        <w:trPr>
          <w:trHeight w:val="63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E89B9" w14:textId="77777777" w:rsidR="00AB38E0" w:rsidRPr="00AB38E0" w:rsidRDefault="00AB38E0" w:rsidP="00AB38E0">
            <w:pPr>
              <w:spacing w:after="0" w:line="240" w:lineRule="auto"/>
              <w:jc w:val="center"/>
              <w:rPr>
                <w:rFonts w:ascii="Times New Roman" w:eastAsia="Times New Roman" w:hAnsi="Times New Roman"/>
                <w:b/>
                <w:bCs/>
                <w:color w:val="000000"/>
                <w:sz w:val="24"/>
                <w:szCs w:val="24"/>
                <w:lang w:eastAsia="en-IN"/>
              </w:rPr>
            </w:pPr>
            <w:r w:rsidRPr="00AB38E0">
              <w:rPr>
                <w:rFonts w:ascii="Times New Roman" w:eastAsia="Times New Roman" w:hAnsi="Times New Roman"/>
                <w:b/>
                <w:bCs/>
                <w:color w:val="000000"/>
                <w:sz w:val="24"/>
                <w:szCs w:val="24"/>
                <w:lang w:eastAsia="en-IN"/>
              </w:rPr>
              <w:t>Material</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14:paraId="69364AC8" w14:textId="77777777" w:rsidR="00AB38E0" w:rsidRPr="00AB38E0" w:rsidRDefault="00AB38E0" w:rsidP="00AB38E0">
            <w:pPr>
              <w:spacing w:after="0" w:line="240" w:lineRule="auto"/>
              <w:jc w:val="center"/>
              <w:rPr>
                <w:rFonts w:ascii="Times New Roman" w:eastAsia="Times New Roman" w:hAnsi="Times New Roman"/>
                <w:b/>
                <w:bCs/>
                <w:color w:val="000000"/>
                <w:sz w:val="24"/>
                <w:szCs w:val="24"/>
                <w:lang w:eastAsia="en-IN"/>
              </w:rPr>
            </w:pPr>
            <w:r w:rsidRPr="00AB38E0">
              <w:rPr>
                <w:rFonts w:ascii="Times New Roman" w:eastAsia="Times New Roman" w:hAnsi="Times New Roman"/>
                <w:b/>
                <w:bCs/>
                <w:color w:val="000000"/>
                <w:sz w:val="24"/>
                <w:szCs w:val="24"/>
                <w:lang w:eastAsia="en-IN"/>
              </w:rPr>
              <w:t xml:space="preserve">Concentration of </w:t>
            </w:r>
            <w:proofErr w:type="spellStart"/>
            <w:r w:rsidRPr="00AB38E0">
              <w:rPr>
                <w:rFonts w:ascii="Times New Roman" w:eastAsia="Times New Roman" w:hAnsi="Times New Roman"/>
                <w:b/>
                <w:bCs/>
                <w:color w:val="000000"/>
                <w:sz w:val="24"/>
                <w:szCs w:val="24"/>
                <w:lang w:eastAsia="en-IN"/>
              </w:rPr>
              <w:t>Atz</w:t>
            </w:r>
            <w:proofErr w:type="spellEnd"/>
            <w:r w:rsidRPr="00AB38E0">
              <w:rPr>
                <w:rFonts w:ascii="Times New Roman" w:eastAsia="Times New Roman" w:hAnsi="Times New Roman"/>
                <w:b/>
                <w:bCs/>
                <w:color w:val="000000"/>
                <w:sz w:val="24"/>
                <w:szCs w:val="24"/>
                <w:lang w:eastAsia="en-IN"/>
              </w:rPr>
              <w:t xml:space="preserve"> (µg/L)</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14:paraId="62DFCCEC" w14:textId="77777777" w:rsidR="00AB38E0" w:rsidRPr="00AB38E0" w:rsidRDefault="00AB38E0" w:rsidP="00AB38E0">
            <w:pPr>
              <w:spacing w:after="0" w:line="240" w:lineRule="auto"/>
              <w:jc w:val="center"/>
              <w:rPr>
                <w:rFonts w:ascii="Times New Roman" w:eastAsia="Times New Roman" w:hAnsi="Times New Roman"/>
                <w:b/>
                <w:bCs/>
                <w:color w:val="000000"/>
                <w:sz w:val="24"/>
                <w:szCs w:val="24"/>
                <w:lang w:eastAsia="en-IN"/>
              </w:rPr>
            </w:pPr>
            <w:r w:rsidRPr="00AB38E0">
              <w:rPr>
                <w:rFonts w:ascii="Times New Roman" w:eastAsia="Times New Roman" w:hAnsi="Times New Roman"/>
                <w:b/>
                <w:bCs/>
                <w:color w:val="000000"/>
                <w:sz w:val="24"/>
                <w:szCs w:val="24"/>
                <w:lang w:eastAsia="en-IN"/>
              </w:rPr>
              <w:t>Concentration of GFNs (µg/L)</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3EC553A6" w14:textId="77777777" w:rsidR="00AB38E0" w:rsidRPr="00AB38E0" w:rsidRDefault="00AB38E0" w:rsidP="00AB38E0">
            <w:pPr>
              <w:spacing w:after="0" w:line="240" w:lineRule="auto"/>
              <w:jc w:val="center"/>
              <w:rPr>
                <w:rFonts w:ascii="Times New Roman" w:eastAsia="Times New Roman" w:hAnsi="Times New Roman"/>
                <w:b/>
                <w:bCs/>
                <w:color w:val="000000"/>
                <w:sz w:val="24"/>
                <w:szCs w:val="24"/>
                <w:lang w:eastAsia="en-IN"/>
              </w:rPr>
            </w:pPr>
            <w:r w:rsidRPr="00AB38E0">
              <w:rPr>
                <w:rFonts w:ascii="Times New Roman" w:eastAsia="Times New Roman" w:hAnsi="Times New Roman"/>
                <w:b/>
                <w:bCs/>
                <w:color w:val="000000"/>
                <w:sz w:val="24"/>
                <w:szCs w:val="24"/>
                <w:lang w:eastAsia="en-IN"/>
              </w:rPr>
              <w:t>Zeta value (mV)</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326DFF2" w14:textId="77777777" w:rsidR="00AB38E0" w:rsidRPr="00AB38E0" w:rsidRDefault="00AB38E0" w:rsidP="00AB38E0">
            <w:pPr>
              <w:spacing w:after="0" w:line="240" w:lineRule="auto"/>
              <w:jc w:val="center"/>
              <w:rPr>
                <w:rFonts w:ascii="Times New Roman" w:eastAsia="Times New Roman" w:hAnsi="Times New Roman"/>
                <w:b/>
                <w:bCs/>
                <w:color w:val="000000"/>
                <w:sz w:val="24"/>
                <w:szCs w:val="24"/>
                <w:lang w:eastAsia="en-IN"/>
              </w:rPr>
            </w:pPr>
            <w:r w:rsidRPr="00AB38E0">
              <w:rPr>
                <w:rFonts w:ascii="Times New Roman" w:eastAsia="Times New Roman" w:hAnsi="Times New Roman"/>
                <w:b/>
                <w:bCs/>
                <w:color w:val="000000"/>
                <w:sz w:val="24"/>
                <w:szCs w:val="24"/>
                <w:lang w:eastAsia="en-IN"/>
              </w:rPr>
              <w:t>SD</w:t>
            </w:r>
          </w:p>
        </w:tc>
      </w:tr>
      <w:tr w:rsidR="00AB38E0" w:rsidRPr="00AB38E0" w14:paraId="1F32157A" w14:textId="77777777" w:rsidTr="00AB38E0">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C805AE"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proofErr w:type="spellStart"/>
            <w:r w:rsidRPr="00AB38E0">
              <w:rPr>
                <w:rFonts w:ascii="Times New Roman" w:eastAsia="Times New Roman" w:hAnsi="Times New Roman"/>
                <w:color w:val="000000"/>
                <w:sz w:val="24"/>
                <w:szCs w:val="24"/>
                <w:lang w:eastAsia="en-IN"/>
              </w:rPr>
              <w:t>Atz</w:t>
            </w:r>
            <w:proofErr w:type="spellEnd"/>
          </w:p>
        </w:tc>
        <w:tc>
          <w:tcPr>
            <w:tcW w:w="2320" w:type="dxa"/>
            <w:tcBorders>
              <w:top w:val="nil"/>
              <w:left w:val="nil"/>
              <w:bottom w:val="single" w:sz="4" w:space="0" w:color="auto"/>
              <w:right w:val="single" w:sz="4" w:space="0" w:color="auto"/>
            </w:tcBorders>
            <w:shd w:val="clear" w:color="auto" w:fill="auto"/>
            <w:noWrap/>
            <w:vAlign w:val="bottom"/>
            <w:hideMark/>
          </w:tcPr>
          <w:p w14:paraId="4E8E862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w:t>
            </w:r>
          </w:p>
        </w:tc>
        <w:tc>
          <w:tcPr>
            <w:tcW w:w="22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BD6AE0" w14:textId="77777777" w:rsidR="00AB38E0" w:rsidRPr="00AB38E0" w:rsidRDefault="00AB38E0" w:rsidP="00AB38E0">
            <w:pPr>
              <w:spacing w:after="0" w:line="240" w:lineRule="auto"/>
              <w:jc w:val="center"/>
              <w:rPr>
                <w:rFonts w:eastAsia="Times New Roman"/>
                <w:color w:val="000000"/>
                <w:lang w:eastAsia="en-IN"/>
              </w:rPr>
            </w:pPr>
            <w:r w:rsidRPr="00AB38E0">
              <w:rPr>
                <w:rFonts w:eastAsia="Times New Roman"/>
                <w:color w:val="000000"/>
                <w:lang w:eastAsia="en-IN"/>
              </w:rPr>
              <w:t>_</w:t>
            </w:r>
          </w:p>
        </w:tc>
        <w:tc>
          <w:tcPr>
            <w:tcW w:w="1880" w:type="dxa"/>
            <w:tcBorders>
              <w:top w:val="nil"/>
              <w:left w:val="nil"/>
              <w:bottom w:val="single" w:sz="4" w:space="0" w:color="auto"/>
              <w:right w:val="single" w:sz="4" w:space="0" w:color="auto"/>
            </w:tcBorders>
            <w:shd w:val="clear" w:color="auto" w:fill="auto"/>
            <w:noWrap/>
            <w:vAlign w:val="bottom"/>
            <w:hideMark/>
          </w:tcPr>
          <w:p w14:paraId="19B9E2A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-5.4</w:t>
            </w:r>
          </w:p>
        </w:tc>
        <w:tc>
          <w:tcPr>
            <w:tcW w:w="1040" w:type="dxa"/>
            <w:tcBorders>
              <w:top w:val="nil"/>
              <w:left w:val="nil"/>
              <w:bottom w:val="single" w:sz="4" w:space="0" w:color="auto"/>
              <w:right w:val="single" w:sz="4" w:space="0" w:color="auto"/>
            </w:tcBorders>
            <w:shd w:val="clear" w:color="auto" w:fill="auto"/>
            <w:noWrap/>
            <w:vAlign w:val="bottom"/>
            <w:hideMark/>
          </w:tcPr>
          <w:p w14:paraId="0B38DAE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0.7</w:t>
            </w:r>
          </w:p>
        </w:tc>
      </w:tr>
      <w:tr w:rsidR="00AB38E0" w:rsidRPr="00AB38E0" w14:paraId="3213CA85"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5F6EA915"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33597A93"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50</w:t>
            </w:r>
          </w:p>
        </w:tc>
        <w:tc>
          <w:tcPr>
            <w:tcW w:w="2260" w:type="dxa"/>
            <w:vMerge/>
            <w:tcBorders>
              <w:top w:val="nil"/>
              <w:left w:val="single" w:sz="4" w:space="0" w:color="auto"/>
              <w:bottom w:val="single" w:sz="4" w:space="0" w:color="000000"/>
              <w:right w:val="single" w:sz="4" w:space="0" w:color="auto"/>
            </w:tcBorders>
            <w:vAlign w:val="center"/>
            <w:hideMark/>
          </w:tcPr>
          <w:p w14:paraId="0AC01B1E" w14:textId="77777777" w:rsidR="00AB38E0" w:rsidRPr="00AB38E0" w:rsidRDefault="00AB38E0" w:rsidP="00AB38E0">
            <w:pPr>
              <w:spacing w:after="0" w:line="240" w:lineRule="auto"/>
              <w:rPr>
                <w:rFonts w:eastAsia="Times New Roman"/>
                <w:color w:val="000000"/>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06DD0CD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-11.4</w:t>
            </w:r>
          </w:p>
        </w:tc>
        <w:tc>
          <w:tcPr>
            <w:tcW w:w="1040" w:type="dxa"/>
            <w:tcBorders>
              <w:top w:val="nil"/>
              <w:left w:val="nil"/>
              <w:bottom w:val="single" w:sz="4" w:space="0" w:color="auto"/>
              <w:right w:val="single" w:sz="4" w:space="0" w:color="auto"/>
            </w:tcBorders>
            <w:shd w:val="clear" w:color="auto" w:fill="auto"/>
            <w:noWrap/>
            <w:vAlign w:val="bottom"/>
            <w:hideMark/>
          </w:tcPr>
          <w:p w14:paraId="69425DC2"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4.3</w:t>
            </w:r>
          </w:p>
        </w:tc>
      </w:tr>
      <w:tr w:rsidR="00AB38E0" w:rsidRPr="00AB38E0" w14:paraId="505D62C2"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3C4D3180"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7870C58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75</w:t>
            </w:r>
          </w:p>
        </w:tc>
        <w:tc>
          <w:tcPr>
            <w:tcW w:w="2260" w:type="dxa"/>
            <w:vMerge/>
            <w:tcBorders>
              <w:top w:val="nil"/>
              <w:left w:val="single" w:sz="4" w:space="0" w:color="auto"/>
              <w:bottom w:val="single" w:sz="4" w:space="0" w:color="000000"/>
              <w:right w:val="single" w:sz="4" w:space="0" w:color="auto"/>
            </w:tcBorders>
            <w:vAlign w:val="center"/>
            <w:hideMark/>
          </w:tcPr>
          <w:p w14:paraId="1956B791" w14:textId="77777777" w:rsidR="00AB38E0" w:rsidRPr="00AB38E0" w:rsidRDefault="00AB38E0" w:rsidP="00AB38E0">
            <w:pPr>
              <w:spacing w:after="0" w:line="240" w:lineRule="auto"/>
              <w:rPr>
                <w:rFonts w:eastAsia="Times New Roman"/>
                <w:color w:val="000000"/>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2ECD025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-14.8</w:t>
            </w:r>
          </w:p>
        </w:tc>
        <w:tc>
          <w:tcPr>
            <w:tcW w:w="1040" w:type="dxa"/>
            <w:tcBorders>
              <w:top w:val="nil"/>
              <w:left w:val="nil"/>
              <w:bottom w:val="single" w:sz="4" w:space="0" w:color="auto"/>
              <w:right w:val="single" w:sz="4" w:space="0" w:color="auto"/>
            </w:tcBorders>
            <w:shd w:val="clear" w:color="auto" w:fill="auto"/>
            <w:noWrap/>
            <w:vAlign w:val="bottom"/>
            <w:hideMark/>
          </w:tcPr>
          <w:p w14:paraId="09DF236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1.9</w:t>
            </w:r>
          </w:p>
        </w:tc>
      </w:tr>
      <w:tr w:rsidR="00AB38E0" w:rsidRPr="00AB38E0" w14:paraId="031EEA07"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29A2857E"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5AE8048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100</w:t>
            </w:r>
          </w:p>
        </w:tc>
        <w:tc>
          <w:tcPr>
            <w:tcW w:w="2260" w:type="dxa"/>
            <w:vMerge/>
            <w:tcBorders>
              <w:top w:val="nil"/>
              <w:left w:val="single" w:sz="4" w:space="0" w:color="auto"/>
              <w:bottom w:val="single" w:sz="4" w:space="0" w:color="000000"/>
              <w:right w:val="single" w:sz="4" w:space="0" w:color="auto"/>
            </w:tcBorders>
            <w:vAlign w:val="center"/>
            <w:hideMark/>
          </w:tcPr>
          <w:p w14:paraId="120242AD" w14:textId="77777777" w:rsidR="00AB38E0" w:rsidRPr="00AB38E0" w:rsidRDefault="00AB38E0" w:rsidP="00AB38E0">
            <w:pPr>
              <w:spacing w:after="0" w:line="240" w:lineRule="auto"/>
              <w:rPr>
                <w:rFonts w:eastAsia="Times New Roman"/>
                <w:color w:val="000000"/>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7BC4B0F3"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-16.0</w:t>
            </w:r>
          </w:p>
        </w:tc>
        <w:tc>
          <w:tcPr>
            <w:tcW w:w="1040" w:type="dxa"/>
            <w:tcBorders>
              <w:top w:val="nil"/>
              <w:left w:val="nil"/>
              <w:bottom w:val="single" w:sz="4" w:space="0" w:color="auto"/>
              <w:right w:val="single" w:sz="4" w:space="0" w:color="auto"/>
            </w:tcBorders>
            <w:shd w:val="clear" w:color="auto" w:fill="auto"/>
            <w:noWrap/>
            <w:vAlign w:val="bottom"/>
            <w:hideMark/>
          </w:tcPr>
          <w:p w14:paraId="43C54CC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1.5</w:t>
            </w:r>
          </w:p>
        </w:tc>
      </w:tr>
      <w:tr w:rsidR="00AB38E0" w:rsidRPr="00AB38E0" w14:paraId="0CDC1FD2" w14:textId="77777777" w:rsidTr="00AB38E0">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404B47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GO</w:t>
            </w:r>
          </w:p>
        </w:tc>
        <w:tc>
          <w:tcPr>
            <w:tcW w:w="2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8BC2E6"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_</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C0CC9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250</w:t>
            </w:r>
          </w:p>
        </w:tc>
        <w:tc>
          <w:tcPr>
            <w:tcW w:w="1880" w:type="dxa"/>
            <w:tcBorders>
              <w:top w:val="nil"/>
              <w:left w:val="nil"/>
              <w:bottom w:val="single" w:sz="4" w:space="0" w:color="auto"/>
              <w:right w:val="single" w:sz="4" w:space="0" w:color="auto"/>
            </w:tcBorders>
            <w:shd w:val="clear" w:color="auto" w:fill="auto"/>
            <w:noWrap/>
            <w:vAlign w:val="bottom"/>
            <w:hideMark/>
          </w:tcPr>
          <w:p w14:paraId="0675B14C" w14:textId="77777777" w:rsidR="00AB38E0" w:rsidRPr="00AB38E0" w:rsidRDefault="00AB38E0" w:rsidP="00AB38E0">
            <w:pPr>
              <w:spacing w:after="0" w:line="240" w:lineRule="auto"/>
              <w:jc w:val="center"/>
              <w:rPr>
                <w:rFonts w:ascii="Times New Roman" w:eastAsia="Times New Roman" w:hAnsi="Times New Roman"/>
                <w:color w:val="000000"/>
                <w:lang w:eastAsia="en-IN"/>
              </w:rPr>
            </w:pPr>
            <w:r w:rsidRPr="00AB38E0">
              <w:rPr>
                <w:rFonts w:ascii="Times New Roman" w:eastAsia="Times New Roman" w:hAnsi="Times New Roman"/>
                <w:color w:val="000000"/>
                <w:lang w:eastAsia="en-IN"/>
              </w:rPr>
              <w:t>-15.5</w:t>
            </w:r>
          </w:p>
        </w:tc>
        <w:tc>
          <w:tcPr>
            <w:tcW w:w="1040" w:type="dxa"/>
            <w:tcBorders>
              <w:top w:val="nil"/>
              <w:left w:val="nil"/>
              <w:bottom w:val="single" w:sz="4" w:space="0" w:color="auto"/>
              <w:right w:val="single" w:sz="4" w:space="0" w:color="auto"/>
            </w:tcBorders>
            <w:shd w:val="clear" w:color="auto" w:fill="auto"/>
            <w:noWrap/>
            <w:vAlign w:val="bottom"/>
            <w:hideMark/>
          </w:tcPr>
          <w:p w14:paraId="6C1F6E6C" w14:textId="77777777" w:rsidR="00AB38E0" w:rsidRPr="00AB38E0" w:rsidRDefault="00AB38E0" w:rsidP="00AB38E0">
            <w:pPr>
              <w:spacing w:after="0" w:line="240" w:lineRule="auto"/>
              <w:jc w:val="center"/>
              <w:rPr>
                <w:rFonts w:ascii="Times New Roman" w:eastAsia="Times New Roman" w:hAnsi="Times New Roman"/>
                <w:color w:val="000000"/>
                <w:lang w:eastAsia="en-IN"/>
              </w:rPr>
            </w:pPr>
            <w:r w:rsidRPr="00AB38E0">
              <w:rPr>
                <w:rFonts w:ascii="Times New Roman" w:eastAsia="Times New Roman" w:hAnsi="Times New Roman"/>
                <w:color w:val="000000"/>
                <w:lang w:eastAsia="en-IN"/>
              </w:rPr>
              <w:t>4.1</w:t>
            </w:r>
          </w:p>
        </w:tc>
      </w:tr>
      <w:tr w:rsidR="00AB38E0" w:rsidRPr="00AB38E0" w14:paraId="76720500" w14:textId="77777777" w:rsidTr="00AB38E0">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3BD750E"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proofErr w:type="spellStart"/>
            <w:r w:rsidRPr="00AB38E0">
              <w:rPr>
                <w:rFonts w:ascii="Times New Roman" w:eastAsia="Times New Roman" w:hAnsi="Times New Roman"/>
                <w:color w:val="000000"/>
                <w:sz w:val="24"/>
                <w:szCs w:val="24"/>
                <w:lang w:eastAsia="en-IN"/>
              </w:rPr>
              <w:t>rGO</w:t>
            </w:r>
            <w:proofErr w:type="spellEnd"/>
          </w:p>
        </w:tc>
        <w:tc>
          <w:tcPr>
            <w:tcW w:w="2320" w:type="dxa"/>
            <w:vMerge/>
            <w:tcBorders>
              <w:top w:val="nil"/>
              <w:left w:val="single" w:sz="4" w:space="0" w:color="auto"/>
              <w:bottom w:val="single" w:sz="4" w:space="0" w:color="000000"/>
              <w:right w:val="single" w:sz="4" w:space="0" w:color="auto"/>
            </w:tcBorders>
            <w:vAlign w:val="center"/>
            <w:hideMark/>
          </w:tcPr>
          <w:p w14:paraId="46409C03"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260" w:type="dxa"/>
            <w:vMerge/>
            <w:tcBorders>
              <w:top w:val="nil"/>
              <w:left w:val="single" w:sz="4" w:space="0" w:color="auto"/>
              <w:bottom w:val="single" w:sz="4" w:space="0" w:color="auto"/>
              <w:right w:val="single" w:sz="4" w:space="0" w:color="auto"/>
            </w:tcBorders>
            <w:vAlign w:val="center"/>
            <w:hideMark/>
          </w:tcPr>
          <w:p w14:paraId="37ADF7BB"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28059634" w14:textId="77777777" w:rsidR="00AB38E0" w:rsidRPr="00AB38E0" w:rsidRDefault="00AB38E0" w:rsidP="00AB38E0">
            <w:pPr>
              <w:spacing w:after="0" w:line="240" w:lineRule="auto"/>
              <w:jc w:val="center"/>
              <w:rPr>
                <w:rFonts w:ascii="Times New Roman" w:eastAsia="Times New Roman" w:hAnsi="Times New Roman"/>
                <w:color w:val="000000"/>
                <w:lang w:eastAsia="en-IN"/>
              </w:rPr>
            </w:pPr>
            <w:r w:rsidRPr="00AB38E0">
              <w:rPr>
                <w:rFonts w:ascii="Times New Roman" w:eastAsia="Times New Roman" w:hAnsi="Times New Roman"/>
                <w:color w:val="000000"/>
                <w:lang w:eastAsia="en-IN"/>
              </w:rPr>
              <w:t>-25.2</w:t>
            </w:r>
          </w:p>
        </w:tc>
        <w:tc>
          <w:tcPr>
            <w:tcW w:w="1040" w:type="dxa"/>
            <w:tcBorders>
              <w:top w:val="nil"/>
              <w:left w:val="nil"/>
              <w:bottom w:val="single" w:sz="4" w:space="0" w:color="auto"/>
              <w:right w:val="single" w:sz="4" w:space="0" w:color="auto"/>
            </w:tcBorders>
            <w:shd w:val="clear" w:color="auto" w:fill="auto"/>
            <w:noWrap/>
            <w:vAlign w:val="bottom"/>
            <w:hideMark/>
          </w:tcPr>
          <w:p w14:paraId="7960177D" w14:textId="77777777" w:rsidR="00AB38E0" w:rsidRPr="00AB38E0" w:rsidRDefault="00AB38E0" w:rsidP="00AB38E0">
            <w:pPr>
              <w:spacing w:after="0" w:line="240" w:lineRule="auto"/>
              <w:jc w:val="center"/>
              <w:rPr>
                <w:rFonts w:ascii="Times New Roman" w:eastAsia="Times New Roman" w:hAnsi="Times New Roman"/>
                <w:color w:val="000000"/>
                <w:lang w:eastAsia="en-IN"/>
              </w:rPr>
            </w:pPr>
            <w:r w:rsidRPr="00AB38E0">
              <w:rPr>
                <w:rFonts w:ascii="Times New Roman" w:eastAsia="Times New Roman" w:hAnsi="Times New Roman"/>
                <w:color w:val="000000"/>
                <w:lang w:eastAsia="en-IN"/>
              </w:rPr>
              <w:t>1.6</w:t>
            </w:r>
          </w:p>
        </w:tc>
      </w:tr>
      <w:tr w:rsidR="00AB38E0" w:rsidRPr="00AB38E0" w14:paraId="557C40A6" w14:textId="77777777" w:rsidTr="00AB38E0">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F36D51A"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Graphene</w:t>
            </w:r>
          </w:p>
        </w:tc>
        <w:tc>
          <w:tcPr>
            <w:tcW w:w="2320" w:type="dxa"/>
            <w:vMerge/>
            <w:tcBorders>
              <w:top w:val="nil"/>
              <w:left w:val="single" w:sz="4" w:space="0" w:color="auto"/>
              <w:bottom w:val="single" w:sz="4" w:space="0" w:color="000000"/>
              <w:right w:val="single" w:sz="4" w:space="0" w:color="auto"/>
            </w:tcBorders>
            <w:vAlign w:val="center"/>
            <w:hideMark/>
          </w:tcPr>
          <w:p w14:paraId="459A02EA"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260" w:type="dxa"/>
            <w:vMerge/>
            <w:tcBorders>
              <w:top w:val="nil"/>
              <w:left w:val="single" w:sz="4" w:space="0" w:color="auto"/>
              <w:bottom w:val="single" w:sz="4" w:space="0" w:color="auto"/>
              <w:right w:val="single" w:sz="4" w:space="0" w:color="auto"/>
            </w:tcBorders>
            <w:vAlign w:val="center"/>
            <w:hideMark/>
          </w:tcPr>
          <w:p w14:paraId="406E94E3"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6D52A60C" w14:textId="77777777" w:rsidR="00AB38E0" w:rsidRPr="00AB38E0" w:rsidRDefault="00AB38E0" w:rsidP="00AB38E0">
            <w:pPr>
              <w:spacing w:after="0" w:line="240" w:lineRule="auto"/>
              <w:jc w:val="center"/>
              <w:rPr>
                <w:rFonts w:ascii="Times New Roman" w:eastAsia="Times New Roman" w:hAnsi="Times New Roman"/>
                <w:color w:val="000000"/>
                <w:lang w:eastAsia="en-IN"/>
              </w:rPr>
            </w:pPr>
            <w:r w:rsidRPr="00AB38E0">
              <w:rPr>
                <w:rFonts w:ascii="Times New Roman" w:eastAsia="Times New Roman" w:hAnsi="Times New Roman"/>
                <w:color w:val="000000"/>
                <w:lang w:eastAsia="en-IN"/>
              </w:rPr>
              <w:t>-7.3</w:t>
            </w:r>
          </w:p>
        </w:tc>
        <w:tc>
          <w:tcPr>
            <w:tcW w:w="1040" w:type="dxa"/>
            <w:tcBorders>
              <w:top w:val="nil"/>
              <w:left w:val="nil"/>
              <w:bottom w:val="single" w:sz="4" w:space="0" w:color="auto"/>
              <w:right w:val="single" w:sz="4" w:space="0" w:color="auto"/>
            </w:tcBorders>
            <w:shd w:val="clear" w:color="auto" w:fill="auto"/>
            <w:noWrap/>
            <w:vAlign w:val="bottom"/>
            <w:hideMark/>
          </w:tcPr>
          <w:p w14:paraId="16B9158B" w14:textId="77777777" w:rsidR="00AB38E0" w:rsidRPr="00AB38E0" w:rsidRDefault="00AB38E0" w:rsidP="00AB38E0">
            <w:pPr>
              <w:spacing w:after="0" w:line="240" w:lineRule="auto"/>
              <w:jc w:val="center"/>
              <w:rPr>
                <w:rFonts w:ascii="Times New Roman" w:eastAsia="Times New Roman" w:hAnsi="Times New Roman"/>
                <w:color w:val="000000"/>
                <w:lang w:eastAsia="en-IN"/>
              </w:rPr>
            </w:pPr>
            <w:r w:rsidRPr="00AB38E0">
              <w:rPr>
                <w:rFonts w:ascii="Times New Roman" w:eastAsia="Times New Roman" w:hAnsi="Times New Roman"/>
                <w:color w:val="000000"/>
                <w:lang w:eastAsia="en-IN"/>
              </w:rPr>
              <w:t>3.6</w:t>
            </w:r>
          </w:p>
        </w:tc>
      </w:tr>
      <w:tr w:rsidR="00AB38E0" w:rsidRPr="00AB38E0" w14:paraId="09378960" w14:textId="77777777" w:rsidTr="00AB38E0">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C9014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 xml:space="preserve">GO + </w:t>
            </w:r>
            <w:proofErr w:type="spellStart"/>
            <w:r w:rsidRPr="00AB38E0">
              <w:rPr>
                <w:rFonts w:ascii="Times New Roman" w:eastAsia="Times New Roman" w:hAnsi="Times New Roman"/>
                <w:color w:val="000000"/>
                <w:sz w:val="24"/>
                <w:szCs w:val="24"/>
                <w:lang w:eastAsia="en-IN"/>
              </w:rPr>
              <w:t>Atz</w:t>
            </w:r>
            <w:proofErr w:type="spellEnd"/>
          </w:p>
        </w:tc>
        <w:tc>
          <w:tcPr>
            <w:tcW w:w="2320" w:type="dxa"/>
            <w:tcBorders>
              <w:top w:val="nil"/>
              <w:left w:val="nil"/>
              <w:bottom w:val="single" w:sz="4" w:space="0" w:color="auto"/>
              <w:right w:val="single" w:sz="4" w:space="0" w:color="auto"/>
            </w:tcBorders>
            <w:shd w:val="clear" w:color="auto" w:fill="auto"/>
            <w:noWrap/>
            <w:vAlign w:val="bottom"/>
            <w:hideMark/>
          </w:tcPr>
          <w:p w14:paraId="2C4242D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0A908B"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250</w:t>
            </w:r>
          </w:p>
        </w:tc>
        <w:tc>
          <w:tcPr>
            <w:tcW w:w="1880" w:type="dxa"/>
            <w:tcBorders>
              <w:top w:val="nil"/>
              <w:left w:val="nil"/>
              <w:bottom w:val="single" w:sz="4" w:space="0" w:color="auto"/>
              <w:right w:val="single" w:sz="4" w:space="0" w:color="auto"/>
            </w:tcBorders>
            <w:shd w:val="clear" w:color="auto" w:fill="auto"/>
            <w:noWrap/>
            <w:vAlign w:val="bottom"/>
            <w:hideMark/>
          </w:tcPr>
          <w:p w14:paraId="0157C99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-14.6</w:t>
            </w:r>
          </w:p>
        </w:tc>
        <w:tc>
          <w:tcPr>
            <w:tcW w:w="1040" w:type="dxa"/>
            <w:tcBorders>
              <w:top w:val="nil"/>
              <w:left w:val="nil"/>
              <w:bottom w:val="single" w:sz="4" w:space="0" w:color="auto"/>
              <w:right w:val="single" w:sz="4" w:space="0" w:color="auto"/>
            </w:tcBorders>
            <w:shd w:val="clear" w:color="auto" w:fill="auto"/>
            <w:noWrap/>
            <w:vAlign w:val="bottom"/>
            <w:hideMark/>
          </w:tcPr>
          <w:p w14:paraId="1FDD55F6"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3.4</w:t>
            </w:r>
          </w:p>
        </w:tc>
      </w:tr>
      <w:tr w:rsidR="00AB38E0" w:rsidRPr="00AB38E0" w14:paraId="7BDF89CA"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329DE009"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6DA8854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50</w:t>
            </w:r>
          </w:p>
        </w:tc>
        <w:tc>
          <w:tcPr>
            <w:tcW w:w="2260" w:type="dxa"/>
            <w:vMerge/>
            <w:tcBorders>
              <w:top w:val="nil"/>
              <w:left w:val="single" w:sz="4" w:space="0" w:color="auto"/>
              <w:bottom w:val="single" w:sz="4" w:space="0" w:color="auto"/>
              <w:right w:val="single" w:sz="4" w:space="0" w:color="auto"/>
            </w:tcBorders>
            <w:vAlign w:val="center"/>
            <w:hideMark/>
          </w:tcPr>
          <w:p w14:paraId="750E12B4"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37F06912"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-11.7</w:t>
            </w:r>
          </w:p>
        </w:tc>
        <w:tc>
          <w:tcPr>
            <w:tcW w:w="1040" w:type="dxa"/>
            <w:tcBorders>
              <w:top w:val="nil"/>
              <w:left w:val="nil"/>
              <w:bottom w:val="single" w:sz="4" w:space="0" w:color="auto"/>
              <w:right w:val="single" w:sz="4" w:space="0" w:color="auto"/>
            </w:tcBorders>
            <w:shd w:val="clear" w:color="auto" w:fill="auto"/>
            <w:noWrap/>
            <w:vAlign w:val="bottom"/>
            <w:hideMark/>
          </w:tcPr>
          <w:p w14:paraId="1CFB9DC0"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0.5</w:t>
            </w:r>
          </w:p>
        </w:tc>
      </w:tr>
      <w:tr w:rsidR="00AB38E0" w:rsidRPr="00AB38E0" w14:paraId="546886E1"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49B60FAE"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68846571"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75</w:t>
            </w:r>
          </w:p>
        </w:tc>
        <w:tc>
          <w:tcPr>
            <w:tcW w:w="2260" w:type="dxa"/>
            <w:vMerge/>
            <w:tcBorders>
              <w:top w:val="nil"/>
              <w:left w:val="single" w:sz="4" w:space="0" w:color="auto"/>
              <w:bottom w:val="single" w:sz="4" w:space="0" w:color="auto"/>
              <w:right w:val="single" w:sz="4" w:space="0" w:color="auto"/>
            </w:tcBorders>
            <w:vAlign w:val="center"/>
            <w:hideMark/>
          </w:tcPr>
          <w:p w14:paraId="3A349B15"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0F2E5836"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-8.3</w:t>
            </w:r>
          </w:p>
        </w:tc>
        <w:tc>
          <w:tcPr>
            <w:tcW w:w="1040" w:type="dxa"/>
            <w:tcBorders>
              <w:top w:val="nil"/>
              <w:left w:val="nil"/>
              <w:bottom w:val="single" w:sz="4" w:space="0" w:color="auto"/>
              <w:right w:val="single" w:sz="4" w:space="0" w:color="auto"/>
            </w:tcBorders>
            <w:shd w:val="clear" w:color="auto" w:fill="auto"/>
            <w:noWrap/>
            <w:vAlign w:val="bottom"/>
            <w:hideMark/>
          </w:tcPr>
          <w:p w14:paraId="7FFAD273"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1.9</w:t>
            </w:r>
          </w:p>
        </w:tc>
      </w:tr>
      <w:tr w:rsidR="00AB38E0" w:rsidRPr="00AB38E0" w14:paraId="03AA5285"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490B3E61"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4F64E482"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100</w:t>
            </w:r>
          </w:p>
        </w:tc>
        <w:tc>
          <w:tcPr>
            <w:tcW w:w="2260" w:type="dxa"/>
            <w:vMerge/>
            <w:tcBorders>
              <w:top w:val="nil"/>
              <w:left w:val="single" w:sz="4" w:space="0" w:color="auto"/>
              <w:bottom w:val="single" w:sz="4" w:space="0" w:color="auto"/>
              <w:right w:val="single" w:sz="4" w:space="0" w:color="auto"/>
            </w:tcBorders>
            <w:vAlign w:val="center"/>
            <w:hideMark/>
          </w:tcPr>
          <w:p w14:paraId="6C9F1DD3"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2F48163F"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-5.8</w:t>
            </w:r>
          </w:p>
        </w:tc>
        <w:tc>
          <w:tcPr>
            <w:tcW w:w="1040" w:type="dxa"/>
            <w:tcBorders>
              <w:top w:val="nil"/>
              <w:left w:val="nil"/>
              <w:bottom w:val="single" w:sz="4" w:space="0" w:color="auto"/>
              <w:right w:val="single" w:sz="4" w:space="0" w:color="auto"/>
            </w:tcBorders>
            <w:shd w:val="clear" w:color="auto" w:fill="auto"/>
            <w:noWrap/>
            <w:vAlign w:val="bottom"/>
            <w:hideMark/>
          </w:tcPr>
          <w:p w14:paraId="7B8A4C9E"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2.3</w:t>
            </w:r>
          </w:p>
        </w:tc>
      </w:tr>
      <w:tr w:rsidR="00AB38E0" w:rsidRPr="00AB38E0" w14:paraId="1FB5307B" w14:textId="77777777" w:rsidTr="00AB38E0">
        <w:trPr>
          <w:trHeight w:val="315"/>
        </w:trPr>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2C7B61"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proofErr w:type="spellStart"/>
            <w:r w:rsidRPr="00AB38E0">
              <w:rPr>
                <w:rFonts w:ascii="Times New Roman" w:eastAsia="Times New Roman" w:hAnsi="Times New Roman"/>
                <w:color w:val="000000"/>
                <w:sz w:val="24"/>
                <w:szCs w:val="24"/>
                <w:lang w:eastAsia="en-IN"/>
              </w:rPr>
              <w:t>rGO</w:t>
            </w:r>
            <w:proofErr w:type="spellEnd"/>
            <w:r w:rsidRPr="00AB38E0">
              <w:rPr>
                <w:rFonts w:ascii="Times New Roman" w:eastAsia="Times New Roman" w:hAnsi="Times New Roman"/>
                <w:color w:val="000000"/>
                <w:sz w:val="24"/>
                <w:szCs w:val="24"/>
                <w:lang w:eastAsia="en-IN"/>
              </w:rPr>
              <w:t xml:space="preserve"> + </w:t>
            </w:r>
            <w:proofErr w:type="spellStart"/>
            <w:r w:rsidRPr="00AB38E0">
              <w:rPr>
                <w:rFonts w:ascii="Times New Roman" w:eastAsia="Times New Roman" w:hAnsi="Times New Roman"/>
                <w:color w:val="000000"/>
                <w:sz w:val="24"/>
                <w:szCs w:val="24"/>
                <w:lang w:eastAsia="en-IN"/>
              </w:rPr>
              <w:t>Atz</w:t>
            </w:r>
            <w:proofErr w:type="spellEnd"/>
          </w:p>
        </w:tc>
        <w:tc>
          <w:tcPr>
            <w:tcW w:w="2320" w:type="dxa"/>
            <w:tcBorders>
              <w:top w:val="nil"/>
              <w:left w:val="nil"/>
              <w:bottom w:val="single" w:sz="4" w:space="0" w:color="auto"/>
              <w:right w:val="single" w:sz="4" w:space="0" w:color="auto"/>
            </w:tcBorders>
            <w:shd w:val="clear" w:color="auto" w:fill="auto"/>
            <w:noWrap/>
            <w:vAlign w:val="bottom"/>
            <w:hideMark/>
          </w:tcPr>
          <w:p w14:paraId="1D86018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F5178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250</w:t>
            </w:r>
          </w:p>
        </w:tc>
        <w:tc>
          <w:tcPr>
            <w:tcW w:w="1880" w:type="dxa"/>
            <w:tcBorders>
              <w:top w:val="nil"/>
              <w:left w:val="nil"/>
              <w:bottom w:val="single" w:sz="4" w:space="0" w:color="auto"/>
              <w:right w:val="single" w:sz="4" w:space="0" w:color="auto"/>
            </w:tcBorders>
            <w:shd w:val="clear" w:color="auto" w:fill="auto"/>
            <w:noWrap/>
            <w:vAlign w:val="bottom"/>
            <w:hideMark/>
          </w:tcPr>
          <w:p w14:paraId="2D9418BE"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-15.3</w:t>
            </w:r>
          </w:p>
        </w:tc>
        <w:tc>
          <w:tcPr>
            <w:tcW w:w="1040" w:type="dxa"/>
            <w:tcBorders>
              <w:top w:val="nil"/>
              <w:left w:val="nil"/>
              <w:bottom w:val="single" w:sz="4" w:space="0" w:color="auto"/>
              <w:right w:val="single" w:sz="4" w:space="0" w:color="auto"/>
            </w:tcBorders>
            <w:shd w:val="clear" w:color="auto" w:fill="auto"/>
            <w:noWrap/>
            <w:vAlign w:val="bottom"/>
            <w:hideMark/>
          </w:tcPr>
          <w:p w14:paraId="2585F92E"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5.4</w:t>
            </w:r>
          </w:p>
        </w:tc>
      </w:tr>
      <w:tr w:rsidR="00AB38E0" w:rsidRPr="00AB38E0" w14:paraId="6C55DAAE"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05119F33"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10152A11"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50</w:t>
            </w:r>
          </w:p>
        </w:tc>
        <w:tc>
          <w:tcPr>
            <w:tcW w:w="2260" w:type="dxa"/>
            <w:vMerge/>
            <w:tcBorders>
              <w:top w:val="nil"/>
              <w:left w:val="single" w:sz="4" w:space="0" w:color="auto"/>
              <w:bottom w:val="single" w:sz="4" w:space="0" w:color="auto"/>
              <w:right w:val="single" w:sz="4" w:space="0" w:color="auto"/>
            </w:tcBorders>
            <w:vAlign w:val="center"/>
            <w:hideMark/>
          </w:tcPr>
          <w:p w14:paraId="16FB8D0B"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4B5EA1AF"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-12.7</w:t>
            </w:r>
          </w:p>
        </w:tc>
        <w:tc>
          <w:tcPr>
            <w:tcW w:w="1040" w:type="dxa"/>
            <w:tcBorders>
              <w:top w:val="nil"/>
              <w:left w:val="nil"/>
              <w:bottom w:val="single" w:sz="4" w:space="0" w:color="auto"/>
              <w:right w:val="single" w:sz="4" w:space="0" w:color="auto"/>
            </w:tcBorders>
            <w:shd w:val="clear" w:color="auto" w:fill="auto"/>
            <w:noWrap/>
            <w:vAlign w:val="bottom"/>
            <w:hideMark/>
          </w:tcPr>
          <w:p w14:paraId="086D8361"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4.4</w:t>
            </w:r>
          </w:p>
        </w:tc>
      </w:tr>
      <w:tr w:rsidR="00AB38E0" w:rsidRPr="00AB38E0" w14:paraId="0B770ADB"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34B33920"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5AA35A76"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75</w:t>
            </w:r>
          </w:p>
        </w:tc>
        <w:tc>
          <w:tcPr>
            <w:tcW w:w="2260" w:type="dxa"/>
            <w:vMerge/>
            <w:tcBorders>
              <w:top w:val="nil"/>
              <w:left w:val="single" w:sz="4" w:space="0" w:color="auto"/>
              <w:bottom w:val="single" w:sz="4" w:space="0" w:color="auto"/>
              <w:right w:val="single" w:sz="4" w:space="0" w:color="auto"/>
            </w:tcBorders>
            <w:vAlign w:val="center"/>
            <w:hideMark/>
          </w:tcPr>
          <w:p w14:paraId="47D258E7"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6BA96F4E"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-9.1</w:t>
            </w:r>
          </w:p>
        </w:tc>
        <w:tc>
          <w:tcPr>
            <w:tcW w:w="1040" w:type="dxa"/>
            <w:tcBorders>
              <w:top w:val="nil"/>
              <w:left w:val="nil"/>
              <w:bottom w:val="single" w:sz="4" w:space="0" w:color="auto"/>
              <w:right w:val="single" w:sz="4" w:space="0" w:color="auto"/>
            </w:tcBorders>
            <w:shd w:val="clear" w:color="auto" w:fill="auto"/>
            <w:noWrap/>
            <w:vAlign w:val="bottom"/>
            <w:hideMark/>
          </w:tcPr>
          <w:p w14:paraId="5E1FF7EC"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4.4</w:t>
            </w:r>
          </w:p>
        </w:tc>
      </w:tr>
      <w:tr w:rsidR="00AB38E0" w:rsidRPr="00AB38E0" w14:paraId="6376AAD9"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70E8192C"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131A8DDF"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100</w:t>
            </w:r>
          </w:p>
        </w:tc>
        <w:tc>
          <w:tcPr>
            <w:tcW w:w="2260" w:type="dxa"/>
            <w:vMerge/>
            <w:tcBorders>
              <w:top w:val="nil"/>
              <w:left w:val="single" w:sz="4" w:space="0" w:color="auto"/>
              <w:bottom w:val="single" w:sz="4" w:space="0" w:color="auto"/>
              <w:right w:val="single" w:sz="4" w:space="0" w:color="auto"/>
            </w:tcBorders>
            <w:vAlign w:val="center"/>
            <w:hideMark/>
          </w:tcPr>
          <w:p w14:paraId="7CC1523D"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1F7CF123"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-6.7</w:t>
            </w:r>
          </w:p>
        </w:tc>
        <w:tc>
          <w:tcPr>
            <w:tcW w:w="1040" w:type="dxa"/>
            <w:tcBorders>
              <w:top w:val="nil"/>
              <w:left w:val="nil"/>
              <w:bottom w:val="single" w:sz="4" w:space="0" w:color="auto"/>
              <w:right w:val="single" w:sz="4" w:space="0" w:color="auto"/>
            </w:tcBorders>
            <w:shd w:val="clear" w:color="auto" w:fill="auto"/>
            <w:noWrap/>
            <w:vAlign w:val="bottom"/>
            <w:hideMark/>
          </w:tcPr>
          <w:p w14:paraId="173B92AD"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2.0</w:t>
            </w:r>
          </w:p>
        </w:tc>
      </w:tr>
      <w:tr w:rsidR="00AB38E0" w:rsidRPr="00AB38E0" w14:paraId="4B7D5B82" w14:textId="77777777" w:rsidTr="00AB38E0">
        <w:trPr>
          <w:trHeight w:val="60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5A8522EB"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 xml:space="preserve">Graphene + </w:t>
            </w:r>
            <w:proofErr w:type="spellStart"/>
            <w:r w:rsidRPr="00AB38E0">
              <w:rPr>
                <w:rFonts w:ascii="Times New Roman" w:eastAsia="Times New Roman" w:hAnsi="Times New Roman"/>
                <w:color w:val="000000"/>
                <w:sz w:val="24"/>
                <w:szCs w:val="24"/>
                <w:lang w:eastAsia="en-IN"/>
              </w:rPr>
              <w:t>Atz</w:t>
            </w:r>
            <w:proofErr w:type="spellEnd"/>
          </w:p>
        </w:tc>
        <w:tc>
          <w:tcPr>
            <w:tcW w:w="2320" w:type="dxa"/>
            <w:tcBorders>
              <w:top w:val="nil"/>
              <w:left w:val="nil"/>
              <w:bottom w:val="single" w:sz="4" w:space="0" w:color="auto"/>
              <w:right w:val="single" w:sz="4" w:space="0" w:color="auto"/>
            </w:tcBorders>
            <w:shd w:val="clear" w:color="auto" w:fill="auto"/>
            <w:noWrap/>
            <w:vAlign w:val="bottom"/>
            <w:hideMark/>
          </w:tcPr>
          <w:p w14:paraId="4099744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0E98A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250</w:t>
            </w:r>
          </w:p>
        </w:tc>
        <w:tc>
          <w:tcPr>
            <w:tcW w:w="1880" w:type="dxa"/>
            <w:tcBorders>
              <w:top w:val="nil"/>
              <w:left w:val="nil"/>
              <w:bottom w:val="single" w:sz="4" w:space="0" w:color="auto"/>
              <w:right w:val="single" w:sz="4" w:space="0" w:color="auto"/>
            </w:tcBorders>
            <w:shd w:val="clear" w:color="auto" w:fill="auto"/>
            <w:noWrap/>
            <w:vAlign w:val="bottom"/>
            <w:hideMark/>
          </w:tcPr>
          <w:p w14:paraId="7D02A50A"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-10.2</w:t>
            </w:r>
          </w:p>
        </w:tc>
        <w:tc>
          <w:tcPr>
            <w:tcW w:w="1040" w:type="dxa"/>
            <w:tcBorders>
              <w:top w:val="nil"/>
              <w:left w:val="nil"/>
              <w:bottom w:val="single" w:sz="4" w:space="0" w:color="auto"/>
              <w:right w:val="single" w:sz="4" w:space="0" w:color="auto"/>
            </w:tcBorders>
            <w:shd w:val="clear" w:color="auto" w:fill="auto"/>
            <w:noWrap/>
            <w:vAlign w:val="bottom"/>
            <w:hideMark/>
          </w:tcPr>
          <w:p w14:paraId="69826C30"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1.0</w:t>
            </w:r>
          </w:p>
        </w:tc>
      </w:tr>
      <w:tr w:rsidR="00AB38E0" w:rsidRPr="00AB38E0" w14:paraId="1D4B2BAB"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232C5D8D"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780D9D19"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50</w:t>
            </w:r>
          </w:p>
        </w:tc>
        <w:tc>
          <w:tcPr>
            <w:tcW w:w="2260" w:type="dxa"/>
            <w:vMerge/>
            <w:tcBorders>
              <w:top w:val="nil"/>
              <w:left w:val="single" w:sz="4" w:space="0" w:color="auto"/>
              <w:bottom w:val="single" w:sz="4" w:space="0" w:color="auto"/>
              <w:right w:val="single" w:sz="4" w:space="0" w:color="auto"/>
            </w:tcBorders>
            <w:vAlign w:val="center"/>
            <w:hideMark/>
          </w:tcPr>
          <w:p w14:paraId="3D50AEBC"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5B4C3671"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-8.7</w:t>
            </w:r>
          </w:p>
        </w:tc>
        <w:tc>
          <w:tcPr>
            <w:tcW w:w="1040" w:type="dxa"/>
            <w:tcBorders>
              <w:top w:val="nil"/>
              <w:left w:val="nil"/>
              <w:bottom w:val="single" w:sz="4" w:space="0" w:color="auto"/>
              <w:right w:val="single" w:sz="4" w:space="0" w:color="auto"/>
            </w:tcBorders>
            <w:shd w:val="clear" w:color="auto" w:fill="auto"/>
            <w:noWrap/>
            <w:vAlign w:val="bottom"/>
            <w:hideMark/>
          </w:tcPr>
          <w:p w14:paraId="15D1663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2.3</w:t>
            </w:r>
          </w:p>
        </w:tc>
      </w:tr>
      <w:tr w:rsidR="00AB38E0" w:rsidRPr="00AB38E0" w14:paraId="1550E5CE"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67D6F0DF"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3BE38C3B"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75</w:t>
            </w:r>
          </w:p>
        </w:tc>
        <w:tc>
          <w:tcPr>
            <w:tcW w:w="2260" w:type="dxa"/>
            <w:vMerge/>
            <w:tcBorders>
              <w:top w:val="nil"/>
              <w:left w:val="single" w:sz="4" w:space="0" w:color="auto"/>
              <w:bottom w:val="single" w:sz="4" w:space="0" w:color="auto"/>
              <w:right w:val="single" w:sz="4" w:space="0" w:color="auto"/>
            </w:tcBorders>
            <w:vAlign w:val="center"/>
            <w:hideMark/>
          </w:tcPr>
          <w:p w14:paraId="23877885"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1F274BED"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-6.1</w:t>
            </w:r>
          </w:p>
        </w:tc>
        <w:tc>
          <w:tcPr>
            <w:tcW w:w="1040" w:type="dxa"/>
            <w:tcBorders>
              <w:top w:val="nil"/>
              <w:left w:val="nil"/>
              <w:bottom w:val="single" w:sz="4" w:space="0" w:color="auto"/>
              <w:right w:val="single" w:sz="4" w:space="0" w:color="auto"/>
            </w:tcBorders>
            <w:shd w:val="clear" w:color="auto" w:fill="auto"/>
            <w:noWrap/>
            <w:vAlign w:val="bottom"/>
            <w:hideMark/>
          </w:tcPr>
          <w:p w14:paraId="4198931F"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0.9</w:t>
            </w:r>
          </w:p>
        </w:tc>
      </w:tr>
      <w:tr w:rsidR="00AB38E0" w:rsidRPr="00AB38E0" w14:paraId="52DDA02A" w14:textId="77777777" w:rsidTr="00AB38E0">
        <w:trPr>
          <w:trHeight w:val="315"/>
        </w:trPr>
        <w:tc>
          <w:tcPr>
            <w:tcW w:w="1060" w:type="dxa"/>
            <w:vMerge/>
            <w:tcBorders>
              <w:top w:val="nil"/>
              <w:left w:val="single" w:sz="4" w:space="0" w:color="auto"/>
              <w:bottom w:val="single" w:sz="4" w:space="0" w:color="auto"/>
              <w:right w:val="single" w:sz="4" w:space="0" w:color="auto"/>
            </w:tcBorders>
            <w:vAlign w:val="center"/>
            <w:hideMark/>
          </w:tcPr>
          <w:p w14:paraId="5B8CC5A2"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320" w:type="dxa"/>
            <w:tcBorders>
              <w:top w:val="nil"/>
              <w:left w:val="nil"/>
              <w:bottom w:val="single" w:sz="4" w:space="0" w:color="auto"/>
              <w:right w:val="single" w:sz="4" w:space="0" w:color="auto"/>
            </w:tcBorders>
            <w:shd w:val="clear" w:color="auto" w:fill="auto"/>
            <w:noWrap/>
            <w:vAlign w:val="bottom"/>
            <w:hideMark/>
          </w:tcPr>
          <w:p w14:paraId="4286C1BA"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100</w:t>
            </w:r>
          </w:p>
        </w:tc>
        <w:tc>
          <w:tcPr>
            <w:tcW w:w="2260" w:type="dxa"/>
            <w:vMerge/>
            <w:tcBorders>
              <w:top w:val="nil"/>
              <w:left w:val="single" w:sz="4" w:space="0" w:color="auto"/>
              <w:bottom w:val="single" w:sz="4" w:space="0" w:color="auto"/>
              <w:right w:val="single" w:sz="4" w:space="0" w:color="auto"/>
            </w:tcBorders>
            <w:vAlign w:val="center"/>
            <w:hideMark/>
          </w:tcPr>
          <w:p w14:paraId="46C2C94C"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880" w:type="dxa"/>
            <w:tcBorders>
              <w:top w:val="nil"/>
              <w:left w:val="nil"/>
              <w:bottom w:val="single" w:sz="4" w:space="0" w:color="auto"/>
              <w:right w:val="single" w:sz="4" w:space="0" w:color="auto"/>
            </w:tcBorders>
            <w:shd w:val="clear" w:color="auto" w:fill="auto"/>
            <w:noWrap/>
            <w:vAlign w:val="bottom"/>
            <w:hideMark/>
          </w:tcPr>
          <w:p w14:paraId="39B14273"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-4.8</w:t>
            </w:r>
          </w:p>
        </w:tc>
        <w:tc>
          <w:tcPr>
            <w:tcW w:w="1040" w:type="dxa"/>
            <w:tcBorders>
              <w:top w:val="nil"/>
              <w:left w:val="nil"/>
              <w:bottom w:val="single" w:sz="4" w:space="0" w:color="auto"/>
              <w:right w:val="single" w:sz="4" w:space="0" w:color="auto"/>
            </w:tcBorders>
            <w:shd w:val="clear" w:color="auto" w:fill="auto"/>
            <w:noWrap/>
            <w:vAlign w:val="bottom"/>
            <w:hideMark/>
          </w:tcPr>
          <w:p w14:paraId="604F0773"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1.7</w:t>
            </w:r>
          </w:p>
        </w:tc>
      </w:tr>
    </w:tbl>
    <w:p w14:paraId="186A8C84" w14:textId="77777777" w:rsidR="001E6CB3" w:rsidRPr="00C0476D" w:rsidRDefault="001E6CB3" w:rsidP="001E6CB3">
      <w:pPr>
        <w:rPr>
          <w:rFonts w:ascii="Times New Roman" w:hAnsi="Times New Roman"/>
          <w:sz w:val="24"/>
          <w:szCs w:val="24"/>
        </w:rPr>
      </w:pPr>
    </w:p>
    <w:p w14:paraId="4A9D5D46" w14:textId="77777777" w:rsidR="001E6CB3" w:rsidRPr="00C0476D" w:rsidRDefault="001E6CB3" w:rsidP="001E6CB3">
      <w:pPr>
        <w:rPr>
          <w:rFonts w:ascii="Times New Roman" w:hAnsi="Times New Roman"/>
          <w:sz w:val="24"/>
          <w:szCs w:val="24"/>
        </w:rPr>
      </w:pPr>
    </w:p>
    <w:p w14:paraId="12101E8C" w14:textId="77777777" w:rsidR="001E6CB3" w:rsidRPr="00C0476D" w:rsidRDefault="001E6CB3" w:rsidP="001E6CB3">
      <w:pPr>
        <w:jc w:val="center"/>
        <w:rPr>
          <w:rFonts w:ascii="Times New Roman" w:hAnsi="Times New Roman"/>
          <w:sz w:val="24"/>
          <w:szCs w:val="24"/>
        </w:rPr>
      </w:pPr>
    </w:p>
    <w:p w14:paraId="28E06553" w14:textId="4A476729" w:rsidR="001E6CB3" w:rsidRPr="00C0476D" w:rsidRDefault="001E6CB3" w:rsidP="00EF3C65">
      <w:pPr>
        <w:spacing w:after="200" w:line="276" w:lineRule="auto"/>
        <w:rPr>
          <w:rFonts w:ascii="Times New Roman" w:hAnsi="Times New Roman"/>
          <w:b/>
          <w:sz w:val="24"/>
          <w:szCs w:val="24"/>
          <w:lang w:val="en-GB"/>
        </w:rPr>
      </w:pPr>
      <w:r w:rsidRPr="00C0476D">
        <w:rPr>
          <w:rFonts w:ascii="Times New Roman" w:hAnsi="Times New Roman"/>
          <w:b/>
          <w:sz w:val="24"/>
          <w:szCs w:val="24"/>
          <w:lang w:val="en-GB"/>
        </w:rPr>
        <w:br w:type="page"/>
      </w:r>
      <w:r w:rsidRPr="00C0476D">
        <w:rPr>
          <w:rFonts w:ascii="Times New Roman" w:hAnsi="Times New Roman"/>
          <w:b/>
          <w:sz w:val="24"/>
          <w:szCs w:val="24"/>
        </w:rPr>
        <w:lastRenderedPageBreak/>
        <w:t xml:space="preserve">Table S6: Contact angle of the pristine GFNs and the mixture of the GFNs and </w:t>
      </w:r>
      <w:r w:rsidR="00AB38E0">
        <w:rPr>
          <w:rFonts w:ascii="Times New Roman" w:hAnsi="Times New Roman"/>
          <w:b/>
          <w:sz w:val="24"/>
          <w:szCs w:val="24"/>
        </w:rPr>
        <w:t xml:space="preserve">atrazine </w:t>
      </w:r>
      <w:r w:rsidRPr="00C0476D">
        <w:rPr>
          <w:rFonts w:ascii="Times New Roman" w:hAnsi="Times New Roman"/>
          <w:b/>
          <w:sz w:val="24"/>
          <w:szCs w:val="24"/>
        </w:rPr>
        <w:t xml:space="preserve"> </w:t>
      </w:r>
    </w:p>
    <w:p w14:paraId="1577A15A" w14:textId="77777777" w:rsidR="001E6CB3" w:rsidRPr="00C0476D" w:rsidRDefault="001E6CB3" w:rsidP="001E6CB3">
      <w:pPr>
        <w:rPr>
          <w:rFonts w:ascii="Times New Roman" w:hAnsi="Times New Roman"/>
          <w:sz w:val="24"/>
          <w:szCs w:val="24"/>
        </w:rPr>
      </w:pPr>
    </w:p>
    <w:tbl>
      <w:tblPr>
        <w:tblW w:w="8920" w:type="dxa"/>
        <w:tblLook w:val="04A0" w:firstRow="1" w:lastRow="0" w:firstColumn="1" w:lastColumn="0" w:noHBand="0" w:noVBand="1"/>
      </w:tblPr>
      <w:tblGrid>
        <w:gridCol w:w="1960"/>
        <w:gridCol w:w="1900"/>
        <w:gridCol w:w="1960"/>
        <w:gridCol w:w="2100"/>
        <w:gridCol w:w="1000"/>
      </w:tblGrid>
      <w:tr w:rsidR="00AB38E0" w:rsidRPr="00AB38E0" w14:paraId="0917BE64" w14:textId="77777777" w:rsidTr="00AB38E0">
        <w:trPr>
          <w:trHeight w:val="63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8C7BF" w14:textId="77777777" w:rsidR="00AB38E0" w:rsidRPr="00AB38E0" w:rsidRDefault="00AB38E0" w:rsidP="00AB38E0">
            <w:pPr>
              <w:spacing w:after="0" w:line="240" w:lineRule="auto"/>
              <w:jc w:val="center"/>
              <w:rPr>
                <w:rFonts w:ascii="Times New Roman" w:eastAsia="Times New Roman" w:hAnsi="Times New Roman"/>
                <w:b/>
                <w:bCs/>
                <w:color w:val="000000"/>
                <w:sz w:val="24"/>
                <w:szCs w:val="24"/>
                <w:lang w:eastAsia="en-IN"/>
              </w:rPr>
            </w:pPr>
            <w:r w:rsidRPr="00AB38E0">
              <w:rPr>
                <w:rFonts w:ascii="Times New Roman" w:eastAsia="Times New Roman" w:hAnsi="Times New Roman"/>
                <w:b/>
                <w:bCs/>
                <w:color w:val="000000"/>
                <w:sz w:val="24"/>
                <w:szCs w:val="24"/>
                <w:lang w:eastAsia="en-IN"/>
              </w:rPr>
              <w:t>Material</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14:paraId="21F3ABBA" w14:textId="77777777" w:rsidR="00AB38E0" w:rsidRPr="00AB38E0" w:rsidRDefault="00AB38E0" w:rsidP="00AB38E0">
            <w:pPr>
              <w:spacing w:after="0" w:line="240" w:lineRule="auto"/>
              <w:jc w:val="center"/>
              <w:rPr>
                <w:rFonts w:ascii="Times New Roman" w:eastAsia="Times New Roman" w:hAnsi="Times New Roman"/>
                <w:b/>
                <w:bCs/>
                <w:color w:val="000000"/>
                <w:sz w:val="24"/>
                <w:szCs w:val="24"/>
                <w:lang w:eastAsia="en-IN"/>
              </w:rPr>
            </w:pPr>
            <w:r w:rsidRPr="00AB38E0">
              <w:rPr>
                <w:rFonts w:ascii="Times New Roman" w:eastAsia="Times New Roman" w:hAnsi="Times New Roman"/>
                <w:b/>
                <w:bCs/>
                <w:color w:val="000000"/>
                <w:sz w:val="24"/>
                <w:szCs w:val="24"/>
                <w:lang w:eastAsia="en-IN"/>
              </w:rPr>
              <w:t xml:space="preserve">Concentration of </w:t>
            </w:r>
            <w:proofErr w:type="spellStart"/>
            <w:r w:rsidRPr="00AB38E0">
              <w:rPr>
                <w:rFonts w:ascii="Times New Roman" w:eastAsia="Times New Roman" w:hAnsi="Times New Roman"/>
                <w:b/>
                <w:bCs/>
                <w:color w:val="000000"/>
                <w:sz w:val="24"/>
                <w:szCs w:val="24"/>
                <w:lang w:eastAsia="en-IN"/>
              </w:rPr>
              <w:t>Atz</w:t>
            </w:r>
            <w:proofErr w:type="spellEnd"/>
            <w:r w:rsidRPr="00AB38E0">
              <w:rPr>
                <w:rFonts w:ascii="Times New Roman" w:eastAsia="Times New Roman" w:hAnsi="Times New Roman"/>
                <w:b/>
                <w:bCs/>
                <w:color w:val="000000"/>
                <w:sz w:val="24"/>
                <w:szCs w:val="24"/>
                <w:lang w:eastAsia="en-IN"/>
              </w:rPr>
              <w:t xml:space="preserve"> (µg/L)</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1C0FC109" w14:textId="77777777" w:rsidR="00AB38E0" w:rsidRPr="00AB38E0" w:rsidRDefault="00AB38E0" w:rsidP="00AB38E0">
            <w:pPr>
              <w:spacing w:after="0" w:line="240" w:lineRule="auto"/>
              <w:jc w:val="center"/>
              <w:rPr>
                <w:rFonts w:ascii="Times New Roman" w:eastAsia="Times New Roman" w:hAnsi="Times New Roman"/>
                <w:b/>
                <w:bCs/>
                <w:color w:val="000000"/>
                <w:sz w:val="24"/>
                <w:szCs w:val="24"/>
                <w:lang w:eastAsia="en-IN"/>
              </w:rPr>
            </w:pPr>
            <w:r w:rsidRPr="00AB38E0">
              <w:rPr>
                <w:rFonts w:ascii="Times New Roman" w:eastAsia="Times New Roman" w:hAnsi="Times New Roman"/>
                <w:b/>
                <w:bCs/>
                <w:color w:val="000000"/>
                <w:sz w:val="24"/>
                <w:szCs w:val="24"/>
                <w:lang w:eastAsia="en-IN"/>
              </w:rPr>
              <w:t>Concentration of GFNs (µg/L)</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236D2E2B" w14:textId="6BB611E9" w:rsidR="00AB38E0" w:rsidRPr="00AB38E0" w:rsidRDefault="004A4F91" w:rsidP="00AB38E0">
            <w:pPr>
              <w:spacing w:after="0" w:line="240" w:lineRule="auto"/>
              <w:jc w:val="center"/>
              <w:rPr>
                <w:rFonts w:ascii="Times New Roman" w:eastAsia="Times New Roman" w:hAnsi="Times New Roman"/>
                <w:b/>
                <w:bCs/>
                <w:color w:val="000000"/>
                <w:sz w:val="24"/>
                <w:szCs w:val="24"/>
                <w:lang w:eastAsia="en-IN"/>
              </w:rPr>
            </w:pPr>
            <w:r>
              <w:rPr>
                <w:rFonts w:ascii="Times New Roman" w:eastAsia="Times New Roman" w:hAnsi="Times New Roman"/>
                <w:b/>
                <w:bCs/>
                <w:color w:val="000000"/>
                <w:sz w:val="24"/>
                <w:szCs w:val="24"/>
                <w:lang w:eastAsia="en-IN"/>
              </w:rPr>
              <w:t>Contact angle (</w:t>
            </w:r>
            <w:r>
              <w:rPr>
                <w:rFonts w:eastAsia="Times New Roman"/>
                <w:b/>
                <w:bCs/>
                <w:color w:val="000000"/>
                <w:sz w:val="24"/>
                <w:szCs w:val="24"/>
                <w:lang w:eastAsia="en-IN"/>
              </w:rPr>
              <w:t>°</w:t>
            </w:r>
            <w:r>
              <w:rPr>
                <w:rFonts w:ascii="Times New Roman" w:eastAsia="Times New Roman" w:hAnsi="Times New Roman"/>
                <w:b/>
                <w:bCs/>
                <w:color w:val="000000"/>
                <w:sz w:val="24"/>
                <w:szCs w:val="24"/>
                <w:lang w:eastAsia="en-IN"/>
              </w:rPr>
              <w:t>)</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E90EE6E" w14:textId="77777777" w:rsidR="00AB38E0" w:rsidRPr="00AB38E0" w:rsidRDefault="00AB38E0" w:rsidP="00AB38E0">
            <w:pPr>
              <w:spacing w:after="0" w:line="240" w:lineRule="auto"/>
              <w:jc w:val="center"/>
              <w:rPr>
                <w:rFonts w:ascii="Times New Roman" w:eastAsia="Times New Roman" w:hAnsi="Times New Roman"/>
                <w:b/>
                <w:bCs/>
                <w:color w:val="000000"/>
                <w:sz w:val="24"/>
                <w:szCs w:val="24"/>
                <w:lang w:eastAsia="en-IN"/>
              </w:rPr>
            </w:pPr>
            <w:r w:rsidRPr="00AB38E0">
              <w:rPr>
                <w:rFonts w:ascii="Times New Roman" w:eastAsia="Times New Roman" w:hAnsi="Times New Roman"/>
                <w:b/>
                <w:bCs/>
                <w:color w:val="000000"/>
                <w:sz w:val="24"/>
                <w:szCs w:val="24"/>
                <w:lang w:eastAsia="en-IN"/>
              </w:rPr>
              <w:t>SD</w:t>
            </w:r>
          </w:p>
        </w:tc>
      </w:tr>
      <w:tr w:rsidR="00AB38E0" w:rsidRPr="00AB38E0" w14:paraId="079A2DEB" w14:textId="77777777" w:rsidTr="00AB38E0">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EFC04B"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GO</w:t>
            </w:r>
          </w:p>
        </w:tc>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B0DF66"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_</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774A7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250</w:t>
            </w:r>
          </w:p>
        </w:tc>
        <w:tc>
          <w:tcPr>
            <w:tcW w:w="2100" w:type="dxa"/>
            <w:tcBorders>
              <w:top w:val="nil"/>
              <w:left w:val="nil"/>
              <w:bottom w:val="single" w:sz="4" w:space="0" w:color="auto"/>
              <w:right w:val="single" w:sz="4" w:space="0" w:color="auto"/>
            </w:tcBorders>
            <w:shd w:val="clear" w:color="auto" w:fill="auto"/>
            <w:noWrap/>
            <w:vAlign w:val="bottom"/>
            <w:hideMark/>
          </w:tcPr>
          <w:p w14:paraId="157054D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36.37</w:t>
            </w:r>
          </w:p>
        </w:tc>
        <w:tc>
          <w:tcPr>
            <w:tcW w:w="1000" w:type="dxa"/>
            <w:tcBorders>
              <w:top w:val="nil"/>
              <w:left w:val="nil"/>
              <w:bottom w:val="single" w:sz="4" w:space="0" w:color="auto"/>
              <w:right w:val="single" w:sz="4" w:space="0" w:color="auto"/>
            </w:tcBorders>
            <w:shd w:val="clear" w:color="auto" w:fill="auto"/>
            <w:noWrap/>
            <w:vAlign w:val="bottom"/>
            <w:hideMark/>
          </w:tcPr>
          <w:p w14:paraId="11731931"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2.87</w:t>
            </w:r>
          </w:p>
        </w:tc>
      </w:tr>
      <w:tr w:rsidR="00AB38E0" w:rsidRPr="00AB38E0" w14:paraId="5A4A4F12" w14:textId="77777777" w:rsidTr="00AB38E0">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E03DEE"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proofErr w:type="spellStart"/>
            <w:r w:rsidRPr="00AB38E0">
              <w:rPr>
                <w:rFonts w:ascii="Times New Roman" w:eastAsia="Times New Roman" w:hAnsi="Times New Roman"/>
                <w:color w:val="000000"/>
                <w:sz w:val="24"/>
                <w:szCs w:val="24"/>
                <w:lang w:eastAsia="en-IN"/>
              </w:rPr>
              <w:t>rGO</w:t>
            </w:r>
            <w:proofErr w:type="spellEnd"/>
          </w:p>
        </w:tc>
        <w:tc>
          <w:tcPr>
            <w:tcW w:w="1900" w:type="dxa"/>
            <w:vMerge/>
            <w:tcBorders>
              <w:top w:val="nil"/>
              <w:left w:val="single" w:sz="4" w:space="0" w:color="auto"/>
              <w:bottom w:val="single" w:sz="4" w:space="0" w:color="000000"/>
              <w:right w:val="single" w:sz="4" w:space="0" w:color="auto"/>
            </w:tcBorders>
            <w:vAlign w:val="center"/>
            <w:hideMark/>
          </w:tcPr>
          <w:p w14:paraId="75B497B8"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60" w:type="dxa"/>
            <w:vMerge/>
            <w:tcBorders>
              <w:top w:val="nil"/>
              <w:left w:val="single" w:sz="4" w:space="0" w:color="auto"/>
              <w:bottom w:val="single" w:sz="4" w:space="0" w:color="auto"/>
              <w:right w:val="single" w:sz="4" w:space="0" w:color="auto"/>
            </w:tcBorders>
            <w:vAlign w:val="center"/>
            <w:hideMark/>
          </w:tcPr>
          <w:p w14:paraId="2C2D59E4"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62DE56F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45.90</w:t>
            </w:r>
          </w:p>
        </w:tc>
        <w:tc>
          <w:tcPr>
            <w:tcW w:w="1000" w:type="dxa"/>
            <w:tcBorders>
              <w:top w:val="nil"/>
              <w:left w:val="nil"/>
              <w:bottom w:val="single" w:sz="4" w:space="0" w:color="auto"/>
              <w:right w:val="single" w:sz="4" w:space="0" w:color="auto"/>
            </w:tcBorders>
            <w:shd w:val="clear" w:color="auto" w:fill="auto"/>
            <w:noWrap/>
            <w:vAlign w:val="bottom"/>
            <w:hideMark/>
          </w:tcPr>
          <w:p w14:paraId="06BB4B7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1.77</w:t>
            </w:r>
          </w:p>
        </w:tc>
      </w:tr>
      <w:tr w:rsidR="00AB38E0" w:rsidRPr="00AB38E0" w14:paraId="1D7EDA57" w14:textId="77777777" w:rsidTr="00AB38E0">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C84CA3"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Graphene</w:t>
            </w:r>
          </w:p>
        </w:tc>
        <w:tc>
          <w:tcPr>
            <w:tcW w:w="1900" w:type="dxa"/>
            <w:vMerge/>
            <w:tcBorders>
              <w:top w:val="nil"/>
              <w:left w:val="single" w:sz="4" w:space="0" w:color="auto"/>
              <w:bottom w:val="single" w:sz="4" w:space="0" w:color="000000"/>
              <w:right w:val="single" w:sz="4" w:space="0" w:color="auto"/>
            </w:tcBorders>
            <w:vAlign w:val="center"/>
            <w:hideMark/>
          </w:tcPr>
          <w:p w14:paraId="72310704"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60" w:type="dxa"/>
            <w:vMerge/>
            <w:tcBorders>
              <w:top w:val="nil"/>
              <w:left w:val="single" w:sz="4" w:space="0" w:color="auto"/>
              <w:bottom w:val="single" w:sz="4" w:space="0" w:color="auto"/>
              <w:right w:val="single" w:sz="4" w:space="0" w:color="auto"/>
            </w:tcBorders>
            <w:vAlign w:val="center"/>
            <w:hideMark/>
          </w:tcPr>
          <w:p w14:paraId="5DE723C1"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0753945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21.00</w:t>
            </w:r>
          </w:p>
        </w:tc>
        <w:tc>
          <w:tcPr>
            <w:tcW w:w="1000" w:type="dxa"/>
            <w:tcBorders>
              <w:top w:val="nil"/>
              <w:left w:val="nil"/>
              <w:bottom w:val="single" w:sz="4" w:space="0" w:color="auto"/>
              <w:right w:val="single" w:sz="4" w:space="0" w:color="auto"/>
            </w:tcBorders>
            <w:shd w:val="clear" w:color="auto" w:fill="auto"/>
            <w:noWrap/>
            <w:vAlign w:val="bottom"/>
            <w:hideMark/>
          </w:tcPr>
          <w:p w14:paraId="2C6E45F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3.02</w:t>
            </w:r>
          </w:p>
        </w:tc>
      </w:tr>
      <w:tr w:rsidR="00AB38E0" w:rsidRPr="00AB38E0" w14:paraId="29064ACD" w14:textId="77777777" w:rsidTr="00AB38E0">
        <w:trPr>
          <w:trHeight w:val="315"/>
        </w:trPr>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8B0BA1"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 xml:space="preserve">GO + </w:t>
            </w:r>
            <w:proofErr w:type="spellStart"/>
            <w:r w:rsidRPr="00AB38E0">
              <w:rPr>
                <w:rFonts w:ascii="Times New Roman" w:eastAsia="Times New Roman" w:hAnsi="Times New Roman"/>
                <w:color w:val="000000"/>
                <w:sz w:val="24"/>
                <w:szCs w:val="24"/>
                <w:lang w:eastAsia="en-IN"/>
              </w:rPr>
              <w:t>Atz</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3F49F90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E35DB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250</w:t>
            </w:r>
          </w:p>
        </w:tc>
        <w:tc>
          <w:tcPr>
            <w:tcW w:w="2100" w:type="dxa"/>
            <w:tcBorders>
              <w:top w:val="nil"/>
              <w:left w:val="nil"/>
              <w:bottom w:val="single" w:sz="4" w:space="0" w:color="auto"/>
              <w:right w:val="single" w:sz="4" w:space="0" w:color="auto"/>
            </w:tcBorders>
            <w:shd w:val="clear" w:color="auto" w:fill="auto"/>
            <w:noWrap/>
            <w:vAlign w:val="bottom"/>
            <w:hideMark/>
          </w:tcPr>
          <w:p w14:paraId="148EAC4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30.30</w:t>
            </w:r>
          </w:p>
        </w:tc>
        <w:tc>
          <w:tcPr>
            <w:tcW w:w="1000" w:type="dxa"/>
            <w:tcBorders>
              <w:top w:val="nil"/>
              <w:left w:val="nil"/>
              <w:bottom w:val="single" w:sz="4" w:space="0" w:color="auto"/>
              <w:right w:val="single" w:sz="4" w:space="0" w:color="auto"/>
            </w:tcBorders>
            <w:shd w:val="clear" w:color="auto" w:fill="auto"/>
            <w:noWrap/>
            <w:vAlign w:val="bottom"/>
            <w:hideMark/>
          </w:tcPr>
          <w:p w14:paraId="4073796E"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1.85</w:t>
            </w:r>
          </w:p>
        </w:tc>
      </w:tr>
      <w:tr w:rsidR="00AB38E0" w:rsidRPr="00AB38E0" w14:paraId="07BC02AF" w14:textId="77777777" w:rsidTr="00AB38E0">
        <w:trPr>
          <w:trHeight w:val="315"/>
        </w:trPr>
        <w:tc>
          <w:tcPr>
            <w:tcW w:w="1960" w:type="dxa"/>
            <w:vMerge/>
            <w:tcBorders>
              <w:top w:val="nil"/>
              <w:left w:val="single" w:sz="4" w:space="0" w:color="auto"/>
              <w:bottom w:val="single" w:sz="4" w:space="0" w:color="auto"/>
              <w:right w:val="single" w:sz="4" w:space="0" w:color="auto"/>
            </w:tcBorders>
            <w:vAlign w:val="center"/>
            <w:hideMark/>
          </w:tcPr>
          <w:p w14:paraId="71706C24"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00" w:type="dxa"/>
            <w:tcBorders>
              <w:top w:val="nil"/>
              <w:left w:val="nil"/>
              <w:bottom w:val="single" w:sz="4" w:space="0" w:color="auto"/>
              <w:right w:val="single" w:sz="4" w:space="0" w:color="auto"/>
            </w:tcBorders>
            <w:shd w:val="clear" w:color="auto" w:fill="auto"/>
            <w:noWrap/>
            <w:vAlign w:val="bottom"/>
            <w:hideMark/>
          </w:tcPr>
          <w:p w14:paraId="00F1A0D6"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50</w:t>
            </w:r>
          </w:p>
        </w:tc>
        <w:tc>
          <w:tcPr>
            <w:tcW w:w="1960" w:type="dxa"/>
            <w:vMerge/>
            <w:tcBorders>
              <w:top w:val="nil"/>
              <w:left w:val="single" w:sz="4" w:space="0" w:color="auto"/>
              <w:bottom w:val="single" w:sz="4" w:space="0" w:color="auto"/>
              <w:right w:val="single" w:sz="4" w:space="0" w:color="auto"/>
            </w:tcBorders>
            <w:vAlign w:val="center"/>
            <w:hideMark/>
          </w:tcPr>
          <w:p w14:paraId="50B3D9AE"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1EB2BAEF"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24.03</w:t>
            </w:r>
          </w:p>
        </w:tc>
        <w:tc>
          <w:tcPr>
            <w:tcW w:w="1000" w:type="dxa"/>
            <w:tcBorders>
              <w:top w:val="nil"/>
              <w:left w:val="nil"/>
              <w:bottom w:val="single" w:sz="4" w:space="0" w:color="auto"/>
              <w:right w:val="single" w:sz="4" w:space="0" w:color="auto"/>
            </w:tcBorders>
            <w:shd w:val="clear" w:color="auto" w:fill="auto"/>
            <w:noWrap/>
            <w:vAlign w:val="bottom"/>
            <w:hideMark/>
          </w:tcPr>
          <w:p w14:paraId="49BA362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2.54</w:t>
            </w:r>
          </w:p>
        </w:tc>
      </w:tr>
      <w:tr w:rsidR="00AB38E0" w:rsidRPr="00AB38E0" w14:paraId="6B9BD90A" w14:textId="77777777" w:rsidTr="00AB38E0">
        <w:trPr>
          <w:trHeight w:val="315"/>
        </w:trPr>
        <w:tc>
          <w:tcPr>
            <w:tcW w:w="1960" w:type="dxa"/>
            <w:vMerge/>
            <w:tcBorders>
              <w:top w:val="nil"/>
              <w:left w:val="single" w:sz="4" w:space="0" w:color="auto"/>
              <w:bottom w:val="single" w:sz="4" w:space="0" w:color="auto"/>
              <w:right w:val="single" w:sz="4" w:space="0" w:color="auto"/>
            </w:tcBorders>
            <w:vAlign w:val="center"/>
            <w:hideMark/>
          </w:tcPr>
          <w:p w14:paraId="52BFB3DD"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00" w:type="dxa"/>
            <w:tcBorders>
              <w:top w:val="nil"/>
              <w:left w:val="nil"/>
              <w:bottom w:val="single" w:sz="4" w:space="0" w:color="auto"/>
              <w:right w:val="single" w:sz="4" w:space="0" w:color="auto"/>
            </w:tcBorders>
            <w:shd w:val="clear" w:color="auto" w:fill="auto"/>
            <w:noWrap/>
            <w:vAlign w:val="bottom"/>
            <w:hideMark/>
          </w:tcPr>
          <w:p w14:paraId="1F63F94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75</w:t>
            </w:r>
          </w:p>
        </w:tc>
        <w:tc>
          <w:tcPr>
            <w:tcW w:w="1960" w:type="dxa"/>
            <w:vMerge/>
            <w:tcBorders>
              <w:top w:val="nil"/>
              <w:left w:val="single" w:sz="4" w:space="0" w:color="auto"/>
              <w:bottom w:val="single" w:sz="4" w:space="0" w:color="auto"/>
              <w:right w:val="single" w:sz="4" w:space="0" w:color="auto"/>
            </w:tcBorders>
            <w:vAlign w:val="center"/>
            <w:hideMark/>
          </w:tcPr>
          <w:p w14:paraId="595F0A62"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2E1E398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20.20</w:t>
            </w:r>
          </w:p>
        </w:tc>
        <w:tc>
          <w:tcPr>
            <w:tcW w:w="1000" w:type="dxa"/>
            <w:tcBorders>
              <w:top w:val="nil"/>
              <w:left w:val="nil"/>
              <w:bottom w:val="single" w:sz="4" w:space="0" w:color="auto"/>
              <w:right w:val="single" w:sz="4" w:space="0" w:color="auto"/>
            </w:tcBorders>
            <w:shd w:val="clear" w:color="auto" w:fill="auto"/>
            <w:noWrap/>
            <w:vAlign w:val="bottom"/>
            <w:hideMark/>
          </w:tcPr>
          <w:p w14:paraId="5891C76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1.85</w:t>
            </w:r>
          </w:p>
        </w:tc>
      </w:tr>
      <w:tr w:rsidR="00AB38E0" w:rsidRPr="00AB38E0" w14:paraId="112D307C" w14:textId="77777777" w:rsidTr="00AB38E0">
        <w:trPr>
          <w:trHeight w:val="315"/>
        </w:trPr>
        <w:tc>
          <w:tcPr>
            <w:tcW w:w="1960" w:type="dxa"/>
            <w:vMerge/>
            <w:tcBorders>
              <w:top w:val="nil"/>
              <w:left w:val="single" w:sz="4" w:space="0" w:color="auto"/>
              <w:bottom w:val="single" w:sz="4" w:space="0" w:color="auto"/>
              <w:right w:val="single" w:sz="4" w:space="0" w:color="auto"/>
            </w:tcBorders>
            <w:vAlign w:val="center"/>
            <w:hideMark/>
          </w:tcPr>
          <w:p w14:paraId="54E242ED"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00" w:type="dxa"/>
            <w:tcBorders>
              <w:top w:val="nil"/>
              <w:left w:val="nil"/>
              <w:bottom w:val="single" w:sz="4" w:space="0" w:color="auto"/>
              <w:right w:val="single" w:sz="4" w:space="0" w:color="auto"/>
            </w:tcBorders>
            <w:shd w:val="clear" w:color="auto" w:fill="auto"/>
            <w:noWrap/>
            <w:vAlign w:val="bottom"/>
            <w:hideMark/>
          </w:tcPr>
          <w:p w14:paraId="072E665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100</w:t>
            </w:r>
          </w:p>
        </w:tc>
        <w:tc>
          <w:tcPr>
            <w:tcW w:w="1960" w:type="dxa"/>
            <w:vMerge/>
            <w:tcBorders>
              <w:top w:val="nil"/>
              <w:left w:val="single" w:sz="4" w:space="0" w:color="auto"/>
              <w:bottom w:val="single" w:sz="4" w:space="0" w:color="auto"/>
              <w:right w:val="single" w:sz="4" w:space="0" w:color="auto"/>
            </w:tcBorders>
            <w:vAlign w:val="center"/>
            <w:hideMark/>
          </w:tcPr>
          <w:p w14:paraId="1A184B08"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31033352"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18.07</w:t>
            </w:r>
          </w:p>
        </w:tc>
        <w:tc>
          <w:tcPr>
            <w:tcW w:w="1000" w:type="dxa"/>
            <w:tcBorders>
              <w:top w:val="nil"/>
              <w:left w:val="nil"/>
              <w:bottom w:val="single" w:sz="4" w:space="0" w:color="auto"/>
              <w:right w:val="single" w:sz="4" w:space="0" w:color="auto"/>
            </w:tcBorders>
            <w:shd w:val="clear" w:color="auto" w:fill="auto"/>
            <w:noWrap/>
            <w:vAlign w:val="bottom"/>
            <w:hideMark/>
          </w:tcPr>
          <w:p w14:paraId="62D49A3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1.53</w:t>
            </w:r>
          </w:p>
        </w:tc>
      </w:tr>
      <w:tr w:rsidR="00AB38E0" w:rsidRPr="00AB38E0" w14:paraId="7923CD65" w14:textId="77777777" w:rsidTr="00AB38E0">
        <w:trPr>
          <w:trHeight w:val="315"/>
        </w:trPr>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CC3B"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proofErr w:type="spellStart"/>
            <w:r w:rsidRPr="00AB38E0">
              <w:rPr>
                <w:rFonts w:ascii="Times New Roman" w:eastAsia="Times New Roman" w:hAnsi="Times New Roman"/>
                <w:color w:val="000000"/>
                <w:sz w:val="24"/>
                <w:szCs w:val="24"/>
                <w:lang w:eastAsia="en-IN"/>
              </w:rPr>
              <w:t>rGO</w:t>
            </w:r>
            <w:proofErr w:type="spellEnd"/>
            <w:r w:rsidRPr="00AB38E0">
              <w:rPr>
                <w:rFonts w:ascii="Times New Roman" w:eastAsia="Times New Roman" w:hAnsi="Times New Roman"/>
                <w:color w:val="000000"/>
                <w:sz w:val="24"/>
                <w:szCs w:val="24"/>
                <w:lang w:eastAsia="en-IN"/>
              </w:rPr>
              <w:t xml:space="preserve"> + </w:t>
            </w:r>
            <w:proofErr w:type="spellStart"/>
            <w:r w:rsidRPr="00AB38E0">
              <w:rPr>
                <w:rFonts w:ascii="Times New Roman" w:eastAsia="Times New Roman" w:hAnsi="Times New Roman"/>
                <w:color w:val="000000"/>
                <w:sz w:val="24"/>
                <w:szCs w:val="24"/>
                <w:lang w:eastAsia="en-IN"/>
              </w:rPr>
              <w:t>Atz</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460CBC5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A2255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250</w:t>
            </w:r>
          </w:p>
        </w:tc>
        <w:tc>
          <w:tcPr>
            <w:tcW w:w="2100" w:type="dxa"/>
            <w:tcBorders>
              <w:top w:val="nil"/>
              <w:left w:val="nil"/>
              <w:bottom w:val="single" w:sz="4" w:space="0" w:color="auto"/>
              <w:right w:val="single" w:sz="4" w:space="0" w:color="auto"/>
            </w:tcBorders>
            <w:shd w:val="clear" w:color="auto" w:fill="auto"/>
            <w:noWrap/>
            <w:vAlign w:val="bottom"/>
            <w:hideMark/>
          </w:tcPr>
          <w:p w14:paraId="747EEB8B"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33.17</w:t>
            </w:r>
          </w:p>
        </w:tc>
        <w:tc>
          <w:tcPr>
            <w:tcW w:w="1000" w:type="dxa"/>
            <w:tcBorders>
              <w:top w:val="nil"/>
              <w:left w:val="nil"/>
              <w:bottom w:val="single" w:sz="4" w:space="0" w:color="auto"/>
              <w:right w:val="single" w:sz="4" w:space="0" w:color="auto"/>
            </w:tcBorders>
            <w:shd w:val="clear" w:color="auto" w:fill="auto"/>
            <w:noWrap/>
            <w:vAlign w:val="bottom"/>
            <w:hideMark/>
          </w:tcPr>
          <w:p w14:paraId="441F203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2.01</w:t>
            </w:r>
          </w:p>
        </w:tc>
      </w:tr>
      <w:tr w:rsidR="00AB38E0" w:rsidRPr="00AB38E0" w14:paraId="65AAC72D" w14:textId="77777777" w:rsidTr="00AB38E0">
        <w:trPr>
          <w:trHeight w:val="315"/>
        </w:trPr>
        <w:tc>
          <w:tcPr>
            <w:tcW w:w="1960" w:type="dxa"/>
            <w:vMerge/>
            <w:tcBorders>
              <w:top w:val="nil"/>
              <w:left w:val="single" w:sz="4" w:space="0" w:color="auto"/>
              <w:bottom w:val="single" w:sz="4" w:space="0" w:color="auto"/>
              <w:right w:val="single" w:sz="4" w:space="0" w:color="auto"/>
            </w:tcBorders>
            <w:vAlign w:val="center"/>
            <w:hideMark/>
          </w:tcPr>
          <w:p w14:paraId="6D8B9FB6"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00" w:type="dxa"/>
            <w:tcBorders>
              <w:top w:val="nil"/>
              <w:left w:val="nil"/>
              <w:bottom w:val="single" w:sz="4" w:space="0" w:color="auto"/>
              <w:right w:val="single" w:sz="4" w:space="0" w:color="auto"/>
            </w:tcBorders>
            <w:shd w:val="clear" w:color="auto" w:fill="auto"/>
            <w:noWrap/>
            <w:vAlign w:val="bottom"/>
            <w:hideMark/>
          </w:tcPr>
          <w:p w14:paraId="207B0B6B"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50</w:t>
            </w:r>
          </w:p>
        </w:tc>
        <w:tc>
          <w:tcPr>
            <w:tcW w:w="1960" w:type="dxa"/>
            <w:vMerge/>
            <w:tcBorders>
              <w:top w:val="nil"/>
              <w:left w:val="single" w:sz="4" w:space="0" w:color="auto"/>
              <w:bottom w:val="single" w:sz="4" w:space="0" w:color="auto"/>
              <w:right w:val="single" w:sz="4" w:space="0" w:color="auto"/>
            </w:tcBorders>
            <w:vAlign w:val="center"/>
            <w:hideMark/>
          </w:tcPr>
          <w:p w14:paraId="2B71DCEB"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4A34DD11"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28.23</w:t>
            </w:r>
          </w:p>
        </w:tc>
        <w:tc>
          <w:tcPr>
            <w:tcW w:w="1000" w:type="dxa"/>
            <w:tcBorders>
              <w:top w:val="nil"/>
              <w:left w:val="nil"/>
              <w:bottom w:val="single" w:sz="4" w:space="0" w:color="auto"/>
              <w:right w:val="single" w:sz="4" w:space="0" w:color="auto"/>
            </w:tcBorders>
            <w:shd w:val="clear" w:color="auto" w:fill="auto"/>
            <w:noWrap/>
            <w:vAlign w:val="bottom"/>
            <w:hideMark/>
          </w:tcPr>
          <w:p w14:paraId="6911A9C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1.96</w:t>
            </w:r>
          </w:p>
        </w:tc>
      </w:tr>
      <w:tr w:rsidR="00AB38E0" w:rsidRPr="00AB38E0" w14:paraId="0D1C7C1F" w14:textId="77777777" w:rsidTr="00AB38E0">
        <w:trPr>
          <w:trHeight w:val="315"/>
        </w:trPr>
        <w:tc>
          <w:tcPr>
            <w:tcW w:w="1960" w:type="dxa"/>
            <w:vMerge/>
            <w:tcBorders>
              <w:top w:val="nil"/>
              <w:left w:val="single" w:sz="4" w:space="0" w:color="auto"/>
              <w:bottom w:val="single" w:sz="4" w:space="0" w:color="auto"/>
              <w:right w:val="single" w:sz="4" w:space="0" w:color="auto"/>
            </w:tcBorders>
            <w:vAlign w:val="center"/>
            <w:hideMark/>
          </w:tcPr>
          <w:p w14:paraId="63A7F6AB"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00" w:type="dxa"/>
            <w:tcBorders>
              <w:top w:val="nil"/>
              <w:left w:val="nil"/>
              <w:bottom w:val="single" w:sz="4" w:space="0" w:color="auto"/>
              <w:right w:val="single" w:sz="4" w:space="0" w:color="auto"/>
            </w:tcBorders>
            <w:shd w:val="clear" w:color="auto" w:fill="auto"/>
            <w:noWrap/>
            <w:vAlign w:val="bottom"/>
            <w:hideMark/>
          </w:tcPr>
          <w:p w14:paraId="3DAED87C"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75</w:t>
            </w:r>
          </w:p>
        </w:tc>
        <w:tc>
          <w:tcPr>
            <w:tcW w:w="1960" w:type="dxa"/>
            <w:vMerge/>
            <w:tcBorders>
              <w:top w:val="nil"/>
              <w:left w:val="single" w:sz="4" w:space="0" w:color="auto"/>
              <w:bottom w:val="single" w:sz="4" w:space="0" w:color="auto"/>
              <w:right w:val="single" w:sz="4" w:space="0" w:color="auto"/>
            </w:tcBorders>
            <w:vAlign w:val="center"/>
            <w:hideMark/>
          </w:tcPr>
          <w:p w14:paraId="77B3E921"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4C03A042"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20.43</w:t>
            </w:r>
          </w:p>
        </w:tc>
        <w:tc>
          <w:tcPr>
            <w:tcW w:w="1000" w:type="dxa"/>
            <w:tcBorders>
              <w:top w:val="nil"/>
              <w:left w:val="nil"/>
              <w:bottom w:val="single" w:sz="4" w:space="0" w:color="auto"/>
              <w:right w:val="single" w:sz="4" w:space="0" w:color="auto"/>
            </w:tcBorders>
            <w:shd w:val="clear" w:color="auto" w:fill="auto"/>
            <w:noWrap/>
            <w:vAlign w:val="bottom"/>
            <w:hideMark/>
          </w:tcPr>
          <w:p w14:paraId="4227D4D3"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0.75</w:t>
            </w:r>
          </w:p>
        </w:tc>
      </w:tr>
      <w:tr w:rsidR="00AB38E0" w:rsidRPr="00AB38E0" w14:paraId="46CFCFC7" w14:textId="77777777" w:rsidTr="00AB38E0">
        <w:trPr>
          <w:trHeight w:val="315"/>
        </w:trPr>
        <w:tc>
          <w:tcPr>
            <w:tcW w:w="1960" w:type="dxa"/>
            <w:vMerge/>
            <w:tcBorders>
              <w:top w:val="nil"/>
              <w:left w:val="single" w:sz="4" w:space="0" w:color="auto"/>
              <w:bottom w:val="single" w:sz="4" w:space="0" w:color="auto"/>
              <w:right w:val="single" w:sz="4" w:space="0" w:color="auto"/>
            </w:tcBorders>
            <w:vAlign w:val="center"/>
            <w:hideMark/>
          </w:tcPr>
          <w:p w14:paraId="18D26018"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00" w:type="dxa"/>
            <w:tcBorders>
              <w:top w:val="nil"/>
              <w:left w:val="nil"/>
              <w:bottom w:val="single" w:sz="4" w:space="0" w:color="auto"/>
              <w:right w:val="single" w:sz="4" w:space="0" w:color="auto"/>
            </w:tcBorders>
            <w:shd w:val="clear" w:color="auto" w:fill="auto"/>
            <w:noWrap/>
            <w:vAlign w:val="bottom"/>
            <w:hideMark/>
          </w:tcPr>
          <w:p w14:paraId="59BD4059"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100</w:t>
            </w:r>
          </w:p>
        </w:tc>
        <w:tc>
          <w:tcPr>
            <w:tcW w:w="1960" w:type="dxa"/>
            <w:vMerge/>
            <w:tcBorders>
              <w:top w:val="nil"/>
              <w:left w:val="single" w:sz="4" w:space="0" w:color="auto"/>
              <w:bottom w:val="single" w:sz="4" w:space="0" w:color="auto"/>
              <w:right w:val="single" w:sz="4" w:space="0" w:color="auto"/>
            </w:tcBorders>
            <w:vAlign w:val="center"/>
            <w:hideMark/>
          </w:tcPr>
          <w:p w14:paraId="4C5A890C"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48486EB8"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14.00</w:t>
            </w:r>
          </w:p>
        </w:tc>
        <w:tc>
          <w:tcPr>
            <w:tcW w:w="1000" w:type="dxa"/>
            <w:tcBorders>
              <w:top w:val="nil"/>
              <w:left w:val="nil"/>
              <w:bottom w:val="single" w:sz="4" w:space="0" w:color="auto"/>
              <w:right w:val="single" w:sz="4" w:space="0" w:color="auto"/>
            </w:tcBorders>
            <w:shd w:val="clear" w:color="auto" w:fill="auto"/>
            <w:noWrap/>
            <w:vAlign w:val="bottom"/>
            <w:hideMark/>
          </w:tcPr>
          <w:p w14:paraId="1DCC6F20"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1.44</w:t>
            </w:r>
          </w:p>
        </w:tc>
      </w:tr>
      <w:tr w:rsidR="00AB38E0" w:rsidRPr="00AB38E0" w14:paraId="68D267FF" w14:textId="77777777" w:rsidTr="00AB38E0">
        <w:trPr>
          <w:trHeight w:val="315"/>
        </w:trPr>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2D62E521"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 xml:space="preserve">Graphene + </w:t>
            </w:r>
            <w:proofErr w:type="spellStart"/>
            <w:r w:rsidRPr="00AB38E0">
              <w:rPr>
                <w:rFonts w:ascii="Times New Roman" w:eastAsia="Times New Roman" w:hAnsi="Times New Roman"/>
                <w:color w:val="000000"/>
                <w:sz w:val="24"/>
                <w:szCs w:val="24"/>
                <w:lang w:eastAsia="en-IN"/>
              </w:rPr>
              <w:t>Atz</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45FCE2AD"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90EFD3"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250</w:t>
            </w:r>
          </w:p>
        </w:tc>
        <w:tc>
          <w:tcPr>
            <w:tcW w:w="2100" w:type="dxa"/>
            <w:tcBorders>
              <w:top w:val="nil"/>
              <w:left w:val="nil"/>
              <w:bottom w:val="single" w:sz="4" w:space="0" w:color="auto"/>
              <w:right w:val="single" w:sz="4" w:space="0" w:color="auto"/>
            </w:tcBorders>
            <w:shd w:val="clear" w:color="auto" w:fill="auto"/>
            <w:noWrap/>
            <w:vAlign w:val="bottom"/>
            <w:hideMark/>
          </w:tcPr>
          <w:p w14:paraId="004D377D"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20.20</w:t>
            </w:r>
          </w:p>
        </w:tc>
        <w:tc>
          <w:tcPr>
            <w:tcW w:w="1000" w:type="dxa"/>
            <w:tcBorders>
              <w:top w:val="nil"/>
              <w:left w:val="nil"/>
              <w:bottom w:val="single" w:sz="4" w:space="0" w:color="auto"/>
              <w:right w:val="single" w:sz="4" w:space="0" w:color="auto"/>
            </w:tcBorders>
            <w:shd w:val="clear" w:color="auto" w:fill="auto"/>
            <w:noWrap/>
            <w:vAlign w:val="bottom"/>
            <w:hideMark/>
          </w:tcPr>
          <w:p w14:paraId="2D5674FA"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2.69</w:t>
            </w:r>
          </w:p>
        </w:tc>
      </w:tr>
      <w:tr w:rsidR="00AB38E0" w:rsidRPr="00AB38E0" w14:paraId="3AF610AF" w14:textId="77777777" w:rsidTr="00AB38E0">
        <w:trPr>
          <w:trHeight w:val="315"/>
        </w:trPr>
        <w:tc>
          <w:tcPr>
            <w:tcW w:w="1960" w:type="dxa"/>
            <w:vMerge/>
            <w:tcBorders>
              <w:top w:val="nil"/>
              <w:left w:val="single" w:sz="4" w:space="0" w:color="auto"/>
              <w:bottom w:val="single" w:sz="4" w:space="0" w:color="auto"/>
              <w:right w:val="single" w:sz="4" w:space="0" w:color="auto"/>
            </w:tcBorders>
            <w:vAlign w:val="center"/>
            <w:hideMark/>
          </w:tcPr>
          <w:p w14:paraId="6AEC8D4E"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00" w:type="dxa"/>
            <w:tcBorders>
              <w:top w:val="nil"/>
              <w:left w:val="nil"/>
              <w:bottom w:val="single" w:sz="4" w:space="0" w:color="auto"/>
              <w:right w:val="single" w:sz="4" w:space="0" w:color="auto"/>
            </w:tcBorders>
            <w:shd w:val="clear" w:color="auto" w:fill="auto"/>
            <w:noWrap/>
            <w:vAlign w:val="bottom"/>
            <w:hideMark/>
          </w:tcPr>
          <w:p w14:paraId="0FF5EA3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50</w:t>
            </w:r>
          </w:p>
        </w:tc>
        <w:tc>
          <w:tcPr>
            <w:tcW w:w="1960" w:type="dxa"/>
            <w:vMerge/>
            <w:tcBorders>
              <w:top w:val="nil"/>
              <w:left w:val="single" w:sz="4" w:space="0" w:color="auto"/>
              <w:bottom w:val="single" w:sz="4" w:space="0" w:color="auto"/>
              <w:right w:val="single" w:sz="4" w:space="0" w:color="auto"/>
            </w:tcBorders>
            <w:vAlign w:val="center"/>
            <w:hideMark/>
          </w:tcPr>
          <w:p w14:paraId="682703A3"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3BC3853E"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19.20</w:t>
            </w:r>
          </w:p>
        </w:tc>
        <w:tc>
          <w:tcPr>
            <w:tcW w:w="1000" w:type="dxa"/>
            <w:tcBorders>
              <w:top w:val="nil"/>
              <w:left w:val="nil"/>
              <w:bottom w:val="single" w:sz="4" w:space="0" w:color="auto"/>
              <w:right w:val="single" w:sz="4" w:space="0" w:color="auto"/>
            </w:tcBorders>
            <w:shd w:val="clear" w:color="auto" w:fill="auto"/>
            <w:noWrap/>
            <w:vAlign w:val="bottom"/>
            <w:hideMark/>
          </w:tcPr>
          <w:p w14:paraId="56DB6D1F"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1.60</w:t>
            </w:r>
          </w:p>
        </w:tc>
      </w:tr>
      <w:tr w:rsidR="00AB38E0" w:rsidRPr="00AB38E0" w14:paraId="05EC337F" w14:textId="77777777" w:rsidTr="00AB38E0">
        <w:trPr>
          <w:trHeight w:val="315"/>
        </w:trPr>
        <w:tc>
          <w:tcPr>
            <w:tcW w:w="1960" w:type="dxa"/>
            <w:vMerge/>
            <w:tcBorders>
              <w:top w:val="nil"/>
              <w:left w:val="single" w:sz="4" w:space="0" w:color="auto"/>
              <w:bottom w:val="single" w:sz="4" w:space="0" w:color="auto"/>
              <w:right w:val="single" w:sz="4" w:space="0" w:color="auto"/>
            </w:tcBorders>
            <w:vAlign w:val="center"/>
            <w:hideMark/>
          </w:tcPr>
          <w:p w14:paraId="0CEADBED"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00" w:type="dxa"/>
            <w:tcBorders>
              <w:top w:val="nil"/>
              <w:left w:val="nil"/>
              <w:bottom w:val="single" w:sz="4" w:space="0" w:color="auto"/>
              <w:right w:val="single" w:sz="4" w:space="0" w:color="auto"/>
            </w:tcBorders>
            <w:shd w:val="clear" w:color="auto" w:fill="auto"/>
            <w:noWrap/>
            <w:vAlign w:val="bottom"/>
            <w:hideMark/>
          </w:tcPr>
          <w:p w14:paraId="2903B81D"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75</w:t>
            </w:r>
          </w:p>
        </w:tc>
        <w:tc>
          <w:tcPr>
            <w:tcW w:w="1960" w:type="dxa"/>
            <w:vMerge/>
            <w:tcBorders>
              <w:top w:val="nil"/>
              <w:left w:val="single" w:sz="4" w:space="0" w:color="auto"/>
              <w:bottom w:val="single" w:sz="4" w:space="0" w:color="auto"/>
              <w:right w:val="single" w:sz="4" w:space="0" w:color="auto"/>
            </w:tcBorders>
            <w:vAlign w:val="center"/>
            <w:hideMark/>
          </w:tcPr>
          <w:p w14:paraId="0EBB000A"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36FD2865"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14.03</w:t>
            </w:r>
          </w:p>
        </w:tc>
        <w:tc>
          <w:tcPr>
            <w:tcW w:w="1000" w:type="dxa"/>
            <w:tcBorders>
              <w:top w:val="nil"/>
              <w:left w:val="nil"/>
              <w:bottom w:val="single" w:sz="4" w:space="0" w:color="auto"/>
              <w:right w:val="single" w:sz="4" w:space="0" w:color="auto"/>
            </w:tcBorders>
            <w:shd w:val="clear" w:color="auto" w:fill="auto"/>
            <w:noWrap/>
            <w:vAlign w:val="bottom"/>
            <w:hideMark/>
          </w:tcPr>
          <w:p w14:paraId="29037D57"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1.60</w:t>
            </w:r>
          </w:p>
        </w:tc>
      </w:tr>
      <w:tr w:rsidR="00AB38E0" w:rsidRPr="00AB38E0" w14:paraId="333F2BF2" w14:textId="77777777" w:rsidTr="00AB38E0">
        <w:trPr>
          <w:trHeight w:val="315"/>
        </w:trPr>
        <w:tc>
          <w:tcPr>
            <w:tcW w:w="1960" w:type="dxa"/>
            <w:vMerge/>
            <w:tcBorders>
              <w:top w:val="nil"/>
              <w:left w:val="single" w:sz="4" w:space="0" w:color="auto"/>
              <w:bottom w:val="single" w:sz="4" w:space="0" w:color="auto"/>
              <w:right w:val="single" w:sz="4" w:space="0" w:color="auto"/>
            </w:tcBorders>
            <w:vAlign w:val="center"/>
            <w:hideMark/>
          </w:tcPr>
          <w:p w14:paraId="51804E27"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1900" w:type="dxa"/>
            <w:tcBorders>
              <w:top w:val="nil"/>
              <w:left w:val="nil"/>
              <w:bottom w:val="single" w:sz="4" w:space="0" w:color="auto"/>
              <w:right w:val="single" w:sz="4" w:space="0" w:color="auto"/>
            </w:tcBorders>
            <w:shd w:val="clear" w:color="auto" w:fill="auto"/>
            <w:noWrap/>
            <w:vAlign w:val="bottom"/>
            <w:hideMark/>
          </w:tcPr>
          <w:p w14:paraId="4242FECA"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100</w:t>
            </w:r>
          </w:p>
        </w:tc>
        <w:tc>
          <w:tcPr>
            <w:tcW w:w="1960" w:type="dxa"/>
            <w:vMerge/>
            <w:tcBorders>
              <w:top w:val="nil"/>
              <w:left w:val="single" w:sz="4" w:space="0" w:color="auto"/>
              <w:bottom w:val="single" w:sz="4" w:space="0" w:color="auto"/>
              <w:right w:val="single" w:sz="4" w:space="0" w:color="auto"/>
            </w:tcBorders>
            <w:vAlign w:val="center"/>
            <w:hideMark/>
          </w:tcPr>
          <w:p w14:paraId="1F35764F" w14:textId="77777777" w:rsidR="00AB38E0" w:rsidRPr="00AB38E0" w:rsidRDefault="00AB38E0" w:rsidP="00AB38E0">
            <w:pPr>
              <w:spacing w:after="0" w:line="240" w:lineRule="auto"/>
              <w:rPr>
                <w:rFonts w:ascii="Times New Roman" w:eastAsia="Times New Roman" w:hAnsi="Times New Roman"/>
                <w:color w:val="000000"/>
                <w:sz w:val="24"/>
                <w:szCs w:val="24"/>
                <w:lang w:eastAsia="en-IN"/>
              </w:rPr>
            </w:pPr>
          </w:p>
        </w:tc>
        <w:tc>
          <w:tcPr>
            <w:tcW w:w="2100" w:type="dxa"/>
            <w:tcBorders>
              <w:top w:val="nil"/>
              <w:left w:val="nil"/>
              <w:bottom w:val="single" w:sz="4" w:space="0" w:color="auto"/>
              <w:right w:val="single" w:sz="4" w:space="0" w:color="auto"/>
            </w:tcBorders>
            <w:shd w:val="clear" w:color="auto" w:fill="auto"/>
            <w:noWrap/>
            <w:vAlign w:val="bottom"/>
            <w:hideMark/>
          </w:tcPr>
          <w:p w14:paraId="61086FE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8.77</w:t>
            </w:r>
          </w:p>
        </w:tc>
        <w:tc>
          <w:tcPr>
            <w:tcW w:w="1000" w:type="dxa"/>
            <w:tcBorders>
              <w:top w:val="nil"/>
              <w:left w:val="nil"/>
              <w:bottom w:val="single" w:sz="4" w:space="0" w:color="auto"/>
              <w:right w:val="single" w:sz="4" w:space="0" w:color="auto"/>
            </w:tcBorders>
            <w:shd w:val="clear" w:color="auto" w:fill="auto"/>
            <w:noWrap/>
            <w:vAlign w:val="bottom"/>
            <w:hideMark/>
          </w:tcPr>
          <w:p w14:paraId="1BB96AB4" w14:textId="77777777" w:rsidR="00AB38E0" w:rsidRPr="00AB38E0" w:rsidRDefault="00AB38E0" w:rsidP="00AB38E0">
            <w:pPr>
              <w:spacing w:after="0" w:line="240" w:lineRule="auto"/>
              <w:jc w:val="center"/>
              <w:rPr>
                <w:rFonts w:ascii="Times New Roman" w:eastAsia="Times New Roman" w:hAnsi="Times New Roman"/>
                <w:color w:val="000000"/>
                <w:sz w:val="24"/>
                <w:szCs w:val="24"/>
                <w:lang w:eastAsia="en-IN"/>
              </w:rPr>
            </w:pPr>
            <w:r w:rsidRPr="00AB38E0">
              <w:rPr>
                <w:rFonts w:ascii="Times New Roman" w:eastAsia="Times New Roman" w:hAnsi="Times New Roman"/>
                <w:color w:val="000000"/>
                <w:sz w:val="24"/>
                <w:szCs w:val="24"/>
                <w:lang w:eastAsia="en-IN"/>
              </w:rPr>
              <w:t>1.48</w:t>
            </w:r>
          </w:p>
        </w:tc>
      </w:tr>
    </w:tbl>
    <w:p w14:paraId="255B61CF" w14:textId="77777777" w:rsidR="001E6CB3" w:rsidRPr="00C0476D" w:rsidRDefault="001E6CB3" w:rsidP="001E6CB3">
      <w:pPr>
        <w:rPr>
          <w:rFonts w:ascii="Times New Roman" w:hAnsi="Times New Roman"/>
          <w:sz w:val="24"/>
          <w:szCs w:val="24"/>
        </w:rPr>
      </w:pPr>
    </w:p>
    <w:p w14:paraId="3DC410A6" w14:textId="77777777" w:rsidR="001E6CB3" w:rsidRPr="00C0476D" w:rsidRDefault="001E6CB3" w:rsidP="001E6CB3"/>
    <w:p w14:paraId="25BF90F7" w14:textId="77777777" w:rsidR="001E6CB3" w:rsidRPr="00C0476D" w:rsidRDefault="001E6CB3" w:rsidP="001E6CB3"/>
    <w:p w14:paraId="41291358" w14:textId="77777777" w:rsidR="001E6CB3" w:rsidRPr="00C0476D" w:rsidRDefault="001E6CB3" w:rsidP="001E6CB3">
      <w:pPr>
        <w:spacing w:line="480" w:lineRule="auto"/>
        <w:jc w:val="both"/>
        <w:rPr>
          <w:rFonts w:ascii="Times New Roman" w:hAnsi="Times New Roman"/>
          <w:b/>
          <w:sz w:val="24"/>
          <w:szCs w:val="24"/>
          <w:lang w:val="en-GB"/>
        </w:rPr>
      </w:pPr>
    </w:p>
    <w:p w14:paraId="5FD7F8F9" w14:textId="77777777" w:rsidR="001E6CB3" w:rsidRPr="00C0476D" w:rsidRDefault="001E6CB3" w:rsidP="001E6CB3">
      <w:pPr>
        <w:spacing w:line="480" w:lineRule="auto"/>
        <w:jc w:val="both"/>
        <w:rPr>
          <w:rFonts w:ascii="Times New Roman" w:hAnsi="Times New Roman"/>
          <w:b/>
          <w:sz w:val="24"/>
          <w:szCs w:val="24"/>
          <w:lang w:val="en-GB"/>
        </w:rPr>
      </w:pPr>
    </w:p>
    <w:p w14:paraId="7B7758C5" w14:textId="77777777" w:rsidR="001E6CB3" w:rsidRPr="00C0476D" w:rsidRDefault="001E6CB3" w:rsidP="001E6CB3">
      <w:pPr>
        <w:spacing w:line="480" w:lineRule="auto"/>
        <w:jc w:val="both"/>
        <w:rPr>
          <w:rFonts w:ascii="Times New Roman" w:hAnsi="Times New Roman"/>
          <w:b/>
          <w:sz w:val="24"/>
          <w:szCs w:val="24"/>
          <w:lang w:val="en-GB"/>
        </w:rPr>
      </w:pPr>
    </w:p>
    <w:p w14:paraId="2C95887C" w14:textId="77777777" w:rsidR="001E6CB3" w:rsidRPr="00C0476D" w:rsidRDefault="001E6CB3" w:rsidP="001E6CB3">
      <w:pPr>
        <w:spacing w:after="200" w:line="276" w:lineRule="auto"/>
        <w:rPr>
          <w:rFonts w:ascii="Times New Roman" w:hAnsi="Times New Roman"/>
          <w:b/>
          <w:sz w:val="24"/>
          <w:szCs w:val="24"/>
          <w:lang w:val="en-GB"/>
        </w:rPr>
      </w:pPr>
      <w:r w:rsidRPr="00C0476D">
        <w:rPr>
          <w:rFonts w:ascii="Times New Roman" w:hAnsi="Times New Roman"/>
          <w:b/>
          <w:sz w:val="24"/>
          <w:szCs w:val="24"/>
          <w:lang w:val="en-GB"/>
        </w:rPr>
        <w:br w:type="page"/>
      </w:r>
    </w:p>
    <w:p w14:paraId="7FA1CDE4" w14:textId="08BB6B27" w:rsidR="00C4631E" w:rsidRDefault="001E6CB3" w:rsidP="001E6CB3">
      <w:pPr>
        <w:jc w:val="both"/>
        <w:rPr>
          <w:rFonts w:ascii="Times New Roman" w:hAnsi="Times New Roman"/>
          <w:b/>
          <w:sz w:val="24"/>
          <w:szCs w:val="24"/>
        </w:rPr>
      </w:pPr>
      <w:r w:rsidRPr="00C0476D">
        <w:rPr>
          <w:rFonts w:ascii="Times New Roman" w:hAnsi="Times New Roman"/>
          <w:b/>
          <w:sz w:val="24"/>
          <w:szCs w:val="24"/>
        </w:rPr>
        <w:lastRenderedPageBreak/>
        <w:t xml:space="preserve">Table S7: Quantification of </w:t>
      </w:r>
      <w:r w:rsidR="00AB38E0">
        <w:rPr>
          <w:rFonts w:ascii="Times New Roman" w:hAnsi="Times New Roman"/>
          <w:b/>
          <w:sz w:val="24"/>
          <w:szCs w:val="24"/>
        </w:rPr>
        <w:t>atrazine</w:t>
      </w:r>
      <w:r w:rsidRPr="00C0476D">
        <w:rPr>
          <w:rFonts w:ascii="Times New Roman" w:hAnsi="Times New Roman"/>
          <w:b/>
          <w:sz w:val="24"/>
          <w:szCs w:val="24"/>
        </w:rPr>
        <w:t xml:space="preserve"> concentration and adsorption of </w:t>
      </w:r>
      <w:r w:rsidR="00AB38E0">
        <w:rPr>
          <w:rFonts w:ascii="Times New Roman" w:hAnsi="Times New Roman"/>
          <w:b/>
          <w:sz w:val="24"/>
          <w:szCs w:val="24"/>
        </w:rPr>
        <w:t>atrazine</w:t>
      </w:r>
      <w:r w:rsidRPr="00C0476D">
        <w:rPr>
          <w:rFonts w:ascii="Times New Roman" w:hAnsi="Times New Roman"/>
          <w:b/>
          <w:sz w:val="24"/>
          <w:szCs w:val="24"/>
        </w:rPr>
        <w:t xml:space="preserve"> over GFNs </w:t>
      </w:r>
      <w:r w:rsidR="00E40487">
        <w:rPr>
          <w:rFonts w:ascii="Times New Roman" w:hAnsi="Times New Roman"/>
          <w:b/>
          <w:sz w:val="24"/>
          <w:szCs w:val="24"/>
        </w:rPr>
        <w:t>by UPLC</w:t>
      </w:r>
    </w:p>
    <w:tbl>
      <w:tblPr>
        <w:tblW w:w="9140" w:type="dxa"/>
        <w:tblLook w:val="04A0" w:firstRow="1" w:lastRow="0" w:firstColumn="1" w:lastColumn="0" w:noHBand="0" w:noVBand="1"/>
      </w:tblPr>
      <w:tblGrid>
        <w:gridCol w:w="1576"/>
        <w:gridCol w:w="1840"/>
        <w:gridCol w:w="1051"/>
        <w:gridCol w:w="869"/>
        <w:gridCol w:w="1051"/>
        <w:gridCol w:w="869"/>
        <w:gridCol w:w="1073"/>
        <w:gridCol w:w="847"/>
      </w:tblGrid>
      <w:tr w:rsidR="004A1CA7" w:rsidRPr="004A1CA7" w14:paraId="65D3EB51" w14:textId="77777777" w:rsidTr="004A1CA7">
        <w:trPr>
          <w:trHeight w:val="315"/>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14EEB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 xml:space="preserve">Concentration of </w:t>
            </w:r>
            <w:proofErr w:type="spellStart"/>
            <w:r w:rsidRPr="004A1CA7">
              <w:rPr>
                <w:rFonts w:ascii="Times New Roman" w:eastAsia="Times New Roman" w:hAnsi="Times New Roman"/>
                <w:color w:val="000000"/>
                <w:sz w:val="24"/>
                <w:szCs w:val="24"/>
                <w:lang w:eastAsia="en-IN"/>
              </w:rPr>
              <w:t>Atz</w:t>
            </w:r>
            <w:proofErr w:type="spellEnd"/>
            <w:r w:rsidRPr="004A1CA7">
              <w:rPr>
                <w:rFonts w:ascii="Times New Roman" w:eastAsia="Times New Roman" w:hAnsi="Times New Roman"/>
                <w:color w:val="000000"/>
                <w:sz w:val="24"/>
                <w:szCs w:val="24"/>
                <w:lang w:eastAsia="en-IN"/>
              </w:rPr>
              <w:t xml:space="preserve"> (</w:t>
            </w:r>
            <w:proofErr w:type="spellStart"/>
            <w:r w:rsidRPr="004A1CA7">
              <w:rPr>
                <w:rFonts w:ascii="Times New Roman" w:eastAsia="Times New Roman" w:hAnsi="Times New Roman"/>
                <w:color w:val="000000"/>
                <w:sz w:val="24"/>
                <w:szCs w:val="24"/>
                <w:lang w:eastAsia="en-IN"/>
              </w:rPr>
              <w:t>μg</w:t>
            </w:r>
            <w:proofErr w:type="spellEnd"/>
            <w:r w:rsidRPr="004A1CA7">
              <w:rPr>
                <w:rFonts w:ascii="Times New Roman" w:eastAsia="Times New Roman" w:hAnsi="Times New Roman"/>
                <w:color w:val="000000"/>
                <w:sz w:val="24"/>
                <w:szCs w:val="24"/>
                <w:lang w:eastAsia="en-IN"/>
              </w:rPr>
              <w:t>/L)</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F17F6CB"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Concentration of GFNs (</w:t>
            </w:r>
            <w:proofErr w:type="spellStart"/>
            <w:r w:rsidRPr="004A1CA7">
              <w:rPr>
                <w:rFonts w:ascii="Times New Roman" w:eastAsia="Times New Roman" w:hAnsi="Times New Roman"/>
                <w:color w:val="000000"/>
                <w:sz w:val="24"/>
                <w:szCs w:val="24"/>
                <w:lang w:eastAsia="en-IN"/>
              </w:rPr>
              <w:t>μg</w:t>
            </w:r>
            <w:proofErr w:type="spellEnd"/>
            <w:r w:rsidRPr="004A1CA7">
              <w:rPr>
                <w:rFonts w:ascii="Times New Roman" w:eastAsia="Times New Roman" w:hAnsi="Times New Roman"/>
                <w:color w:val="000000"/>
                <w:sz w:val="24"/>
                <w:szCs w:val="24"/>
                <w:lang w:eastAsia="en-IN"/>
              </w:rPr>
              <w:t>/L)</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63A8AE"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 h (</w:t>
            </w:r>
            <w:proofErr w:type="spellStart"/>
            <w:r w:rsidRPr="004A1CA7">
              <w:rPr>
                <w:rFonts w:ascii="Times New Roman" w:eastAsia="Times New Roman" w:hAnsi="Times New Roman"/>
                <w:color w:val="000000"/>
                <w:sz w:val="24"/>
                <w:szCs w:val="24"/>
                <w:lang w:eastAsia="en-IN"/>
              </w:rPr>
              <w:t>μg</w:t>
            </w:r>
            <w:proofErr w:type="spellEnd"/>
            <w:r w:rsidRPr="004A1CA7">
              <w:rPr>
                <w:rFonts w:ascii="Times New Roman" w:eastAsia="Times New Roman" w:hAnsi="Times New Roman"/>
                <w:color w:val="000000"/>
                <w:sz w:val="24"/>
                <w:szCs w:val="24"/>
                <w:lang w:eastAsia="en-IN"/>
              </w:rPr>
              <w:t>/L)</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4AFA5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72 h (</w:t>
            </w:r>
            <w:proofErr w:type="spellStart"/>
            <w:r w:rsidRPr="004A1CA7">
              <w:rPr>
                <w:rFonts w:ascii="Times New Roman" w:eastAsia="Times New Roman" w:hAnsi="Times New Roman"/>
                <w:color w:val="000000"/>
                <w:sz w:val="24"/>
                <w:szCs w:val="24"/>
                <w:lang w:eastAsia="en-IN"/>
              </w:rPr>
              <w:t>μg</w:t>
            </w:r>
            <w:proofErr w:type="spellEnd"/>
            <w:r w:rsidRPr="004A1CA7">
              <w:rPr>
                <w:rFonts w:ascii="Times New Roman" w:eastAsia="Times New Roman" w:hAnsi="Times New Roman"/>
                <w:color w:val="000000"/>
                <w:sz w:val="24"/>
                <w:szCs w:val="24"/>
                <w:lang w:eastAsia="en-IN"/>
              </w:rPr>
              <w:t>/L)</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73DC3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Adsorbed (</w:t>
            </w:r>
            <w:proofErr w:type="spellStart"/>
            <w:r w:rsidRPr="004A1CA7">
              <w:rPr>
                <w:rFonts w:ascii="Times New Roman" w:eastAsia="Times New Roman" w:hAnsi="Times New Roman"/>
                <w:color w:val="000000"/>
                <w:sz w:val="24"/>
                <w:szCs w:val="24"/>
                <w:lang w:eastAsia="en-IN"/>
              </w:rPr>
              <w:t>μg</w:t>
            </w:r>
            <w:proofErr w:type="spellEnd"/>
            <w:r w:rsidRPr="004A1CA7">
              <w:rPr>
                <w:rFonts w:ascii="Times New Roman" w:eastAsia="Times New Roman" w:hAnsi="Times New Roman"/>
                <w:color w:val="000000"/>
                <w:sz w:val="24"/>
                <w:szCs w:val="24"/>
                <w:lang w:eastAsia="en-IN"/>
              </w:rPr>
              <w:t>/L)</w:t>
            </w:r>
          </w:p>
        </w:tc>
      </w:tr>
      <w:tr w:rsidR="004A1CA7" w:rsidRPr="004A1CA7" w14:paraId="44AF92A0" w14:textId="77777777" w:rsidTr="004A1CA7">
        <w:trPr>
          <w:trHeight w:val="345"/>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0DF76B41" w14:textId="77777777" w:rsidR="004A1CA7" w:rsidRPr="004A1CA7" w:rsidRDefault="004A1CA7" w:rsidP="004A1CA7">
            <w:pPr>
              <w:spacing w:after="0" w:line="240" w:lineRule="auto"/>
              <w:rPr>
                <w:rFonts w:ascii="Times New Roman" w:eastAsia="Times New Roman" w:hAnsi="Times New Roman"/>
                <w:color w:val="000000"/>
                <w:sz w:val="24"/>
                <w:szCs w:val="24"/>
                <w:lang w:eastAsia="en-IN"/>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67DA5482" w14:textId="77777777" w:rsidR="004A1CA7" w:rsidRPr="004A1CA7" w:rsidRDefault="004A1CA7" w:rsidP="004A1CA7">
            <w:pPr>
              <w:spacing w:after="0" w:line="240" w:lineRule="auto"/>
              <w:rPr>
                <w:rFonts w:ascii="Times New Roman" w:eastAsia="Times New Roman" w:hAnsi="Times New Roman"/>
                <w:color w:val="000000"/>
                <w:sz w:val="24"/>
                <w:szCs w:val="24"/>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3DE8EC6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proofErr w:type="spellStart"/>
            <w:r w:rsidRPr="004A1CA7">
              <w:rPr>
                <w:rFonts w:ascii="Times New Roman" w:eastAsia="Times New Roman" w:hAnsi="Times New Roman"/>
                <w:color w:val="000000"/>
                <w:sz w:val="24"/>
                <w:szCs w:val="24"/>
                <w:lang w:eastAsia="en-IN"/>
              </w:rPr>
              <w:t>Avg</w:t>
            </w:r>
            <w:proofErr w:type="spellEnd"/>
          </w:p>
        </w:tc>
        <w:tc>
          <w:tcPr>
            <w:tcW w:w="869" w:type="dxa"/>
            <w:tcBorders>
              <w:top w:val="nil"/>
              <w:left w:val="nil"/>
              <w:bottom w:val="single" w:sz="4" w:space="0" w:color="auto"/>
              <w:right w:val="single" w:sz="4" w:space="0" w:color="auto"/>
            </w:tcBorders>
            <w:shd w:val="clear" w:color="auto" w:fill="auto"/>
            <w:noWrap/>
            <w:vAlign w:val="bottom"/>
            <w:hideMark/>
          </w:tcPr>
          <w:p w14:paraId="2BC1D17C"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SD</w:t>
            </w:r>
          </w:p>
        </w:tc>
        <w:tc>
          <w:tcPr>
            <w:tcW w:w="1051" w:type="dxa"/>
            <w:tcBorders>
              <w:top w:val="nil"/>
              <w:left w:val="nil"/>
              <w:bottom w:val="single" w:sz="4" w:space="0" w:color="auto"/>
              <w:right w:val="single" w:sz="4" w:space="0" w:color="auto"/>
            </w:tcBorders>
            <w:shd w:val="clear" w:color="auto" w:fill="auto"/>
            <w:noWrap/>
            <w:vAlign w:val="bottom"/>
            <w:hideMark/>
          </w:tcPr>
          <w:p w14:paraId="458E4003"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proofErr w:type="spellStart"/>
            <w:r w:rsidRPr="004A1CA7">
              <w:rPr>
                <w:rFonts w:ascii="Times New Roman" w:eastAsia="Times New Roman" w:hAnsi="Times New Roman"/>
                <w:color w:val="000000"/>
                <w:sz w:val="24"/>
                <w:szCs w:val="24"/>
                <w:lang w:eastAsia="en-IN"/>
              </w:rPr>
              <w:t>Avg</w:t>
            </w:r>
            <w:proofErr w:type="spellEnd"/>
          </w:p>
        </w:tc>
        <w:tc>
          <w:tcPr>
            <w:tcW w:w="869" w:type="dxa"/>
            <w:tcBorders>
              <w:top w:val="nil"/>
              <w:left w:val="nil"/>
              <w:bottom w:val="single" w:sz="4" w:space="0" w:color="auto"/>
              <w:right w:val="single" w:sz="4" w:space="0" w:color="auto"/>
            </w:tcBorders>
            <w:shd w:val="clear" w:color="auto" w:fill="auto"/>
            <w:noWrap/>
            <w:vAlign w:val="bottom"/>
            <w:hideMark/>
          </w:tcPr>
          <w:p w14:paraId="7D3A953E"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SD</w:t>
            </w:r>
          </w:p>
        </w:tc>
        <w:tc>
          <w:tcPr>
            <w:tcW w:w="1073" w:type="dxa"/>
            <w:tcBorders>
              <w:top w:val="nil"/>
              <w:left w:val="nil"/>
              <w:bottom w:val="single" w:sz="4" w:space="0" w:color="auto"/>
              <w:right w:val="single" w:sz="4" w:space="0" w:color="auto"/>
            </w:tcBorders>
            <w:shd w:val="clear" w:color="auto" w:fill="auto"/>
            <w:noWrap/>
            <w:vAlign w:val="bottom"/>
            <w:hideMark/>
          </w:tcPr>
          <w:p w14:paraId="4B7C69C7"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proofErr w:type="spellStart"/>
            <w:r w:rsidRPr="004A1CA7">
              <w:rPr>
                <w:rFonts w:ascii="Times New Roman" w:eastAsia="Times New Roman" w:hAnsi="Times New Roman"/>
                <w:color w:val="000000"/>
                <w:sz w:val="24"/>
                <w:szCs w:val="24"/>
                <w:lang w:eastAsia="en-IN"/>
              </w:rPr>
              <w:t>Avg</w:t>
            </w:r>
            <w:proofErr w:type="spellEnd"/>
          </w:p>
        </w:tc>
        <w:tc>
          <w:tcPr>
            <w:tcW w:w="847" w:type="dxa"/>
            <w:tcBorders>
              <w:top w:val="nil"/>
              <w:left w:val="nil"/>
              <w:bottom w:val="single" w:sz="4" w:space="0" w:color="auto"/>
              <w:right w:val="single" w:sz="4" w:space="0" w:color="auto"/>
            </w:tcBorders>
            <w:shd w:val="clear" w:color="auto" w:fill="auto"/>
            <w:noWrap/>
            <w:vAlign w:val="bottom"/>
            <w:hideMark/>
          </w:tcPr>
          <w:p w14:paraId="7EF2D3AD"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SD</w:t>
            </w:r>
          </w:p>
        </w:tc>
      </w:tr>
      <w:tr w:rsidR="004A1CA7" w:rsidRPr="004A1CA7" w14:paraId="506CD6C9"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98EADB"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25</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768828"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_</w:t>
            </w:r>
          </w:p>
        </w:tc>
        <w:tc>
          <w:tcPr>
            <w:tcW w:w="1051" w:type="dxa"/>
            <w:tcBorders>
              <w:top w:val="nil"/>
              <w:left w:val="nil"/>
              <w:bottom w:val="single" w:sz="4" w:space="0" w:color="auto"/>
              <w:right w:val="single" w:sz="4" w:space="0" w:color="auto"/>
            </w:tcBorders>
            <w:shd w:val="clear" w:color="auto" w:fill="auto"/>
            <w:noWrap/>
            <w:vAlign w:val="bottom"/>
            <w:hideMark/>
          </w:tcPr>
          <w:p w14:paraId="3D525401"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27.72</w:t>
            </w:r>
          </w:p>
        </w:tc>
        <w:tc>
          <w:tcPr>
            <w:tcW w:w="869" w:type="dxa"/>
            <w:tcBorders>
              <w:top w:val="nil"/>
              <w:left w:val="nil"/>
              <w:bottom w:val="single" w:sz="4" w:space="0" w:color="auto"/>
              <w:right w:val="single" w:sz="4" w:space="0" w:color="auto"/>
            </w:tcBorders>
            <w:shd w:val="clear" w:color="auto" w:fill="auto"/>
            <w:noWrap/>
            <w:vAlign w:val="bottom"/>
            <w:hideMark/>
          </w:tcPr>
          <w:p w14:paraId="1A6D6C61"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1.66</w:t>
            </w:r>
          </w:p>
        </w:tc>
        <w:tc>
          <w:tcPr>
            <w:tcW w:w="1051" w:type="dxa"/>
            <w:tcBorders>
              <w:top w:val="nil"/>
              <w:left w:val="nil"/>
              <w:bottom w:val="single" w:sz="4" w:space="0" w:color="auto"/>
              <w:right w:val="single" w:sz="4" w:space="0" w:color="auto"/>
            </w:tcBorders>
            <w:shd w:val="clear" w:color="auto" w:fill="auto"/>
            <w:noWrap/>
            <w:vAlign w:val="bottom"/>
            <w:hideMark/>
          </w:tcPr>
          <w:p w14:paraId="72E379A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22.86</w:t>
            </w:r>
          </w:p>
        </w:tc>
        <w:tc>
          <w:tcPr>
            <w:tcW w:w="869" w:type="dxa"/>
            <w:tcBorders>
              <w:top w:val="nil"/>
              <w:left w:val="nil"/>
              <w:bottom w:val="single" w:sz="4" w:space="0" w:color="auto"/>
              <w:right w:val="single" w:sz="4" w:space="0" w:color="auto"/>
            </w:tcBorders>
            <w:shd w:val="clear" w:color="auto" w:fill="auto"/>
            <w:noWrap/>
            <w:vAlign w:val="bottom"/>
            <w:hideMark/>
          </w:tcPr>
          <w:p w14:paraId="1BC03479"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1.67</w:t>
            </w:r>
          </w:p>
        </w:tc>
        <w:tc>
          <w:tcPr>
            <w:tcW w:w="1073" w:type="dxa"/>
            <w:tcBorders>
              <w:top w:val="nil"/>
              <w:left w:val="nil"/>
              <w:bottom w:val="single" w:sz="4" w:space="0" w:color="auto"/>
              <w:right w:val="single" w:sz="4" w:space="0" w:color="auto"/>
            </w:tcBorders>
            <w:shd w:val="clear" w:color="auto" w:fill="auto"/>
            <w:noWrap/>
            <w:vAlign w:val="bottom"/>
            <w:hideMark/>
          </w:tcPr>
          <w:p w14:paraId="37A9D03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4.86</w:t>
            </w:r>
          </w:p>
        </w:tc>
        <w:tc>
          <w:tcPr>
            <w:tcW w:w="847" w:type="dxa"/>
            <w:tcBorders>
              <w:top w:val="nil"/>
              <w:left w:val="nil"/>
              <w:bottom w:val="single" w:sz="4" w:space="0" w:color="auto"/>
              <w:right w:val="single" w:sz="4" w:space="0" w:color="auto"/>
            </w:tcBorders>
            <w:shd w:val="clear" w:color="auto" w:fill="auto"/>
            <w:noWrap/>
            <w:vAlign w:val="bottom"/>
            <w:hideMark/>
          </w:tcPr>
          <w:p w14:paraId="08A581A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3.32</w:t>
            </w:r>
          </w:p>
        </w:tc>
      </w:tr>
      <w:tr w:rsidR="004A1CA7" w:rsidRPr="004A1CA7" w14:paraId="76DA8E46"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A78D068"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50</w:t>
            </w:r>
          </w:p>
        </w:tc>
        <w:tc>
          <w:tcPr>
            <w:tcW w:w="1840" w:type="dxa"/>
            <w:vMerge/>
            <w:tcBorders>
              <w:top w:val="nil"/>
              <w:left w:val="single" w:sz="4" w:space="0" w:color="auto"/>
              <w:bottom w:val="single" w:sz="4" w:space="0" w:color="auto"/>
              <w:right w:val="single" w:sz="4" w:space="0" w:color="auto"/>
            </w:tcBorders>
            <w:vAlign w:val="center"/>
            <w:hideMark/>
          </w:tcPr>
          <w:p w14:paraId="07E01B7F"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3B8B986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77.15</w:t>
            </w:r>
          </w:p>
        </w:tc>
        <w:tc>
          <w:tcPr>
            <w:tcW w:w="869" w:type="dxa"/>
            <w:tcBorders>
              <w:top w:val="nil"/>
              <w:left w:val="nil"/>
              <w:bottom w:val="single" w:sz="4" w:space="0" w:color="auto"/>
              <w:right w:val="single" w:sz="4" w:space="0" w:color="auto"/>
            </w:tcBorders>
            <w:shd w:val="clear" w:color="auto" w:fill="auto"/>
            <w:noWrap/>
            <w:vAlign w:val="bottom"/>
            <w:hideMark/>
          </w:tcPr>
          <w:p w14:paraId="756262E8"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15.91</w:t>
            </w:r>
          </w:p>
        </w:tc>
        <w:tc>
          <w:tcPr>
            <w:tcW w:w="1051" w:type="dxa"/>
            <w:tcBorders>
              <w:top w:val="nil"/>
              <w:left w:val="nil"/>
              <w:bottom w:val="single" w:sz="4" w:space="0" w:color="auto"/>
              <w:right w:val="single" w:sz="4" w:space="0" w:color="auto"/>
            </w:tcBorders>
            <w:shd w:val="clear" w:color="auto" w:fill="auto"/>
            <w:noWrap/>
            <w:vAlign w:val="bottom"/>
            <w:hideMark/>
          </w:tcPr>
          <w:p w14:paraId="5A79670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73.57</w:t>
            </w:r>
          </w:p>
        </w:tc>
        <w:tc>
          <w:tcPr>
            <w:tcW w:w="869" w:type="dxa"/>
            <w:tcBorders>
              <w:top w:val="nil"/>
              <w:left w:val="nil"/>
              <w:bottom w:val="single" w:sz="4" w:space="0" w:color="auto"/>
              <w:right w:val="single" w:sz="4" w:space="0" w:color="auto"/>
            </w:tcBorders>
            <w:shd w:val="clear" w:color="auto" w:fill="auto"/>
            <w:noWrap/>
            <w:vAlign w:val="bottom"/>
            <w:hideMark/>
          </w:tcPr>
          <w:p w14:paraId="7E723E0C"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15.18</w:t>
            </w:r>
          </w:p>
        </w:tc>
        <w:tc>
          <w:tcPr>
            <w:tcW w:w="1073" w:type="dxa"/>
            <w:tcBorders>
              <w:top w:val="nil"/>
              <w:left w:val="nil"/>
              <w:bottom w:val="single" w:sz="4" w:space="0" w:color="auto"/>
              <w:right w:val="single" w:sz="4" w:space="0" w:color="auto"/>
            </w:tcBorders>
            <w:shd w:val="clear" w:color="auto" w:fill="auto"/>
            <w:noWrap/>
            <w:vAlign w:val="bottom"/>
            <w:hideMark/>
          </w:tcPr>
          <w:p w14:paraId="7FC34FA3"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3.57</w:t>
            </w:r>
          </w:p>
        </w:tc>
        <w:tc>
          <w:tcPr>
            <w:tcW w:w="847" w:type="dxa"/>
            <w:tcBorders>
              <w:top w:val="nil"/>
              <w:left w:val="nil"/>
              <w:bottom w:val="single" w:sz="4" w:space="0" w:color="auto"/>
              <w:right w:val="single" w:sz="4" w:space="0" w:color="auto"/>
            </w:tcBorders>
            <w:shd w:val="clear" w:color="auto" w:fill="auto"/>
            <w:noWrap/>
            <w:vAlign w:val="bottom"/>
            <w:hideMark/>
          </w:tcPr>
          <w:p w14:paraId="02D31508"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0.73</w:t>
            </w:r>
          </w:p>
        </w:tc>
      </w:tr>
      <w:tr w:rsidR="004A1CA7" w:rsidRPr="004A1CA7" w14:paraId="5C6287BA"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9910061"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75</w:t>
            </w:r>
          </w:p>
        </w:tc>
        <w:tc>
          <w:tcPr>
            <w:tcW w:w="1840" w:type="dxa"/>
            <w:vMerge/>
            <w:tcBorders>
              <w:top w:val="nil"/>
              <w:left w:val="single" w:sz="4" w:space="0" w:color="auto"/>
              <w:bottom w:val="single" w:sz="4" w:space="0" w:color="auto"/>
              <w:right w:val="single" w:sz="4" w:space="0" w:color="auto"/>
            </w:tcBorders>
            <w:vAlign w:val="center"/>
            <w:hideMark/>
          </w:tcPr>
          <w:p w14:paraId="0AC857D7"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42DE9B5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146.21</w:t>
            </w:r>
          </w:p>
        </w:tc>
        <w:tc>
          <w:tcPr>
            <w:tcW w:w="869" w:type="dxa"/>
            <w:tcBorders>
              <w:top w:val="nil"/>
              <w:left w:val="nil"/>
              <w:bottom w:val="single" w:sz="4" w:space="0" w:color="auto"/>
              <w:right w:val="single" w:sz="4" w:space="0" w:color="auto"/>
            </w:tcBorders>
            <w:shd w:val="clear" w:color="auto" w:fill="auto"/>
            <w:noWrap/>
            <w:vAlign w:val="bottom"/>
            <w:hideMark/>
          </w:tcPr>
          <w:p w14:paraId="70FA0FFA"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2.34</w:t>
            </w:r>
          </w:p>
        </w:tc>
        <w:tc>
          <w:tcPr>
            <w:tcW w:w="1051" w:type="dxa"/>
            <w:tcBorders>
              <w:top w:val="nil"/>
              <w:left w:val="nil"/>
              <w:bottom w:val="single" w:sz="4" w:space="0" w:color="auto"/>
              <w:right w:val="single" w:sz="4" w:space="0" w:color="auto"/>
            </w:tcBorders>
            <w:shd w:val="clear" w:color="auto" w:fill="auto"/>
            <w:noWrap/>
            <w:vAlign w:val="bottom"/>
            <w:hideMark/>
          </w:tcPr>
          <w:p w14:paraId="4443CC93"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144.82</w:t>
            </w:r>
          </w:p>
        </w:tc>
        <w:tc>
          <w:tcPr>
            <w:tcW w:w="869" w:type="dxa"/>
            <w:tcBorders>
              <w:top w:val="nil"/>
              <w:left w:val="nil"/>
              <w:bottom w:val="single" w:sz="4" w:space="0" w:color="auto"/>
              <w:right w:val="single" w:sz="4" w:space="0" w:color="auto"/>
            </w:tcBorders>
            <w:shd w:val="clear" w:color="auto" w:fill="auto"/>
            <w:noWrap/>
            <w:vAlign w:val="bottom"/>
            <w:hideMark/>
          </w:tcPr>
          <w:p w14:paraId="780C0CD3"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2.10</w:t>
            </w:r>
          </w:p>
        </w:tc>
        <w:tc>
          <w:tcPr>
            <w:tcW w:w="1073" w:type="dxa"/>
            <w:tcBorders>
              <w:top w:val="nil"/>
              <w:left w:val="nil"/>
              <w:bottom w:val="single" w:sz="4" w:space="0" w:color="auto"/>
              <w:right w:val="single" w:sz="4" w:space="0" w:color="auto"/>
            </w:tcBorders>
            <w:shd w:val="clear" w:color="auto" w:fill="auto"/>
            <w:noWrap/>
            <w:vAlign w:val="bottom"/>
            <w:hideMark/>
          </w:tcPr>
          <w:p w14:paraId="0154EA4D"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1.39</w:t>
            </w:r>
          </w:p>
        </w:tc>
        <w:tc>
          <w:tcPr>
            <w:tcW w:w="847" w:type="dxa"/>
            <w:tcBorders>
              <w:top w:val="nil"/>
              <w:left w:val="nil"/>
              <w:bottom w:val="single" w:sz="4" w:space="0" w:color="auto"/>
              <w:right w:val="single" w:sz="4" w:space="0" w:color="auto"/>
            </w:tcBorders>
            <w:shd w:val="clear" w:color="auto" w:fill="auto"/>
            <w:noWrap/>
            <w:vAlign w:val="bottom"/>
            <w:hideMark/>
          </w:tcPr>
          <w:p w14:paraId="31AD31F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0.24</w:t>
            </w:r>
          </w:p>
        </w:tc>
      </w:tr>
      <w:tr w:rsidR="004A1CA7" w:rsidRPr="004A1CA7" w14:paraId="05A1D589"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AFDDC59"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100</w:t>
            </w:r>
          </w:p>
        </w:tc>
        <w:tc>
          <w:tcPr>
            <w:tcW w:w="1840" w:type="dxa"/>
            <w:vMerge/>
            <w:tcBorders>
              <w:top w:val="nil"/>
              <w:left w:val="single" w:sz="4" w:space="0" w:color="auto"/>
              <w:bottom w:val="single" w:sz="4" w:space="0" w:color="auto"/>
              <w:right w:val="single" w:sz="4" w:space="0" w:color="auto"/>
            </w:tcBorders>
            <w:vAlign w:val="center"/>
            <w:hideMark/>
          </w:tcPr>
          <w:p w14:paraId="07FB288A"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494EE051"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142.65</w:t>
            </w:r>
          </w:p>
        </w:tc>
        <w:tc>
          <w:tcPr>
            <w:tcW w:w="869" w:type="dxa"/>
            <w:tcBorders>
              <w:top w:val="nil"/>
              <w:left w:val="nil"/>
              <w:bottom w:val="single" w:sz="4" w:space="0" w:color="auto"/>
              <w:right w:val="single" w:sz="4" w:space="0" w:color="auto"/>
            </w:tcBorders>
            <w:shd w:val="clear" w:color="auto" w:fill="auto"/>
            <w:noWrap/>
            <w:vAlign w:val="bottom"/>
            <w:hideMark/>
          </w:tcPr>
          <w:p w14:paraId="72006761"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2.72</w:t>
            </w:r>
          </w:p>
        </w:tc>
        <w:tc>
          <w:tcPr>
            <w:tcW w:w="1051" w:type="dxa"/>
            <w:tcBorders>
              <w:top w:val="nil"/>
              <w:left w:val="nil"/>
              <w:bottom w:val="single" w:sz="4" w:space="0" w:color="auto"/>
              <w:right w:val="single" w:sz="4" w:space="0" w:color="auto"/>
            </w:tcBorders>
            <w:shd w:val="clear" w:color="auto" w:fill="auto"/>
            <w:noWrap/>
            <w:vAlign w:val="bottom"/>
            <w:hideMark/>
          </w:tcPr>
          <w:p w14:paraId="148AD9EB"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136.88</w:t>
            </w:r>
          </w:p>
        </w:tc>
        <w:tc>
          <w:tcPr>
            <w:tcW w:w="869" w:type="dxa"/>
            <w:tcBorders>
              <w:top w:val="nil"/>
              <w:left w:val="nil"/>
              <w:bottom w:val="single" w:sz="4" w:space="0" w:color="auto"/>
              <w:right w:val="single" w:sz="4" w:space="0" w:color="auto"/>
            </w:tcBorders>
            <w:shd w:val="clear" w:color="auto" w:fill="auto"/>
            <w:noWrap/>
            <w:vAlign w:val="bottom"/>
            <w:hideMark/>
          </w:tcPr>
          <w:p w14:paraId="2DD6D295"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0.04</w:t>
            </w:r>
          </w:p>
        </w:tc>
        <w:tc>
          <w:tcPr>
            <w:tcW w:w="1073" w:type="dxa"/>
            <w:tcBorders>
              <w:top w:val="nil"/>
              <w:left w:val="nil"/>
              <w:bottom w:val="single" w:sz="4" w:space="0" w:color="auto"/>
              <w:right w:val="single" w:sz="4" w:space="0" w:color="auto"/>
            </w:tcBorders>
            <w:shd w:val="clear" w:color="auto" w:fill="auto"/>
            <w:noWrap/>
            <w:vAlign w:val="bottom"/>
            <w:hideMark/>
          </w:tcPr>
          <w:p w14:paraId="2559592D"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5.77</w:t>
            </w:r>
          </w:p>
        </w:tc>
        <w:tc>
          <w:tcPr>
            <w:tcW w:w="847" w:type="dxa"/>
            <w:tcBorders>
              <w:top w:val="nil"/>
              <w:left w:val="nil"/>
              <w:bottom w:val="single" w:sz="4" w:space="0" w:color="auto"/>
              <w:right w:val="single" w:sz="4" w:space="0" w:color="auto"/>
            </w:tcBorders>
            <w:shd w:val="clear" w:color="auto" w:fill="auto"/>
            <w:noWrap/>
            <w:vAlign w:val="bottom"/>
            <w:hideMark/>
          </w:tcPr>
          <w:p w14:paraId="6FBECBEA"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2.76</w:t>
            </w:r>
          </w:p>
        </w:tc>
      </w:tr>
      <w:tr w:rsidR="004A1CA7" w:rsidRPr="004A1CA7" w14:paraId="45429065"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C899042"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25</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700340"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250 (GO)</w:t>
            </w:r>
          </w:p>
        </w:tc>
        <w:tc>
          <w:tcPr>
            <w:tcW w:w="1051" w:type="dxa"/>
            <w:tcBorders>
              <w:top w:val="nil"/>
              <w:left w:val="nil"/>
              <w:bottom w:val="single" w:sz="4" w:space="0" w:color="auto"/>
              <w:right w:val="single" w:sz="4" w:space="0" w:color="auto"/>
            </w:tcBorders>
            <w:shd w:val="clear" w:color="auto" w:fill="auto"/>
            <w:noWrap/>
            <w:vAlign w:val="bottom"/>
            <w:hideMark/>
          </w:tcPr>
          <w:p w14:paraId="48398ED5"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42.43</w:t>
            </w:r>
          </w:p>
        </w:tc>
        <w:tc>
          <w:tcPr>
            <w:tcW w:w="869" w:type="dxa"/>
            <w:tcBorders>
              <w:top w:val="nil"/>
              <w:left w:val="nil"/>
              <w:bottom w:val="single" w:sz="4" w:space="0" w:color="auto"/>
              <w:right w:val="single" w:sz="4" w:space="0" w:color="auto"/>
            </w:tcBorders>
            <w:shd w:val="clear" w:color="auto" w:fill="auto"/>
            <w:noWrap/>
            <w:vAlign w:val="bottom"/>
            <w:hideMark/>
          </w:tcPr>
          <w:p w14:paraId="63296063"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1.34</w:t>
            </w:r>
          </w:p>
        </w:tc>
        <w:tc>
          <w:tcPr>
            <w:tcW w:w="1051" w:type="dxa"/>
            <w:tcBorders>
              <w:top w:val="nil"/>
              <w:left w:val="nil"/>
              <w:bottom w:val="single" w:sz="4" w:space="0" w:color="auto"/>
              <w:right w:val="single" w:sz="4" w:space="0" w:color="auto"/>
            </w:tcBorders>
            <w:shd w:val="clear" w:color="auto" w:fill="auto"/>
            <w:noWrap/>
            <w:vAlign w:val="bottom"/>
            <w:hideMark/>
          </w:tcPr>
          <w:p w14:paraId="45639C18"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23.57</w:t>
            </w:r>
          </w:p>
        </w:tc>
        <w:tc>
          <w:tcPr>
            <w:tcW w:w="869" w:type="dxa"/>
            <w:tcBorders>
              <w:top w:val="nil"/>
              <w:left w:val="nil"/>
              <w:bottom w:val="single" w:sz="4" w:space="0" w:color="auto"/>
              <w:right w:val="single" w:sz="4" w:space="0" w:color="auto"/>
            </w:tcBorders>
            <w:shd w:val="clear" w:color="auto" w:fill="auto"/>
            <w:noWrap/>
            <w:vAlign w:val="bottom"/>
            <w:hideMark/>
          </w:tcPr>
          <w:p w14:paraId="19680E4D"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3.46</w:t>
            </w:r>
          </w:p>
        </w:tc>
        <w:tc>
          <w:tcPr>
            <w:tcW w:w="1073" w:type="dxa"/>
            <w:tcBorders>
              <w:top w:val="nil"/>
              <w:left w:val="nil"/>
              <w:bottom w:val="single" w:sz="4" w:space="0" w:color="auto"/>
              <w:right w:val="single" w:sz="4" w:space="0" w:color="auto"/>
            </w:tcBorders>
            <w:shd w:val="clear" w:color="auto" w:fill="auto"/>
            <w:noWrap/>
            <w:vAlign w:val="bottom"/>
            <w:hideMark/>
          </w:tcPr>
          <w:p w14:paraId="47F961A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18.86</w:t>
            </w:r>
          </w:p>
        </w:tc>
        <w:tc>
          <w:tcPr>
            <w:tcW w:w="847" w:type="dxa"/>
            <w:tcBorders>
              <w:top w:val="nil"/>
              <w:left w:val="nil"/>
              <w:bottom w:val="single" w:sz="4" w:space="0" w:color="auto"/>
              <w:right w:val="single" w:sz="4" w:space="0" w:color="auto"/>
            </w:tcBorders>
            <w:shd w:val="clear" w:color="auto" w:fill="auto"/>
            <w:noWrap/>
            <w:vAlign w:val="bottom"/>
            <w:hideMark/>
          </w:tcPr>
          <w:p w14:paraId="45255BE1"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4.80</w:t>
            </w:r>
          </w:p>
        </w:tc>
      </w:tr>
      <w:tr w:rsidR="004A1CA7" w:rsidRPr="004A1CA7" w14:paraId="16E61641"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5AA3B60"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50</w:t>
            </w:r>
          </w:p>
        </w:tc>
        <w:tc>
          <w:tcPr>
            <w:tcW w:w="1840" w:type="dxa"/>
            <w:vMerge/>
            <w:tcBorders>
              <w:top w:val="nil"/>
              <w:left w:val="single" w:sz="4" w:space="0" w:color="auto"/>
              <w:bottom w:val="single" w:sz="4" w:space="0" w:color="auto"/>
              <w:right w:val="single" w:sz="4" w:space="0" w:color="auto"/>
            </w:tcBorders>
            <w:vAlign w:val="center"/>
            <w:hideMark/>
          </w:tcPr>
          <w:p w14:paraId="0EB48CB2"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3F8652B2"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90.39</w:t>
            </w:r>
          </w:p>
        </w:tc>
        <w:tc>
          <w:tcPr>
            <w:tcW w:w="869" w:type="dxa"/>
            <w:tcBorders>
              <w:top w:val="nil"/>
              <w:left w:val="nil"/>
              <w:bottom w:val="single" w:sz="4" w:space="0" w:color="auto"/>
              <w:right w:val="single" w:sz="4" w:space="0" w:color="auto"/>
            </w:tcBorders>
            <w:shd w:val="clear" w:color="auto" w:fill="auto"/>
            <w:noWrap/>
            <w:vAlign w:val="bottom"/>
            <w:hideMark/>
          </w:tcPr>
          <w:p w14:paraId="1F1F3BD3"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4.40</w:t>
            </w:r>
          </w:p>
        </w:tc>
        <w:tc>
          <w:tcPr>
            <w:tcW w:w="1051" w:type="dxa"/>
            <w:tcBorders>
              <w:top w:val="nil"/>
              <w:left w:val="nil"/>
              <w:bottom w:val="single" w:sz="4" w:space="0" w:color="auto"/>
              <w:right w:val="single" w:sz="4" w:space="0" w:color="auto"/>
            </w:tcBorders>
            <w:shd w:val="clear" w:color="auto" w:fill="auto"/>
            <w:noWrap/>
            <w:vAlign w:val="bottom"/>
            <w:hideMark/>
          </w:tcPr>
          <w:p w14:paraId="0C46DA3C"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70.67</w:t>
            </w:r>
          </w:p>
        </w:tc>
        <w:tc>
          <w:tcPr>
            <w:tcW w:w="869" w:type="dxa"/>
            <w:tcBorders>
              <w:top w:val="nil"/>
              <w:left w:val="nil"/>
              <w:bottom w:val="single" w:sz="4" w:space="0" w:color="auto"/>
              <w:right w:val="single" w:sz="4" w:space="0" w:color="auto"/>
            </w:tcBorders>
            <w:shd w:val="clear" w:color="auto" w:fill="auto"/>
            <w:noWrap/>
            <w:vAlign w:val="bottom"/>
            <w:hideMark/>
          </w:tcPr>
          <w:p w14:paraId="152ED557"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8.54</w:t>
            </w:r>
          </w:p>
        </w:tc>
        <w:tc>
          <w:tcPr>
            <w:tcW w:w="1073" w:type="dxa"/>
            <w:tcBorders>
              <w:top w:val="nil"/>
              <w:left w:val="nil"/>
              <w:bottom w:val="single" w:sz="4" w:space="0" w:color="auto"/>
              <w:right w:val="single" w:sz="4" w:space="0" w:color="auto"/>
            </w:tcBorders>
            <w:shd w:val="clear" w:color="auto" w:fill="auto"/>
            <w:noWrap/>
            <w:vAlign w:val="bottom"/>
            <w:hideMark/>
          </w:tcPr>
          <w:p w14:paraId="40BB1E28"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19.72</w:t>
            </w:r>
          </w:p>
        </w:tc>
        <w:tc>
          <w:tcPr>
            <w:tcW w:w="847" w:type="dxa"/>
            <w:tcBorders>
              <w:top w:val="nil"/>
              <w:left w:val="nil"/>
              <w:bottom w:val="single" w:sz="4" w:space="0" w:color="auto"/>
              <w:right w:val="single" w:sz="4" w:space="0" w:color="auto"/>
            </w:tcBorders>
            <w:shd w:val="clear" w:color="auto" w:fill="auto"/>
            <w:noWrap/>
            <w:vAlign w:val="bottom"/>
            <w:hideMark/>
          </w:tcPr>
          <w:p w14:paraId="6580BD2B"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4.14</w:t>
            </w:r>
          </w:p>
        </w:tc>
      </w:tr>
      <w:tr w:rsidR="004A1CA7" w:rsidRPr="004A1CA7" w14:paraId="3157FCB4"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3F08A37"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75</w:t>
            </w:r>
          </w:p>
        </w:tc>
        <w:tc>
          <w:tcPr>
            <w:tcW w:w="1840" w:type="dxa"/>
            <w:vMerge/>
            <w:tcBorders>
              <w:top w:val="nil"/>
              <w:left w:val="single" w:sz="4" w:space="0" w:color="auto"/>
              <w:bottom w:val="single" w:sz="4" w:space="0" w:color="auto"/>
              <w:right w:val="single" w:sz="4" w:space="0" w:color="auto"/>
            </w:tcBorders>
            <w:vAlign w:val="center"/>
            <w:hideMark/>
          </w:tcPr>
          <w:p w14:paraId="0DF32837"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445A7D5A"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129.17</w:t>
            </w:r>
          </w:p>
        </w:tc>
        <w:tc>
          <w:tcPr>
            <w:tcW w:w="869" w:type="dxa"/>
            <w:tcBorders>
              <w:top w:val="nil"/>
              <w:left w:val="nil"/>
              <w:bottom w:val="single" w:sz="4" w:space="0" w:color="auto"/>
              <w:right w:val="single" w:sz="4" w:space="0" w:color="auto"/>
            </w:tcBorders>
            <w:shd w:val="clear" w:color="auto" w:fill="auto"/>
            <w:noWrap/>
            <w:vAlign w:val="bottom"/>
            <w:hideMark/>
          </w:tcPr>
          <w:p w14:paraId="5E87C873"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9.32</w:t>
            </w:r>
          </w:p>
        </w:tc>
        <w:tc>
          <w:tcPr>
            <w:tcW w:w="1051" w:type="dxa"/>
            <w:tcBorders>
              <w:top w:val="nil"/>
              <w:left w:val="nil"/>
              <w:bottom w:val="single" w:sz="4" w:space="0" w:color="auto"/>
              <w:right w:val="single" w:sz="4" w:space="0" w:color="auto"/>
            </w:tcBorders>
            <w:shd w:val="clear" w:color="auto" w:fill="auto"/>
            <w:noWrap/>
            <w:vAlign w:val="bottom"/>
            <w:hideMark/>
          </w:tcPr>
          <w:p w14:paraId="1A21CD0E"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103.19</w:t>
            </w:r>
          </w:p>
        </w:tc>
        <w:tc>
          <w:tcPr>
            <w:tcW w:w="869" w:type="dxa"/>
            <w:tcBorders>
              <w:top w:val="nil"/>
              <w:left w:val="nil"/>
              <w:bottom w:val="single" w:sz="4" w:space="0" w:color="auto"/>
              <w:right w:val="single" w:sz="4" w:space="0" w:color="auto"/>
            </w:tcBorders>
            <w:shd w:val="clear" w:color="auto" w:fill="auto"/>
            <w:noWrap/>
            <w:vAlign w:val="bottom"/>
            <w:hideMark/>
          </w:tcPr>
          <w:p w14:paraId="1DC44D6E"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0.07</w:t>
            </w:r>
          </w:p>
        </w:tc>
        <w:tc>
          <w:tcPr>
            <w:tcW w:w="1073" w:type="dxa"/>
            <w:tcBorders>
              <w:top w:val="nil"/>
              <w:left w:val="nil"/>
              <w:bottom w:val="single" w:sz="4" w:space="0" w:color="auto"/>
              <w:right w:val="single" w:sz="4" w:space="0" w:color="auto"/>
            </w:tcBorders>
            <w:shd w:val="clear" w:color="auto" w:fill="auto"/>
            <w:noWrap/>
            <w:vAlign w:val="bottom"/>
            <w:hideMark/>
          </w:tcPr>
          <w:p w14:paraId="0EDB4969"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25.98</w:t>
            </w:r>
          </w:p>
        </w:tc>
        <w:tc>
          <w:tcPr>
            <w:tcW w:w="847" w:type="dxa"/>
            <w:tcBorders>
              <w:top w:val="nil"/>
              <w:left w:val="nil"/>
              <w:bottom w:val="single" w:sz="4" w:space="0" w:color="auto"/>
              <w:right w:val="single" w:sz="4" w:space="0" w:color="auto"/>
            </w:tcBorders>
            <w:shd w:val="clear" w:color="auto" w:fill="auto"/>
            <w:noWrap/>
            <w:vAlign w:val="bottom"/>
            <w:hideMark/>
          </w:tcPr>
          <w:p w14:paraId="0D9BE97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9.25</w:t>
            </w:r>
          </w:p>
        </w:tc>
      </w:tr>
      <w:tr w:rsidR="004A1CA7" w:rsidRPr="004A1CA7" w14:paraId="1B3FE6B6"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7865F02"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100</w:t>
            </w:r>
          </w:p>
        </w:tc>
        <w:tc>
          <w:tcPr>
            <w:tcW w:w="1840" w:type="dxa"/>
            <w:vMerge/>
            <w:tcBorders>
              <w:top w:val="nil"/>
              <w:left w:val="single" w:sz="4" w:space="0" w:color="auto"/>
              <w:bottom w:val="single" w:sz="4" w:space="0" w:color="auto"/>
              <w:right w:val="single" w:sz="4" w:space="0" w:color="auto"/>
            </w:tcBorders>
            <w:vAlign w:val="center"/>
            <w:hideMark/>
          </w:tcPr>
          <w:p w14:paraId="18F78C7F"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6BD5A38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162.60</w:t>
            </w:r>
          </w:p>
        </w:tc>
        <w:tc>
          <w:tcPr>
            <w:tcW w:w="869" w:type="dxa"/>
            <w:tcBorders>
              <w:top w:val="nil"/>
              <w:left w:val="nil"/>
              <w:bottom w:val="single" w:sz="4" w:space="0" w:color="auto"/>
              <w:right w:val="single" w:sz="4" w:space="0" w:color="auto"/>
            </w:tcBorders>
            <w:shd w:val="clear" w:color="auto" w:fill="auto"/>
            <w:noWrap/>
            <w:vAlign w:val="bottom"/>
            <w:hideMark/>
          </w:tcPr>
          <w:p w14:paraId="7DEF3F24"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0.56</w:t>
            </w:r>
          </w:p>
        </w:tc>
        <w:tc>
          <w:tcPr>
            <w:tcW w:w="1051" w:type="dxa"/>
            <w:tcBorders>
              <w:top w:val="nil"/>
              <w:left w:val="nil"/>
              <w:bottom w:val="single" w:sz="4" w:space="0" w:color="auto"/>
              <w:right w:val="single" w:sz="4" w:space="0" w:color="auto"/>
            </w:tcBorders>
            <w:shd w:val="clear" w:color="auto" w:fill="auto"/>
            <w:noWrap/>
            <w:vAlign w:val="bottom"/>
            <w:hideMark/>
          </w:tcPr>
          <w:p w14:paraId="5E5644D5"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116.02</w:t>
            </w:r>
          </w:p>
        </w:tc>
        <w:tc>
          <w:tcPr>
            <w:tcW w:w="869" w:type="dxa"/>
            <w:tcBorders>
              <w:top w:val="nil"/>
              <w:left w:val="nil"/>
              <w:bottom w:val="single" w:sz="4" w:space="0" w:color="auto"/>
              <w:right w:val="single" w:sz="4" w:space="0" w:color="auto"/>
            </w:tcBorders>
            <w:shd w:val="clear" w:color="auto" w:fill="auto"/>
            <w:noWrap/>
            <w:vAlign w:val="bottom"/>
            <w:hideMark/>
          </w:tcPr>
          <w:p w14:paraId="2E9B89DA"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5.08</w:t>
            </w:r>
          </w:p>
        </w:tc>
        <w:tc>
          <w:tcPr>
            <w:tcW w:w="1073" w:type="dxa"/>
            <w:tcBorders>
              <w:top w:val="nil"/>
              <w:left w:val="nil"/>
              <w:bottom w:val="single" w:sz="4" w:space="0" w:color="auto"/>
              <w:right w:val="single" w:sz="4" w:space="0" w:color="auto"/>
            </w:tcBorders>
            <w:shd w:val="clear" w:color="auto" w:fill="auto"/>
            <w:noWrap/>
            <w:vAlign w:val="bottom"/>
            <w:hideMark/>
          </w:tcPr>
          <w:p w14:paraId="20044E4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46.58</w:t>
            </w:r>
          </w:p>
        </w:tc>
        <w:tc>
          <w:tcPr>
            <w:tcW w:w="847" w:type="dxa"/>
            <w:tcBorders>
              <w:top w:val="nil"/>
              <w:left w:val="nil"/>
              <w:bottom w:val="single" w:sz="4" w:space="0" w:color="auto"/>
              <w:right w:val="single" w:sz="4" w:space="0" w:color="auto"/>
            </w:tcBorders>
            <w:shd w:val="clear" w:color="auto" w:fill="auto"/>
            <w:noWrap/>
            <w:vAlign w:val="bottom"/>
            <w:hideMark/>
          </w:tcPr>
          <w:p w14:paraId="603CE591"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4.52</w:t>
            </w:r>
          </w:p>
        </w:tc>
      </w:tr>
      <w:tr w:rsidR="004A1CA7" w:rsidRPr="004A1CA7" w14:paraId="6A91DC9B"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D829155"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25</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0E5315"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250 (</w:t>
            </w:r>
            <w:proofErr w:type="spellStart"/>
            <w:r w:rsidRPr="004A1CA7">
              <w:rPr>
                <w:rFonts w:ascii="Times New Roman" w:eastAsia="Times New Roman" w:hAnsi="Times New Roman"/>
                <w:color w:val="000000"/>
                <w:lang w:eastAsia="en-IN"/>
              </w:rPr>
              <w:t>rGO</w:t>
            </w:r>
            <w:proofErr w:type="spellEnd"/>
            <w:r w:rsidRPr="004A1CA7">
              <w:rPr>
                <w:rFonts w:ascii="Times New Roman" w:eastAsia="Times New Roman" w:hAnsi="Times New Roman"/>
                <w:color w:val="000000"/>
                <w:lang w:eastAsia="en-IN"/>
              </w:rPr>
              <w:t>)</w:t>
            </w:r>
          </w:p>
        </w:tc>
        <w:tc>
          <w:tcPr>
            <w:tcW w:w="1051" w:type="dxa"/>
            <w:tcBorders>
              <w:top w:val="nil"/>
              <w:left w:val="nil"/>
              <w:bottom w:val="single" w:sz="4" w:space="0" w:color="auto"/>
              <w:right w:val="single" w:sz="4" w:space="0" w:color="auto"/>
            </w:tcBorders>
            <w:shd w:val="clear" w:color="auto" w:fill="auto"/>
            <w:noWrap/>
            <w:vAlign w:val="bottom"/>
            <w:hideMark/>
          </w:tcPr>
          <w:p w14:paraId="61960101"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58.29</w:t>
            </w:r>
          </w:p>
        </w:tc>
        <w:tc>
          <w:tcPr>
            <w:tcW w:w="869" w:type="dxa"/>
            <w:tcBorders>
              <w:top w:val="nil"/>
              <w:left w:val="nil"/>
              <w:bottom w:val="single" w:sz="4" w:space="0" w:color="auto"/>
              <w:right w:val="single" w:sz="4" w:space="0" w:color="auto"/>
            </w:tcBorders>
            <w:shd w:val="clear" w:color="auto" w:fill="auto"/>
            <w:noWrap/>
            <w:vAlign w:val="bottom"/>
            <w:hideMark/>
          </w:tcPr>
          <w:p w14:paraId="52B15BED"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4.22</w:t>
            </w:r>
          </w:p>
        </w:tc>
        <w:tc>
          <w:tcPr>
            <w:tcW w:w="1051" w:type="dxa"/>
            <w:tcBorders>
              <w:top w:val="nil"/>
              <w:left w:val="nil"/>
              <w:bottom w:val="single" w:sz="4" w:space="0" w:color="auto"/>
              <w:right w:val="single" w:sz="4" w:space="0" w:color="auto"/>
            </w:tcBorders>
            <w:shd w:val="clear" w:color="auto" w:fill="auto"/>
            <w:noWrap/>
            <w:vAlign w:val="bottom"/>
            <w:hideMark/>
          </w:tcPr>
          <w:p w14:paraId="792087C2"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28.34</w:t>
            </w:r>
          </w:p>
        </w:tc>
        <w:tc>
          <w:tcPr>
            <w:tcW w:w="869" w:type="dxa"/>
            <w:tcBorders>
              <w:top w:val="nil"/>
              <w:left w:val="nil"/>
              <w:bottom w:val="single" w:sz="4" w:space="0" w:color="auto"/>
              <w:right w:val="single" w:sz="4" w:space="0" w:color="auto"/>
            </w:tcBorders>
            <w:shd w:val="clear" w:color="auto" w:fill="auto"/>
            <w:noWrap/>
            <w:vAlign w:val="bottom"/>
            <w:hideMark/>
          </w:tcPr>
          <w:p w14:paraId="7005168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2.15</w:t>
            </w:r>
          </w:p>
        </w:tc>
        <w:tc>
          <w:tcPr>
            <w:tcW w:w="1073" w:type="dxa"/>
            <w:tcBorders>
              <w:top w:val="nil"/>
              <w:left w:val="nil"/>
              <w:bottom w:val="single" w:sz="4" w:space="0" w:color="auto"/>
              <w:right w:val="single" w:sz="4" w:space="0" w:color="auto"/>
            </w:tcBorders>
            <w:shd w:val="clear" w:color="auto" w:fill="auto"/>
            <w:noWrap/>
            <w:vAlign w:val="bottom"/>
            <w:hideMark/>
          </w:tcPr>
          <w:p w14:paraId="0E3F5A2C"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29.95</w:t>
            </w:r>
          </w:p>
        </w:tc>
        <w:tc>
          <w:tcPr>
            <w:tcW w:w="847" w:type="dxa"/>
            <w:tcBorders>
              <w:top w:val="nil"/>
              <w:left w:val="nil"/>
              <w:bottom w:val="single" w:sz="4" w:space="0" w:color="auto"/>
              <w:right w:val="single" w:sz="4" w:space="0" w:color="auto"/>
            </w:tcBorders>
            <w:shd w:val="clear" w:color="auto" w:fill="auto"/>
            <w:noWrap/>
            <w:vAlign w:val="bottom"/>
            <w:hideMark/>
          </w:tcPr>
          <w:p w14:paraId="2F7304F4"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2.07</w:t>
            </w:r>
          </w:p>
        </w:tc>
      </w:tr>
      <w:tr w:rsidR="004A1CA7" w:rsidRPr="004A1CA7" w14:paraId="218306DA"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8C90996"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50</w:t>
            </w:r>
          </w:p>
        </w:tc>
        <w:tc>
          <w:tcPr>
            <w:tcW w:w="1840" w:type="dxa"/>
            <w:vMerge/>
            <w:tcBorders>
              <w:top w:val="nil"/>
              <w:left w:val="single" w:sz="4" w:space="0" w:color="auto"/>
              <w:bottom w:val="single" w:sz="4" w:space="0" w:color="auto"/>
              <w:right w:val="single" w:sz="4" w:space="0" w:color="auto"/>
            </w:tcBorders>
            <w:vAlign w:val="center"/>
            <w:hideMark/>
          </w:tcPr>
          <w:p w14:paraId="5381B32E"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31C3D6E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89.69</w:t>
            </w:r>
          </w:p>
        </w:tc>
        <w:tc>
          <w:tcPr>
            <w:tcW w:w="869" w:type="dxa"/>
            <w:tcBorders>
              <w:top w:val="nil"/>
              <w:left w:val="nil"/>
              <w:bottom w:val="single" w:sz="4" w:space="0" w:color="auto"/>
              <w:right w:val="single" w:sz="4" w:space="0" w:color="auto"/>
            </w:tcBorders>
            <w:shd w:val="clear" w:color="auto" w:fill="auto"/>
            <w:noWrap/>
            <w:vAlign w:val="bottom"/>
            <w:hideMark/>
          </w:tcPr>
          <w:p w14:paraId="411965E4"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4.35</w:t>
            </w:r>
          </w:p>
        </w:tc>
        <w:tc>
          <w:tcPr>
            <w:tcW w:w="1051" w:type="dxa"/>
            <w:tcBorders>
              <w:top w:val="nil"/>
              <w:left w:val="nil"/>
              <w:bottom w:val="single" w:sz="4" w:space="0" w:color="auto"/>
              <w:right w:val="single" w:sz="4" w:space="0" w:color="auto"/>
            </w:tcBorders>
            <w:shd w:val="clear" w:color="auto" w:fill="auto"/>
            <w:noWrap/>
            <w:vAlign w:val="bottom"/>
            <w:hideMark/>
          </w:tcPr>
          <w:p w14:paraId="0666B838"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64.13</w:t>
            </w:r>
          </w:p>
        </w:tc>
        <w:tc>
          <w:tcPr>
            <w:tcW w:w="869" w:type="dxa"/>
            <w:tcBorders>
              <w:top w:val="nil"/>
              <w:left w:val="nil"/>
              <w:bottom w:val="single" w:sz="4" w:space="0" w:color="auto"/>
              <w:right w:val="single" w:sz="4" w:space="0" w:color="auto"/>
            </w:tcBorders>
            <w:shd w:val="clear" w:color="auto" w:fill="auto"/>
            <w:noWrap/>
            <w:vAlign w:val="bottom"/>
            <w:hideMark/>
          </w:tcPr>
          <w:p w14:paraId="2DB5EE6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0.83</w:t>
            </w:r>
          </w:p>
        </w:tc>
        <w:tc>
          <w:tcPr>
            <w:tcW w:w="1073" w:type="dxa"/>
            <w:tcBorders>
              <w:top w:val="nil"/>
              <w:left w:val="nil"/>
              <w:bottom w:val="single" w:sz="4" w:space="0" w:color="auto"/>
              <w:right w:val="single" w:sz="4" w:space="0" w:color="auto"/>
            </w:tcBorders>
            <w:shd w:val="clear" w:color="auto" w:fill="auto"/>
            <w:noWrap/>
            <w:vAlign w:val="bottom"/>
            <w:hideMark/>
          </w:tcPr>
          <w:p w14:paraId="37877F6B"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25.57</w:t>
            </w:r>
          </w:p>
        </w:tc>
        <w:tc>
          <w:tcPr>
            <w:tcW w:w="847" w:type="dxa"/>
            <w:tcBorders>
              <w:top w:val="nil"/>
              <w:left w:val="nil"/>
              <w:bottom w:val="single" w:sz="4" w:space="0" w:color="auto"/>
              <w:right w:val="single" w:sz="4" w:space="0" w:color="auto"/>
            </w:tcBorders>
            <w:shd w:val="clear" w:color="auto" w:fill="auto"/>
            <w:noWrap/>
            <w:vAlign w:val="bottom"/>
            <w:hideMark/>
          </w:tcPr>
          <w:p w14:paraId="643006D5"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3.53</w:t>
            </w:r>
          </w:p>
        </w:tc>
      </w:tr>
      <w:tr w:rsidR="004A1CA7" w:rsidRPr="004A1CA7" w14:paraId="53D39B94"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AAA9B22"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75</w:t>
            </w:r>
          </w:p>
        </w:tc>
        <w:tc>
          <w:tcPr>
            <w:tcW w:w="1840" w:type="dxa"/>
            <w:vMerge/>
            <w:tcBorders>
              <w:top w:val="nil"/>
              <w:left w:val="single" w:sz="4" w:space="0" w:color="auto"/>
              <w:bottom w:val="single" w:sz="4" w:space="0" w:color="auto"/>
              <w:right w:val="single" w:sz="4" w:space="0" w:color="auto"/>
            </w:tcBorders>
            <w:vAlign w:val="center"/>
            <w:hideMark/>
          </w:tcPr>
          <w:p w14:paraId="3E0E3B32"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4301D0D2"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156.81</w:t>
            </w:r>
          </w:p>
        </w:tc>
        <w:tc>
          <w:tcPr>
            <w:tcW w:w="869" w:type="dxa"/>
            <w:tcBorders>
              <w:top w:val="nil"/>
              <w:left w:val="nil"/>
              <w:bottom w:val="single" w:sz="4" w:space="0" w:color="auto"/>
              <w:right w:val="single" w:sz="4" w:space="0" w:color="auto"/>
            </w:tcBorders>
            <w:shd w:val="clear" w:color="auto" w:fill="auto"/>
            <w:noWrap/>
            <w:vAlign w:val="bottom"/>
            <w:hideMark/>
          </w:tcPr>
          <w:p w14:paraId="37B4D218"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4.87</w:t>
            </w:r>
          </w:p>
        </w:tc>
        <w:tc>
          <w:tcPr>
            <w:tcW w:w="1051" w:type="dxa"/>
            <w:tcBorders>
              <w:top w:val="nil"/>
              <w:left w:val="nil"/>
              <w:bottom w:val="single" w:sz="4" w:space="0" w:color="auto"/>
              <w:right w:val="single" w:sz="4" w:space="0" w:color="auto"/>
            </w:tcBorders>
            <w:shd w:val="clear" w:color="auto" w:fill="auto"/>
            <w:noWrap/>
            <w:vAlign w:val="bottom"/>
            <w:hideMark/>
          </w:tcPr>
          <w:p w14:paraId="2EECB95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117.38</w:t>
            </w:r>
          </w:p>
        </w:tc>
        <w:tc>
          <w:tcPr>
            <w:tcW w:w="869" w:type="dxa"/>
            <w:tcBorders>
              <w:top w:val="nil"/>
              <w:left w:val="nil"/>
              <w:bottom w:val="single" w:sz="4" w:space="0" w:color="auto"/>
              <w:right w:val="single" w:sz="4" w:space="0" w:color="auto"/>
            </w:tcBorders>
            <w:shd w:val="clear" w:color="auto" w:fill="auto"/>
            <w:noWrap/>
            <w:vAlign w:val="bottom"/>
            <w:hideMark/>
          </w:tcPr>
          <w:p w14:paraId="4A8EF12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7.26</w:t>
            </w:r>
          </w:p>
        </w:tc>
        <w:tc>
          <w:tcPr>
            <w:tcW w:w="1073" w:type="dxa"/>
            <w:tcBorders>
              <w:top w:val="nil"/>
              <w:left w:val="nil"/>
              <w:bottom w:val="single" w:sz="4" w:space="0" w:color="auto"/>
              <w:right w:val="single" w:sz="4" w:space="0" w:color="auto"/>
            </w:tcBorders>
            <w:shd w:val="clear" w:color="auto" w:fill="auto"/>
            <w:noWrap/>
            <w:vAlign w:val="bottom"/>
            <w:hideMark/>
          </w:tcPr>
          <w:p w14:paraId="68C762DA"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39.43</w:t>
            </w:r>
          </w:p>
        </w:tc>
        <w:tc>
          <w:tcPr>
            <w:tcW w:w="847" w:type="dxa"/>
            <w:tcBorders>
              <w:top w:val="nil"/>
              <w:left w:val="nil"/>
              <w:bottom w:val="single" w:sz="4" w:space="0" w:color="auto"/>
              <w:right w:val="single" w:sz="4" w:space="0" w:color="auto"/>
            </w:tcBorders>
            <w:shd w:val="clear" w:color="auto" w:fill="auto"/>
            <w:noWrap/>
            <w:vAlign w:val="bottom"/>
            <w:hideMark/>
          </w:tcPr>
          <w:p w14:paraId="442829AD"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2.39</w:t>
            </w:r>
          </w:p>
        </w:tc>
      </w:tr>
      <w:tr w:rsidR="004A1CA7" w:rsidRPr="004A1CA7" w14:paraId="7AD6BFE9"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8044C69"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100</w:t>
            </w:r>
          </w:p>
        </w:tc>
        <w:tc>
          <w:tcPr>
            <w:tcW w:w="1840" w:type="dxa"/>
            <w:vMerge/>
            <w:tcBorders>
              <w:top w:val="nil"/>
              <w:left w:val="single" w:sz="4" w:space="0" w:color="auto"/>
              <w:bottom w:val="single" w:sz="4" w:space="0" w:color="auto"/>
              <w:right w:val="single" w:sz="4" w:space="0" w:color="auto"/>
            </w:tcBorders>
            <w:vAlign w:val="center"/>
            <w:hideMark/>
          </w:tcPr>
          <w:p w14:paraId="57F45B91"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5469BA97"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169.04</w:t>
            </w:r>
          </w:p>
        </w:tc>
        <w:tc>
          <w:tcPr>
            <w:tcW w:w="869" w:type="dxa"/>
            <w:tcBorders>
              <w:top w:val="nil"/>
              <w:left w:val="nil"/>
              <w:bottom w:val="single" w:sz="4" w:space="0" w:color="auto"/>
              <w:right w:val="single" w:sz="4" w:space="0" w:color="auto"/>
            </w:tcBorders>
            <w:shd w:val="clear" w:color="auto" w:fill="auto"/>
            <w:noWrap/>
            <w:vAlign w:val="bottom"/>
            <w:hideMark/>
          </w:tcPr>
          <w:p w14:paraId="772828CA"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3.28</w:t>
            </w:r>
          </w:p>
        </w:tc>
        <w:tc>
          <w:tcPr>
            <w:tcW w:w="1051" w:type="dxa"/>
            <w:tcBorders>
              <w:top w:val="nil"/>
              <w:left w:val="nil"/>
              <w:bottom w:val="single" w:sz="4" w:space="0" w:color="auto"/>
              <w:right w:val="single" w:sz="4" w:space="0" w:color="auto"/>
            </w:tcBorders>
            <w:shd w:val="clear" w:color="auto" w:fill="auto"/>
            <w:noWrap/>
            <w:vAlign w:val="bottom"/>
            <w:hideMark/>
          </w:tcPr>
          <w:p w14:paraId="5AB1C9D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118.02</w:t>
            </w:r>
          </w:p>
        </w:tc>
        <w:tc>
          <w:tcPr>
            <w:tcW w:w="869" w:type="dxa"/>
            <w:tcBorders>
              <w:top w:val="nil"/>
              <w:left w:val="nil"/>
              <w:bottom w:val="single" w:sz="4" w:space="0" w:color="auto"/>
              <w:right w:val="single" w:sz="4" w:space="0" w:color="auto"/>
            </w:tcBorders>
            <w:shd w:val="clear" w:color="auto" w:fill="auto"/>
            <w:noWrap/>
            <w:vAlign w:val="bottom"/>
            <w:hideMark/>
          </w:tcPr>
          <w:p w14:paraId="71990BB4"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1.47</w:t>
            </w:r>
          </w:p>
        </w:tc>
        <w:tc>
          <w:tcPr>
            <w:tcW w:w="1073" w:type="dxa"/>
            <w:tcBorders>
              <w:top w:val="nil"/>
              <w:left w:val="nil"/>
              <w:bottom w:val="single" w:sz="4" w:space="0" w:color="auto"/>
              <w:right w:val="single" w:sz="4" w:space="0" w:color="auto"/>
            </w:tcBorders>
            <w:shd w:val="clear" w:color="auto" w:fill="auto"/>
            <w:noWrap/>
            <w:vAlign w:val="bottom"/>
            <w:hideMark/>
          </w:tcPr>
          <w:p w14:paraId="1762E6FD"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51.03</w:t>
            </w:r>
          </w:p>
        </w:tc>
        <w:tc>
          <w:tcPr>
            <w:tcW w:w="847" w:type="dxa"/>
            <w:tcBorders>
              <w:top w:val="nil"/>
              <w:left w:val="nil"/>
              <w:bottom w:val="single" w:sz="4" w:space="0" w:color="auto"/>
              <w:right w:val="single" w:sz="4" w:space="0" w:color="auto"/>
            </w:tcBorders>
            <w:shd w:val="clear" w:color="auto" w:fill="auto"/>
            <w:noWrap/>
            <w:vAlign w:val="bottom"/>
            <w:hideMark/>
          </w:tcPr>
          <w:p w14:paraId="48442F48"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1.81</w:t>
            </w:r>
          </w:p>
        </w:tc>
      </w:tr>
      <w:tr w:rsidR="004A1CA7" w:rsidRPr="004A1CA7" w14:paraId="7F0DD0AE"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8D36EC"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25</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80B728"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250 (Graphene)</w:t>
            </w:r>
          </w:p>
        </w:tc>
        <w:tc>
          <w:tcPr>
            <w:tcW w:w="1051" w:type="dxa"/>
            <w:tcBorders>
              <w:top w:val="nil"/>
              <w:left w:val="nil"/>
              <w:bottom w:val="single" w:sz="4" w:space="0" w:color="auto"/>
              <w:right w:val="single" w:sz="4" w:space="0" w:color="auto"/>
            </w:tcBorders>
            <w:shd w:val="clear" w:color="auto" w:fill="auto"/>
            <w:noWrap/>
            <w:vAlign w:val="bottom"/>
            <w:hideMark/>
          </w:tcPr>
          <w:p w14:paraId="4BFF2E95"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42.70</w:t>
            </w:r>
          </w:p>
        </w:tc>
        <w:tc>
          <w:tcPr>
            <w:tcW w:w="869" w:type="dxa"/>
            <w:tcBorders>
              <w:top w:val="nil"/>
              <w:left w:val="nil"/>
              <w:bottom w:val="single" w:sz="4" w:space="0" w:color="auto"/>
              <w:right w:val="single" w:sz="4" w:space="0" w:color="auto"/>
            </w:tcBorders>
            <w:shd w:val="clear" w:color="auto" w:fill="auto"/>
            <w:noWrap/>
            <w:vAlign w:val="bottom"/>
            <w:hideMark/>
          </w:tcPr>
          <w:p w14:paraId="17AAD4AF"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0.80</w:t>
            </w:r>
          </w:p>
        </w:tc>
        <w:tc>
          <w:tcPr>
            <w:tcW w:w="1051" w:type="dxa"/>
            <w:tcBorders>
              <w:top w:val="nil"/>
              <w:left w:val="nil"/>
              <w:bottom w:val="single" w:sz="4" w:space="0" w:color="auto"/>
              <w:right w:val="single" w:sz="4" w:space="0" w:color="auto"/>
            </w:tcBorders>
            <w:shd w:val="clear" w:color="auto" w:fill="auto"/>
            <w:noWrap/>
            <w:vAlign w:val="bottom"/>
            <w:hideMark/>
          </w:tcPr>
          <w:p w14:paraId="0FAE0D27"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33.33</w:t>
            </w:r>
          </w:p>
        </w:tc>
        <w:tc>
          <w:tcPr>
            <w:tcW w:w="869" w:type="dxa"/>
            <w:tcBorders>
              <w:top w:val="nil"/>
              <w:left w:val="nil"/>
              <w:bottom w:val="single" w:sz="4" w:space="0" w:color="auto"/>
              <w:right w:val="single" w:sz="4" w:space="0" w:color="auto"/>
            </w:tcBorders>
            <w:shd w:val="clear" w:color="auto" w:fill="auto"/>
            <w:noWrap/>
            <w:vAlign w:val="bottom"/>
            <w:hideMark/>
          </w:tcPr>
          <w:p w14:paraId="233B40E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0.02</w:t>
            </w:r>
          </w:p>
        </w:tc>
        <w:tc>
          <w:tcPr>
            <w:tcW w:w="1073" w:type="dxa"/>
            <w:tcBorders>
              <w:top w:val="nil"/>
              <w:left w:val="nil"/>
              <w:bottom w:val="single" w:sz="4" w:space="0" w:color="auto"/>
              <w:right w:val="single" w:sz="4" w:space="0" w:color="auto"/>
            </w:tcBorders>
            <w:shd w:val="clear" w:color="auto" w:fill="auto"/>
            <w:noWrap/>
            <w:vAlign w:val="bottom"/>
            <w:hideMark/>
          </w:tcPr>
          <w:p w14:paraId="33358615"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9.37</w:t>
            </w:r>
          </w:p>
        </w:tc>
        <w:tc>
          <w:tcPr>
            <w:tcW w:w="847" w:type="dxa"/>
            <w:tcBorders>
              <w:top w:val="nil"/>
              <w:left w:val="nil"/>
              <w:bottom w:val="single" w:sz="4" w:space="0" w:color="auto"/>
              <w:right w:val="single" w:sz="4" w:space="0" w:color="auto"/>
            </w:tcBorders>
            <w:shd w:val="clear" w:color="auto" w:fill="auto"/>
            <w:noWrap/>
            <w:vAlign w:val="bottom"/>
            <w:hideMark/>
          </w:tcPr>
          <w:p w14:paraId="276594E5"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0.78</w:t>
            </w:r>
          </w:p>
        </w:tc>
      </w:tr>
      <w:tr w:rsidR="004A1CA7" w:rsidRPr="004A1CA7" w14:paraId="6185FBF6"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00BABF4"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50</w:t>
            </w:r>
          </w:p>
        </w:tc>
        <w:tc>
          <w:tcPr>
            <w:tcW w:w="1840" w:type="dxa"/>
            <w:vMerge/>
            <w:tcBorders>
              <w:top w:val="nil"/>
              <w:left w:val="single" w:sz="4" w:space="0" w:color="auto"/>
              <w:bottom w:val="single" w:sz="4" w:space="0" w:color="auto"/>
              <w:right w:val="single" w:sz="4" w:space="0" w:color="auto"/>
            </w:tcBorders>
            <w:vAlign w:val="center"/>
            <w:hideMark/>
          </w:tcPr>
          <w:p w14:paraId="6AD09C82"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60112481"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92.01</w:t>
            </w:r>
          </w:p>
        </w:tc>
        <w:tc>
          <w:tcPr>
            <w:tcW w:w="869" w:type="dxa"/>
            <w:tcBorders>
              <w:top w:val="nil"/>
              <w:left w:val="nil"/>
              <w:bottom w:val="single" w:sz="4" w:space="0" w:color="auto"/>
              <w:right w:val="single" w:sz="4" w:space="0" w:color="auto"/>
            </w:tcBorders>
            <w:shd w:val="clear" w:color="auto" w:fill="auto"/>
            <w:noWrap/>
            <w:vAlign w:val="bottom"/>
            <w:hideMark/>
          </w:tcPr>
          <w:p w14:paraId="0CB25DAE"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5.36</w:t>
            </w:r>
          </w:p>
        </w:tc>
        <w:tc>
          <w:tcPr>
            <w:tcW w:w="1051" w:type="dxa"/>
            <w:tcBorders>
              <w:top w:val="nil"/>
              <w:left w:val="nil"/>
              <w:bottom w:val="single" w:sz="4" w:space="0" w:color="auto"/>
              <w:right w:val="single" w:sz="4" w:space="0" w:color="auto"/>
            </w:tcBorders>
            <w:shd w:val="clear" w:color="auto" w:fill="auto"/>
            <w:noWrap/>
            <w:vAlign w:val="bottom"/>
            <w:hideMark/>
          </w:tcPr>
          <w:p w14:paraId="31C09682"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77.09</w:t>
            </w:r>
          </w:p>
        </w:tc>
        <w:tc>
          <w:tcPr>
            <w:tcW w:w="869" w:type="dxa"/>
            <w:tcBorders>
              <w:top w:val="nil"/>
              <w:left w:val="nil"/>
              <w:bottom w:val="single" w:sz="4" w:space="0" w:color="auto"/>
              <w:right w:val="single" w:sz="4" w:space="0" w:color="auto"/>
            </w:tcBorders>
            <w:shd w:val="clear" w:color="auto" w:fill="auto"/>
            <w:noWrap/>
            <w:vAlign w:val="bottom"/>
            <w:hideMark/>
          </w:tcPr>
          <w:p w14:paraId="445AB8D7"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5.81</w:t>
            </w:r>
          </w:p>
        </w:tc>
        <w:tc>
          <w:tcPr>
            <w:tcW w:w="1073" w:type="dxa"/>
            <w:tcBorders>
              <w:top w:val="nil"/>
              <w:left w:val="nil"/>
              <w:bottom w:val="single" w:sz="4" w:space="0" w:color="auto"/>
              <w:right w:val="single" w:sz="4" w:space="0" w:color="auto"/>
            </w:tcBorders>
            <w:shd w:val="clear" w:color="auto" w:fill="auto"/>
            <w:noWrap/>
            <w:vAlign w:val="bottom"/>
            <w:hideMark/>
          </w:tcPr>
          <w:p w14:paraId="6771F21C"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14.92</w:t>
            </w:r>
          </w:p>
        </w:tc>
        <w:tc>
          <w:tcPr>
            <w:tcW w:w="847" w:type="dxa"/>
            <w:tcBorders>
              <w:top w:val="nil"/>
              <w:left w:val="nil"/>
              <w:bottom w:val="single" w:sz="4" w:space="0" w:color="auto"/>
              <w:right w:val="single" w:sz="4" w:space="0" w:color="auto"/>
            </w:tcBorders>
            <w:shd w:val="clear" w:color="auto" w:fill="auto"/>
            <w:noWrap/>
            <w:vAlign w:val="bottom"/>
            <w:hideMark/>
          </w:tcPr>
          <w:p w14:paraId="19620C7E"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0.45</w:t>
            </w:r>
          </w:p>
        </w:tc>
      </w:tr>
      <w:tr w:rsidR="004A1CA7" w:rsidRPr="004A1CA7" w14:paraId="694A590F"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C20036D"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75</w:t>
            </w:r>
          </w:p>
        </w:tc>
        <w:tc>
          <w:tcPr>
            <w:tcW w:w="1840" w:type="dxa"/>
            <w:vMerge/>
            <w:tcBorders>
              <w:top w:val="nil"/>
              <w:left w:val="single" w:sz="4" w:space="0" w:color="auto"/>
              <w:bottom w:val="single" w:sz="4" w:space="0" w:color="auto"/>
              <w:right w:val="single" w:sz="4" w:space="0" w:color="auto"/>
            </w:tcBorders>
            <w:vAlign w:val="center"/>
            <w:hideMark/>
          </w:tcPr>
          <w:p w14:paraId="23305E7E"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11A5BED9"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143.86</w:t>
            </w:r>
          </w:p>
        </w:tc>
        <w:tc>
          <w:tcPr>
            <w:tcW w:w="869" w:type="dxa"/>
            <w:tcBorders>
              <w:top w:val="nil"/>
              <w:left w:val="nil"/>
              <w:bottom w:val="single" w:sz="4" w:space="0" w:color="auto"/>
              <w:right w:val="single" w:sz="4" w:space="0" w:color="auto"/>
            </w:tcBorders>
            <w:shd w:val="clear" w:color="auto" w:fill="auto"/>
            <w:noWrap/>
            <w:vAlign w:val="bottom"/>
            <w:hideMark/>
          </w:tcPr>
          <w:p w14:paraId="1E9751B7"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1.74</w:t>
            </w:r>
          </w:p>
        </w:tc>
        <w:tc>
          <w:tcPr>
            <w:tcW w:w="1051" w:type="dxa"/>
            <w:tcBorders>
              <w:top w:val="nil"/>
              <w:left w:val="nil"/>
              <w:bottom w:val="single" w:sz="4" w:space="0" w:color="auto"/>
              <w:right w:val="single" w:sz="4" w:space="0" w:color="auto"/>
            </w:tcBorders>
            <w:shd w:val="clear" w:color="auto" w:fill="auto"/>
            <w:noWrap/>
            <w:vAlign w:val="bottom"/>
            <w:hideMark/>
          </w:tcPr>
          <w:p w14:paraId="2E26ACE1"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125.15</w:t>
            </w:r>
          </w:p>
        </w:tc>
        <w:tc>
          <w:tcPr>
            <w:tcW w:w="869" w:type="dxa"/>
            <w:tcBorders>
              <w:top w:val="nil"/>
              <w:left w:val="nil"/>
              <w:bottom w:val="single" w:sz="4" w:space="0" w:color="auto"/>
              <w:right w:val="single" w:sz="4" w:space="0" w:color="auto"/>
            </w:tcBorders>
            <w:shd w:val="clear" w:color="auto" w:fill="auto"/>
            <w:noWrap/>
            <w:vAlign w:val="bottom"/>
            <w:hideMark/>
          </w:tcPr>
          <w:p w14:paraId="1CC2ED96"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2.20</w:t>
            </w:r>
          </w:p>
        </w:tc>
        <w:tc>
          <w:tcPr>
            <w:tcW w:w="1073" w:type="dxa"/>
            <w:tcBorders>
              <w:top w:val="nil"/>
              <w:left w:val="nil"/>
              <w:bottom w:val="single" w:sz="4" w:space="0" w:color="auto"/>
              <w:right w:val="single" w:sz="4" w:space="0" w:color="auto"/>
            </w:tcBorders>
            <w:shd w:val="clear" w:color="auto" w:fill="auto"/>
            <w:noWrap/>
            <w:vAlign w:val="bottom"/>
            <w:hideMark/>
          </w:tcPr>
          <w:p w14:paraId="7D214FA8"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18.70</w:t>
            </w:r>
          </w:p>
        </w:tc>
        <w:tc>
          <w:tcPr>
            <w:tcW w:w="847" w:type="dxa"/>
            <w:tcBorders>
              <w:top w:val="nil"/>
              <w:left w:val="nil"/>
              <w:bottom w:val="single" w:sz="4" w:space="0" w:color="auto"/>
              <w:right w:val="single" w:sz="4" w:space="0" w:color="auto"/>
            </w:tcBorders>
            <w:shd w:val="clear" w:color="auto" w:fill="auto"/>
            <w:noWrap/>
            <w:vAlign w:val="bottom"/>
            <w:hideMark/>
          </w:tcPr>
          <w:p w14:paraId="01F9DAC5"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3.94</w:t>
            </w:r>
          </w:p>
        </w:tc>
      </w:tr>
      <w:tr w:rsidR="004A1CA7" w:rsidRPr="004A1CA7" w14:paraId="04C51E8C" w14:textId="77777777" w:rsidTr="004A1CA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44775B5" w14:textId="77777777" w:rsidR="004A1CA7" w:rsidRPr="004A1CA7" w:rsidRDefault="004A1CA7" w:rsidP="004A1CA7">
            <w:pPr>
              <w:spacing w:after="0" w:line="240" w:lineRule="auto"/>
              <w:jc w:val="center"/>
              <w:rPr>
                <w:rFonts w:ascii="Times New Roman" w:eastAsia="Times New Roman" w:hAnsi="Times New Roman"/>
                <w:color w:val="000000"/>
                <w:lang w:eastAsia="en-IN"/>
              </w:rPr>
            </w:pPr>
            <w:r w:rsidRPr="004A1CA7">
              <w:rPr>
                <w:rFonts w:ascii="Times New Roman" w:eastAsia="Times New Roman" w:hAnsi="Times New Roman"/>
                <w:color w:val="000000"/>
                <w:lang w:eastAsia="en-IN"/>
              </w:rPr>
              <w:t>100</w:t>
            </w:r>
          </w:p>
        </w:tc>
        <w:tc>
          <w:tcPr>
            <w:tcW w:w="1840" w:type="dxa"/>
            <w:vMerge/>
            <w:tcBorders>
              <w:top w:val="nil"/>
              <w:left w:val="single" w:sz="4" w:space="0" w:color="auto"/>
              <w:bottom w:val="single" w:sz="4" w:space="0" w:color="auto"/>
              <w:right w:val="single" w:sz="4" w:space="0" w:color="auto"/>
            </w:tcBorders>
            <w:vAlign w:val="center"/>
            <w:hideMark/>
          </w:tcPr>
          <w:p w14:paraId="247B88C2" w14:textId="77777777" w:rsidR="004A1CA7" w:rsidRPr="004A1CA7" w:rsidRDefault="004A1CA7" w:rsidP="004A1CA7">
            <w:pPr>
              <w:spacing w:after="0" w:line="240" w:lineRule="auto"/>
              <w:rPr>
                <w:rFonts w:ascii="Times New Roman" w:eastAsia="Times New Roman" w:hAnsi="Times New Roman"/>
                <w:color w:val="000000"/>
                <w:lang w:eastAsia="en-IN"/>
              </w:rPr>
            </w:pPr>
          </w:p>
        </w:tc>
        <w:tc>
          <w:tcPr>
            <w:tcW w:w="1051" w:type="dxa"/>
            <w:tcBorders>
              <w:top w:val="nil"/>
              <w:left w:val="nil"/>
              <w:bottom w:val="single" w:sz="4" w:space="0" w:color="auto"/>
              <w:right w:val="single" w:sz="4" w:space="0" w:color="auto"/>
            </w:tcBorders>
            <w:shd w:val="clear" w:color="auto" w:fill="auto"/>
            <w:noWrap/>
            <w:vAlign w:val="bottom"/>
            <w:hideMark/>
          </w:tcPr>
          <w:p w14:paraId="323A3273"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165.90</w:t>
            </w:r>
          </w:p>
        </w:tc>
        <w:tc>
          <w:tcPr>
            <w:tcW w:w="869" w:type="dxa"/>
            <w:tcBorders>
              <w:top w:val="nil"/>
              <w:left w:val="nil"/>
              <w:bottom w:val="single" w:sz="4" w:space="0" w:color="auto"/>
              <w:right w:val="single" w:sz="4" w:space="0" w:color="auto"/>
            </w:tcBorders>
            <w:shd w:val="clear" w:color="auto" w:fill="auto"/>
            <w:noWrap/>
            <w:vAlign w:val="bottom"/>
            <w:hideMark/>
          </w:tcPr>
          <w:p w14:paraId="7DAE338D"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0.11</w:t>
            </w:r>
          </w:p>
        </w:tc>
        <w:tc>
          <w:tcPr>
            <w:tcW w:w="1051" w:type="dxa"/>
            <w:tcBorders>
              <w:top w:val="nil"/>
              <w:left w:val="nil"/>
              <w:bottom w:val="single" w:sz="4" w:space="0" w:color="auto"/>
              <w:right w:val="single" w:sz="4" w:space="0" w:color="auto"/>
            </w:tcBorders>
            <w:shd w:val="clear" w:color="auto" w:fill="auto"/>
            <w:noWrap/>
            <w:vAlign w:val="bottom"/>
            <w:hideMark/>
          </w:tcPr>
          <w:p w14:paraId="1EFC96E5"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133.55</w:t>
            </w:r>
          </w:p>
        </w:tc>
        <w:tc>
          <w:tcPr>
            <w:tcW w:w="869" w:type="dxa"/>
            <w:tcBorders>
              <w:top w:val="nil"/>
              <w:left w:val="nil"/>
              <w:bottom w:val="single" w:sz="4" w:space="0" w:color="auto"/>
              <w:right w:val="single" w:sz="4" w:space="0" w:color="auto"/>
            </w:tcBorders>
            <w:shd w:val="clear" w:color="auto" w:fill="auto"/>
            <w:noWrap/>
            <w:vAlign w:val="bottom"/>
            <w:hideMark/>
          </w:tcPr>
          <w:p w14:paraId="5B358D9B"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9.67</w:t>
            </w:r>
          </w:p>
        </w:tc>
        <w:tc>
          <w:tcPr>
            <w:tcW w:w="1073" w:type="dxa"/>
            <w:tcBorders>
              <w:top w:val="nil"/>
              <w:left w:val="nil"/>
              <w:bottom w:val="single" w:sz="4" w:space="0" w:color="auto"/>
              <w:right w:val="single" w:sz="4" w:space="0" w:color="auto"/>
            </w:tcBorders>
            <w:shd w:val="clear" w:color="auto" w:fill="auto"/>
            <w:noWrap/>
            <w:vAlign w:val="bottom"/>
            <w:hideMark/>
          </w:tcPr>
          <w:p w14:paraId="308658EA"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32.34</w:t>
            </w:r>
          </w:p>
        </w:tc>
        <w:tc>
          <w:tcPr>
            <w:tcW w:w="847" w:type="dxa"/>
            <w:tcBorders>
              <w:top w:val="nil"/>
              <w:left w:val="nil"/>
              <w:bottom w:val="single" w:sz="4" w:space="0" w:color="auto"/>
              <w:right w:val="single" w:sz="4" w:space="0" w:color="auto"/>
            </w:tcBorders>
            <w:shd w:val="clear" w:color="auto" w:fill="auto"/>
            <w:noWrap/>
            <w:vAlign w:val="bottom"/>
            <w:hideMark/>
          </w:tcPr>
          <w:p w14:paraId="2D0DC82D" w14:textId="77777777" w:rsidR="004A1CA7" w:rsidRPr="004A1CA7" w:rsidRDefault="004A1CA7" w:rsidP="004A1CA7">
            <w:pPr>
              <w:spacing w:after="0" w:line="240" w:lineRule="auto"/>
              <w:jc w:val="center"/>
              <w:rPr>
                <w:rFonts w:ascii="Times New Roman" w:eastAsia="Times New Roman" w:hAnsi="Times New Roman"/>
                <w:color w:val="000000"/>
                <w:sz w:val="24"/>
                <w:szCs w:val="24"/>
                <w:lang w:eastAsia="en-IN"/>
              </w:rPr>
            </w:pPr>
            <w:r w:rsidRPr="004A1CA7">
              <w:rPr>
                <w:rFonts w:ascii="Times New Roman" w:eastAsia="Times New Roman" w:hAnsi="Times New Roman"/>
                <w:color w:val="000000"/>
                <w:sz w:val="24"/>
                <w:szCs w:val="24"/>
                <w:lang w:eastAsia="en-IN"/>
              </w:rPr>
              <w:t>9.57</w:t>
            </w:r>
          </w:p>
        </w:tc>
      </w:tr>
    </w:tbl>
    <w:p w14:paraId="7F42F518" w14:textId="77777777" w:rsidR="00C4631E" w:rsidRDefault="00C4631E">
      <w:pPr>
        <w:spacing w:after="200" w:line="276" w:lineRule="auto"/>
        <w:rPr>
          <w:rFonts w:ascii="Times New Roman" w:hAnsi="Times New Roman"/>
          <w:b/>
          <w:sz w:val="24"/>
          <w:szCs w:val="24"/>
        </w:rPr>
      </w:pPr>
      <w:r>
        <w:rPr>
          <w:rFonts w:ascii="Times New Roman" w:hAnsi="Times New Roman"/>
          <w:b/>
          <w:sz w:val="24"/>
          <w:szCs w:val="24"/>
        </w:rPr>
        <w:br w:type="page"/>
      </w:r>
    </w:p>
    <w:p w14:paraId="3C85EB57" w14:textId="26887FCC" w:rsidR="001E6CB3" w:rsidRPr="00037391" w:rsidRDefault="00037391" w:rsidP="00037391">
      <w:pPr>
        <w:spacing w:after="200" w:line="276" w:lineRule="auto"/>
        <w:rPr>
          <w:rFonts w:ascii="Times New Roman" w:hAnsi="Times New Roman"/>
          <w:b/>
          <w:sz w:val="24"/>
          <w:szCs w:val="24"/>
        </w:rPr>
      </w:pPr>
      <w:r>
        <w:rPr>
          <w:rFonts w:ascii="Times New Roman" w:hAnsi="Times New Roman"/>
          <w:b/>
          <w:sz w:val="24"/>
          <w:szCs w:val="24"/>
        </w:rPr>
        <w:lastRenderedPageBreak/>
        <w:t>Table S8</w:t>
      </w:r>
      <w:r w:rsidR="001E6CB3" w:rsidRPr="00C0476D">
        <w:rPr>
          <w:rFonts w:ascii="Times New Roman" w:hAnsi="Times New Roman"/>
          <w:b/>
          <w:sz w:val="24"/>
          <w:szCs w:val="24"/>
        </w:rPr>
        <w:t>: EC</w:t>
      </w:r>
      <w:r w:rsidR="001E6CB3" w:rsidRPr="00772498">
        <w:rPr>
          <w:rFonts w:ascii="Times New Roman" w:hAnsi="Times New Roman"/>
          <w:b/>
          <w:sz w:val="24"/>
          <w:szCs w:val="24"/>
          <w:vertAlign w:val="subscript"/>
        </w:rPr>
        <w:t>50</w:t>
      </w:r>
      <w:r w:rsidR="001E6CB3" w:rsidRPr="00C0476D">
        <w:rPr>
          <w:rFonts w:ascii="Times New Roman" w:hAnsi="Times New Roman"/>
          <w:b/>
          <w:sz w:val="24"/>
          <w:szCs w:val="24"/>
        </w:rPr>
        <w:t xml:space="preserve"> of </w:t>
      </w:r>
      <w:r w:rsidR="00B916E5">
        <w:rPr>
          <w:rFonts w:ascii="Times New Roman" w:hAnsi="Times New Roman"/>
          <w:b/>
          <w:sz w:val="24"/>
          <w:szCs w:val="24"/>
        </w:rPr>
        <w:t>ATRAZINE</w:t>
      </w:r>
      <w:r w:rsidR="001E6CB3" w:rsidRPr="00C0476D">
        <w:rPr>
          <w:rFonts w:ascii="Times New Roman" w:hAnsi="Times New Roman"/>
          <w:b/>
          <w:sz w:val="24"/>
          <w:szCs w:val="24"/>
        </w:rPr>
        <w:t xml:space="preserve"> pristine and in the presence of GFNs on marine microalgae </w:t>
      </w:r>
      <w:r w:rsidR="001E6CB3" w:rsidRPr="00C0476D">
        <w:rPr>
          <w:rFonts w:ascii="Times New Roman" w:hAnsi="Times New Roman"/>
          <w:b/>
          <w:i/>
          <w:sz w:val="24"/>
          <w:szCs w:val="24"/>
        </w:rPr>
        <w:t xml:space="preserve">Chlorella </w:t>
      </w:r>
      <w:r w:rsidR="001E6CB3" w:rsidRPr="00C0476D">
        <w:rPr>
          <w:rFonts w:ascii="Times New Roman" w:hAnsi="Times New Roman"/>
          <w:b/>
          <w:sz w:val="24"/>
          <w:szCs w:val="24"/>
        </w:rPr>
        <w:t>sp.</w:t>
      </w:r>
      <w:r w:rsidR="001E6CB3" w:rsidRPr="00C0476D">
        <w:rPr>
          <w:rFonts w:ascii="Times New Roman" w:hAnsi="Times New Roman"/>
          <w:b/>
          <w:i/>
          <w:sz w:val="24"/>
          <w:szCs w:val="24"/>
        </w:rPr>
        <w:t xml:space="preserve"> </w:t>
      </w:r>
    </w:p>
    <w:tbl>
      <w:tblPr>
        <w:tblW w:w="6035" w:type="dxa"/>
        <w:tblLook w:val="04A0" w:firstRow="1" w:lastRow="0" w:firstColumn="1" w:lastColumn="0" w:noHBand="0" w:noVBand="1"/>
      </w:tblPr>
      <w:tblGrid>
        <w:gridCol w:w="3719"/>
        <w:gridCol w:w="2316"/>
      </w:tblGrid>
      <w:tr w:rsidR="00772498" w:rsidRPr="00772498" w14:paraId="442E67A0" w14:textId="77777777" w:rsidTr="00772498">
        <w:trPr>
          <w:trHeight w:val="24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41062" w14:textId="77777777" w:rsidR="00772498" w:rsidRPr="00772498" w:rsidRDefault="00772498" w:rsidP="00772498">
            <w:pPr>
              <w:spacing w:after="0" w:line="240" w:lineRule="auto"/>
              <w:rPr>
                <w:rFonts w:ascii="Times New Roman" w:eastAsia="Times New Roman" w:hAnsi="Times New Roman"/>
                <w:color w:val="000000"/>
                <w:sz w:val="24"/>
                <w:szCs w:val="24"/>
                <w:lang w:eastAsia="en-IN"/>
              </w:rPr>
            </w:pPr>
            <w:r w:rsidRPr="00772498">
              <w:rPr>
                <w:rFonts w:ascii="Times New Roman" w:eastAsia="Times New Roman" w:hAnsi="Times New Roman"/>
                <w:color w:val="000000"/>
                <w:sz w:val="24"/>
                <w:szCs w:val="24"/>
                <w:lang w:eastAsia="en-IN"/>
              </w:rPr>
              <w:t xml:space="preserve">Contaminants </w:t>
            </w:r>
          </w:p>
        </w:tc>
        <w:tc>
          <w:tcPr>
            <w:tcW w:w="2316" w:type="dxa"/>
            <w:tcBorders>
              <w:top w:val="single" w:sz="4" w:space="0" w:color="auto"/>
              <w:left w:val="nil"/>
              <w:bottom w:val="single" w:sz="4" w:space="0" w:color="auto"/>
              <w:right w:val="single" w:sz="4" w:space="0" w:color="auto"/>
            </w:tcBorders>
            <w:shd w:val="clear" w:color="auto" w:fill="auto"/>
            <w:noWrap/>
            <w:vAlign w:val="bottom"/>
            <w:hideMark/>
          </w:tcPr>
          <w:p w14:paraId="3A75619C" w14:textId="2C86D378" w:rsidR="00772498" w:rsidRPr="00772498" w:rsidRDefault="00772498" w:rsidP="00772498">
            <w:pPr>
              <w:spacing w:after="0" w:line="240" w:lineRule="auto"/>
              <w:rPr>
                <w:rFonts w:ascii="Times New Roman" w:eastAsia="Times New Roman" w:hAnsi="Times New Roman"/>
                <w:color w:val="000000"/>
                <w:sz w:val="24"/>
                <w:szCs w:val="24"/>
                <w:lang w:eastAsia="en-IN"/>
              </w:rPr>
            </w:pPr>
            <w:r w:rsidRPr="00772498">
              <w:rPr>
                <w:rFonts w:ascii="Times New Roman" w:eastAsia="Times New Roman" w:hAnsi="Times New Roman"/>
                <w:color w:val="000000"/>
                <w:sz w:val="24"/>
                <w:szCs w:val="24"/>
                <w:lang w:eastAsia="en-IN"/>
              </w:rPr>
              <w:t xml:space="preserve">EC50 values </w:t>
            </w:r>
            <w:r>
              <w:rPr>
                <w:rFonts w:ascii="Times New Roman" w:eastAsia="Times New Roman" w:hAnsi="Times New Roman"/>
                <w:color w:val="000000"/>
                <w:sz w:val="24"/>
                <w:szCs w:val="24"/>
                <w:lang w:eastAsia="en-IN"/>
              </w:rPr>
              <w:t>(mg/L)</w:t>
            </w:r>
          </w:p>
        </w:tc>
      </w:tr>
      <w:tr w:rsidR="00772498" w:rsidRPr="00772498" w14:paraId="623A7E2C" w14:textId="77777777" w:rsidTr="00772498">
        <w:trPr>
          <w:trHeight w:val="240"/>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14:paraId="434A49AE" w14:textId="77777777" w:rsidR="00772498" w:rsidRPr="00772498" w:rsidRDefault="00772498" w:rsidP="00772498">
            <w:pPr>
              <w:spacing w:after="0" w:line="240" w:lineRule="auto"/>
              <w:rPr>
                <w:rFonts w:ascii="Times New Roman" w:eastAsia="Times New Roman" w:hAnsi="Times New Roman"/>
                <w:color w:val="000000"/>
                <w:sz w:val="24"/>
                <w:szCs w:val="24"/>
                <w:lang w:eastAsia="en-IN"/>
              </w:rPr>
            </w:pPr>
            <w:r w:rsidRPr="00772498">
              <w:rPr>
                <w:rFonts w:ascii="Times New Roman" w:eastAsia="Times New Roman" w:hAnsi="Times New Roman"/>
                <w:color w:val="000000"/>
                <w:sz w:val="24"/>
                <w:szCs w:val="24"/>
                <w:lang w:eastAsia="en-IN"/>
              </w:rPr>
              <w:t> </w:t>
            </w:r>
          </w:p>
        </w:tc>
        <w:tc>
          <w:tcPr>
            <w:tcW w:w="2316" w:type="dxa"/>
            <w:tcBorders>
              <w:top w:val="nil"/>
              <w:left w:val="nil"/>
              <w:bottom w:val="single" w:sz="4" w:space="0" w:color="auto"/>
              <w:right w:val="single" w:sz="4" w:space="0" w:color="auto"/>
            </w:tcBorders>
            <w:shd w:val="clear" w:color="auto" w:fill="auto"/>
            <w:noWrap/>
            <w:vAlign w:val="bottom"/>
            <w:hideMark/>
          </w:tcPr>
          <w:p w14:paraId="13F968E9" w14:textId="77777777" w:rsidR="00772498" w:rsidRPr="00772498" w:rsidRDefault="00772498" w:rsidP="00772498">
            <w:pPr>
              <w:spacing w:after="0" w:line="240" w:lineRule="auto"/>
              <w:rPr>
                <w:rFonts w:ascii="Times New Roman" w:eastAsia="Times New Roman" w:hAnsi="Times New Roman"/>
                <w:color w:val="000000"/>
                <w:sz w:val="24"/>
                <w:szCs w:val="24"/>
                <w:lang w:eastAsia="en-IN"/>
              </w:rPr>
            </w:pPr>
            <w:r w:rsidRPr="00772498">
              <w:rPr>
                <w:rFonts w:ascii="Times New Roman" w:eastAsia="Times New Roman" w:hAnsi="Times New Roman"/>
                <w:color w:val="000000"/>
                <w:sz w:val="24"/>
                <w:szCs w:val="24"/>
                <w:lang w:eastAsia="en-IN"/>
              </w:rPr>
              <w:t> </w:t>
            </w:r>
          </w:p>
        </w:tc>
      </w:tr>
      <w:tr w:rsidR="00772498" w:rsidRPr="00772498" w14:paraId="23570372" w14:textId="77777777" w:rsidTr="00772498">
        <w:trPr>
          <w:trHeight w:val="240"/>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14:paraId="79073B6B" w14:textId="77777777" w:rsidR="00772498" w:rsidRPr="00772498" w:rsidRDefault="00772498" w:rsidP="00772498">
            <w:pPr>
              <w:spacing w:after="0" w:line="240" w:lineRule="auto"/>
              <w:rPr>
                <w:rFonts w:ascii="Times New Roman" w:eastAsia="Times New Roman" w:hAnsi="Times New Roman"/>
                <w:color w:val="000000"/>
                <w:sz w:val="24"/>
                <w:szCs w:val="24"/>
                <w:lang w:eastAsia="en-IN"/>
              </w:rPr>
            </w:pPr>
            <w:proofErr w:type="spellStart"/>
            <w:r w:rsidRPr="00772498">
              <w:rPr>
                <w:rFonts w:ascii="Times New Roman" w:eastAsia="Times New Roman" w:hAnsi="Times New Roman"/>
                <w:color w:val="000000"/>
                <w:sz w:val="24"/>
                <w:szCs w:val="24"/>
                <w:lang w:eastAsia="en-IN"/>
              </w:rPr>
              <w:t>Atz</w:t>
            </w:r>
            <w:proofErr w:type="spellEnd"/>
          </w:p>
        </w:tc>
        <w:tc>
          <w:tcPr>
            <w:tcW w:w="2316" w:type="dxa"/>
            <w:tcBorders>
              <w:top w:val="nil"/>
              <w:left w:val="nil"/>
              <w:bottom w:val="single" w:sz="4" w:space="0" w:color="auto"/>
              <w:right w:val="single" w:sz="4" w:space="0" w:color="auto"/>
            </w:tcBorders>
            <w:shd w:val="clear" w:color="auto" w:fill="auto"/>
            <w:noWrap/>
            <w:vAlign w:val="bottom"/>
            <w:hideMark/>
          </w:tcPr>
          <w:p w14:paraId="257F651E" w14:textId="77777777" w:rsidR="00772498" w:rsidRPr="00772498" w:rsidRDefault="00772498" w:rsidP="00772498">
            <w:pPr>
              <w:spacing w:after="0" w:line="240" w:lineRule="auto"/>
              <w:jc w:val="right"/>
              <w:rPr>
                <w:rFonts w:ascii="Times New Roman" w:eastAsia="Times New Roman" w:hAnsi="Times New Roman"/>
                <w:color w:val="000000"/>
                <w:sz w:val="24"/>
                <w:szCs w:val="24"/>
                <w:lang w:eastAsia="en-IN"/>
              </w:rPr>
            </w:pPr>
            <w:r w:rsidRPr="00772498">
              <w:rPr>
                <w:rFonts w:ascii="Times New Roman" w:eastAsia="Times New Roman" w:hAnsi="Times New Roman"/>
                <w:color w:val="000000"/>
                <w:sz w:val="24"/>
                <w:szCs w:val="24"/>
                <w:lang w:eastAsia="en-IN"/>
              </w:rPr>
              <w:t>0.69</w:t>
            </w:r>
          </w:p>
        </w:tc>
      </w:tr>
      <w:tr w:rsidR="00772498" w:rsidRPr="00772498" w14:paraId="5438C342" w14:textId="77777777" w:rsidTr="00772498">
        <w:trPr>
          <w:trHeight w:val="240"/>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14:paraId="5C2BF432" w14:textId="77777777" w:rsidR="00772498" w:rsidRPr="00772498" w:rsidRDefault="00772498" w:rsidP="00772498">
            <w:pPr>
              <w:spacing w:after="0" w:line="240" w:lineRule="auto"/>
              <w:rPr>
                <w:rFonts w:ascii="Times New Roman" w:eastAsia="Times New Roman" w:hAnsi="Times New Roman"/>
                <w:color w:val="000000"/>
                <w:sz w:val="24"/>
                <w:szCs w:val="24"/>
                <w:lang w:eastAsia="en-IN"/>
              </w:rPr>
            </w:pPr>
            <w:proofErr w:type="spellStart"/>
            <w:r w:rsidRPr="00772498">
              <w:rPr>
                <w:rFonts w:ascii="Times New Roman" w:eastAsia="Times New Roman" w:hAnsi="Times New Roman"/>
                <w:color w:val="000000"/>
                <w:sz w:val="24"/>
                <w:szCs w:val="24"/>
                <w:lang w:eastAsia="en-IN"/>
              </w:rPr>
              <w:t>GO+Atz</w:t>
            </w:r>
            <w:proofErr w:type="spellEnd"/>
          </w:p>
        </w:tc>
        <w:tc>
          <w:tcPr>
            <w:tcW w:w="2316" w:type="dxa"/>
            <w:tcBorders>
              <w:top w:val="nil"/>
              <w:left w:val="nil"/>
              <w:bottom w:val="single" w:sz="4" w:space="0" w:color="auto"/>
              <w:right w:val="single" w:sz="4" w:space="0" w:color="auto"/>
            </w:tcBorders>
            <w:shd w:val="clear" w:color="auto" w:fill="auto"/>
            <w:noWrap/>
            <w:vAlign w:val="bottom"/>
            <w:hideMark/>
          </w:tcPr>
          <w:p w14:paraId="1D43FC75" w14:textId="77777777" w:rsidR="00772498" w:rsidRPr="00772498" w:rsidRDefault="00772498" w:rsidP="00772498">
            <w:pPr>
              <w:spacing w:after="0" w:line="240" w:lineRule="auto"/>
              <w:jc w:val="right"/>
              <w:rPr>
                <w:rFonts w:ascii="Times New Roman" w:eastAsia="Times New Roman" w:hAnsi="Times New Roman"/>
                <w:color w:val="000000"/>
                <w:sz w:val="24"/>
                <w:szCs w:val="24"/>
                <w:lang w:eastAsia="en-IN"/>
              </w:rPr>
            </w:pPr>
            <w:r w:rsidRPr="00772498">
              <w:rPr>
                <w:rFonts w:ascii="Times New Roman" w:eastAsia="Times New Roman" w:hAnsi="Times New Roman"/>
                <w:color w:val="000000"/>
                <w:sz w:val="24"/>
                <w:szCs w:val="24"/>
                <w:lang w:eastAsia="en-IN"/>
              </w:rPr>
              <w:t>17.44</w:t>
            </w:r>
          </w:p>
        </w:tc>
      </w:tr>
      <w:tr w:rsidR="00772498" w:rsidRPr="00772498" w14:paraId="1F9E7EBB" w14:textId="77777777" w:rsidTr="00772498">
        <w:trPr>
          <w:trHeight w:val="240"/>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14:paraId="20A7A201" w14:textId="77777777" w:rsidR="00772498" w:rsidRPr="00772498" w:rsidRDefault="00772498" w:rsidP="00772498">
            <w:pPr>
              <w:spacing w:after="0" w:line="240" w:lineRule="auto"/>
              <w:rPr>
                <w:rFonts w:ascii="Times New Roman" w:eastAsia="Times New Roman" w:hAnsi="Times New Roman"/>
                <w:color w:val="000000"/>
                <w:sz w:val="24"/>
                <w:szCs w:val="24"/>
                <w:lang w:eastAsia="en-IN"/>
              </w:rPr>
            </w:pPr>
            <w:proofErr w:type="spellStart"/>
            <w:r w:rsidRPr="00772498">
              <w:rPr>
                <w:rFonts w:ascii="Times New Roman" w:eastAsia="Times New Roman" w:hAnsi="Times New Roman"/>
                <w:color w:val="000000"/>
                <w:sz w:val="24"/>
                <w:szCs w:val="24"/>
                <w:lang w:eastAsia="en-IN"/>
              </w:rPr>
              <w:t>rGO+Atz</w:t>
            </w:r>
            <w:proofErr w:type="spellEnd"/>
          </w:p>
        </w:tc>
        <w:tc>
          <w:tcPr>
            <w:tcW w:w="2316" w:type="dxa"/>
            <w:tcBorders>
              <w:top w:val="nil"/>
              <w:left w:val="nil"/>
              <w:bottom w:val="single" w:sz="4" w:space="0" w:color="auto"/>
              <w:right w:val="single" w:sz="4" w:space="0" w:color="auto"/>
            </w:tcBorders>
            <w:shd w:val="clear" w:color="auto" w:fill="auto"/>
            <w:noWrap/>
            <w:vAlign w:val="bottom"/>
            <w:hideMark/>
          </w:tcPr>
          <w:p w14:paraId="59FED0D6" w14:textId="77777777" w:rsidR="00772498" w:rsidRPr="00772498" w:rsidRDefault="00772498" w:rsidP="00772498">
            <w:pPr>
              <w:spacing w:after="0" w:line="240" w:lineRule="auto"/>
              <w:jc w:val="right"/>
              <w:rPr>
                <w:rFonts w:ascii="Times New Roman" w:eastAsia="Times New Roman" w:hAnsi="Times New Roman"/>
                <w:color w:val="000000"/>
                <w:sz w:val="24"/>
                <w:szCs w:val="24"/>
                <w:lang w:eastAsia="en-IN"/>
              </w:rPr>
            </w:pPr>
            <w:r w:rsidRPr="00772498">
              <w:rPr>
                <w:rFonts w:ascii="Times New Roman" w:eastAsia="Times New Roman" w:hAnsi="Times New Roman"/>
                <w:color w:val="000000"/>
                <w:sz w:val="24"/>
                <w:szCs w:val="24"/>
                <w:lang w:eastAsia="en-IN"/>
              </w:rPr>
              <w:t>28.76</w:t>
            </w:r>
          </w:p>
        </w:tc>
      </w:tr>
      <w:tr w:rsidR="00CE442D" w:rsidRPr="00772498" w14:paraId="36964306" w14:textId="77777777" w:rsidTr="00772498">
        <w:trPr>
          <w:trHeight w:val="240"/>
        </w:trPr>
        <w:tc>
          <w:tcPr>
            <w:tcW w:w="3719" w:type="dxa"/>
            <w:tcBorders>
              <w:top w:val="nil"/>
              <w:left w:val="single" w:sz="4" w:space="0" w:color="auto"/>
              <w:bottom w:val="single" w:sz="4" w:space="0" w:color="auto"/>
              <w:right w:val="single" w:sz="4" w:space="0" w:color="auto"/>
            </w:tcBorders>
            <w:shd w:val="clear" w:color="auto" w:fill="auto"/>
            <w:noWrap/>
            <w:vAlign w:val="bottom"/>
          </w:tcPr>
          <w:p w14:paraId="551C88F5" w14:textId="02D2BD26" w:rsidR="00CE442D" w:rsidRPr="00772498" w:rsidRDefault="00CE442D" w:rsidP="00CE442D">
            <w:pPr>
              <w:spacing w:after="0" w:line="240" w:lineRule="auto"/>
              <w:rPr>
                <w:rFonts w:ascii="Times New Roman" w:eastAsia="Times New Roman" w:hAnsi="Times New Roman"/>
                <w:color w:val="000000"/>
                <w:sz w:val="24"/>
                <w:szCs w:val="24"/>
                <w:lang w:eastAsia="en-IN"/>
              </w:rPr>
            </w:pPr>
            <w:proofErr w:type="spellStart"/>
            <w:r w:rsidRPr="00772498">
              <w:rPr>
                <w:rFonts w:ascii="Times New Roman" w:eastAsia="Times New Roman" w:hAnsi="Times New Roman"/>
                <w:color w:val="000000"/>
                <w:sz w:val="24"/>
                <w:szCs w:val="24"/>
                <w:lang w:eastAsia="en-IN"/>
              </w:rPr>
              <w:t>Gr</w:t>
            </w:r>
            <w:r>
              <w:rPr>
                <w:rFonts w:ascii="Times New Roman" w:eastAsia="Times New Roman" w:hAnsi="Times New Roman"/>
                <w:color w:val="000000"/>
                <w:sz w:val="24"/>
                <w:szCs w:val="24"/>
                <w:lang w:eastAsia="en-IN"/>
              </w:rPr>
              <w:t>aphene</w:t>
            </w:r>
            <w:r w:rsidRPr="00772498">
              <w:rPr>
                <w:rFonts w:ascii="Times New Roman" w:eastAsia="Times New Roman" w:hAnsi="Times New Roman"/>
                <w:color w:val="000000"/>
                <w:sz w:val="24"/>
                <w:szCs w:val="24"/>
                <w:lang w:eastAsia="en-IN"/>
              </w:rPr>
              <w:t>+Atz</w:t>
            </w:r>
            <w:proofErr w:type="spellEnd"/>
          </w:p>
        </w:tc>
        <w:tc>
          <w:tcPr>
            <w:tcW w:w="2316" w:type="dxa"/>
            <w:tcBorders>
              <w:top w:val="nil"/>
              <w:left w:val="nil"/>
              <w:bottom w:val="single" w:sz="4" w:space="0" w:color="auto"/>
              <w:right w:val="single" w:sz="4" w:space="0" w:color="auto"/>
            </w:tcBorders>
            <w:shd w:val="clear" w:color="auto" w:fill="auto"/>
            <w:noWrap/>
            <w:vAlign w:val="bottom"/>
          </w:tcPr>
          <w:p w14:paraId="42BF0E59" w14:textId="02F72AE3" w:rsidR="00CE442D" w:rsidRPr="00772498" w:rsidRDefault="00CE442D" w:rsidP="00CE442D">
            <w:pPr>
              <w:spacing w:after="0" w:line="240" w:lineRule="auto"/>
              <w:jc w:val="right"/>
              <w:rPr>
                <w:rFonts w:ascii="Times New Roman" w:eastAsia="Times New Roman" w:hAnsi="Times New Roman"/>
                <w:color w:val="000000"/>
                <w:sz w:val="24"/>
                <w:szCs w:val="24"/>
                <w:lang w:eastAsia="en-IN"/>
              </w:rPr>
            </w:pPr>
            <w:r w:rsidRPr="00772498">
              <w:rPr>
                <w:rFonts w:ascii="Times New Roman" w:eastAsia="Times New Roman" w:hAnsi="Times New Roman"/>
                <w:color w:val="000000"/>
                <w:sz w:val="24"/>
                <w:szCs w:val="24"/>
                <w:lang w:eastAsia="en-IN"/>
              </w:rPr>
              <w:t>41.17</w:t>
            </w:r>
          </w:p>
        </w:tc>
      </w:tr>
      <w:tr w:rsidR="00CE442D" w:rsidRPr="00772498" w14:paraId="4FE44ACC" w14:textId="77777777" w:rsidTr="00772498">
        <w:trPr>
          <w:trHeight w:val="240"/>
        </w:trPr>
        <w:tc>
          <w:tcPr>
            <w:tcW w:w="3719" w:type="dxa"/>
            <w:tcBorders>
              <w:top w:val="nil"/>
              <w:left w:val="single" w:sz="4" w:space="0" w:color="auto"/>
              <w:bottom w:val="single" w:sz="4" w:space="0" w:color="auto"/>
              <w:right w:val="single" w:sz="4" w:space="0" w:color="auto"/>
            </w:tcBorders>
            <w:shd w:val="clear" w:color="auto" w:fill="auto"/>
            <w:noWrap/>
            <w:vAlign w:val="bottom"/>
          </w:tcPr>
          <w:p w14:paraId="11EFBEE5" w14:textId="094C821A" w:rsidR="00CE442D" w:rsidRPr="00772498" w:rsidRDefault="00CE442D" w:rsidP="00CE442D">
            <w:pPr>
              <w:spacing w:after="0" w:line="240" w:lineRule="auto"/>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GO</w:t>
            </w:r>
          </w:p>
        </w:tc>
        <w:tc>
          <w:tcPr>
            <w:tcW w:w="2316" w:type="dxa"/>
            <w:tcBorders>
              <w:top w:val="nil"/>
              <w:left w:val="nil"/>
              <w:bottom w:val="single" w:sz="4" w:space="0" w:color="auto"/>
              <w:right w:val="single" w:sz="4" w:space="0" w:color="auto"/>
            </w:tcBorders>
            <w:shd w:val="clear" w:color="auto" w:fill="auto"/>
            <w:noWrap/>
            <w:vAlign w:val="bottom"/>
          </w:tcPr>
          <w:p w14:paraId="357B226C" w14:textId="38F14587" w:rsidR="00CE442D" w:rsidRPr="00772498" w:rsidRDefault="00CE442D" w:rsidP="00CE442D">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2.25</w:t>
            </w:r>
          </w:p>
        </w:tc>
      </w:tr>
      <w:tr w:rsidR="00CE442D" w:rsidRPr="00772498" w14:paraId="5ECDAFC5" w14:textId="77777777" w:rsidTr="00772498">
        <w:trPr>
          <w:trHeight w:val="240"/>
        </w:trPr>
        <w:tc>
          <w:tcPr>
            <w:tcW w:w="3719" w:type="dxa"/>
            <w:tcBorders>
              <w:top w:val="nil"/>
              <w:left w:val="single" w:sz="4" w:space="0" w:color="auto"/>
              <w:bottom w:val="single" w:sz="4" w:space="0" w:color="auto"/>
              <w:right w:val="single" w:sz="4" w:space="0" w:color="auto"/>
            </w:tcBorders>
            <w:shd w:val="clear" w:color="auto" w:fill="auto"/>
            <w:noWrap/>
            <w:vAlign w:val="bottom"/>
          </w:tcPr>
          <w:p w14:paraId="6902C4BF" w14:textId="79BD4381" w:rsidR="00CE442D" w:rsidRPr="00772498" w:rsidRDefault="00CE442D" w:rsidP="00CE442D">
            <w:pPr>
              <w:spacing w:after="0" w:line="240" w:lineRule="auto"/>
              <w:rPr>
                <w:rFonts w:ascii="Times New Roman" w:eastAsia="Times New Roman" w:hAnsi="Times New Roman"/>
                <w:color w:val="000000"/>
                <w:sz w:val="24"/>
                <w:szCs w:val="24"/>
                <w:lang w:eastAsia="en-IN"/>
              </w:rPr>
            </w:pPr>
            <w:proofErr w:type="spellStart"/>
            <w:r>
              <w:rPr>
                <w:rFonts w:ascii="Times New Roman" w:eastAsia="Times New Roman" w:hAnsi="Times New Roman"/>
                <w:color w:val="000000"/>
                <w:sz w:val="24"/>
                <w:szCs w:val="24"/>
                <w:lang w:eastAsia="en-IN"/>
              </w:rPr>
              <w:t>rGO</w:t>
            </w:r>
            <w:proofErr w:type="spellEnd"/>
          </w:p>
        </w:tc>
        <w:tc>
          <w:tcPr>
            <w:tcW w:w="2316" w:type="dxa"/>
            <w:tcBorders>
              <w:top w:val="nil"/>
              <w:left w:val="nil"/>
              <w:bottom w:val="single" w:sz="4" w:space="0" w:color="auto"/>
              <w:right w:val="single" w:sz="4" w:space="0" w:color="auto"/>
            </w:tcBorders>
            <w:shd w:val="clear" w:color="auto" w:fill="auto"/>
            <w:noWrap/>
            <w:vAlign w:val="bottom"/>
          </w:tcPr>
          <w:p w14:paraId="2A42C6B4" w14:textId="0CCC469B" w:rsidR="00CE442D" w:rsidRPr="00772498" w:rsidRDefault="00CE442D" w:rsidP="00CE442D">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1.52</w:t>
            </w:r>
          </w:p>
        </w:tc>
        <w:bookmarkStart w:id="1" w:name="_GoBack"/>
        <w:bookmarkEnd w:id="1"/>
      </w:tr>
      <w:tr w:rsidR="00CE442D" w:rsidRPr="00772498" w14:paraId="27263607" w14:textId="77777777" w:rsidTr="00CE442D">
        <w:trPr>
          <w:trHeight w:val="240"/>
        </w:trPr>
        <w:tc>
          <w:tcPr>
            <w:tcW w:w="3719" w:type="dxa"/>
            <w:tcBorders>
              <w:top w:val="nil"/>
              <w:left w:val="single" w:sz="4" w:space="0" w:color="auto"/>
              <w:bottom w:val="single" w:sz="4" w:space="0" w:color="auto"/>
              <w:right w:val="single" w:sz="4" w:space="0" w:color="auto"/>
            </w:tcBorders>
            <w:shd w:val="clear" w:color="auto" w:fill="auto"/>
            <w:noWrap/>
            <w:vAlign w:val="bottom"/>
          </w:tcPr>
          <w:p w14:paraId="1E708F5F" w14:textId="429E709D" w:rsidR="00CE442D" w:rsidRPr="00772498" w:rsidRDefault="00CE442D" w:rsidP="00CE442D">
            <w:pPr>
              <w:spacing w:after="0" w:line="240" w:lineRule="auto"/>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Graphene</w:t>
            </w:r>
          </w:p>
        </w:tc>
        <w:tc>
          <w:tcPr>
            <w:tcW w:w="2316" w:type="dxa"/>
            <w:tcBorders>
              <w:top w:val="nil"/>
              <w:left w:val="nil"/>
              <w:bottom w:val="single" w:sz="4" w:space="0" w:color="auto"/>
              <w:right w:val="single" w:sz="4" w:space="0" w:color="auto"/>
            </w:tcBorders>
            <w:shd w:val="clear" w:color="auto" w:fill="auto"/>
            <w:noWrap/>
            <w:vAlign w:val="bottom"/>
          </w:tcPr>
          <w:p w14:paraId="5F38F545" w14:textId="2A6B0112" w:rsidR="00CE442D" w:rsidRPr="00772498" w:rsidRDefault="00CE442D" w:rsidP="00CE442D">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4.92</w:t>
            </w:r>
          </w:p>
        </w:tc>
      </w:tr>
    </w:tbl>
    <w:p w14:paraId="78A23DA5" w14:textId="77777777" w:rsidR="001E6CB3" w:rsidRPr="00C0476D" w:rsidRDefault="001E6CB3" w:rsidP="001E6CB3">
      <w:pPr>
        <w:jc w:val="center"/>
        <w:rPr>
          <w:rFonts w:ascii="Times New Roman" w:hAnsi="Times New Roman"/>
          <w:sz w:val="24"/>
          <w:szCs w:val="24"/>
        </w:rPr>
      </w:pPr>
    </w:p>
    <w:p w14:paraId="22F4C1EE" w14:textId="1492EC55" w:rsidR="00037391" w:rsidRDefault="00037391">
      <w:pPr>
        <w:spacing w:after="200" w:line="276" w:lineRule="auto"/>
        <w:rPr>
          <w:rFonts w:ascii="Times New Roman" w:hAnsi="Times New Roman"/>
          <w:b/>
          <w:sz w:val="24"/>
          <w:szCs w:val="24"/>
          <w:lang w:val="en-GB"/>
        </w:rPr>
      </w:pPr>
      <w:r>
        <w:rPr>
          <w:rFonts w:ascii="Times New Roman" w:hAnsi="Times New Roman"/>
          <w:b/>
          <w:sz w:val="24"/>
          <w:szCs w:val="24"/>
          <w:lang w:val="en-GB"/>
        </w:rPr>
        <w:br w:type="page"/>
      </w:r>
    </w:p>
    <w:p w14:paraId="6C5FADC0" w14:textId="3ACE651D" w:rsidR="00037391" w:rsidRPr="00C0476D" w:rsidRDefault="00037391" w:rsidP="00037391">
      <w:pPr>
        <w:jc w:val="both"/>
        <w:rPr>
          <w:rFonts w:ascii="Times New Roman" w:hAnsi="Times New Roman"/>
          <w:b/>
          <w:sz w:val="24"/>
          <w:szCs w:val="24"/>
        </w:rPr>
      </w:pPr>
      <w:r>
        <w:rPr>
          <w:rFonts w:ascii="Times New Roman" w:hAnsi="Times New Roman"/>
          <w:b/>
          <w:sz w:val="24"/>
          <w:szCs w:val="24"/>
        </w:rPr>
        <w:lastRenderedPageBreak/>
        <w:t xml:space="preserve">Table S9: Independent action model for the binary mixture of GFNs, and atrazine </w:t>
      </w:r>
    </w:p>
    <w:tbl>
      <w:tblPr>
        <w:tblW w:w="9791" w:type="dxa"/>
        <w:tblCellMar>
          <w:left w:w="0" w:type="dxa"/>
          <w:right w:w="0" w:type="dxa"/>
        </w:tblCellMar>
        <w:tblLook w:val="04A0" w:firstRow="1" w:lastRow="0" w:firstColumn="1" w:lastColumn="0" w:noHBand="0" w:noVBand="1"/>
      </w:tblPr>
      <w:tblGrid>
        <w:gridCol w:w="2065"/>
        <w:gridCol w:w="1457"/>
        <w:gridCol w:w="1052"/>
        <w:gridCol w:w="561"/>
        <w:gridCol w:w="987"/>
        <w:gridCol w:w="527"/>
        <w:gridCol w:w="1001"/>
        <w:gridCol w:w="754"/>
        <w:gridCol w:w="1387"/>
      </w:tblGrid>
      <w:tr w:rsidR="00037391" w14:paraId="7D8514A0" w14:textId="77777777" w:rsidTr="00202EA2">
        <w:trPr>
          <w:trHeight w:val="254"/>
        </w:trPr>
        <w:tc>
          <w:tcPr>
            <w:tcW w:w="2065"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2D998F98" w14:textId="77777777" w:rsidR="00037391" w:rsidRPr="006F47F8" w:rsidRDefault="00037391" w:rsidP="00202EA2">
            <w:pPr>
              <w:spacing w:after="0" w:line="240" w:lineRule="auto"/>
              <w:jc w:val="center"/>
              <w:rPr>
                <w:rFonts w:ascii="Times New Roman" w:eastAsia="Times New Roman" w:hAnsi="Times New Roman"/>
                <w:b/>
                <w:bCs/>
                <w:i/>
                <w:iCs/>
                <w:color w:val="000000"/>
                <w:sz w:val="24"/>
                <w:szCs w:val="24"/>
              </w:rPr>
            </w:pPr>
            <w:r w:rsidRPr="006F47F8">
              <w:rPr>
                <w:rFonts w:ascii="Times New Roman" w:hAnsi="Times New Roman"/>
                <w:b/>
                <w:bCs/>
                <w:i/>
                <w:iCs/>
                <w:color w:val="000000"/>
                <w:sz w:val="24"/>
                <w:szCs w:val="24"/>
              </w:rPr>
              <w:t>Types of GFNs</w:t>
            </w:r>
          </w:p>
        </w:tc>
        <w:tc>
          <w:tcPr>
            <w:tcW w:w="1457"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bottom"/>
            <w:hideMark/>
          </w:tcPr>
          <w:p w14:paraId="772682F9"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 xml:space="preserve">Concentration of </w:t>
            </w:r>
            <w:proofErr w:type="spellStart"/>
            <w:r w:rsidRPr="006F47F8">
              <w:rPr>
                <w:rFonts w:ascii="Times New Roman" w:hAnsi="Times New Roman"/>
                <w:b/>
                <w:bCs/>
                <w:i/>
                <w:iCs/>
                <w:color w:val="000000"/>
                <w:sz w:val="24"/>
                <w:szCs w:val="24"/>
              </w:rPr>
              <w:t>Atz</w:t>
            </w:r>
            <w:proofErr w:type="spellEnd"/>
            <w:r w:rsidRPr="006F47F8">
              <w:rPr>
                <w:rFonts w:ascii="Times New Roman" w:hAnsi="Times New Roman"/>
                <w:b/>
                <w:bCs/>
                <w:i/>
                <w:iCs/>
                <w:color w:val="000000"/>
                <w:sz w:val="24"/>
                <w:szCs w:val="24"/>
              </w:rPr>
              <w:t xml:space="preserve"> (</w:t>
            </w:r>
            <w:proofErr w:type="spellStart"/>
            <w:r w:rsidRPr="006F47F8">
              <w:rPr>
                <w:rFonts w:ascii="Times New Roman" w:hAnsi="Times New Roman"/>
                <w:b/>
                <w:bCs/>
                <w:i/>
                <w:iCs/>
                <w:color w:val="000000"/>
                <w:sz w:val="24"/>
                <w:szCs w:val="24"/>
              </w:rPr>
              <w:t>μg</w:t>
            </w:r>
            <w:proofErr w:type="spellEnd"/>
            <w:r w:rsidRPr="006F47F8">
              <w:rPr>
                <w:rFonts w:ascii="Times New Roman" w:hAnsi="Times New Roman"/>
                <w:b/>
                <w:bCs/>
                <w:i/>
                <w:iCs/>
                <w:color w:val="000000"/>
                <w:sz w:val="24"/>
                <w:szCs w:val="24"/>
              </w:rPr>
              <w:t>/L)</w:t>
            </w:r>
          </w:p>
        </w:tc>
        <w:tc>
          <w:tcPr>
            <w:tcW w:w="1613"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B729C"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 xml:space="preserve">Observed Toxicity </w:t>
            </w:r>
          </w:p>
        </w:tc>
        <w:tc>
          <w:tcPr>
            <w:tcW w:w="151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890BA"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 xml:space="preserve">Expected Toxicity </w:t>
            </w:r>
          </w:p>
        </w:tc>
        <w:tc>
          <w:tcPr>
            <w:tcW w:w="175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52968"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Ratio of Inhibition (RI)</w:t>
            </w:r>
          </w:p>
        </w:tc>
        <w:tc>
          <w:tcPr>
            <w:tcW w:w="1387"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53123B98"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 xml:space="preserve">Nature of Action </w:t>
            </w:r>
          </w:p>
        </w:tc>
      </w:tr>
      <w:tr w:rsidR="00037391" w14:paraId="33D26BE6" w14:textId="77777777" w:rsidTr="00202EA2">
        <w:trPr>
          <w:trHeight w:val="25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575393B" w14:textId="77777777" w:rsidR="00037391" w:rsidRPr="006F47F8" w:rsidRDefault="00037391" w:rsidP="00202EA2">
            <w:pPr>
              <w:rPr>
                <w:rFonts w:ascii="Times New Roman" w:hAnsi="Times New Roman"/>
                <w:b/>
                <w:bCs/>
                <w:i/>
                <w:iCs/>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21770F" w14:textId="77777777" w:rsidR="00037391" w:rsidRPr="006F47F8" w:rsidRDefault="00037391" w:rsidP="00202EA2">
            <w:pPr>
              <w:rPr>
                <w:rFonts w:ascii="Times New Roman" w:hAnsi="Times New Roman"/>
                <w:b/>
                <w:bCs/>
                <w:i/>
                <w:iCs/>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14034"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 xml:space="preserve">Average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90F38"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SD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9826E"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Average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D7A72"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SD</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F4201"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 xml:space="preserve">Average </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3EAFE" w14:textId="77777777" w:rsidR="00037391" w:rsidRPr="006F47F8" w:rsidRDefault="00037391" w:rsidP="00202EA2">
            <w:pPr>
              <w:jc w:val="center"/>
              <w:rPr>
                <w:rFonts w:ascii="Times New Roman" w:hAnsi="Times New Roman"/>
                <w:b/>
                <w:bCs/>
                <w:i/>
                <w:iCs/>
                <w:color w:val="000000"/>
                <w:sz w:val="24"/>
                <w:szCs w:val="24"/>
              </w:rPr>
            </w:pPr>
            <w:r w:rsidRPr="006F47F8">
              <w:rPr>
                <w:rFonts w:ascii="Times New Roman" w:hAnsi="Times New Roman"/>
                <w:b/>
                <w:bCs/>
                <w:i/>
                <w:iCs/>
                <w:color w:val="000000"/>
                <w:sz w:val="24"/>
                <w:szCs w:val="24"/>
              </w:rPr>
              <w:t>SD</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4AE8D0" w14:textId="77777777" w:rsidR="00037391" w:rsidRPr="006F47F8" w:rsidRDefault="00037391" w:rsidP="00202EA2">
            <w:pPr>
              <w:rPr>
                <w:rFonts w:ascii="Times New Roman" w:hAnsi="Times New Roman"/>
                <w:b/>
                <w:bCs/>
                <w:i/>
                <w:iCs/>
                <w:color w:val="000000"/>
                <w:sz w:val="24"/>
                <w:szCs w:val="24"/>
              </w:rPr>
            </w:pPr>
          </w:p>
        </w:tc>
      </w:tr>
      <w:tr w:rsidR="00037391" w14:paraId="6DDFE988" w14:textId="77777777" w:rsidTr="00202EA2">
        <w:trPr>
          <w:trHeight w:val="254"/>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2259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 xml:space="preserve">GO (250 </w:t>
            </w:r>
            <w:proofErr w:type="spellStart"/>
            <w:r w:rsidRPr="006F47F8">
              <w:rPr>
                <w:rFonts w:ascii="Times New Roman" w:hAnsi="Times New Roman"/>
                <w:color w:val="000000"/>
                <w:sz w:val="24"/>
                <w:szCs w:val="24"/>
              </w:rPr>
              <w:t>μg</w:t>
            </w:r>
            <w:proofErr w:type="spellEnd"/>
            <w:r w:rsidRPr="006F47F8">
              <w:rPr>
                <w:rFonts w:ascii="Times New Roman" w:hAnsi="Times New Roman"/>
                <w:color w:val="000000"/>
                <w:sz w:val="24"/>
                <w:szCs w:val="24"/>
              </w:rPr>
              <w:t>/L)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976FC"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68CE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22.98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8F860"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D4F05"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D4BFC"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6.50</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8BBDD"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1.00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C0BC4"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C290E"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Additive</w:t>
            </w:r>
          </w:p>
        </w:tc>
      </w:tr>
      <w:tr w:rsidR="00037391" w14:paraId="6406AF30" w14:textId="77777777" w:rsidTr="00202EA2">
        <w:trPr>
          <w:trHeight w:val="254"/>
        </w:trPr>
        <w:tc>
          <w:tcPr>
            <w:tcW w:w="0" w:type="auto"/>
            <w:vMerge/>
            <w:tcBorders>
              <w:top w:val="nil"/>
              <w:left w:val="single" w:sz="4" w:space="0" w:color="auto"/>
              <w:bottom w:val="single" w:sz="4" w:space="0" w:color="auto"/>
              <w:right w:val="single" w:sz="4" w:space="0" w:color="auto"/>
            </w:tcBorders>
            <w:vAlign w:val="center"/>
            <w:hideMark/>
          </w:tcPr>
          <w:p w14:paraId="420EF261" w14:textId="77777777" w:rsidR="00037391" w:rsidRPr="006F47F8" w:rsidRDefault="00037391" w:rsidP="00202EA2">
            <w:pP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54356"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51ABF"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00FC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5.72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AA2B4"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26.65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0C9ED"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3.88</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F7092"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0.74</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E8B53"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3B369"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Additive</w:t>
            </w:r>
          </w:p>
        </w:tc>
      </w:tr>
      <w:tr w:rsidR="00037391" w14:paraId="072A3FE5" w14:textId="77777777" w:rsidTr="00202EA2">
        <w:trPr>
          <w:trHeight w:val="254"/>
        </w:trPr>
        <w:tc>
          <w:tcPr>
            <w:tcW w:w="0" w:type="auto"/>
            <w:vMerge/>
            <w:tcBorders>
              <w:top w:val="nil"/>
              <w:left w:val="single" w:sz="4" w:space="0" w:color="auto"/>
              <w:bottom w:val="single" w:sz="4" w:space="0" w:color="auto"/>
              <w:right w:val="single" w:sz="4" w:space="0" w:color="auto"/>
            </w:tcBorders>
            <w:vAlign w:val="center"/>
            <w:hideMark/>
          </w:tcPr>
          <w:p w14:paraId="6F7BC1F1" w14:textId="77777777" w:rsidR="00037391" w:rsidRPr="006F47F8" w:rsidRDefault="00037391" w:rsidP="00202EA2">
            <w:pP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C1DE7"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421BA"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13.92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EAB53"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F3EF5"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32.05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F1281"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4.80</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58CA5"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0.44</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16F1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03E7E"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lang w:val="en-GB"/>
              </w:rPr>
              <w:t>Antagonistic</w:t>
            </w:r>
          </w:p>
        </w:tc>
      </w:tr>
      <w:tr w:rsidR="00037391" w14:paraId="29FA95F0" w14:textId="77777777" w:rsidTr="00202EA2">
        <w:trPr>
          <w:trHeight w:val="254"/>
        </w:trPr>
        <w:tc>
          <w:tcPr>
            <w:tcW w:w="0" w:type="auto"/>
            <w:vMerge/>
            <w:tcBorders>
              <w:top w:val="nil"/>
              <w:left w:val="single" w:sz="4" w:space="0" w:color="auto"/>
              <w:bottom w:val="single" w:sz="4" w:space="0" w:color="auto"/>
              <w:right w:val="single" w:sz="4" w:space="0" w:color="auto"/>
            </w:tcBorders>
            <w:vAlign w:val="center"/>
            <w:hideMark/>
          </w:tcPr>
          <w:p w14:paraId="7AE1D8AE" w14:textId="77777777" w:rsidR="00037391" w:rsidRPr="006F47F8" w:rsidRDefault="00037391" w:rsidP="00202EA2">
            <w:pP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276A8"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EF728"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C7121"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CD049"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38.24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F5D6E"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1.44</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027C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0.28</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360A0"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EB7B5"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lang w:val="en-GB"/>
              </w:rPr>
              <w:t>Antagonistic</w:t>
            </w:r>
          </w:p>
        </w:tc>
      </w:tr>
      <w:tr w:rsidR="00037391" w14:paraId="578B1CFD" w14:textId="77777777" w:rsidTr="00202EA2">
        <w:trPr>
          <w:trHeight w:val="254"/>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6E358" w14:textId="77777777" w:rsidR="00037391" w:rsidRPr="006F47F8" w:rsidRDefault="00037391" w:rsidP="00202EA2">
            <w:pPr>
              <w:jc w:val="center"/>
              <w:rPr>
                <w:rFonts w:ascii="Times New Roman" w:hAnsi="Times New Roman"/>
                <w:color w:val="000000"/>
                <w:sz w:val="24"/>
                <w:szCs w:val="24"/>
              </w:rPr>
            </w:pPr>
            <w:proofErr w:type="spellStart"/>
            <w:r w:rsidRPr="006F47F8">
              <w:rPr>
                <w:rFonts w:ascii="Times New Roman" w:hAnsi="Times New Roman"/>
                <w:color w:val="000000"/>
                <w:sz w:val="24"/>
                <w:szCs w:val="24"/>
              </w:rPr>
              <w:t>rGO</w:t>
            </w:r>
            <w:proofErr w:type="spellEnd"/>
            <w:r w:rsidRPr="006F47F8">
              <w:rPr>
                <w:rFonts w:ascii="Times New Roman" w:hAnsi="Times New Roman"/>
                <w:color w:val="000000"/>
                <w:sz w:val="24"/>
                <w:szCs w:val="24"/>
              </w:rPr>
              <w:t xml:space="preserve"> (250 </w:t>
            </w:r>
            <w:proofErr w:type="spellStart"/>
            <w:r w:rsidRPr="006F47F8">
              <w:rPr>
                <w:rFonts w:ascii="Times New Roman" w:hAnsi="Times New Roman"/>
                <w:color w:val="000000"/>
                <w:sz w:val="24"/>
                <w:szCs w:val="24"/>
              </w:rPr>
              <w:t>μg</w:t>
            </w:r>
            <w:proofErr w:type="spellEnd"/>
            <w:r w:rsidRPr="006F47F8">
              <w:rPr>
                <w:rFonts w:ascii="Times New Roman" w:hAnsi="Times New Roman"/>
                <w:color w:val="000000"/>
                <w:sz w:val="24"/>
                <w:szCs w:val="24"/>
              </w:rPr>
              <w:t>/L)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C6190"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7ACCD"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19.42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D05FE"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BD317"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27.65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DEFD2"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2.88</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63CA8"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0.72</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1CC0D"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DF275"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Additive</w:t>
            </w:r>
          </w:p>
        </w:tc>
      </w:tr>
      <w:tr w:rsidR="00037391" w14:paraId="73BC46EB" w14:textId="77777777" w:rsidTr="00202EA2">
        <w:trPr>
          <w:trHeight w:val="254"/>
        </w:trPr>
        <w:tc>
          <w:tcPr>
            <w:tcW w:w="0" w:type="auto"/>
            <w:vMerge/>
            <w:tcBorders>
              <w:top w:val="nil"/>
              <w:left w:val="single" w:sz="4" w:space="0" w:color="auto"/>
              <w:bottom w:val="single" w:sz="4" w:space="0" w:color="auto"/>
              <w:right w:val="single" w:sz="4" w:space="0" w:color="auto"/>
            </w:tcBorders>
            <w:vAlign w:val="center"/>
            <w:hideMark/>
          </w:tcPr>
          <w:p w14:paraId="0EE3EF61" w14:textId="77777777" w:rsidR="00037391" w:rsidRPr="006F47F8" w:rsidRDefault="00037391" w:rsidP="00202EA2">
            <w:pP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30B11"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C792C"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15956"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D159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30.13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29B39"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4.14</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9B138"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0.56</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0B78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E0F43"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lang w:val="en-GB"/>
              </w:rPr>
              <w:t>Antagonistic</w:t>
            </w:r>
          </w:p>
        </w:tc>
      </w:tr>
      <w:tr w:rsidR="00037391" w14:paraId="5FCC731A" w14:textId="77777777" w:rsidTr="00202EA2">
        <w:trPr>
          <w:trHeight w:val="254"/>
        </w:trPr>
        <w:tc>
          <w:tcPr>
            <w:tcW w:w="0" w:type="auto"/>
            <w:vMerge/>
            <w:tcBorders>
              <w:top w:val="nil"/>
              <w:left w:val="single" w:sz="4" w:space="0" w:color="auto"/>
              <w:bottom w:val="single" w:sz="4" w:space="0" w:color="auto"/>
              <w:right w:val="single" w:sz="4" w:space="0" w:color="auto"/>
            </w:tcBorders>
            <w:vAlign w:val="center"/>
            <w:hideMark/>
          </w:tcPr>
          <w:p w14:paraId="18F98D73" w14:textId="77777777" w:rsidR="00037391" w:rsidRPr="006F47F8" w:rsidRDefault="00037391" w:rsidP="00202EA2">
            <w:pP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433C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3C35E"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AD813"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3.92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00C2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35.33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FC177"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3.44</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DAA22"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0.28</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47AC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7B08A"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lang w:val="en-GB"/>
              </w:rPr>
              <w:t>Antagonistic</w:t>
            </w:r>
          </w:p>
        </w:tc>
      </w:tr>
      <w:tr w:rsidR="00037391" w14:paraId="04304192" w14:textId="77777777" w:rsidTr="00202EA2">
        <w:trPr>
          <w:trHeight w:val="254"/>
        </w:trPr>
        <w:tc>
          <w:tcPr>
            <w:tcW w:w="0" w:type="auto"/>
            <w:vMerge/>
            <w:tcBorders>
              <w:top w:val="nil"/>
              <w:left w:val="single" w:sz="4" w:space="0" w:color="auto"/>
              <w:bottom w:val="single" w:sz="4" w:space="0" w:color="auto"/>
              <w:right w:val="single" w:sz="4" w:space="0" w:color="auto"/>
            </w:tcBorders>
            <w:vAlign w:val="center"/>
            <w:hideMark/>
          </w:tcPr>
          <w:p w14:paraId="41688589" w14:textId="77777777" w:rsidR="00037391" w:rsidRPr="006F47F8" w:rsidRDefault="00037391" w:rsidP="00202EA2">
            <w:pP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7B17C"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0BE49"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6.15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0C100"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8E59C"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D4586"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4.29</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0F3D5"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0.15</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6F729"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4D65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lang w:val="en-GB"/>
              </w:rPr>
              <w:t>Antagonistic</w:t>
            </w:r>
          </w:p>
        </w:tc>
      </w:tr>
      <w:tr w:rsidR="00037391" w14:paraId="63F58089" w14:textId="77777777" w:rsidTr="00202EA2">
        <w:trPr>
          <w:trHeight w:val="254"/>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02FB7"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 xml:space="preserve">Graphene (250 </w:t>
            </w:r>
            <w:proofErr w:type="spellStart"/>
            <w:r w:rsidRPr="006F47F8">
              <w:rPr>
                <w:rFonts w:ascii="Times New Roman" w:hAnsi="Times New Roman"/>
                <w:color w:val="000000"/>
                <w:sz w:val="24"/>
                <w:szCs w:val="24"/>
              </w:rPr>
              <w:t>μg</w:t>
            </w:r>
            <w:proofErr w:type="spellEnd"/>
            <w:r w:rsidRPr="006F47F8">
              <w:rPr>
                <w:rFonts w:ascii="Times New Roman" w:hAnsi="Times New Roman"/>
                <w:color w:val="000000"/>
                <w:sz w:val="24"/>
                <w:szCs w:val="24"/>
              </w:rPr>
              <w:t xml:space="preserve">/L)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369BC"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BF424"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12.94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1CE51"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4B21C"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1B299"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4.50</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D989D"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1.07</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46A6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36B3C"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Additive</w:t>
            </w:r>
          </w:p>
        </w:tc>
      </w:tr>
      <w:tr w:rsidR="00037391" w14:paraId="0F443D54" w14:textId="77777777" w:rsidTr="00202EA2">
        <w:trPr>
          <w:trHeight w:val="254"/>
        </w:trPr>
        <w:tc>
          <w:tcPr>
            <w:tcW w:w="0" w:type="auto"/>
            <w:vMerge/>
            <w:tcBorders>
              <w:top w:val="nil"/>
              <w:left w:val="single" w:sz="4" w:space="0" w:color="auto"/>
              <w:bottom w:val="single" w:sz="4" w:space="0" w:color="auto"/>
              <w:right w:val="single" w:sz="4" w:space="0" w:color="auto"/>
            </w:tcBorders>
            <w:vAlign w:val="center"/>
            <w:hideMark/>
          </w:tcPr>
          <w:p w14:paraId="5C50FA42" w14:textId="77777777" w:rsidR="00037391" w:rsidRPr="006F47F8" w:rsidRDefault="00037391" w:rsidP="00202EA2">
            <w:pP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DB043"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FBE9A"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FDFA1"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2FA7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0161A"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4.72</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CBFF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0.60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DE689"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1F441"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Additive</w:t>
            </w:r>
          </w:p>
        </w:tc>
      </w:tr>
      <w:tr w:rsidR="00037391" w14:paraId="5F38E475" w14:textId="77777777" w:rsidTr="00202EA2">
        <w:trPr>
          <w:trHeight w:val="254"/>
        </w:trPr>
        <w:tc>
          <w:tcPr>
            <w:tcW w:w="0" w:type="auto"/>
            <w:vMerge/>
            <w:tcBorders>
              <w:top w:val="nil"/>
              <w:left w:val="single" w:sz="4" w:space="0" w:color="auto"/>
              <w:bottom w:val="single" w:sz="4" w:space="0" w:color="auto"/>
              <w:right w:val="single" w:sz="4" w:space="0" w:color="auto"/>
            </w:tcBorders>
            <w:vAlign w:val="center"/>
            <w:hideMark/>
          </w:tcPr>
          <w:p w14:paraId="47F17F94" w14:textId="77777777" w:rsidR="00037391" w:rsidRPr="006F47F8" w:rsidRDefault="00037391" w:rsidP="00202EA2">
            <w:pP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83639"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4D9F0"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7.61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98CA0"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4B80F"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5DA6F"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2.75</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9BD00"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0.32</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47966"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21413"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lang w:val="en-GB"/>
              </w:rPr>
              <w:t>Antagonistic</w:t>
            </w:r>
          </w:p>
        </w:tc>
      </w:tr>
      <w:tr w:rsidR="00037391" w14:paraId="005A91E1" w14:textId="77777777" w:rsidTr="00202EA2">
        <w:trPr>
          <w:trHeight w:val="254"/>
        </w:trPr>
        <w:tc>
          <w:tcPr>
            <w:tcW w:w="0" w:type="auto"/>
            <w:vMerge/>
            <w:tcBorders>
              <w:top w:val="nil"/>
              <w:left w:val="single" w:sz="4" w:space="0" w:color="auto"/>
              <w:bottom w:val="single" w:sz="4" w:space="0" w:color="auto"/>
              <w:right w:val="single" w:sz="4" w:space="0" w:color="auto"/>
            </w:tcBorders>
            <w:vAlign w:val="center"/>
            <w:hideMark/>
          </w:tcPr>
          <w:p w14:paraId="24A14841" w14:textId="77777777" w:rsidR="00037391" w:rsidRPr="006F47F8" w:rsidRDefault="00037391" w:rsidP="00202EA2">
            <w:pP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DA0B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C0BD6"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EEBC7"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1.94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825BB"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29.87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C5B44"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8.69</w:t>
            </w:r>
          </w:p>
        </w:tc>
        <w:tc>
          <w:tcPr>
            <w:tcW w:w="10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5FB7E"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0.08</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E0F07"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rPr>
              <w:t>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35BEE" w14:textId="77777777" w:rsidR="00037391" w:rsidRPr="006F47F8" w:rsidRDefault="00037391" w:rsidP="00202EA2">
            <w:pPr>
              <w:jc w:val="center"/>
              <w:rPr>
                <w:rFonts w:ascii="Times New Roman" w:hAnsi="Times New Roman"/>
                <w:color w:val="000000"/>
                <w:sz w:val="24"/>
                <w:szCs w:val="24"/>
              </w:rPr>
            </w:pPr>
            <w:r w:rsidRPr="006F47F8">
              <w:rPr>
                <w:rFonts w:ascii="Times New Roman" w:hAnsi="Times New Roman"/>
                <w:color w:val="000000"/>
                <w:sz w:val="24"/>
                <w:szCs w:val="24"/>
                <w:lang w:val="en-GB"/>
              </w:rPr>
              <w:t>Antagonistic</w:t>
            </w:r>
          </w:p>
        </w:tc>
      </w:tr>
    </w:tbl>
    <w:p w14:paraId="6381477A" w14:textId="77777777" w:rsidR="001E6CB3" w:rsidRPr="00C0476D" w:rsidRDefault="001E6CB3" w:rsidP="001E6CB3">
      <w:pPr>
        <w:spacing w:after="200" w:line="276" w:lineRule="auto"/>
        <w:rPr>
          <w:rFonts w:ascii="Times New Roman" w:hAnsi="Times New Roman"/>
          <w:b/>
          <w:sz w:val="24"/>
          <w:szCs w:val="24"/>
          <w:lang w:val="en-GB"/>
        </w:rPr>
      </w:pPr>
    </w:p>
    <w:p w14:paraId="22C09952" w14:textId="77777777" w:rsidR="001E6CB3" w:rsidRPr="00C0476D" w:rsidRDefault="001E6CB3" w:rsidP="001E6CB3">
      <w:pPr>
        <w:spacing w:after="200" w:line="276" w:lineRule="auto"/>
        <w:rPr>
          <w:rFonts w:ascii="Times New Roman" w:hAnsi="Times New Roman"/>
          <w:b/>
          <w:sz w:val="24"/>
          <w:szCs w:val="24"/>
          <w:lang w:val="en-GB"/>
        </w:rPr>
      </w:pPr>
      <w:r w:rsidRPr="00C0476D">
        <w:rPr>
          <w:rFonts w:ascii="Times New Roman" w:hAnsi="Times New Roman"/>
          <w:b/>
          <w:sz w:val="24"/>
          <w:szCs w:val="24"/>
          <w:lang w:val="en-GB"/>
        </w:rPr>
        <w:br w:type="page"/>
      </w:r>
    </w:p>
    <w:p w14:paraId="2F473047" w14:textId="2849CE8E" w:rsidR="0062780C" w:rsidRDefault="00925D93" w:rsidP="00293AA2">
      <w:pPr>
        <w:spacing w:after="200" w:line="480" w:lineRule="auto"/>
        <w:rPr>
          <w:rFonts w:ascii="Times New Roman" w:hAnsi="Times New Roman"/>
          <w:b/>
          <w:sz w:val="24"/>
          <w:szCs w:val="24"/>
          <w:lang w:val="en-GB"/>
        </w:rPr>
      </w:pPr>
      <w:r w:rsidRPr="00C0476D">
        <w:rPr>
          <w:rFonts w:ascii="Times New Roman" w:hAnsi="Times New Roman"/>
          <w:b/>
          <w:sz w:val="24"/>
          <w:szCs w:val="24"/>
          <w:lang w:val="en-GB"/>
        </w:rPr>
        <w:lastRenderedPageBreak/>
        <w:t xml:space="preserve">References </w:t>
      </w:r>
    </w:p>
    <w:p w14:paraId="24D637F4" w14:textId="0BB35CA0"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szCs w:val="24"/>
        </w:rPr>
      </w:pPr>
      <w:r>
        <w:rPr>
          <w:rFonts w:ascii="Times New Roman" w:hAnsi="Times New Roman"/>
          <w:b/>
          <w:sz w:val="24"/>
          <w:szCs w:val="24"/>
          <w:lang w:val="en-GB"/>
        </w:rPr>
        <w:fldChar w:fldCharType="begin" w:fldLock="1"/>
      </w:r>
      <w:r>
        <w:rPr>
          <w:rFonts w:ascii="Times New Roman" w:hAnsi="Times New Roman"/>
          <w:b/>
          <w:sz w:val="24"/>
          <w:szCs w:val="24"/>
          <w:lang w:val="en-GB"/>
        </w:rPr>
        <w:instrText xml:space="preserve">ADDIN Mendeley Bibliography CSL_BIBLIOGRAPHY </w:instrText>
      </w:r>
      <w:r>
        <w:rPr>
          <w:rFonts w:ascii="Times New Roman" w:hAnsi="Times New Roman"/>
          <w:b/>
          <w:sz w:val="24"/>
          <w:szCs w:val="24"/>
          <w:lang w:val="en-GB"/>
        </w:rPr>
        <w:fldChar w:fldCharType="separate"/>
      </w:r>
      <w:r w:rsidRPr="008C2E71">
        <w:rPr>
          <w:rFonts w:ascii="Times New Roman" w:hAnsi="Times New Roman"/>
          <w:noProof/>
          <w:sz w:val="24"/>
          <w:szCs w:val="24"/>
        </w:rPr>
        <w:t xml:space="preserve">1. </w:t>
      </w:r>
      <w:r w:rsidRPr="008C2E71">
        <w:rPr>
          <w:rFonts w:ascii="Times New Roman" w:hAnsi="Times New Roman"/>
          <w:noProof/>
          <w:sz w:val="24"/>
          <w:szCs w:val="24"/>
        </w:rPr>
        <w:tab/>
        <w:t>Roy N, Kannabiran K, Mukherjee A (2023) Chemosphere Integrated adsorption and photocatalytic degradation based removal of ciprofloxacin and sulfamethoxazole antibiotics using Fc @ rGO-ZnO nanocomposite in aqueous systems. 333:</w:t>
      </w:r>
    </w:p>
    <w:p w14:paraId="492D4DE1" w14:textId="77777777"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szCs w:val="24"/>
        </w:rPr>
      </w:pPr>
      <w:r w:rsidRPr="008C2E71">
        <w:rPr>
          <w:rFonts w:ascii="Times New Roman" w:hAnsi="Times New Roman"/>
          <w:noProof/>
          <w:sz w:val="24"/>
          <w:szCs w:val="24"/>
        </w:rPr>
        <w:t xml:space="preserve">2. </w:t>
      </w:r>
      <w:r w:rsidRPr="008C2E71">
        <w:rPr>
          <w:rFonts w:ascii="Times New Roman" w:hAnsi="Times New Roman"/>
          <w:noProof/>
          <w:sz w:val="24"/>
          <w:szCs w:val="24"/>
        </w:rPr>
        <w:tab/>
        <w:t>Yang ZZ, Zheng Q Bin, Qiu HX, et al (2015) A simple method for the reduction of graphene oxide by sodium borohydride with CaCl2 as a catalyst. Xinxing Tan Cailiao/New Carbon Mater 30:41–47. https://doi.org/10.1016/S1872-5805(15)60174-3</w:t>
      </w:r>
    </w:p>
    <w:p w14:paraId="6A117A17" w14:textId="77777777"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szCs w:val="24"/>
        </w:rPr>
      </w:pPr>
      <w:r w:rsidRPr="008C2E71">
        <w:rPr>
          <w:rFonts w:ascii="Times New Roman" w:hAnsi="Times New Roman"/>
          <w:noProof/>
          <w:sz w:val="24"/>
          <w:szCs w:val="24"/>
        </w:rPr>
        <w:t xml:space="preserve">3. </w:t>
      </w:r>
      <w:r w:rsidRPr="008C2E71">
        <w:rPr>
          <w:rFonts w:ascii="Times New Roman" w:hAnsi="Times New Roman"/>
          <w:noProof/>
          <w:sz w:val="24"/>
          <w:szCs w:val="24"/>
        </w:rPr>
        <w:tab/>
        <w:t>Chia JSY, Tan MTT, Khiew PS, et al (2014) A novel one step synthesis of graphene via sonochemical-assisted solvent exfoliation approach for electrochemical sensing application. Chem Eng J 249:270–278. https://doi.org/10.1016/j.cej.2014.03.081</w:t>
      </w:r>
    </w:p>
    <w:p w14:paraId="3B85BDE4" w14:textId="77777777"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szCs w:val="24"/>
        </w:rPr>
      </w:pPr>
      <w:r w:rsidRPr="008C2E71">
        <w:rPr>
          <w:rFonts w:ascii="Times New Roman" w:hAnsi="Times New Roman"/>
          <w:noProof/>
          <w:sz w:val="24"/>
          <w:szCs w:val="24"/>
        </w:rPr>
        <w:t xml:space="preserve">4. </w:t>
      </w:r>
      <w:r w:rsidRPr="008C2E71">
        <w:rPr>
          <w:rFonts w:ascii="Times New Roman" w:hAnsi="Times New Roman"/>
          <w:noProof/>
          <w:sz w:val="24"/>
          <w:szCs w:val="24"/>
        </w:rPr>
        <w:tab/>
        <w:t>Drelich J (2013) Guidelines to measurements of reproducible contact angles using a sessile-drop technique. Surf Innov 1:248–254. https://doi.org/10.1680/si.13.00010</w:t>
      </w:r>
    </w:p>
    <w:p w14:paraId="14D29F22" w14:textId="77777777"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szCs w:val="24"/>
        </w:rPr>
      </w:pPr>
      <w:r w:rsidRPr="008C2E71">
        <w:rPr>
          <w:rFonts w:ascii="Times New Roman" w:hAnsi="Times New Roman"/>
          <w:noProof/>
          <w:sz w:val="24"/>
          <w:szCs w:val="24"/>
        </w:rPr>
        <w:t xml:space="preserve">5. </w:t>
      </w:r>
      <w:r w:rsidRPr="008C2E71">
        <w:rPr>
          <w:rFonts w:ascii="Times New Roman" w:hAnsi="Times New Roman"/>
          <w:noProof/>
          <w:sz w:val="24"/>
          <w:szCs w:val="24"/>
        </w:rPr>
        <w:tab/>
        <w:t>Jacomini AE, Bonato PS, Avelar WEP (2003) HPLC method for the analysis of atrazine in freshwater bivalves. J Liq Chromatogr Relat Technol 26:1885–1894. https://doi.org/10.1081/JLC-120021757</w:t>
      </w:r>
    </w:p>
    <w:p w14:paraId="6F2FA3E1" w14:textId="77777777"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szCs w:val="24"/>
        </w:rPr>
      </w:pPr>
      <w:r w:rsidRPr="008C2E71">
        <w:rPr>
          <w:rFonts w:ascii="Times New Roman" w:hAnsi="Times New Roman"/>
          <w:noProof/>
          <w:sz w:val="24"/>
          <w:szCs w:val="24"/>
        </w:rPr>
        <w:t xml:space="preserve">6. </w:t>
      </w:r>
      <w:r w:rsidRPr="008C2E71">
        <w:rPr>
          <w:rFonts w:ascii="Times New Roman" w:hAnsi="Times New Roman"/>
          <w:noProof/>
          <w:sz w:val="24"/>
          <w:szCs w:val="24"/>
        </w:rPr>
        <w:tab/>
        <w:t>Natarajan L, Annie Jenifer M, Peijnenburg WJGM, Mukherjee A (2023) Algal extracellular polymeric substances (algal-EPS) for mitigating the combined toxic effects of polystyrene nanoplastics and nano-TiO2 in Chlorella sp. Nanotoxicology 0:1–14. https://doi.org/10.1080/17435390.2023.2179438</w:t>
      </w:r>
    </w:p>
    <w:p w14:paraId="11AEE85A" w14:textId="77777777"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szCs w:val="24"/>
        </w:rPr>
      </w:pPr>
      <w:r w:rsidRPr="008C2E71">
        <w:rPr>
          <w:rFonts w:ascii="Times New Roman" w:hAnsi="Times New Roman"/>
          <w:noProof/>
          <w:sz w:val="24"/>
          <w:szCs w:val="24"/>
        </w:rPr>
        <w:t xml:space="preserve">7. </w:t>
      </w:r>
      <w:r w:rsidRPr="008C2E71">
        <w:rPr>
          <w:rFonts w:ascii="Times New Roman" w:hAnsi="Times New Roman"/>
          <w:noProof/>
          <w:sz w:val="24"/>
          <w:szCs w:val="24"/>
        </w:rPr>
        <w:tab/>
        <w:t>Thiagarajan V, M. P, S. A, et al (2019) Diminishing bioavailability and toxicity of P25 TiO2 NPs during continuous exposure to marine algae Chlorella sp. Chemosphere 233:363–372. https://doi.org/10.1016/j.chemosphere.2019.05.270</w:t>
      </w:r>
    </w:p>
    <w:p w14:paraId="7E1470AD" w14:textId="77777777"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szCs w:val="24"/>
        </w:rPr>
      </w:pPr>
      <w:r w:rsidRPr="008C2E71">
        <w:rPr>
          <w:rFonts w:ascii="Times New Roman" w:hAnsi="Times New Roman"/>
          <w:noProof/>
          <w:sz w:val="24"/>
          <w:szCs w:val="24"/>
        </w:rPr>
        <w:lastRenderedPageBreak/>
        <w:t xml:space="preserve">8. </w:t>
      </w:r>
      <w:r w:rsidRPr="008C2E71">
        <w:rPr>
          <w:rFonts w:ascii="Times New Roman" w:hAnsi="Times New Roman"/>
          <w:noProof/>
          <w:sz w:val="24"/>
          <w:szCs w:val="24"/>
        </w:rPr>
        <w:tab/>
        <w:t>Das S, Giri S, Wadhwa G, et al (2023) Comparative ecotoxicity of graphene, functionalized multi-walled CNTs, and their mixture in freshwater microalgae, Scenedesmus obliquus: analyzing the role of oxidative stress. Environ Sci Pollut Res 70246–70259. https://doi.org/10.1007/s11356-023-27367-6</w:t>
      </w:r>
    </w:p>
    <w:p w14:paraId="71338E96" w14:textId="77777777"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szCs w:val="24"/>
        </w:rPr>
      </w:pPr>
      <w:r w:rsidRPr="008C2E71">
        <w:rPr>
          <w:rFonts w:ascii="Times New Roman" w:hAnsi="Times New Roman"/>
          <w:noProof/>
          <w:sz w:val="24"/>
          <w:szCs w:val="24"/>
        </w:rPr>
        <w:t xml:space="preserve">9. </w:t>
      </w:r>
      <w:r w:rsidRPr="008C2E71">
        <w:rPr>
          <w:rFonts w:ascii="Times New Roman" w:hAnsi="Times New Roman"/>
          <w:noProof/>
          <w:sz w:val="24"/>
          <w:szCs w:val="24"/>
        </w:rPr>
        <w:tab/>
        <w:t>Giri S, Mukherjee A (2021) Ageing with algal EPS reduces the toxic effects of polystyrene nanoplastics in freshwater microalgae Scenedesmus obliquus. J Environ Chem Eng 9:105978. https://doi.org/10.1016/j.jece.2021.105978</w:t>
      </w:r>
    </w:p>
    <w:p w14:paraId="61F20681" w14:textId="77777777" w:rsidR="008C2E71" w:rsidRPr="008C2E71" w:rsidRDefault="008C2E71" w:rsidP="008C2E71">
      <w:pPr>
        <w:widowControl w:val="0"/>
        <w:autoSpaceDE w:val="0"/>
        <w:autoSpaceDN w:val="0"/>
        <w:adjustRightInd w:val="0"/>
        <w:spacing w:after="200" w:line="480" w:lineRule="auto"/>
        <w:ind w:left="640" w:hanging="640"/>
        <w:rPr>
          <w:rFonts w:ascii="Times New Roman" w:hAnsi="Times New Roman"/>
          <w:noProof/>
          <w:sz w:val="24"/>
        </w:rPr>
      </w:pPr>
      <w:r w:rsidRPr="008C2E71">
        <w:rPr>
          <w:rFonts w:ascii="Times New Roman" w:hAnsi="Times New Roman"/>
          <w:noProof/>
          <w:sz w:val="24"/>
          <w:szCs w:val="24"/>
        </w:rPr>
        <w:t xml:space="preserve">10. </w:t>
      </w:r>
      <w:r w:rsidRPr="008C2E71">
        <w:rPr>
          <w:rFonts w:ascii="Times New Roman" w:hAnsi="Times New Roman"/>
          <w:noProof/>
          <w:sz w:val="24"/>
          <w:szCs w:val="24"/>
        </w:rPr>
        <w:tab/>
        <w:t>Giri S, Christudoss AC, Chandrasekaran N, et al (2023) The role of algal EPS in reducing the combined toxicity of BPA and polystyrene nanoparticles to the freshwater algae Scenedesmus obliquus. Plant Physiol Biochem 197:107664</w:t>
      </w:r>
    </w:p>
    <w:p w14:paraId="3285EDAF" w14:textId="2A86068C" w:rsidR="00A9115C" w:rsidRPr="00C0476D" w:rsidRDefault="008C2E71" w:rsidP="00293AA2">
      <w:pPr>
        <w:spacing w:after="200" w:line="480" w:lineRule="auto"/>
        <w:rPr>
          <w:rFonts w:ascii="Times New Roman" w:hAnsi="Times New Roman"/>
          <w:b/>
          <w:sz w:val="24"/>
          <w:szCs w:val="24"/>
          <w:lang w:val="en-GB"/>
        </w:rPr>
      </w:pPr>
      <w:r>
        <w:rPr>
          <w:rFonts w:ascii="Times New Roman" w:hAnsi="Times New Roman"/>
          <w:b/>
          <w:sz w:val="24"/>
          <w:szCs w:val="24"/>
          <w:lang w:val="en-GB"/>
        </w:rPr>
        <w:fldChar w:fldCharType="end"/>
      </w:r>
    </w:p>
    <w:sectPr w:rsidR="00A9115C" w:rsidRPr="00C0476D" w:rsidSect="00A82917">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E6A91" w14:textId="77777777" w:rsidR="007052F2" w:rsidRDefault="007052F2" w:rsidP="00FE68A7">
      <w:pPr>
        <w:spacing w:after="0" w:line="240" w:lineRule="auto"/>
      </w:pPr>
      <w:r>
        <w:separator/>
      </w:r>
    </w:p>
  </w:endnote>
  <w:endnote w:type="continuationSeparator" w:id="0">
    <w:p w14:paraId="40D5FD3E" w14:textId="77777777" w:rsidR="007052F2" w:rsidRDefault="007052F2" w:rsidP="00FE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125716"/>
      <w:docPartObj>
        <w:docPartGallery w:val="Page Numbers (Bottom of Page)"/>
        <w:docPartUnique/>
      </w:docPartObj>
    </w:sdtPr>
    <w:sdtEndPr>
      <w:rPr>
        <w:noProof/>
      </w:rPr>
    </w:sdtEndPr>
    <w:sdtContent>
      <w:p w14:paraId="51E684DF" w14:textId="76AA8B11" w:rsidR="00202EA2" w:rsidRDefault="00202EA2">
        <w:pPr>
          <w:pStyle w:val="Footer"/>
          <w:jc w:val="center"/>
        </w:pPr>
        <w:r>
          <w:fldChar w:fldCharType="begin"/>
        </w:r>
        <w:r>
          <w:instrText xml:space="preserve"> PAGE   \* MERGEFORMAT </w:instrText>
        </w:r>
        <w:r>
          <w:fldChar w:fldCharType="separate"/>
        </w:r>
        <w:r w:rsidR="00CE442D">
          <w:rPr>
            <w:noProof/>
          </w:rPr>
          <w:t>20</w:t>
        </w:r>
        <w:r>
          <w:rPr>
            <w:noProof/>
          </w:rPr>
          <w:fldChar w:fldCharType="end"/>
        </w:r>
      </w:p>
    </w:sdtContent>
  </w:sdt>
  <w:p w14:paraId="13CE1E4B" w14:textId="77777777" w:rsidR="00202EA2" w:rsidRDefault="0020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C0B37" w14:textId="77777777" w:rsidR="007052F2" w:rsidRDefault="007052F2" w:rsidP="00FE68A7">
      <w:pPr>
        <w:spacing w:after="0" w:line="240" w:lineRule="auto"/>
      </w:pPr>
      <w:r>
        <w:separator/>
      </w:r>
    </w:p>
  </w:footnote>
  <w:footnote w:type="continuationSeparator" w:id="0">
    <w:p w14:paraId="5B9E5577" w14:textId="77777777" w:rsidR="007052F2" w:rsidRDefault="007052F2" w:rsidP="00FE68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3M7A0M7IwNbCwsLRU0lEKTi0uzszPAykwqgUAxNMvOiwAAAA="/>
  </w:docVars>
  <w:rsids>
    <w:rsidRoot w:val="000213B5"/>
    <w:rsid w:val="0000426E"/>
    <w:rsid w:val="0000725A"/>
    <w:rsid w:val="00007D73"/>
    <w:rsid w:val="000213B5"/>
    <w:rsid w:val="0002211C"/>
    <w:rsid w:val="00022F92"/>
    <w:rsid w:val="00037391"/>
    <w:rsid w:val="00046A93"/>
    <w:rsid w:val="000476E4"/>
    <w:rsid w:val="00050BC9"/>
    <w:rsid w:val="00066F53"/>
    <w:rsid w:val="00076684"/>
    <w:rsid w:val="00095995"/>
    <w:rsid w:val="00095F3D"/>
    <w:rsid w:val="000A0EF8"/>
    <w:rsid w:val="000C06DA"/>
    <w:rsid w:val="000C43E9"/>
    <w:rsid w:val="000D5A6F"/>
    <w:rsid w:val="000E4838"/>
    <w:rsid w:val="000E61F6"/>
    <w:rsid w:val="000F134E"/>
    <w:rsid w:val="000F5474"/>
    <w:rsid w:val="00101848"/>
    <w:rsid w:val="00104669"/>
    <w:rsid w:val="001104CB"/>
    <w:rsid w:val="00113AEC"/>
    <w:rsid w:val="001159B3"/>
    <w:rsid w:val="00115C90"/>
    <w:rsid w:val="00121CCE"/>
    <w:rsid w:val="00127AEC"/>
    <w:rsid w:val="0013006D"/>
    <w:rsid w:val="00131585"/>
    <w:rsid w:val="00133354"/>
    <w:rsid w:val="0014603E"/>
    <w:rsid w:val="001576DC"/>
    <w:rsid w:val="0018374E"/>
    <w:rsid w:val="0018404C"/>
    <w:rsid w:val="001921B6"/>
    <w:rsid w:val="00192B0A"/>
    <w:rsid w:val="001B1DF7"/>
    <w:rsid w:val="001B3354"/>
    <w:rsid w:val="001C0659"/>
    <w:rsid w:val="001C56AE"/>
    <w:rsid w:val="001D159F"/>
    <w:rsid w:val="001D50D3"/>
    <w:rsid w:val="001E11D8"/>
    <w:rsid w:val="001E22B7"/>
    <w:rsid w:val="001E558A"/>
    <w:rsid w:val="001E6CB3"/>
    <w:rsid w:val="001F4EE0"/>
    <w:rsid w:val="001F60A9"/>
    <w:rsid w:val="002024B3"/>
    <w:rsid w:val="00202EA2"/>
    <w:rsid w:val="002074B1"/>
    <w:rsid w:val="00211792"/>
    <w:rsid w:val="002125B9"/>
    <w:rsid w:val="00214B22"/>
    <w:rsid w:val="00230606"/>
    <w:rsid w:val="00230D42"/>
    <w:rsid w:val="00232506"/>
    <w:rsid w:val="002379A1"/>
    <w:rsid w:val="00237A80"/>
    <w:rsid w:val="00247768"/>
    <w:rsid w:val="00252FAD"/>
    <w:rsid w:val="00253C53"/>
    <w:rsid w:val="00256A4B"/>
    <w:rsid w:val="00260205"/>
    <w:rsid w:val="00262014"/>
    <w:rsid w:val="002658F1"/>
    <w:rsid w:val="002704F3"/>
    <w:rsid w:val="00273E57"/>
    <w:rsid w:val="00274343"/>
    <w:rsid w:val="002829D9"/>
    <w:rsid w:val="00293048"/>
    <w:rsid w:val="00293AA2"/>
    <w:rsid w:val="002A1C5D"/>
    <w:rsid w:val="002B1A07"/>
    <w:rsid w:val="002B2A5F"/>
    <w:rsid w:val="002B4833"/>
    <w:rsid w:val="002C0293"/>
    <w:rsid w:val="002C41BF"/>
    <w:rsid w:val="002E0F62"/>
    <w:rsid w:val="002E274E"/>
    <w:rsid w:val="002F127A"/>
    <w:rsid w:val="002F795B"/>
    <w:rsid w:val="00301D26"/>
    <w:rsid w:val="00302CB0"/>
    <w:rsid w:val="003074E9"/>
    <w:rsid w:val="00310FD1"/>
    <w:rsid w:val="00315C4C"/>
    <w:rsid w:val="00325104"/>
    <w:rsid w:val="003313AF"/>
    <w:rsid w:val="003332F9"/>
    <w:rsid w:val="0033798C"/>
    <w:rsid w:val="00341DE9"/>
    <w:rsid w:val="0034227B"/>
    <w:rsid w:val="00347008"/>
    <w:rsid w:val="003542F5"/>
    <w:rsid w:val="00377A70"/>
    <w:rsid w:val="00382F7A"/>
    <w:rsid w:val="003860A0"/>
    <w:rsid w:val="00397706"/>
    <w:rsid w:val="003A70DA"/>
    <w:rsid w:val="003B2926"/>
    <w:rsid w:val="003D3166"/>
    <w:rsid w:val="003E065B"/>
    <w:rsid w:val="003E5FFA"/>
    <w:rsid w:val="003F2F78"/>
    <w:rsid w:val="00415A3A"/>
    <w:rsid w:val="00416910"/>
    <w:rsid w:val="00422FDB"/>
    <w:rsid w:val="004263BB"/>
    <w:rsid w:val="004331E6"/>
    <w:rsid w:val="00452398"/>
    <w:rsid w:val="00452533"/>
    <w:rsid w:val="00452C2E"/>
    <w:rsid w:val="00452DBD"/>
    <w:rsid w:val="00455207"/>
    <w:rsid w:val="00464A54"/>
    <w:rsid w:val="00473B19"/>
    <w:rsid w:val="004750A9"/>
    <w:rsid w:val="00475879"/>
    <w:rsid w:val="004859C6"/>
    <w:rsid w:val="00485EC7"/>
    <w:rsid w:val="00494E49"/>
    <w:rsid w:val="004950A3"/>
    <w:rsid w:val="004963E1"/>
    <w:rsid w:val="004A1CA7"/>
    <w:rsid w:val="004A2F6A"/>
    <w:rsid w:val="004A4F91"/>
    <w:rsid w:val="004B1DF4"/>
    <w:rsid w:val="004B23F1"/>
    <w:rsid w:val="004B4AC9"/>
    <w:rsid w:val="004C2286"/>
    <w:rsid w:val="004D4184"/>
    <w:rsid w:val="004D58C8"/>
    <w:rsid w:val="004D6E70"/>
    <w:rsid w:val="004E4DEF"/>
    <w:rsid w:val="00501E10"/>
    <w:rsid w:val="00506CDC"/>
    <w:rsid w:val="00517005"/>
    <w:rsid w:val="005245C2"/>
    <w:rsid w:val="0052596C"/>
    <w:rsid w:val="00526F80"/>
    <w:rsid w:val="00527111"/>
    <w:rsid w:val="00531B6B"/>
    <w:rsid w:val="0054087C"/>
    <w:rsid w:val="00545034"/>
    <w:rsid w:val="00545BC6"/>
    <w:rsid w:val="005462F2"/>
    <w:rsid w:val="0055471A"/>
    <w:rsid w:val="005668A7"/>
    <w:rsid w:val="005804BA"/>
    <w:rsid w:val="005810D4"/>
    <w:rsid w:val="00584F2E"/>
    <w:rsid w:val="005874CA"/>
    <w:rsid w:val="005964A7"/>
    <w:rsid w:val="005A2970"/>
    <w:rsid w:val="005B671D"/>
    <w:rsid w:val="005C0DFD"/>
    <w:rsid w:val="005D3440"/>
    <w:rsid w:val="005E3899"/>
    <w:rsid w:val="005F0BDA"/>
    <w:rsid w:val="00604779"/>
    <w:rsid w:val="00611D9A"/>
    <w:rsid w:val="00613948"/>
    <w:rsid w:val="006162BA"/>
    <w:rsid w:val="00622EAA"/>
    <w:rsid w:val="00623251"/>
    <w:rsid w:val="006241CE"/>
    <w:rsid w:val="00624313"/>
    <w:rsid w:val="00625146"/>
    <w:rsid w:val="0062780C"/>
    <w:rsid w:val="00637556"/>
    <w:rsid w:val="00654BF5"/>
    <w:rsid w:val="00665758"/>
    <w:rsid w:val="006844B0"/>
    <w:rsid w:val="006914C7"/>
    <w:rsid w:val="00692C1A"/>
    <w:rsid w:val="00693CA5"/>
    <w:rsid w:val="00695A88"/>
    <w:rsid w:val="006A5246"/>
    <w:rsid w:val="006C2001"/>
    <w:rsid w:val="006C60E8"/>
    <w:rsid w:val="006D0B5B"/>
    <w:rsid w:val="006D4820"/>
    <w:rsid w:val="006D51D7"/>
    <w:rsid w:val="006E4011"/>
    <w:rsid w:val="006F23D4"/>
    <w:rsid w:val="006F47F8"/>
    <w:rsid w:val="007001BF"/>
    <w:rsid w:val="007052F2"/>
    <w:rsid w:val="0071113F"/>
    <w:rsid w:val="00713E3B"/>
    <w:rsid w:val="007209DF"/>
    <w:rsid w:val="0072148C"/>
    <w:rsid w:val="00725FC6"/>
    <w:rsid w:val="007303B3"/>
    <w:rsid w:val="00732C1C"/>
    <w:rsid w:val="00734C47"/>
    <w:rsid w:val="007439B0"/>
    <w:rsid w:val="00743DC7"/>
    <w:rsid w:val="00756954"/>
    <w:rsid w:val="00761DEB"/>
    <w:rsid w:val="00772498"/>
    <w:rsid w:val="00781969"/>
    <w:rsid w:val="00782373"/>
    <w:rsid w:val="00795CBC"/>
    <w:rsid w:val="00796FB6"/>
    <w:rsid w:val="007A19DF"/>
    <w:rsid w:val="007A32EF"/>
    <w:rsid w:val="007A462E"/>
    <w:rsid w:val="007A5726"/>
    <w:rsid w:val="007B3C35"/>
    <w:rsid w:val="007C0897"/>
    <w:rsid w:val="007C13A0"/>
    <w:rsid w:val="007C6759"/>
    <w:rsid w:val="007D2C57"/>
    <w:rsid w:val="007E3251"/>
    <w:rsid w:val="007F3785"/>
    <w:rsid w:val="007F7E89"/>
    <w:rsid w:val="008058A6"/>
    <w:rsid w:val="00805AD5"/>
    <w:rsid w:val="00822E9C"/>
    <w:rsid w:val="00830CB7"/>
    <w:rsid w:val="0083481B"/>
    <w:rsid w:val="00835AEA"/>
    <w:rsid w:val="00851E38"/>
    <w:rsid w:val="00854864"/>
    <w:rsid w:val="00857FDE"/>
    <w:rsid w:val="008628FD"/>
    <w:rsid w:val="00866EFE"/>
    <w:rsid w:val="00877D1C"/>
    <w:rsid w:val="00893C9D"/>
    <w:rsid w:val="00897AC5"/>
    <w:rsid w:val="008A2BC9"/>
    <w:rsid w:val="008B339A"/>
    <w:rsid w:val="008C2E71"/>
    <w:rsid w:val="008D09B0"/>
    <w:rsid w:val="008D1EE4"/>
    <w:rsid w:val="008D6659"/>
    <w:rsid w:val="008E1E73"/>
    <w:rsid w:val="008E2305"/>
    <w:rsid w:val="008E5372"/>
    <w:rsid w:val="008F0474"/>
    <w:rsid w:val="008F2575"/>
    <w:rsid w:val="008F2BBF"/>
    <w:rsid w:val="008F63E5"/>
    <w:rsid w:val="008F7E86"/>
    <w:rsid w:val="009013E9"/>
    <w:rsid w:val="00901E23"/>
    <w:rsid w:val="00907794"/>
    <w:rsid w:val="00920DBE"/>
    <w:rsid w:val="009252DC"/>
    <w:rsid w:val="00925D93"/>
    <w:rsid w:val="00932022"/>
    <w:rsid w:val="00932B4F"/>
    <w:rsid w:val="00943B89"/>
    <w:rsid w:val="00945659"/>
    <w:rsid w:val="00953D26"/>
    <w:rsid w:val="00960513"/>
    <w:rsid w:val="0096597C"/>
    <w:rsid w:val="00966F96"/>
    <w:rsid w:val="009811D9"/>
    <w:rsid w:val="009825CC"/>
    <w:rsid w:val="00987133"/>
    <w:rsid w:val="009978B1"/>
    <w:rsid w:val="009A1C7B"/>
    <w:rsid w:val="009A6B6F"/>
    <w:rsid w:val="009B4E37"/>
    <w:rsid w:val="009C41FB"/>
    <w:rsid w:val="009C5D34"/>
    <w:rsid w:val="009D0202"/>
    <w:rsid w:val="009D35E1"/>
    <w:rsid w:val="009E3EA7"/>
    <w:rsid w:val="009F06F8"/>
    <w:rsid w:val="009F3721"/>
    <w:rsid w:val="009F5BFC"/>
    <w:rsid w:val="00A00867"/>
    <w:rsid w:val="00A03373"/>
    <w:rsid w:val="00A20837"/>
    <w:rsid w:val="00A26D7C"/>
    <w:rsid w:val="00A27566"/>
    <w:rsid w:val="00A301AF"/>
    <w:rsid w:val="00A30BA7"/>
    <w:rsid w:val="00A40CDA"/>
    <w:rsid w:val="00A40E9A"/>
    <w:rsid w:val="00A413A7"/>
    <w:rsid w:val="00A56C64"/>
    <w:rsid w:val="00A6446A"/>
    <w:rsid w:val="00A64F26"/>
    <w:rsid w:val="00A73E63"/>
    <w:rsid w:val="00A76187"/>
    <w:rsid w:val="00A82917"/>
    <w:rsid w:val="00A83B2B"/>
    <w:rsid w:val="00A8406C"/>
    <w:rsid w:val="00A9115C"/>
    <w:rsid w:val="00A936DD"/>
    <w:rsid w:val="00AA26EF"/>
    <w:rsid w:val="00AA33AF"/>
    <w:rsid w:val="00AA5A2E"/>
    <w:rsid w:val="00AB38E0"/>
    <w:rsid w:val="00AB509F"/>
    <w:rsid w:val="00AB7E6A"/>
    <w:rsid w:val="00AC42C5"/>
    <w:rsid w:val="00AD7DD5"/>
    <w:rsid w:val="00AE3D86"/>
    <w:rsid w:val="00AE5D1D"/>
    <w:rsid w:val="00AF1774"/>
    <w:rsid w:val="00AF2FD9"/>
    <w:rsid w:val="00AF77A9"/>
    <w:rsid w:val="00B01A79"/>
    <w:rsid w:val="00B07009"/>
    <w:rsid w:val="00B13788"/>
    <w:rsid w:val="00B16B45"/>
    <w:rsid w:val="00B17D66"/>
    <w:rsid w:val="00B257A4"/>
    <w:rsid w:val="00B360BD"/>
    <w:rsid w:val="00B36E07"/>
    <w:rsid w:val="00B42513"/>
    <w:rsid w:val="00B46D77"/>
    <w:rsid w:val="00B472C8"/>
    <w:rsid w:val="00B5056E"/>
    <w:rsid w:val="00B65526"/>
    <w:rsid w:val="00B7369C"/>
    <w:rsid w:val="00B76377"/>
    <w:rsid w:val="00B7656E"/>
    <w:rsid w:val="00B916E5"/>
    <w:rsid w:val="00B95078"/>
    <w:rsid w:val="00B95DF3"/>
    <w:rsid w:val="00B96291"/>
    <w:rsid w:val="00B96586"/>
    <w:rsid w:val="00BA04D3"/>
    <w:rsid w:val="00BA0FE7"/>
    <w:rsid w:val="00BB6FB0"/>
    <w:rsid w:val="00BB7A83"/>
    <w:rsid w:val="00BC3E05"/>
    <w:rsid w:val="00BC632A"/>
    <w:rsid w:val="00BD2464"/>
    <w:rsid w:val="00BD42B4"/>
    <w:rsid w:val="00BE066D"/>
    <w:rsid w:val="00BE0CF6"/>
    <w:rsid w:val="00BE3A6D"/>
    <w:rsid w:val="00BE7DD3"/>
    <w:rsid w:val="00BF55D2"/>
    <w:rsid w:val="00C030A2"/>
    <w:rsid w:val="00C0476D"/>
    <w:rsid w:val="00C2546C"/>
    <w:rsid w:val="00C33DFF"/>
    <w:rsid w:val="00C35A85"/>
    <w:rsid w:val="00C41ECB"/>
    <w:rsid w:val="00C4631E"/>
    <w:rsid w:val="00C47985"/>
    <w:rsid w:val="00C66055"/>
    <w:rsid w:val="00C71C6E"/>
    <w:rsid w:val="00C808F6"/>
    <w:rsid w:val="00C847C9"/>
    <w:rsid w:val="00C85E7F"/>
    <w:rsid w:val="00CA1DCF"/>
    <w:rsid w:val="00CA76B8"/>
    <w:rsid w:val="00CB3B72"/>
    <w:rsid w:val="00CE43B6"/>
    <w:rsid w:val="00CE442D"/>
    <w:rsid w:val="00CE480E"/>
    <w:rsid w:val="00CE4B44"/>
    <w:rsid w:val="00CF3219"/>
    <w:rsid w:val="00CF6985"/>
    <w:rsid w:val="00CF6BB1"/>
    <w:rsid w:val="00D02AD0"/>
    <w:rsid w:val="00D041DC"/>
    <w:rsid w:val="00D1655A"/>
    <w:rsid w:val="00D32102"/>
    <w:rsid w:val="00D36ECE"/>
    <w:rsid w:val="00D46B4D"/>
    <w:rsid w:val="00D54FAD"/>
    <w:rsid w:val="00D55E32"/>
    <w:rsid w:val="00D70F52"/>
    <w:rsid w:val="00D71E30"/>
    <w:rsid w:val="00D8747F"/>
    <w:rsid w:val="00DA42D2"/>
    <w:rsid w:val="00DA7284"/>
    <w:rsid w:val="00DB42E9"/>
    <w:rsid w:val="00DB6A69"/>
    <w:rsid w:val="00DC2E26"/>
    <w:rsid w:val="00DC4667"/>
    <w:rsid w:val="00DE5E7B"/>
    <w:rsid w:val="00DE6558"/>
    <w:rsid w:val="00DE745F"/>
    <w:rsid w:val="00E02706"/>
    <w:rsid w:val="00E0336F"/>
    <w:rsid w:val="00E12406"/>
    <w:rsid w:val="00E1632E"/>
    <w:rsid w:val="00E331C6"/>
    <w:rsid w:val="00E40487"/>
    <w:rsid w:val="00E441FA"/>
    <w:rsid w:val="00E55D51"/>
    <w:rsid w:val="00E5670D"/>
    <w:rsid w:val="00E6539C"/>
    <w:rsid w:val="00E655DF"/>
    <w:rsid w:val="00E662E4"/>
    <w:rsid w:val="00E67E20"/>
    <w:rsid w:val="00E80928"/>
    <w:rsid w:val="00E85F50"/>
    <w:rsid w:val="00E94E97"/>
    <w:rsid w:val="00E978E1"/>
    <w:rsid w:val="00EA13BB"/>
    <w:rsid w:val="00EA3E67"/>
    <w:rsid w:val="00EA55CC"/>
    <w:rsid w:val="00EA707C"/>
    <w:rsid w:val="00EB413D"/>
    <w:rsid w:val="00EC3990"/>
    <w:rsid w:val="00ED116E"/>
    <w:rsid w:val="00ED2C42"/>
    <w:rsid w:val="00ED32A6"/>
    <w:rsid w:val="00ED34C6"/>
    <w:rsid w:val="00ED403E"/>
    <w:rsid w:val="00ED5C69"/>
    <w:rsid w:val="00ED5D51"/>
    <w:rsid w:val="00EE2DD1"/>
    <w:rsid w:val="00EE6845"/>
    <w:rsid w:val="00EF3C65"/>
    <w:rsid w:val="00EF7916"/>
    <w:rsid w:val="00F05100"/>
    <w:rsid w:val="00F05750"/>
    <w:rsid w:val="00F07BEB"/>
    <w:rsid w:val="00F07CFD"/>
    <w:rsid w:val="00F12C16"/>
    <w:rsid w:val="00F13C58"/>
    <w:rsid w:val="00F1675E"/>
    <w:rsid w:val="00F20559"/>
    <w:rsid w:val="00F2097B"/>
    <w:rsid w:val="00F214AC"/>
    <w:rsid w:val="00F45E4B"/>
    <w:rsid w:val="00F4624E"/>
    <w:rsid w:val="00F56F31"/>
    <w:rsid w:val="00F602F8"/>
    <w:rsid w:val="00F720D4"/>
    <w:rsid w:val="00F90D1F"/>
    <w:rsid w:val="00FB257E"/>
    <w:rsid w:val="00FB4973"/>
    <w:rsid w:val="00FB5EDF"/>
    <w:rsid w:val="00FC1FD0"/>
    <w:rsid w:val="00FC29C6"/>
    <w:rsid w:val="00FC5A35"/>
    <w:rsid w:val="00FD1368"/>
    <w:rsid w:val="00FD7F98"/>
    <w:rsid w:val="00FE08C6"/>
    <w:rsid w:val="00FE39CB"/>
    <w:rsid w:val="00FE68A7"/>
    <w:rsid w:val="00FF0F97"/>
    <w:rsid w:val="00FF66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4D597"/>
  <w15:chartTrackingRefBased/>
  <w15:docId w15:val="{2FC71576-886E-41D2-BAD6-871CE73D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B6"/>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4">
    <w:name w:val="4"/>
    <w:basedOn w:val="TableNormal"/>
    <w:rsid w:val="005D3440"/>
    <w:pPr>
      <w:spacing w:after="0" w:line="240" w:lineRule="auto"/>
    </w:pPr>
    <w:rPr>
      <w:rFonts w:ascii="Calibri" w:eastAsia="Calibri" w:hAnsi="Calibri" w:cs="Calibri"/>
      <w:lang w:val="en-US"/>
    </w:rPr>
    <w:tblPr>
      <w:tblStyleRowBandSize w:val="1"/>
      <w:tblStyleColBandSize w:val="1"/>
    </w:tblPr>
  </w:style>
  <w:style w:type="table" w:customStyle="1" w:styleId="3">
    <w:name w:val="3"/>
    <w:basedOn w:val="TableNormal"/>
    <w:rsid w:val="00893C9D"/>
    <w:pPr>
      <w:spacing w:after="0" w:line="240" w:lineRule="auto"/>
    </w:pPr>
    <w:rPr>
      <w:rFonts w:ascii="Calibri" w:eastAsia="Calibri" w:hAnsi="Calibri" w:cs="Calibri"/>
      <w:lang w:val="en-US"/>
    </w:rPr>
    <w:tblPr>
      <w:tblStyleRowBandSize w:val="1"/>
      <w:tblStyleColBandSize w:val="1"/>
    </w:tblPr>
  </w:style>
  <w:style w:type="table" w:customStyle="1" w:styleId="2">
    <w:name w:val="2"/>
    <w:basedOn w:val="TableNormal"/>
    <w:rsid w:val="00893C9D"/>
    <w:pPr>
      <w:spacing w:after="0" w:line="240" w:lineRule="auto"/>
    </w:pPr>
    <w:rPr>
      <w:rFonts w:ascii="Calibri" w:eastAsia="Calibri" w:hAnsi="Calibri" w:cs="Calibri"/>
      <w:lang w:val="en-US"/>
    </w:rPr>
    <w:tblPr>
      <w:tblStyleRowBandSize w:val="1"/>
      <w:tblStyleColBandSize w:val="1"/>
    </w:tblPr>
  </w:style>
  <w:style w:type="table" w:customStyle="1" w:styleId="1">
    <w:name w:val="1"/>
    <w:basedOn w:val="TableNormal"/>
    <w:rsid w:val="00893C9D"/>
    <w:pPr>
      <w:spacing w:after="0" w:line="240" w:lineRule="auto"/>
    </w:pPr>
    <w:rPr>
      <w:rFonts w:ascii="Calibri" w:eastAsia="Calibri" w:hAnsi="Calibri" w:cs="Calibri"/>
      <w:lang w:val="en-US"/>
    </w:rPr>
    <w:tblPr>
      <w:tblStyleRowBandSize w:val="1"/>
      <w:tblStyleColBandSize w:val="1"/>
    </w:tblPr>
  </w:style>
  <w:style w:type="character" w:styleId="PlaceholderText">
    <w:name w:val="Placeholder Text"/>
    <w:basedOn w:val="DefaultParagraphFont"/>
    <w:uiPriority w:val="99"/>
    <w:semiHidden/>
    <w:rsid w:val="00835AEA"/>
    <w:rPr>
      <w:color w:val="808080"/>
    </w:rPr>
  </w:style>
  <w:style w:type="paragraph" w:styleId="NoSpacing">
    <w:name w:val="No Spacing"/>
    <w:uiPriority w:val="1"/>
    <w:qFormat/>
    <w:rsid w:val="00854864"/>
    <w:pPr>
      <w:spacing w:after="0" w:line="240" w:lineRule="auto"/>
    </w:pPr>
    <w:rPr>
      <w:kern w:val="2"/>
      <w14:ligatures w14:val="standardContextual"/>
    </w:rPr>
  </w:style>
  <w:style w:type="character" w:styleId="LineNumber">
    <w:name w:val="line number"/>
    <w:basedOn w:val="DefaultParagraphFont"/>
    <w:uiPriority w:val="99"/>
    <w:semiHidden/>
    <w:unhideWhenUsed/>
    <w:rsid w:val="00987133"/>
  </w:style>
  <w:style w:type="paragraph" w:styleId="Header">
    <w:name w:val="header"/>
    <w:basedOn w:val="Normal"/>
    <w:link w:val="HeaderChar"/>
    <w:uiPriority w:val="99"/>
    <w:unhideWhenUsed/>
    <w:rsid w:val="00FE6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8A7"/>
    <w:rPr>
      <w:rFonts w:ascii="Calibri" w:eastAsia="Calibri" w:hAnsi="Calibri" w:cs="Times New Roman"/>
    </w:rPr>
  </w:style>
  <w:style w:type="paragraph" w:styleId="Footer">
    <w:name w:val="footer"/>
    <w:basedOn w:val="Normal"/>
    <w:link w:val="FooterChar"/>
    <w:uiPriority w:val="99"/>
    <w:unhideWhenUsed/>
    <w:rsid w:val="00FE6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8A7"/>
    <w:rPr>
      <w:rFonts w:ascii="Calibri" w:eastAsia="Calibri" w:hAnsi="Calibri" w:cs="Times New Roman"/>
    </w:rPr>
  </w:style>
  <w:style w:type="paragraph" w:styleId="Revision">
    <w:name w:val="Revision"/>
    <w:hidden/>
    <w:uiPriority w:val="99"/>
    <w:semiHidden/>
    <w:rsid w:val="009F5BF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2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6EF"/>
    <w:rPr>
      <w:rFonts w:ascii="Segoe UI" w:eastAsia="Calibri" w:hAnsi="Segoe UI" w:cs="Segoe UI"/>
      <w:sz w:val="18"/>
      <w:szCs w:val="18"/>
    </w:rPr>
  </w:style>
  <w:style w:type="table" w:styleId="TableGrid">
    <w:name w:val="Table Grid"/>
    <w:basedOn w:val="TableNormal"/>
    <w:uiPriority w:val="59"/>
    <w:rsid w:val="0049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C69"/>
    <w:rPr>
      <w:sz w:val="16"/>
      <w:szCs w:val="16"/>
    </w:rPr>
  </w:style>
  <w:style w:type="paragraph" w:styleId="CommentText">
    <w:name w:val="annotation text"/>
    <w:basedOn w:val="Normal"/>
    <w:link w:val="CommentTextChar"/>
    <w:uiPriority w:val="99"/>
    <w:unhideWhenUsed/>
    <w:rsid w:val="00ED5C69"/>
    <w:pPr>
      <w:spacing w:line="240" w:lineRule="auto"/>
    </w:pPr>
    <w:rPr>
      <w:sz w:val="20"/>
      <w:szCs w:val="20"/>
    </w:rPr>
  </w:style>
  <w:style w:type="character" w:customStyle="1" w:styleId="CommentTextChar">
    <w:name w:val="Comment Text Char"/>
    <w:basedOn w:val="DefaultParagraphFont"/>
    <w:link w:val="CommentText"/>
    <w:uiPriority w:val="99"/>
    <w:rsid w:val="00ED5C6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5C69"/>
    <w:rPr>
      <w:b/>
      <w:bCs/>
    </w:rPr>
  </w:style>
  <w:style w:type="character" w:customStyle="1" w:styleId="CommentSubjectChar">
    <w:name w:val="Comment Subject Char"/>
    <w:basedOn w:val="CommentTextChar"/>
    <w:link w:val="CommentSubject"/>
    <w:uiPriority w:val="99"/>
    <w:semiHidden/>
    <w:rsid w:val="00ED5C6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75271">
      <w:bodyDiv w:val="1"/>
      <w:marLeft w:val="0"/>
      <w:marRight w:val="0"/>
      <w:marTop w:val="0"/>
      <w:marBottom w:val="0"/>
      <w:divBdr>
        <w:top w:val="none" w:sz="0" w:space="0" w:color="auto"/>
        <w:left w:val="none" w:sz="0" w:space="0" w:color="auto"/>
        <w:bottom w:val="none" w:sz="0" w:space="0" w:color="auto"/>
        <w:right w:val="none" w:sz="0" w:space="0" w:color="auto"/>
      </w:divBdr>
    </w:div>
    <w:div w:id="491683239">
      <w:bodyDiv w:val="1"/>
      <w:marLeft w:val="0"/>
      <w:marRight w:val="0"/>
      <w:marTop w:val="0"/>
      <w:marBottom w:val="0"/>
      <w:divBdr>
        <w:top w:val="none" w:sz="0" w:space="0" w:color="auto"/>
        <w:left w:val="none" w:sz="0" w:space="0" w:color="auto"/>
        <w:bottom w:val="none" w:sz="0" w:space="0" w:color="auto"/>
        <w:right w:val="none" w:sz="0" w:space="0" w:color="auto"/>
      </w:divBdr>
    </w:div>
    <w:div w:id="632954130">
      <w:bodyDiv w:val="1"/>
      <w:marLeft w:val="0"/>
      <w:marRight w:val="0"/>
      <w:marTop w:val="0"/>
      <w:marBottom w:val="0"/>
      <w:divBdr>
        <w:top w:val="none" w:sz="0" w:space="0" w:color="auto"/>
        <w:left w:val="none" w:sz="0" w:space="0" w:color="auto"/>
        <w:bottom w:val="none" w:sz="0" w:space="0" w:color="auto"/>
        <w:right w:val="none" w:sz="0" w:space="0" w:color="auto"/>
      </w:divBdr>
    </w:div>
    <w:div w:id="866067107">
      <w:bodyDiv w:val="1"/>
      <w:marLeft w:val="0"/>
      <w:marRight w:val="0"/>
      <w:marTop w:val="0"/>
      <w:marBottom w:val="0"/>
      <w:divBdr>
        <w:top w:val="none" w:sz="0" w:space="0" w:color="auto"/>
        <w:left w:val="none" w:sz="0" w:space="0" w:color="auto"/>
        <w:bottom w:val="none" w:sz="0" w:space="0" w:color="auto"/>
        <w:right w:val="none" w:sz="0" w:space="0" w:color="auto"/>
      </w:divBdr>
    </w:div>
    <w:div w:id="1077366571">
      <w:bodyDiv w:val="1"/>
      <w:marLeft w:val="0"/>
      <w:marRight w:val="0"/>
      <w:marTop w:val="0"/>
      <w:marBottom w:val="0"/>
      <w:divBdr>
        <w:top w:val="none" w:sz="0" w:space="0" w:color="auto"/>
        <w:left w:val="none" w:sz="0" w:space="0" w:color="auto"/>
        <w:bottom w:val="none" w:sz="0" w:space="0" w:color="auto"/>
        <w:right w:val="none" w:sz="0" w:space="0" w:color="auto"/>
      </w:divBdr>
    </w:div>
    <w:div w:id="1168909065">
      <w:bodyDiv w:val="1"/>
      <w:marLeft w:val="0"/>
      <w:marRight w:val="0"/>
      <w:marTop w:val="0"/>
      <w:marBottom w:val="0"/>
      <w:divBdr>
        <w:top w:val="none" w:sz="0" w:space="0" w:color="auto"/>
        <w:left w:val="none" w:sz="0" w:space="0" w:color="auto"/>
        <w:bottom w:val="none" w:sz="0" w:space="0" w:color="auto"/>
        <w:right w:val="none" w:sz="0" w:space="0" w:color="auto"/>
      </w:divBdr>
    </w:div>
    <w:div w:id="1209344731">
      <w:bodyDiv w:val="1"/>
      <w:marLeft w:val="0"/>
      <w:marRight w:val="0"/>
      <w:marTop w:val="0"/>
      <w:marBottom w:val="0"/>
      <w:divBdr>
        <w:top w:val="none" w:sz="0" w:space="0" w:color="auto"/>
        <w:left w:val="none" w:sz="0" w:space="0" w:color="auto"/>
        <w:bottom w:val="none" w:sz="0" w:space="0" w:color="auto"/>
        <w:right w:val="none" w:sz="0" w:space="0" w:color="auto"/>
      </w:divBdr>
    </w:div>
    <w:div w:id="1444182429">
      <w:bodyDiv w:val="1"/>
      <w:marLeft w:val="0"/>
      <w:marRight w:val="0"/>
      <w:marTop w:val="0"/>
      <w:marBottom w:val="0"/>
      <w:divBdr>
        <w:top w:val="none" w:sz="0" w:space="0" w:color="auto"/>
        <w:left w:val="none" w:sz="0" w:space="0" w:color="auto"/>
        <w:bottom w:val="none" w:sz="0" w:space="0" w:color="auto"/>
        <w:right w:val="none" w:sz="0" w:space="0" w:color="auto"/>
      </w:divBdr>
    </w:div>
    <w:div w:id="1505435777">
      <w:bodyDiv w:val="1"/>
      <w:marLeft w:val="0"/>
      <w:marRight w:val="0"/>
      <w:marTop w:val="0"/>
      <w:marBottom w:val="0"/>
      <w:divBdr>
        <w:top w:val="none" w:sz="0" w:space="0" w:color="auto"/>
        <w:left w:val="none" w:sz="0" w:space="0" w:color="auto"/>
        <w:bottom w:val="none" w:sz="0" w:space="0" w:color="auto"/>
        <w:right w:val="none" w:sz="0" w:space="0" w:color="auto"/>
      </w:divBdr>
    </w:div>
    <w:div w:id="190907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9BC9-5281-4A31-8E02-699CD8B5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20</Pages>
  <Words>6307</Words>
  <Characters>35951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Abhrajit</dc:creator>
  <cp:keywords/>
  <dc:description/>
  <cp:lastModifiedBy>Abhrajit</cp:lastModifiedBy>
  <cp:revision>80</cp:revision>
  <dcterms:created xsi:type="dcterms:W3CDTF">2024-03-16T11:02:00Z</dcterms:created>
  <dcterms:modified xsi:type="dcterms:W3CDTF">2025-03-12T21:12:00Z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http://www.zotero.org/styles/environmental-sciences-europe</vt:lpwstr>
  </property>
  <property fmtid="{D5CDD505-2E9C-101B-9397-08002B2CF9AE}" pid="4" name="Mendeley Unique User Id_1">
    <vt:lpwstr>dffbe88f-9863-3e61-82ba-4130eb5edd3c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http://www.zotero.org/styles/chemosphere</vt:lpwstr>
  </property>
  <property fmtid="{D5CDD505-2E9C-101B-9397-08002B2CF9AE}" pid="14" name="Mendeley Recent Style Name 4_1">
    <vt:lpwstr>Chemosphere</vt:lpwstr>
  </property>
  <property fmtid="{D5CDD505-2E9C-101B-9397-08002B2CF9AE}" pid="15" name="Mendeley Recent Style Id 5_1">
    <vt:lpwstr>http://www.zotero.org/styles/ecotoxicology-and-environmental-safety</vt:lpwstr>
  </property>
  <property fmtid="{D5CDD505-2E9C-101B-9397-08002B2CF9AE}" pid="16" name="Mendeley Recent Style Name 5_1">
    <vt:lpwstr>Ecotoxicology and Environmental Safety</vt:lpwstr>
  </property>
  <property fmtid="{D5CDD505-2E9C-101B-9397-08002B2CF9AE}" pid="17" name="Mendeley Recent Style Id 6_1">
    <vt:lpwstr>http://www.zotero.org/styles/environmental-pollution</vt:lpwstr>
  </property>
  <property fmtid="{D5CDD505-2E9C-101B-9397-08002B2CF9AE}" pid="18" name="Mendeley Recent Style Name 6_1">
    <vt:lpwstr>Environmental Pollution</vt:lpwstr>
  </property>
  <property fmtid="{D5CDD505-2E9C-101B-9397-08002B2CF9AE}" pid="19" name="Mendeley Recent Style Id 7_1">
    <vt:lpwstr>http://www.zotero.org/styles/environmental-science-processes-and-impacts</vt:lpwstr>
  </property>
  <property fmtid="{D5CDD505-2E9C-101B-9397-08002B2CF9AE}" pid="20" name="Mendeley Recent Style Name 7_1">
    <vt:lpwstr>Environmental Science: Processes &amp; Impacts</vt:lpwstr>
  </property>
  <property fmtid="{D5CDD505-2E9C-101B-9397-08002B2CF9AE}" pid="21" name="Mendeley Recent Style Id 8_1">
    <vt:lpwstr>http://www.zotero.org/styles/journal-of-environmental-chemical-engineering</vt:lpwstr>
  </property>
  <property fmtid="{D5CDD505-2E9C-101B-9397-08002B2CF9AE}" pid="22" name="Mendeley Recent Style Name 8_1">
    <vt:lpwstr>Journal of Environmental Chemical Engineering</vt:lpwstr>
  </property>
  <property fmtid="{D5CDD505-2E9C-101B-9397-08002B2CF9AE}" pid="23" name="Mendeley Recent Style Id 9_1">
    <vt:lpwstr>http://www.zotero.org/styles/journal-of-hazardous-materials</vt:lpwstr>
  </property>
  <property fmtid="{D5CDD505-2E9C-101B-9397-08002B2CF9AE}" pid="24" name="Mendeley Recent Style Name 9_1">
    <vt:lpwstr>Journal of Hazardous Materials</vt:lpwstr>
  </property>
</Properties>
</file>