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3E6E88" w14:textId="77777777" w:rsidR="00236245" w:rsidRDefault="00236245" w:rsidP="00236245">
      <w:pPr>
        <w:shd w:val="clear" w:color="auto" w:fill="FFFFFF"/>
        <w:adjustRightInd w:val="0"/>
        <w:snapToGrid w:val="0"/>
        <w:spacing w:line="480" w:lineRule="auto"/>
        <w:contextualSpacing/>
        <w:jc w:val="both"/>
        <w:rPr>
          <w:b/>
          <w:bCs/>
        </w:rPr>
      </w:pPr>
      <w:r w:rsidRPr="00BC4780">
        <w:rPr>
          <w:b/>
          <w:bCs/>
        </w:rPr>
        <w:t>Additional information</w:t>
      </w:r>
    </w:p>
    <w:p w14:paraId="70232FE5" w14:textId="77777777" w:rsidR="00236245" w:rsidRDefault="00236245" w:rsidP="00236245">
      <w:pPr>
        <w:shd w:val="clear" w:color="auto" w:fill="FFFFFF"/>
        <w:adjustRightInd w:val="0"/>
        <w:snapToGrid w:val="0"/>
        <w:spacing w:line="480" w:lineRule="auto"/>
        <w:contextualSpacing/>
        <w:jc w:val="both"/>
      </w:pPr>
      <w:r w:rsidRPr="00BC4780">
        <w:rPr>
          <w:b/>
          <w:bCs/>
        </w:rPr>
        <w:t>Extended data</w:t>
      </w:r>
      <w:r>
        <w:t xml:space="preserve"> is available for this paper at</w:t>
      </w:r>
    </w:p>
    <w:p w14:paraId="10F151E4" w14:textId="77777777" w:rsidR="00236245" w:rsidRDefault="00236245" w:rsidP="00236245">
      <w:pPr>
        <w:shd w:val="clear" w:color="auto" w:fill="FFFFFF"/>
        <w:adjustRightInd w:val="0"/>
        <w:snapToGrid w:val="0"/>
        <w:spacing w:line="480" w:lineRule="auto"/>
        <w:contextualSpacing/>
        <w:jc w:val="both"/>
      </w:pPr>
      <w:bookmarkStart w:id="0" w:name="OLE_LINK171"/>
      <w:r w:rsidRPr="00641AA4">
        <w:rPr>
          <w:b/>
          <w:bCs/>
        </w:rPr>
        <w:t>Supplementary information</w:t>
      </w:r>
    </w:p>
    <w:p w14:paraId="14DF484F" w14:textId="77777777" w:rsidR="00236245" w:rsidRDefault="00236245" w:rsidP="00236245">
      <w:pPr>
        <w:shd w:val="clear" w:color="auto" w:fill="FFFFFF"/>
        <w:adjustRightInd w:val="0"/>
        <w:snapToGrid w:val="0"/>
        <w:spacing w:line="480" w:lineRule="auto"/>
        <w:contextualSpacing/>
        <w:jc w:val="both"/>
      </w:pPr>
      <w:r w:rsidRPr="00641AA4">
        <w:t xml:space="preserve">Supplementary </w:t>
      </w:r>
      <w:r w:rsidRPr="003B7452">
        <w:t>Table</w:t>
      </w:r>
      <w:r>
        <w:t>s</w:t>
      </w:r>
      <w:r w:rsidRPr="003B7452">
        <w:t xml:space="preserve"> </w:t>
      </w:r>
      <w:r>
        <w:t>1-</w:t>
      </w:r>
      <w:r>
        <w:rPr>
          <w:rFonts w:hint="eastAsia"/>
        </w:rPr>
        <w:t>3</w:t>
      </w:r>
      <w:r>
        <w:t>, 5, 7 and 8.</w:t>
      </w:r>
      <w:bookmarkEnd w:id="0"/>
      <w:r w:rsidRPr="003B7452">
        <w:br/>
      </w:r>
      <w:bookmarkStart w:id="1" w:name="OLE_LINK163"/>
      <w:bookmarkStart w:id="2" w:name="OLE_LINK169"/>
      <w:r w:rsidRPr="00641AA4">
        <w:t xml:space="preserve">Supplementary </w:t>
      </w:r>
      <w:bookmarkEnd w:id="1"/>
      <w:r w:rsidRPr="003B7452">
        <w:t xml:space="preserve">Table </w:t>
      </w:r>
      <w:r>
        <w:t xml:space="preserve">4. </w:t>
      </w:r>
      <w:r w:rsidRPr="00E8201A">
        <w:t xml:space="preserve">Excel file containing additional data too large to fit in a </w:t>
      </w:r>
      <w:bookmarkStart w:id="3" w:name="OLE_LINK259"/>
      <w:r>
        <w:t>Word</w:t>
      </w:r>
      <w:bookmarkEnd w:id="3"/>
      <w:r w:rsidRPr="00E8201A">
        <w:t>.</w:t>
      </w:r>
    </w:p>
    <w:p w14:paraId="54E5C62E" w14:textId="77777777" w:rsidR="00236245" w:rsidRPr="003B7452" w:rsidRDefault="00236245" w:rsidP="00236245">
      <w:pPr>
        <w:shd w:val="clear" w:color="auto" w:fill="FFFFFF"/>
        <w:adjustRightInd w:val="0"/>
        <w:snapToGrid w:val="0"/>
        <w:spacing w:line="480" w:lineRule="auto"/>
        <w:contextualSpacing/>
        <w:jc w:val="both"/>
      </w:pPr>
      <w:r w:rsidRPr="00641AA4">
        <w:t xml:space="preserve">Supplementary </w:t>
      </w:r>
      <w:r w:rsidRPr="003B7452">
        <w:t xml:space="preserve">Table </w:t>
      </w:r>
      <w:r>
        <w:t>6</w:t>
      </w:r>
      <w:bookmarkEnd w:id="2"/>
      <w:r w:rsidRPr="003B7452">
        <w:t xml:space="preserve">. Excel file containing additional data too large to fit in a </w:t>
      </w:r>
      <w:r>
        <w:t>Word.</w:t>
      </w:r>
      <w:r>
        <w:br/>
      </w:r>
      <w:r w:rsidRPr="00641AA4">
        <w:t xml:space="preserve">Supplementary </w:t>
      </w:r>
      <w:r w:rsidRPr="003B7452">
        <w:t xml:space="preserve">Table </w:t>
      </w:r>
      <w:r>
        <w:t xml:space="preserve">9. </w:t>
      </w:r>
      <w:r w:rsidRPr="00E8201A">
        <w:t xml:space="preserve">The file containing additional data too large to fit in a </w:t>
      </w:r>
      <w:r>
        <w:t>Word</w:t>
      </w:r>
      <w:r w:rsidRPr="00E8201A">
        <w:t>.</w:t>
      </w:r>
      <w:r>
        <w:rPr>
          <w:b/>
          <w:bCs/>
        </w:rPr>
        <w:br/>
      </w:r>
      <w:r w:rsidRPr="00641AA4">
        <w:t xml:space="preserve">Supplementary </w:t>
      </w:r>
      <w:r w:rsidRPr="003B7452">
        <w:t xml:space="preserve">Video </w:t>
      </w:r>
      <w:r>
        <w:t>1</w:t>
      </w:r>
      <w:r w:rsidRPr="003B7452">
        <w:t xml:space="preserve">. </w:t>
      </w:r>
      <w:r>
        <w:t xml:space="preserve">Style movement of PA </w:t>
      </w:r>
      <w:r w:rsidRPr="003B7452">
        <w:t>(protandry</w:t>
      </w:r>
      <w:r>
        <w:t>) in a day</w:t>
      </w:r>
      <w:r w:rsidRPr="003B7452">
        <w:t>, related to Fig</w:t>
      </w:r>
      <w:r>
        <w:t>.</w:t>
      </w:r>
      <w:r w:rsidRPr="003B7452">
        <w:t xml:space="preserve"> </w:t>
      </w:r>
      <w:r>
        <w:t>1.</w:t>
      </w:r>
      <w:r w:rsidRPr="003B7452">
        <w:br/>
      </w:r>
      <w:r w:rsidRPr="00641AA4">
        <w:t xml:space="preserve">Supplementary </w:t>
      </w:r>
      <w:r w:rsidRPr="003B7452">
        <w:t>Video 2</w:t>
      </w:r>
      <w:r>
        <w:t>.</w:t>
      </w:r>
      <w:r w:rsidRPr="003E3019">
        <w:t xml:space="preserve"> </w:t>
      </w:r>
      <w:r>
        <w:t xml:space="preserve">Style movement of PG </w:t>
      </w:r>
      <w:r w:rsidRPr="003B7452">
        <w:t>(protogyny</w:t>
      </w:r>
      <w:r>
        <w:t>) in a day,</w:t>
      </w:r>
      <w:r w:rsidRPr="003B7452">
        <w:t xml:space="preserve"> related to Fig</w:t>
      </w:r>
      <w:r>
        <w:t>.</w:t>
      </w:r>
      <w:r w:rsidRPr="003B7452">
        <w:t xml:space="preserve"> </w:t>
      </w:r>
      <w:r>
        <w:t>1.</w:t>
      </w:r>
    </w:p>
    <w:p w14:paraId="0DF0B77E" w14:textId="77777777" w:rsidR="00236245" w:rsidRDefault="00236245" w:rsidP="00236245">
      <w:pPr>
        <w:widowControl w:val="0"/>
        <w:adjustRightInd w:val="0"/>
        <w:snapToGrid w:val="0"/>
        <w:spacing w:line="480" w:lineRule="auto"/>
        <w:contextualSpacing/>
        <w:jc w:val="both"/>
        <w:rPr>
          <w:rFonts w:eastAsia="DengXian"/>
          <w:b/>
          <w:bCs/>
          <w:kern w:val="2"/>
        </w:rPr>
      </w:pPr>
    </w:p>
    <w:p w14:paraId="66BC1C03" w14:textId="77777777" w:rsidR="00236245" w:rsidRPr="003B7452" w:rsidRDefault="00236245" w:rsidP="00236245">
      <w:pPr>
        <w:widowControl w:val="0"/>
        <w:adjustRightInd w:val="0"/>
        <w:snapToGrid w:val="0"/>
        <w:spacing w:line="480" w:lineRule="auto"/>
        <w:contextualSpacing/>
        <w:jc w:val="both"/>
        <w:rPr>
          <w:rFonts w:eastAsia="DengXian"/>
          <w:b/>
          <w:bCs/>
          <w:kern w:val="2"/>
        </w:rPr>
      </w:pPr>
      <w:r w:rsidRPr="004527F8">
        <w:rPr>
          <w:b/>
          <w:bCs/>
        </w:rPr>
        <w:t>Correspondence and requests for materials</w:t>
      </w:r>
      <w:r>
        <w:t xml:space="preserve"> should be addressed to </w:t>
      </w:r>
      <w:r>
        <w:rPr>
          <w:rFonts w:hint="eastAsia"/>
        </w:rPr>
        <w:t>Jian</w:t>
      </w:r>
      <w:r>
        <w:t>-Li Zhao.</w:t>
      </w:r>
      <w:r w:rsidRPr="003B7452">
        <w:rPr>
          <w:rFonts w:eastAsia="DengXian"/>
          <w:b/>
          <w:bCs/>
          <w:kern w:val="2"/>
        </w:rPr>
        <w:br w:type="page"/>
      </w:r>
    </w:p>
    <w:p w14:paraId="598B849E" w14:textId="77777777" w:rsidR="00236245" w:rsidRPr="000D247B" w:rsidRDefault="00236245" w:rsidP="00236245">
      <w:pPr>
        <w:widowControl w:val="0"/>
        <w:spacing w:line="360" w:lineRule="auto"/>
        <w:rPr>
          <w:b/>
        </w:rPr>
      </w:pPr>
      <w:bookmarkStart w:id="4" w:name="OLE_LINK161"/>
      <w:r w:rsidRPr="00AC32CC">
        <w:rPr>
          <w:b/>
        </w:rPr>
        <w:lastRenderedPageBreak/>
        <w:t>Extended Data</w:t>
      </w:r>
      <w:bookmarkEnd w:id="4"/>
      <w:r>
        <w:rPr>
          <w:b/>
        </w:rPr>
        <w:t xml:space="preserve"> Figure </w:t>
      </w:r>
      <w:r>
        <w:rPr>
          <w:b/>
          <w:bCs/>
        </w:rPr>
        <w:t>legends</w:t>
      </w:r>
    </w:p>
    <w:p w14:paraId="586B7FF5" w14:textId="77777777" w:rsidR="00236245" w:rsidRPr="000D247B" w:rsidRDefault="00236245" w:rsidP="00236245">
      <w:pPr>
        <w:widowControl w:val="0"/>
        <w:spacing w:line="360" w:lineRule="auto"/>
        <w:jc w:val="both"/>
        <w:rPr>
          <w:b/>
        </w:rPr>
      </w:pPr>
      <w:r w:rsidRPr="00AC32CC">
        <w:rPr>
          <w:b/>
        </w:rPr>
        <w:t>Extended Data</w:t>
      </w:r>
      <w:r w:rsidRPr="000D247B">
        <w:rPr>
          <w:b/>
        </w:rPr>
        <w:t xml:space="preserve"> Fig</w:t>
      </w:r>
      <w:r>
        <w:rPr>
          <w:b/>
        </w:rPr>
        <w:t>.</w:t>
      </w:r>
      <w:r w:rsidRPr="000D247B">
        <w:rPr>
          <w:b/>
        </w:rPr>
        <w:t xml:space="preserve"> 1</w:t>
      </w:r>
      <w:r>
        <w:rPr>
          <w:b/>
        </w:rPr>
        <w:t xml:space="preserve"> | </w:t>
      </w:r>
      <w:r w:rsidRPr="000D247B">
        <w:rPr>
          <w:b/>
        </w:rPr>
        <w:t xml:space="preserve">Style and anther </w:t>
      </w:r>
      <w:bookmarkStart w:id="5" w:name="OLE_LINK202"/>
      <w:r w:rsidRPr="000D247B">
        <w:rPr>
          <w:b/>
        </w:rPr>
        <w:t xml:space="preserve">behavior of </w:t>
      </w:r>
      <w:r w:rsidRPr="000D247B">
        <w:rPr>
          <w:b/>
          <w:i/>
        </w:rPr>
        <w:t xml:space="preserve">Alpinia </w:t>
      </w:r>
      <w:r w:rsidRPr="000D247B">
        <w:rPr>
          <w:b/>
          <w:i/>
          <w:iCs/>
        </w:rPr>
        <w:t>mutica</w:t>
      </w:r>
      <w:r w:rsidRPr="000D247B">
        <w:rPr>
          <w:b/>
        </w:rPr>
        <w:t xml:space="preserve"> flowers under natural light conditions and continuous illumination. </w:t>
      </w:r>
    </w:p>
    <w:p w14:paraId="2F18BCB0" w14:textId="77777777" w:rsidR="00236245" w:rsidRPr="000D247B" w:rsidRDefault="00236245" w:rsidP="00236245">
      <w:pPr>
        <w:widowControl w:val="0"/>
        <w:spacing w:line="360" w:lineRule="auto"/>
        <w:jc w:val="both"/>
      </w:pPr>
      <w:r w:rsidRPr="000D247B">
        <w:t xml:space="preserve">Daily flower maturation progression of the </w:t>
      </w:r>
      <w:r w:rsidRPr="000D247B">
        <w:rPr>
          <w:iCs/>
        </w:rPr>
        <w:t>PG and PA</w:t>
      </w:r>
      <w:r w:rsidRPr="000D247B">
        <w:t xml:space="preserve"> morphs </w:t>
      </w:r>
      <w:r w:rsidRPr="000D247B">
        <w:rPr>
          <w:bCs/>
        </w:rPr>
        <w:t xml:space="preserve">under natural light conditions (top) and </w:t>
      </w:r>
      <w:bookmarkEnd w:id="5"/>
      <w:r w:rsidRPr="000D247B">
        <w:t>continuous illumination</w:t>
      </w:r>
      <w:r w:rsidRPr="000D247B">
        <w:rPr>
          <w:bCs/>
        </w:rPr>
        <w:t xml:space="preserve"> (bottom)</w:t>
      </w:r>
      <w:r w:rsidRPr="000D247B">
        <w:rPr>
          <w:rFonts w:eastAsia="SimSun"/>
        </w:rPr>
        <w:t xml:space="preserve">. The small circles show </w:t>
      </w:r>
      <w:r w:rsidRPr="000D247B">
        <w:t>close-up images of the stigmas (left circles) and anthers (right circles). Images at the time of anther dehiscence and style rotation are highlighted by blue borders.</w:t>
      </w:r>
    </w:p>
    <w:p w14:paraId="630B67E1" w14:textId="77777777" w:rsidR="00236245" w:rsidRPr="000D247B" w:rsidRDefault="00236245" w:rsidP="00236245">
      <w:pPr>
        <w:spacing w:line="360" w:lineRule="auto"/>
        <w:jc w:val="both"/>
        <w:rPr>
          <w:b/>
        </w:rPr>
      </w:pPr>
    </w:p>
    <w:p w14:paraId="479D0891" w14:textId="77777777" w:rsidR="00236245" w:rsidRPr="000D247B" w:rsidRDefault="00236245" w:rsidP="00236245">
      <w:pPr>
        <w:spacing w:line="360" w:lineRule="auto"/>
        <w:jc w:val="both"/>
      </w:pPr>
      <w:r w:rsidRPr="00AC32CC">
        <w:rPr>
          <w:b/>
        </w:rPr>
        <w:t>Extended Data</w:t>
      </w:r>
      <w:r w:rsidRPr="000D247B">
        <w:rPr>
          <w:b/>
        </w:rPr>
        <w:t xml:space="preserve"> Fig</w:t>
      </w:r>
      <w:r>
        <w:rPr>
          <w:b/>
        </w:rPr>
        <w:t>.</w:t>
      </w:r>
      <w:r w:rsidRPr="000D247B">
        <w:rPr>
          <w:b/>
        </w:rPr>
        <w:t xml:space="preserve"> </w:t>
      </w:r>
      <w:r>
        <w:rPr>
          <w:b/>
        </w:rPr>
        <w:t xml:space="preserve">2 | </w:t>
      </w:r>
      <w:r w:rsidRPr="000D247B">
        <w:rPr>
          <w:b/>
        </w:rPr>
        <w:t xml:space="preserve">Genome assembly and annotation of the </w:t>
      </w:r>
      <w:r w:rsidRPr="000D247B">
        <w:rPr>
          <w:b/>
          <w:iCs/>
        </w:rPr>
        <w:t>PA and PG</w:t>
      </w:r>
      <w:r w:rsidRPr="000D247B">
        <w:rPr>
          <w:b/>
        </w:rPr>
        <w:t xml:space="preserve"> morphs in the </w:t>
      </w:r>
      <w:r w:rsidRPr="000D247B">
        <w:rPr>
          <w:b/>
          <w:i/>
        </w:rPr>
        <w:t xml:space="preserve">Alpinia mutica </w:t>
      </w:r>
      <w:r w:rsidRPr="000D247B">
        <w:rPr>
          <w:b/>
        </w:rPr>
        <w:t>genome.</w:t>
      </w:r>
      <w:r w:rsidRPr="000D247B">
        <w:t xml:space="preserve"> </w:t>
      </w:r>
    </w:p>
    <w:p w14:paraId="6E5E76BE" w14:textId="77777777" w:rsidR="00236245" w:rsidRPr="000D247B" w:rsidRDefault="00236245" w:rsidP="00236245">
      <w:pPr>
        <w:spacing w:line="360" w:lineRule="auto"/>
        <w:jc w:val="both"/>
      </w:pPr>
      <w:r>
        <w:rPr>
          <w:b/>
        </w:rPr>
        <w:t>a,</w:t>
      </w:r>
      <w:r w:rsidRPr="000D247B">
        <w:rPr>
          <w:b/>
        </w:rPr>
        <w:t xml:space="preserve"> </w:t>
      </w:r>
      <w:r w:rsidRPr="000D247B">
        <w:rPr>
          <w:bCs/>
        </w:rPr>
        <w:t>Genome survey of the PA</w:t>
      </w:r>
      <w:r w:rsidRPr="000D247B">
        <w:t xml:space="preserve"> morph based on k-mer distribution of Illumina data. The k-mer distributions were constructed on the basis of 31-mers. </w:t>
      </w:r>
      <w:r>
        <w:rPr>
          <w:b/>
          <w:bCs/>
        </w:rPr>
        <w:t>b,</w:t>
      </w:r>
      <w:r w:rsidRPr="000D247B">
        <w:rPr>
          <w:b/>
          <w:bCs/>
        </w:rPr>
        <w:t xml:space="preserve"> </w:t>
      </w:r>
      <w:r w:rsidRPr="000D247B">
        <w:t xml:space="preserve">Assembly and annotation pipeline of all sequencing data into the four haplotypes of the </w:t>
      </w:r>
      <w:bookmarkStart w:id="6" w:name="OLE_LINK131"/>
      <w:r w:rsidRPr="000D247B">
        <w:t>PA and PG morphs</w:t>
      </w:r>
      <w:bookmarkEnd w:id="6"/>
      <w:r w:rsidRPr="000D247B">
        <w:t xml:space="preserve">. Red-dashed square indicates the procedure of gene annotation. </w:t>
      </w:r>
      <w:r>
        <w:rPr>
          <w:b/>
          <w:bCs/>
        </w:rPr>
        <w:t>c,</w:t>
      </w:r>
      <w:r w:rsidRPr="000D247B">
        <w:t xml:space="preserve"> Hi-C contact map showing the 24 pseudochromosomes for the </w:t>
      </w:r>
      <w:r w:rsidRPr="000D247B">
        <w:rPr>
          <w:iCs/>
        </w:rPr>
        <w:t>PA</w:t>
      </w:r>
      <w:r w:rsidRPr="000D247B">
        <w:rPr>
          <w:i/>
        </w:rPr>
        <w:t xml:space="preserve"> </w:t>
      </w:r>
      <w:r w:rsidRPr="000D247B">
        <w:rPr>
          <w:iCs/>
        </w:rPr>
        <w:t>morph</w:t>
      </w:r>
      <w:r w:rsidRPr="000D247B">
        <w:t xml:space="preserve"> haplotype 2 (H2) genome using Hi-C reads. Numbers along diagonal line are chromosome numbers. </w:t>
      </w:r>
      <w:r>
        <w:rPr>
          <w:b/>
        </w:rPr>
        <w:t>d,</w:t>
      </w:r>
      <w:r w:rsidRPr="000D247B">
        <w:t xml:space="preserve"> Gene synteny among the four haplotypes of PA and PG morphs.</w:t>
      </w:r>
    </w:p>
    <w:p w14:paraId="38FE4F95" w14:textId="77777777" w:rsidR="00236245" w:rsidRPr="000D247B" w:rsidRDefault="00236245" w:rsidP="00236245">
      <w:pPr>
        <w:spacing w:line="360" w:lineRule="auto"/>
        <w:jc w:val="both"/>
        <w:rPr>
          <w:b/>
          <w:bCs/>
        </w:rPr>
      </w:pPr>
    </w:p>
    <w:p w14:paraId="0F3FEB03" w14:textId="77777777" w:rsidR="00236245" w:rsidRPr="000D247B" w:rsidRDefault="00236245" w:rsidP="00236245">
      <w:pPr>
        <w:spacing w:line="360" w:lineRule="auto"/>
        <w:jc w:val="both"/>
      </w:pPr>
      <w:r w:rsidRPr="00AC32CC">
        <w:rPr>
          <w:b/>
        </w:rPr>
        <w:t>Extended Data</w:t>
      </w:r>
      <w:r w:rsidRPr="000D247B">
        <w:rPr>
          <w:b/>
        </w:rPr>
        <w:t xml:space="preserve"> Fig</w:t>
      </w:r>
      <w:r>
        <w:rPr>
          <w:b/>
        </w:rPr>
        <w:t>.</w:t>
      </w:r>
      <w:r w:rsidRPr="000D247B">
        <w:rPr>
          <w:b/>
        </w:rPr>
        <w:t xml:space="preserve"> </w:t>
      </w:r>
      <w:r>
        <w:rPr>
          <w:b/>
        </w:rPr>
        <w:t xml:space="preserve">3 | </w:t>
      </w:r>
      <w:r w:rsidRPr="000D247B">
        <w:rPr>
          <w:b/>
          <w:bCs/>
        </w:rPr>
        <w:t>Expression of other genes related to the DDR.</w:t>
      </w:r>
      <w:r w:rsidRPr="000D247B">
        <w:t xml:space="preserve"> </w:t>
      </w:r>
    </w:p>
    <w:p w14:paraId="22278A70" w14:textId="77777777" w:rsidR="00236245" w:rsidRDefault="00236245" w:rsidP="00236245">
      <w:pPr>
        <w:spacing w:line="360" w:lineRule="auto"/>
        <w:jc w:val="both"/>
      </w:pPr>
      <w:r>
        <w:rPr>
          <w:b/>
          <w:bCs/>
        </w:rPr>
        <w:t>a,</w:t>
      </w:r>
      <w:r w:rsidRPr="000D247B">
        <w:t xml:space="preserve"> </w:t>
      </w:r>
      <w:bookmarkStart w:id="7" w:name="OLE_LINK532"/>
      <w:bookmarkStart w:id="8" w:name="OLE_LINK533"/>
      <w:r w:rsidRPr="000D247B">
        <w:rPr>
          <w:i/>
          <w:iCs/>
        </w:rPr>
        <w:t>Am</w:t>
      </w:r>
      <w:bookmarkEnd w:id="7"/>
      <w:bookmarkEnd w:id="8"/>
      <w:r w:rsidRPr="000D247B">
        <w:rPr>
          <w:i/>
          <w:iCs/>
        </w:rPr>
        <w:t>SMPED1</w:t>
      </w:r>
      <w:r w:rsidRPr="000D247B">
        <w:t xml:space="preserve"> expression levels in anthers and styles of </w:t>
      </w:r>
      <w:r w:rsidRPr="000D247B">
        <w:rPr>
          <w:i/>
        </w:rPr>
        <w:t xml:space="preserve">A. mutica </w:t>
      </w:r>
      <w:r w:rsidRPr="000D247B">
        <w:t xml:space="preserve">over the course of one day, as estimated by RNA-seq analysis. TPM, transcripts per million. </w:t>
      </w:r>
      <w:r>
        <w:rPr>
          <w:b/>
          <w:bCs/>
        </w:rPr>
        <w:t>b,</w:t>
      </w:r>
      <w:r w:rsidRPr="000D247B">
        <w:t xml:space="preserve"> </w:t>
      </w:r>
      <w:r w:rsidRPr="000D247B">
        <w:rPr>
          <w:i/>
          <w:iCs/>
        </w:rPr>
        <w:t>AmCOR27</w:t>
      </w:r>
      <w:r w:rsidRPr="000D247B">
        <w:t xml:space="preserve"> expression levels in anthers and styles over the course of one day. The upper panels are from RT-qPCR measurements, and the lower panels are from RNA-seq data. </w:t>
      </w:r>
      <w:r w:rsidRPr="000D247B">
        <w:rPr>
          <w:i/>
          <w:iCs/>
        </w:rPr>
        <w:t>AmCOR27</w:t>
      </w:r>
      <w:r w:rsidRPr="000D247B">
        <w:t xml:space="preserve"> was not expressed in the</w:t>
      </w:r>
      <w:r w:rsidRPr="000D247B">
        <w:rPr>
          <w:i/>
          <w:iCs/>
        </w:rPr>
        <w:t xml:space="preserve"> </w:t>
      </w:r>
      <w:r w:rsidRPr="000D247B">
        <w:t xml:space="preserve">PA morph. </w:t>
      </w:r>
      <w:r>
        <w:rPr>
          <w:b/>
          <w:bCs/>
        </w:rPr>
        <w:t>c,</w:t>
      </w:r>
      <w:r w:rsidRPr="000D247B">
        <w:t xml:space="preserve"> Expression levels of other genes in the DDR. Values are means ± standard error of the mean (SEM). The gray shading indicates the night before sunrise at the location where the plants were cultivated. </w:t>
      </w:r>
    </w:p>
    <w:p w14:paraId="61F6B4F1" w14:textId="77777777" w:rsidR="00236245" w:rsidRDefault="00236245" w:rsidP="00236245">
      <w:pPr>
        <w:spacing w:line="360" w:lineRule="auto"/>
        <w:jc w:val="both"/>
        <w:rPr>
          <w:b/>
          <w:bCs/>
        </w:rPr>
      </w:pPr>
    </w:p>
    <w:p w14:paraId="50885B9D" w14:textId="77777777" w:rsidR="00236245" w:rsidRPr="00AC32CC" w:rsidRDefault="00236245" w:rsidP="00236245">
      <w:pPr>
        <w:spacing w:line="360" w:lineRule="auto"/>
        <w:jc w:val="both"/>
      </w:pPr>
      <w:r w:rsidRPr="00AC32CC">
        <w:rPr>
          <w:b/>
        </w:rPr>
        <w:lastRenderedPageBreak/>
        <w:t>Extended Data</w:t>
      </w:r>
      <w:r w:rsidRPr="000D247B">
        <w:rPr>
          <w:b/>
        </w:rPr>
        <w:t xml:space="preserve"> Fig</w:t>
      </w:r>
      <w:r>
        <w:rPr>
          <w:b/>
        </w:rPr>
        <w:t>.</w:t>
      </w:r>
      <w:r w:rsidRPr="000D247B">
        <w:rPr>
          <w:b/>
        </w:rPr>
        <w:t xml:space="preserve"> </w:t>
      </w:r>
      <w:r>
        <w:rPr>
          <w:b/>
        </w:rPr>
        <w:t xml:space="preserve">4 | </w:t>
      </w:r>
      <w:r w:rsidRPr="000D247B">
        <w:rPr>
          <w:b/>
          <w:bCs/>
        </w:rPr>
        <w:t xml:space="preserve">Sequence of SMPED1, overexpression/knockdown of </w:t>
      </w:r>
      <w:r w:rsidRPr="000D247B">
        <w:rPr>
          <w:b/>
          <w:bCs/>
          <w:i/>
          <w:iCs/>
        </w:rPr>
        <w:t>SMPED1</w:t>
      </w:r>
      <w:r w:rsidRPr="000D247B">
        <w:rPr>
          <w:b/>
          <w:bCs/>
        </w:rPr>
        <w:t xml:space="preserve"> in </w:t>
      </w:r>
      <w:r w:rsidRPr="000D247B">
        <w:rPr>
          <w:b/>
          <w:bCs/>
          <w:i/>
          <w:iCs/>
        </w:rPr>
        <w:t>Arabidopsis thaliana</w:t>
      </w:r>
      <w:r w:rsidRPr="000D247B">
        <w:rPr>
          <w:b/>
          <w:bCs/>
        </w:rPr>
        <w:t xml:space="preserve"> and phenotypes of the transgenic plants. </w:t>
      </w:r>
    </w:p>
    <w:p w14:paraId="1A2F7C9D" w14:textId="77777777" w:rsidR="00236245" w:rsidRPr="000D247B" w:rsidRDefault="00236245" w:rsidP="00236245">
      <w:pPr>
        <w:spacing w:line="360" w:lineRule="auto"/>
        <w:jc w:val="both"/>
        <w:rPr>
          <w:b/>
          <w:bCs/>
        </w:rPr>
      </w:pPr>
      <w:r>
        <w:rPr>
          <w:b/>
          <w:bCs/>
        </w:rPr>
        <w:t>a,</w:t>
      </w:r>
      <w:r w:rsidRPr="000D247B">
        <w:t xml:space="preserve"> Sequence of AmSMPED1</w:t>
      </w:r>
      <w:r w:rsidRPr="000D247B">
        <w:rPr>
          <w:i/>
          <w:iCs/>
        </w:rPr>
        <w:t xml:space="preserve"> </w:t>
      </w:r>
      <w:r w:rsidRPr="000D247B">
        <w:t>and its two homologous proteins in</w:t>
      </w:r>
      <w:r w:rsidRPr="000D247B">
        <w:rPr>
          <w:bCs/>
          <w:i/>
          <w:iCs/>
        </w:rPr>
        <w:t xml:space="preserve"> Arabidopsis thaliana</w:t>
      </w:r>
      <w:r w:rsidRPr="000D247B">
        <w:t xml:space="preserve"> (</w:t>
      </w:r>
      <w:r w:rsidRPr="000D247B">
        <w:rPr>
          <w:iCs/>
        </w:rPr>
        <w:t>At5g67020</w:t>
      </w:r>
      <w:r w:rsidRPr="000D247B">
        <w:rPr>
          <w:i/>
        </w:rPr>
        <w:t xml:space="preserve"> </w:t>
      </w:r>
      <w:r w:rsidRPr="000D247B">
        <w:rPr>
          <w:iCs/>
        </w:rPr>
        <w:t>and At3g50340).</w:t>
      </w:r>
      <w:bookmarkStart w:id="9" w:name="OLE_LINK617"/>
      <w:bookmarkStart w:id="10" w:name="OLE_LINK618"/>
      <w:r w:rsidRPr="000D247B">
        <w:t xml:space="preserve"> </w:t>
      </w:r>
      <w:r>
        <w:rPr>
          <w:b/>
          <w:bCs/>
        </w:rPr>
        <w:t>b,</w:t>
      </w:r>
      <w:r w:rsidRPr="000D247B">
        <w:rPr>
          <w:b/>
          <w:bCs/>
        </w:rPr>
        <w:t xml:space="preserve"> </w:t>
      </w:r>
      <w:r w:rsidRPr="000D247B">
        <w:t xml:space="preserve">Confirmation of overexpression of </w:t>
      </w:r>
      <w:bookmarkStart w:id="11" w:name="OLE_LINK150"/>
      <w:r w:rsidRPr="000D247B">
        <w:rPr>
          <w:i/>
          <w:iCs/>
        </w:rPr>
        <w:t>AmSMPED1</w:t>
      </w:r>
      <w:r w:rsidRPr="000D247B">
        <w:t xml:space="preserve"> </w:t>
      </w:r>
      <w:bookmarkEnd w:id="11"/>
      <w:r w:rsidRPr="000D247B">
        <w:t>(</w:t>
      </w:r>
      <w:r w:rsidRPr="000D247B">
        <w:rPr>
          <w:i/>
          <w:iCs/>
        </w:rPr>
        <w:t>35S:AmSMPED1</w:t>
      </w:r>
      <w:r w:rsidRPr="000D247B">
        <w:t>), AtSMPED1 (</w:t>
      </w:r>
      <w:r w:rsidRPr="000D247B">
        <w:rPr>
          <w:i/>
          <w:iCs/>
        </w:rPr>
        <w:t>35S:AtSMPED1</w:t>
      </w:r>
      <w:r w:rsidRPr="000D247B">
        <w:t xml:space="preserve">), and </w:t>
      </w:r>
      <w:r w:rsidRPr="000D247B">
        <w:rPr>
          <w:i/>
          <w:iCs/>
        </w:rPr>
        <w:t>AtSMPED2</w:t>
      </w:r>
      <w:r w:rsidRPr="000D247B">
        <w:t xml:space="preserve"> (</w:t>
      </w:r>
      <w:r w:rsidRPr="000D247B">
        <w:rPr>
          <w:i/>
          <w:iCs/>
        </w:rPr>
        <w:t>35S:AtSMPED2</w:t>
      </w:r>
      <w:r w:rsidRPr="000D247B">
        <w:t xml:space="preserve">), as well as simultaneous knockdown of </w:t>
      </w:r>
      <w:r w:rsidRPr="000D247B">
        <w:rPr>
          <w:i/>
          <w:iCs/>
        </w:rPr>
        <w:t>AtSMPED1</w:t>
      </w:r>
      <w:r w:rsidRPr="000D247B">
        <w:t xml:space="preserve"> and </w:t>
      </w:r>
      <w:r w:rsidRPr="000D247B">
        <w:rPr>
          <w:i/>
          <w:iCs/>
        </w:rPr>
        <w:t>AtSMPED2</w:t>
      </w:r>
      <w:r w:rsidRPr="000D247B">
        <w:t xml:space="preserve"> (ami-</w:t>
      </w:r>
      <w:r w:rsidRPr="000D247B">
        <w:rPr>
          <w:i/>
          <w:iCs/>
        </w:rPr>
        <w:t>AtSMPED1/2</w:t>
      </w:r>
      <w:r w:rsidRPr="000D247B">
        <w:t xml:space="preserve">) in </w:t>
      </w:r>
      <w:r w:rsidRPr="000D247B">
        <w:rPr>
          <w:i/>
          <w:iCs/>
        </w:rPr>
        <w:t>A. thaliana</w:t>
      </w:r>
      <w:r w:rsidRPr="000D247B">
        <w:t xml:space="preserve">. Overexpression of </w:t>
      </w:r>
      <w:r w:rsidRPr="000D247B">
        <w:rPr>
          <w:i/>
          <w:iCs/>
        </w:rPr>
        <w:t>AmSMPED1</w:t>
      </w:r>
      <w:r w:rsidRPr="000D247B">
        <w:t xml:space="preserve"> (</w:t>
      </w:r>
      <w:r w:rsidRPr="000D247B">
        <w:rPr>
          <w:i/>
          <w:iCs/>
        </w:rPr>
        <w:t>35S:AmSMPED1</w:t>
      </w:r>
      <w:r w:rsidRPr="000D247B">
        <w:t xml:space="preserve">) was confirmed by RT-PCR. Total RNA from wild-type plants, positive controls, and transgenic lines was quantified and normalized to the same initial concentration. Full-length amplification of </w:t>
      </w:r>
      <w:r w:rsidRPr="000D247B">
        <w:rPr>
          <w:i/>
          <w:iCs/>
        </w:rPr>
        <w:t>AmSMPED1</w:t>
      </w:r>
      <w:r w:rsidRPr="000D247B">
        <w:t xml:space="preserve"> was then performed, and the results showed that, under identical starting RNA concentrations, the amplified bands from overexpression lines were significantly brighter compared to those from wild-type and positive control plants, indicating successful overexpression of </w:t>
      </w:r>
      <w:r w:rsidRPr="000D247B">
        <w:rPr>
          <w:i/>
          <w:iCs/>
        </w:rPr>
        <w:t>AmSMPED1</w:t>
      </w:r>
      <w:r w:rsidRPr="000D247B">
        <w:t xml:space="preserve"> in the transgenic lines. </w:t>
      </w:r>
      <w:r>
        <w:rPr>
          <w:b/>
          <w:bCs/>
        </w:rPr>
        <w:t>c,</w:t>
      </w:r>
      <w:r w:rsidRPr="000D247B">
        <w:rPr>
          <w:bCs/>
        </w:rPr>
        <w:t xml:space="preserve"> Representative photographs of wild-type (WT) </w:t>
      </w:r>
      <w:r w:rsidRPr="000D247B">
        <w:rPr>
          <w:bCs/>
          <w:i/>
          <w:iCs/>
        </w:rPr>
        <w:t xml:space="preserve">Arabidopsis thaliana </w:t>
      </w:r>
      <w:r w:rsidRPr="000D247B">
        <w:rPr>
          <w:bCs/>
        </w:rPr>
        <w:t xml:space="preserve">plants and lines overexpressing or knocked down for </w:t>
      </w:r>
      <w:r w:rsidRPr="000D247B">
        <w:rPr>
          <w:bCs/>
          <w:i/>
          <w:iCs/>
        </w:rPr>
        <w:t>AtSMPED1</w:t>
      </w:r>
      <w:r w:rsidRPr="000D247B">
        <w:rPr>
          <w:bCs/>
        </w:rPr>
        <w:t xml:space="preserve"> and/or </w:t>
      </w:r>
      <w:r w:rsidRPr="000D247B">
        <w:rPr>
          <w:bCs/>
          <w:i/>
          <w:iCs/>
        </w:rPr>
        <w:t xml:space="preserve">AtSMPED2 </w:t>
      </w:r>
      <w:r w:rsidRPr="000D247B">
        <w:rPr>
          <w:bCs/>
        </w:rPr>
        <w:t xml:space="preserve">or overexpressing </w:t>
      </w:r>
      <w:r w:rsidRPr="000D247B">
        <w:rPr>
          <w:bCs/>
          <w:i/>
          <w:iCs/>
        </w:rPr>
        <w:t>AmSMPED1</w:t>
      </w:r>
      <w:r w:rsidRPr="000D247B">
        <w:rPr>
          <w:bCs/>
        </w:rPr>
        <w:t xml:space="preserve">. </w:t>
      </w:r>
      <w:r w:rsidRPr="000D247B">
        <w:t xml:space="preserve">WT </w:t>
      </w:r>
      <w:bookmarkStart w:id="12" w:name="OLE_LINK611"/>
      <w:bookmarkStart w:id="13" w:name="OLE_LINK612"/>
      <w:r w:rsidRPr="000D247B">
        <w:t xml:space="preserve">is the </w:t>
      </w:r>
      <w:r w:rsidRPr="000D247B">
        <w:rPr>
          <w:i/>
          <w:iCs/>
        </w:rPr>
        <w:t>A. thaliana</w:t>
      </w:r>
      <w:r w:rsidRPr="000D247B">
        <w:t xml:space="preserve"> </w:t>
      </w:r>
      <w:bookmarkEnd w:id="12"/>
      <w:bookmarkEnd w:id="13"/>
      <w:r w:rsidRPr="000D247B">
        <w:t>Col-0 accession</w:t>
      </w:r>
      <w:r w:rsidRPr="000D247B">
        <w:rPr>
          <w:i/>
          <w:iCs/>
        </w:rPr>
        <w:t>, 35S:AtSMPED1</w:t>
      </w:r>
      <w:r w:rsidRPr="000D247B">
        <w:t xml:space="preserve"> and</w:t>
      </w:r>
      <w:r w:rsidRPr="000D247B">
        <w:rPr>
          <w:i/>
          <w:iCs/>
        </w:rPr>
        <w:t xml:space="preserve"> 35S:AmSMPED1 </w:t>
      </w:r>
      <w:r w:rsidRPr="000D247B">
        <w:t xml:space="preserve">are the transgenic </w:t>
      </w:r>
      <w:r w:rsidRPr="000D247B">
        <w:rPr>
          <w:i/>
          <w:iCs/>
        </w:rPr>
        <w:t>A. thaliana</w:t>
      </w:r>
      <w:r w:rsidRPr="000D247B">
        <w:t xml:space="preserve"> plants that overexpress </w:t>
      </w:r>
      <w:r w:rsidRPr="000D247B">
        <w:rPr>
          <w:i/>
          <w:iCs/>
        </w:rPr>
        <w:t>AtSMPED1</w:t>
      </w:r>
      <w:r w:rsidRPr="000D247B">
        <w:t xml:space="preserve"> or </w:t>
      </w:r>
      <w:r w:rsidRPr="000D247B">
        <w:rPr>
          <w:i/>
          <w:iCs/>
        </w:rPr>
        <w:t>AmSMPED1</w:t>
      </w:r>
      <w:r w:rsidRPr="000D247B">
        <w:t>,</w:t>
      </w:r>
      <w:r w:rsidRPr="000D247B">
        <w:rPr>
          <w:i/>
          <w:iCs/>
        </w:rPr>
        <w:t xml:space="preserve"> </w:t>
      </w:r>
      <w:r w:rsidRPr="000D247B">
        <w:t>respectively, and ami</w:t>
      </w:r>
      <w:r w:rsidRPr="000D247B">
        <w:rPr>
          <w:i/>
          <w:iCs/>
        </w:rPr>
        <w:t>-AtSMPED1/2</w:t>
      </w:r>
      <w:r w:rsidRPr="000D247B">
        <w:t xml:space="preserve"> is a transgenic line in which </w:t>
      </w:r>
      <w:r w:rsidRPr="000D247B">
        <w:rPr>
          <w:i/>
          <w:iCs/>
        </w:rPr>
        <w:t>AtSMPED1</w:t>
      </w:r>
      <w:r w:rsidRPr="000D247B">
        <w:t xml:space="preserve"> and </w:t>
      </w:r>
      <w:r w:rsidRPr="000D247B">
        <w:rPr>
          <w:i/>
          <w:iCs/>
        </w:rPr>
        <w:t>AtSMPED2</w:t>
      </w:r>
      <w:r w:rsidRPr="000D247B">
        <w:t xml:space="preserve"> expression levels are knocked down by artificial microRNAs.</w:t>
      </w:r>
    </w:p>
    <w:bookmarkEnd w:id="9"/>
    <w:bookmarkEnd w:id="10"/>
    <w:p w14:paraId="2ACC6010" w14:textId="77777777" w:rsidR="00236245" w:rsidRPr="000D247B" w:rsidRDefault="00236245" w:rsidP="00236245">
      <w:pPr>
        <w:spacing w:line="360" w:lineRule="auto"/>
        <w:jc w:val="both"/>
        <w:rPr>
          <w:b/>
          <w:bCs/>
        </w:rPr>
      </w:pPr>
    </w:p>
    <w:p w14:paraId="7D8E1528" w14:textId="77777777" w:rsidR="00236245" w:rsidRPr="000D247B" w:rsidRDefault="00236245" w:rsidP="00236245">
      <w:pPr>
        <w:spacing w:line="360" w:lineRule="auto"/>
        <w:jc w:val="both"/>
      </w:pPr>
      <w:r w:rsidRPr="00AC32CC">
        <w:rPr>
          <w:b/>
        </w:rPr>
        <w:t>Extended Data</w:t>
      </w:r>
      <w:r w:rsidRPr="000D247B">
        <w:rPr>
          <w:b/>
        </w:rPr>
        <w:t xml:space="preserve"> Fig</w:t>
      </w:r>
      <w:r>
        <w:rPr>
          <w:b/>
        </w:rPr>
        <w:t>.</w:t>
      </w:r>
      <w:r w:rsidRPr="000D247B">
        <w:rPr>
          <w:b/>
        </w:rPr>
        <w:t xml:space="preserve"> </w:t>
      </w:r>
      <w:r>
        <w:rPr>
          <w:b/>
        </w:rPr>
        <w:t xml:space="preserve">5 | </w:t>
      </w:r>
      <w:r w:rsidRPr="000D247B">
        <w:rPr>
          <w:b/>
          <w:bCs/>
          <w:i/>
          <w:iCs/>
        </w:rPr>
        <w:t>In situ</w:t>
      </w:r>
      <w:r w:rsidRPr="000D247B">
        <w:rPr>
          <w:b/>
          <w:bCs/>
        </w:rPr>
        <w:t xml:space="preserve"> hybridization of </w:t>
      </w:r>
      <w:r w:rsidRPr="000D247B">
        <w:rPr>
          <w:b/>
          <w:bCs/>
          <w:i/>
          <w:iCs/>
        </w:rPr>
        <w:t>AmSMPED1</w:t>
      </w:r>
      <w:r w:rsidRPr="000D247B">
        <w:rPr>
          <w:b/>
          <w:bCs/>
        </w:rPr>
        <w:t xml:space="preserve"> in cross sections of anthers and styles of </w:t>
      </w:r>
      <w:r w:rsidRPr="000D247B">
        <w:rPr>
          <w:b/>
          <w:bCs/>
          <w:i/>
          <w:iCs/>
        </w:rPr>
        <w:t>Alpinia mutica</w:t>
      </w:r>
      <w:r w:rsidRPr="000D247B">
        <w:rPr>
          <w:b/>
          <w:bCs/>
        </w:rPr>
        <w:t>.</w:t>
      </w:r>
      <w:r w:rsidRPr="000D247B">
        <w:t xml:space="preserve"> </w:t>
      </w:r>
    </w:p>
    <w:p w14:paraId="4ECEAD72" w14:textId="77777777" w:rsidR="00236245" w:rsidRPr="000D247B" w:rsidRDefault="00236245" w:rsidP="00236245">
      <w:pPr>
        <w:spacing w:line="360" w:lineRule="auto"/>
        <w:jc w:val="both"/>
      </w:pPr>
      <w:r w:rsidRPr="000D247B">
        <w:t xml:space="preserve">The precise localization of </w:t>
      </w:r>
      <w:r w:rsidRPr="000D247B">
        <w:rPr>
          <w:i/>
        </w:rPr>
        <w:t>AmSMPED1</w:t>
      </w:r>
      <w:r w:rsidRPr="000D247B">
        <w:t xml:space="preserve"> </w:t>
      </w:r>
      <w:bookmarkStart w:id="14" w:name="OLE_LINK156"/>
      <w:r w:rsidRPr="000D247B">
        <w:t xml:space="preserve">in the anthers and styles </w:t>
      </w:r>
      <w:bookmarkEnd w:id="14"/>
      <w:r w:rsidRPr="000D247B">
        <w:t xml:space="preserve">was detected via digoxigenin (DIG)-labeled locked nucleic acid (LNA) oligonucleotide probes. Positive </w:t>
      </w:r>
      <w:r w:rsidRPr="000D247B">
        <w:rPr>
          <w:i/>
        </w:rPr>
        <w:t>in situ</w:t>
      </w:r>
      <w:r w:rsidRPr="000D247B">
        <w:t xml:space="preserve"> hybridization results are characterized by deep purple signals. The </w:t>
      </w:r>
      <w:r w:rsidRPr="000D247B">
        <w:rPr>
          <w:i/>
        </w:rPr>
        <w:t>miRCURY</w:t>
      </w:r>
      <w:r w:rsidRPr="000D247B">
        <w:t xml:space="preserve"> LNA miRNA detection probe was used as a negative control. Enlarged photographs are in red-dashed square at the bottom to illustrate detail of </w:t>
      </w:r>
      <w:r w:rsidRPr="000D247B">
        <w:rPr>
          <w:i/>
          <w:iCs/>
        </w:rPr>
        <w:t>in situ</w:t>
      </w:r>
      <w:r w:rsidRPr="000D247B">
        <w:t xml:space="preserve"> hybridization. Red arrowheads indicated localization of </w:t>
      </w:r>
      <w:r w:rsidRPr="000D247B">
        <w:rPr>
          <w:i/>
        </w:rPr>
        <w:t xml:space="preserve">AmSMPED1 </w:t>
      </w:r>
      <w:r w:rsidRPr="000D247B">
        <w:t>in the anther and style.</w:t>
      </w:r>
      <w:r w:rsidRPr="000D247B">
        <w:br w:type="page"/>
      </w:r>
    </w:p>
    <w:p w14:paraId="69E0C973" w14:textId="77777777" w:rsidR="00236245" w:rsidRPr="000D247B" w:rsidRDefault="00236245" w:rsidP="00236245">
      <w:pPr>
        <w:spacing w:line="360" w:lineRule="auto"/>
        <w:jc w:val="both"/>
        <w:rPr>
          <w:b/>
        </w:rPr>
      </w:pPr>
    </w:p>
    <w:p w14:paraId="6F9D3537" w14:textId="77777777" w:rsidR="00236245" w:rsidRPr="000D247B" w:rsidRDefault="00236245" w:rsidP="00236245">
      <w:pPr>
        <w:spacing w:line="360" w:lineRule="auto"/>
        <w:jc w:val="both"/>
        <w:rPr>
          <w:b/>
        </w:rPr>
      </w:pPr>
      <w:r w:rsidRPr="00AC32CC">
        <w:rPr>
          <w:b/>
        </w:rPr>
        <w:t>Extended Data</w:t>
      </w:r>
      <w:r w:rsidRPr="000D247B">
        <w:rPr>
          <w:b/>
        </w:rPr>
        <w:t xml:space="preserve"> Fig</w:t>
      </w:r>
      <w:r>
        <w:rPr>
          <w:b/>
        </w:rPr>
        <w:t>.</w:t>
      </w:r>
      <w:r w:rsidRPr="000D247B">
        <w:rPr>
          <w:b/>
        </w:rPr>
        <w:t xml:space="preserve"> </w:t>
      </w:r>
      <w:r>
        <w:rPr>
          <w:b/>
        </w:rPr>
        <w:t xml:space="preserve">6 | </w:t>
      </w:r>
      <w:r w:rsidRPr="000D247B">
        <w:rPr>
          <w:b/>
        </w:rPr>
        <w:t xml:space="preserve">Whole-genome duplication events and phylogenetic tree of dichogamy-determining regions in ginger and related families. </w:t>
      </w:r>
    </w:p>
    <w:p w14:paraId="7D0F6328" w14:textId="77777777" w:rsidR="00236245" w:rsidRPr="000D247B" w:rsidRDefault="00236245" w:rsidP="00236245">
      <w:pPr>
        <w:spacing w:line="360" w:lineRule="auto"/>
        <w:jc w:val="both"/>
      </w:pPr>
      <w:r>
        <w:rPr>
          <w:b/>
        </w:rPr>
        <w:t>a,</w:t>
      </w:r>
      <w:r w:rsidRPr="000D247B">
        <w:rPr>
          <w:b/>
        </w:rPr>
        <w:t xml:space="preserve"> </w:t>
      </w:r>
      <w:r w:rsidRPr="000D247B">
        <w:t xml:space="preserve">Phylogenetic tree of Musaceae and Zingiberaceae species with </w:t>
      </w:r>
      <w:r w:rsidRPr="000D247B">
        <w:rPr>
          <w:i/>
        </w:rPr>
        <w:t xml:space="preserve">Oryza sativa </w:t>
      </w:r>
      <w:r w:rsidRPr="000D247B">
        <w:t xml:space="preserve">and </w:t>
      </w:r>
      <w:r w:rsidRPr="000D247B">
        <w:rPr>
          <w:i/>
        </w:rPr>
        <w:t>A. thaliana</w:t>
      </w:r>
      <w:r w:rsidRPr="000D247B">
        <w:t xml:space="preserve"> included as outgroups. The blue boxes show the divergence time frames. </w:t>
      </w:r>
      <w:r>
        <w:rPr>
          <w:b/>
        </w:rPr>
        <w:t>b,</w:t>
      </w:r>
      <w:r w:rsidRPr="000D247B">
        <w:t xml:space="preserve"> Whole-genome duplication and divergence events revealed by </w:t>
      </w:r>
      <w:r w:rsidRPr="000D247B">
        <w:rPr>
          <w:i/>
        </w:rPr>
        <w:t>Ks</w:t>
      </w:r>
      <w:r w:rsidRPr="000D247B">
        <w:t xml:space="preserve"> distribution. </w:t>
      </w:r>
      <w:r>
        <w:rPr>
          <w:b/>
        </w:rPr>
        <w:t>c,</w:t>
      </w:r>
      <w:r w:rsidRPr="000D247B">
        <w:rPr>
          <w:b/>
        </w:rPr>
        <w:t xml:space="preserve"> </w:t>
      </w:r>
      <w:r w:rsidRPr="000D247B">
        <w:t xml:space="preserve">Unrooted phylogenetic tree of DDRs in Musaceae and Zingiberaceae species revealing three distinctive types of DDRs. </w:t>
      </w:r>
    </w:p>
    <w:p w14:paraId="525BF030" w14:textId="77777777" w:rsidR="00236245" w:rsidRPr="000D247B" w:rsidRDefault="00236245" w:rsidP="00236245">
      <w:pPr>
        <w:spacing w:line="360" w:lineRule="auto"/>
        <w:jc w:val="both"/>
        <w:rPr>
          <w:b/>
        </w:rPr>
      </w:pPr>
    </w:p>
    <w:p w14:paraId="2C1A489E" w14:textId="77777777" w:rsidR="00236245" w:rsidRPr="000D247B" w:rsidRDefault="00236245" w:rsidP="00236245">
      <w:pPr>
        <w:spacing w:line="360" w:lineRule="auto"/>
        <w:jc w:val="both"/>
        <w:rPr>
          <w:b/>
          <w:bCs/>
        </w:rPr>
      </w:pPr>
      <w:r w:rsidRPr="00AC32CC">
        <w:rPr>
          <w:b/>
        </w:rPr>
        <w:t>Extended Data</w:t>
      </w:r>
      <w:r w:rsidRPr="000D247B">
        <w:rPr>
          <w:b/>
        </w:rPr>
        <w:t xml:space="preserve"> Fig</w:t>
      </w:r>
      <w:r>
        <w:rPr>
          <w:b/>
        </w:rPr>
        <w:t>.</w:t>
      </w:r>
      <w:r w:rsidRPr="000D247B">
        <w:rPr>
          <w:b/>
        </w:rPr>
        <w:t xml:space="preserve"> </w:t>
      </w:r>
      <w:r>
        <w:rPr>
          <w:b/>
        </w:rPr>
        <w:t xml:space="preserve">7 | </w:t>
      </w:r>
      <w:r w:rsidRPr="000D247B">
        <w:rPr>
          <w:b/>
          <w:bCs/>
        </w:rPr>
        <w:t xml:space="preserve">Numbers of homologous genes in </w:t>
      </w:r>
      <w:r w:rsidRPr="000D247B">
        <w:rPr>
          <w:b/>
        </w:rPr>
        <w:t>dichogamy-</w:t>
      </w:r>
      <w:bookmarkStart w:id="15" w:name="OLE_LINK105"/>
      <w:r w:rsidRPr="000D247B">
        <w:rPr>
          <w:b/>
        </w:rPr>
        <w:t xml:space="preserve">determining </w:t>
      </w:r>
      <w:bookmarkEnd w:id="15"/>
      <w:r w:rsidRPr="000D247B">
        <w:rPr>
          <w:b/>
        </w:rPr>
        <w:t>region</w:t>
      </w:r>
      <w:r w:rsidRPr="000D247B">
        <w:rPr>
          <w:b/>
          <w:bCs/>
        </w:rPr>
        <w:t xml:space="preserve">s (DDR) and their distributions in angiosperms. </w:t>
      </w:r>
    </w:p>
    <w:p w14:paraId="07608D73" w14:textId="77777777" w:rsidR="00236245" w:rsidRDefault="00236245" w:rsidP="00236245">
      <w:pPr>
        <w:spacing w:line="360" w:lineRule="auto"/>
        <w:jc w:val="both"/>
      </w:pPr>
      <w:r w:rsidRPr="000D247B">
        <w:t xml:space="preserve">Numbers on the outer ring represent numbers of homologous genes in the DDR indicated </w:t>
      </w:r>
      <w:r>
        <w:t xml:space="preserve">in </w:t>
      </w:r>
      <w:r w:rsidRPr="000D247B">
        <w:t>Fig</w:t>
      </w:r>
      <w:r>
        <w:t>.</w:t>
      </w:r>
      <w:r w:rsidRPr="000D247B">
        <w:t xml:space="preserve"> 2</w:t>
      </w:r>
      <w:r>
        <w:t>b</w:t>
      </w:r>
      <w:r w:rsidRPr="000D247B">
        <w:t>. Gene symbols (</w:t>
      </w:r>
      <w:r w:rsidRPr="000D247B">
        <w:rPr>
          <w:i/>
          <w:iCs/>
        </w:rPr>
        <w:t>COR27, SMPED1, EREBP-like, Unknown, Monothiol glutaredoxin, DNAJB12, Asn/Gln amidotransferase and LTR1</w:t>
      </w:r>
      <w:r w:rsidRPr="000D247B">
        <w:t xml:space="preserve">) are represented by lowercases a-h (legend on the upper left). Darker color indicates more numbers of genes (legend on the lower left). Different color on the middle ring represents different plant group </w:t>
      </w:r>
      <w:bookmarkStart w:id="16" w:name="OLE_LINK140"/>
      <w:r w:rsidRPr="000D247B">
        <w:t xml:space="preserve">(legend on the upper right). </w:t>
      </w:r>
      <w:bookmarkEnd w:id="16"/>
      <w:r w:rsidRPr="000D247B">
        <w:t>Dots on the node represent bootstrap values. Darker color higher bootstrap value (legend on the lower right). The bolds with underline above the legends indicate where the legend are.</w:t>
      </w:r>
    </w:p>
    <w:p w14:paraId="1E1F2329" w14:textId="77777777" w:rsidR="00236245" w:rsidRDefault="00236245" w:rsidP="00236245">
      <w:pPr>
        <w:spacing w:line="360" w:lineRule="auto"/>
        <w:jc w:val="both"/>
      </w:pPr>
      <w:bookmarkStart w:id="17" w:name="OLE_LINK157"/>
    </w:p>
    <w:bookmarkEnd w:id="17"/>
    <w:p w14:paraId="2B94A015" w14:textId="77777777" w:rsidR="00236245" w:rsidRPr="00AC32CC" w:rsidRDefault="00236245" w:rsidP="00236245">
      <w:pPr>
        <w:spacing w:line="360" w:lineRule="auto"/>
        <w:jc w:val="both"/>
      </w:pPr>
      <w:r w:rsidRPr="00AC32CC">
        <w:rPr>
          <w:b/>
        </w:rPr>
        <w:t>Extended Data</w:t>
      </w:r>
      <w:r w:rsidRPr="000D247B">
        <w:rPr>
          <w:b/>
        </w:rPr>
        <w:t xml:space="preserve"> Fig</w:t>
      </w:r>
      <w:r>
        <w:rPr>
          <w:b/>
        </w:rPr>
        <w:t>.</w:t>
      </w:r>
      <w:r w:rsidRPr="000D247B">
        <w:rPr>
          <w:b/>
        </w:rPr>
        <w:t xml:space="preserve"> </w:t>
      </w:r>
      <w:r>
        <w:rPr>
          <w:b/>
        </w:rPr>
        <w:t xml:space="preserve">8 | </w:t>
      </w:r>
      <w:r w:rsidRPr="000D247B">
        <w:rPr>
          <w:b/>
        </w:rPr>
        <w:t xml:space="preserve">Amino acids structure of AmSMPED1 </w:t>
      </w:r>
      <w:bookmarkStart w:id="18" w:name="OLE_LINK158"/>
      <w:r w:rsidRPr="000D247B">
        <w:rPr>
          <w:b/>
        </w:rPr>
        <w:t>protein</w:t>
      </w:r>
      <w:bookmarkEnd w:id="18"/>
      <w:r w:rsidRPr="000D247B">
        <w:rPr>
          <w:b/>
        </w:rPr>
        <w:t xml:space="preserve">. </w:t>
      </w:r>
    </w:p>
    <w:p w14:paraId="7FCE0457" w14:textId="77777777" w:rsidR="00236245" w:rsidRDefault="00236245" w:rsidP="00236245">
      <w:pPr>
        <w:spacing w:line="360" w:lineRule="auto"/>
        <w:jc w:val="both"/>
      </w:pPr>
      <w:r>
        <w:rPr>
          <w:b/>
        </w:rPr>
        <w:t>a,</w:t>
      </w:r>
      <w:r w:rsidRPr="000D247B">
        <w:rPr>
          <w:bCs/>
        </w:rPr>
        <w:t xml:space="preserve"> Predicted functional motifs and structural domains of AmSMPED1</w:t>
      </w:r>
      <w:r w:rsidRPr="000D247B">
        <w:rPr>
          <w:rFonts w:eastAsia="SimSun"/>
          <w:bCs/>
        </w:rPr>
        <w:t>.</w:t>
      </w:r>
      <w:r w:rsidRPr="000D247B">
        <w:rPr>
          <w:b/>
        </w:rPr>
        <w:t xml:space="preserve"> </w:t>
      </w:r>
      <w:r>
        <w:rPr>
          <w:b/>
        </w:rPr>
        <w:t>b,</w:t>
      </w:r>
      <w:r w:rsidRPr="000D247B">
        <w:rPr>
          <w:rFonts w:eastAsia="SimSun"/>
          <w:bCs/>
        </w:rPr>
        <w:t xml:space="preserve"> </w:t>
      </w:r>
      <w:r w:rsidRPr="000D247B">
        <w:rPr>
          <w:bCs/>
        </w:rPr>
        <w:t xml:space="preserve">Average percentage sequence identity of SMPEDs across the angiosperms, using the whole protein or only the motifs as queries. </w:t>
      </w:r>
      <w:bookmarkStart w:id="19" w:name="OLE_LINK75"/>
      <w:bookmarkStart w:id="20" w:name="OLE_LINK74"/>
      <w:r w:rsidRPr="000D247B">
        <w:rPr>
          <w:bCs/>
        </w:rPr>
        <w:t xml:space="preserve">***, </w:t>
      </w:r>
      <w:r w:rsidRPr="000D247B">
        <w:rPr>
          <w:i/>
          <w:iCs/>
        </w:rPr>
        <w:t>P</w:t>
      </w:r>
      <w:r w:rsidRPr="000D247B">
        <w:t xml:space="preserve"> &lt; 0.01 based on t-test. </w:t>
      </w:r>
    </w:p>
    <w:p w14:paraId="1D897F15" w14:textId="77777777" w:rsidR="00236245" w:rsidRDefault="00236245" w:rsidP="00236245">
      <w:pPr>
        <w:spacing w:line="360" w:lineRule="auto"/>
        <w:jc w:val="both"/>
      </w:pPr>
    </w:p>
    <w:p w14:paraId="3EDD1DAC" w14:textId="77777777" w:rsidR="00236245" w:rsidRPr="00AC32CC" w:rsidRDefault="00236245" w:rsidP="00236245">
      <w:pPr>
        <w:spacing w:line="360" w:lineRule="auto"/>
        <w:jc w:val="both"/>
      </w:pPr>
      <w:r w:rsidRPr="00AC32CC">
        <w:rPr>
          <w:b/>
        </w:rPr>
        <w:t>Extended Data</w:t>
      </w:r>
      <w:r w:rsidRPr="000D247B">
        <w:rPr>
          <w:b/>
        </w:rPr>
        <w:t xml:space="preserve"> Fig</w:t>
      </w:r>
      <w:r>
        <w:rPr>
          <w:b/>
        </w:rPr>
        <w:t>.</w:t>
      </w:r>
      <w:r w:rsidRPr="000D247B">
        <w:rPr>
          <w:b/>
        </w:rPr>
        <w:t xml:space="preserve"> </w:t>
      </w:r>
      <w:r>
        <w:rPr>
          <w:b/>
        </w:rPr>
        <w:t xml:space="preserve">9 | </w:t>
      </w:r>
      <w:r w:rsidRPr="000D247B">
        <w:rPr>
          <w:b/>
        </w:rPr>
        <w:t>Protein</w:t>
      </w:r>
      <w:r w:rsidRPr="000D247B">
        <w:rPr>
          <w:bCs/>
        </w:rPr>
        <w:t xml:space="preserve"> </w:t>
      </w:r>
      <w:r w:rsidRPr="000D247B">
        <w:rPr>
          <w:b/>
        </w:rPr>
        <w:t>structures of SMPEDs across angiosperms.</w:t>
      </w:r>
    </w:p>
    <w:bookmarkEnd w:id="19"/>
    <w:bookmarkEnd w:id="20"/>
    <w:p w14:paraId="43C82F8B" w14:textId="77777777" w:rsidR="00236245" w:rsidRPr="000D247B" w:rsidRDefault="00236245" w:rsidP="00236245">
      <w:pPr>
        <w:spacing w:line="360" w:lineRule="auto"/>
        <w:jc w:val="both"/>
        <w:rPr>
          <w:bCs/>
        </w:rPr>
      </w:pPr>
      <w:r>
        <w:rPr>
          <w:b/>
        </w:rPr>
        <w:t>a,</w:t>
      </w:r>
      <w:r w:rsidRPr="000D247B">
        <w:rPr>
          <w:bCs/>
        </w:rPr>
        <w:t xml:space="preserve"> Predicted structures of AmSMPED1 (left) and SMPEDs in</w:t>
      </w:r>
      <w:bookmarkStart w:id="21" w:name="OLE_LINK1"/>
      <w:r w:rsidRPr="000D247B">
        <w:rPr>
          <w:bCs/>
        </w:rPr>
        <w:t xml:space="preserve"> angiosperms (right). The colored regions are conserved across angiosperms. </w:t>
      </w:r>
      <w:r>
        <w:rPr>
          <w:b/>
        </w:rPr>
        <w:t>b,</w:t>
      </w:r>
      <w:r w:rsidRPr="000D247B">
        <w:t xml:space="preserve"> Sequence coverage of the AmSMPED1 sequence at different locations in the Alphafold2 database. </w:t>
      </w:r>
      <w:r>
        <w:rPr>
          <w:b/>
        </w:rPr>
        <w:t>c,</w:t>
      </w:r>
      <w:r w:rsidRPr="000D247B">
        <w:t xml:space="preserve"> A PEA (predicted aligned error) plot representing the error </w:t>
      </w:r>
      <w:bookmarkEnd w:id="21"/>
      <w:r w:rsidRPr="000D247B">
        <w:t xml:space="preserve">alignment rate of each amino acid residue. Each square on the PAE plot </w:t>
      </w:r>
      <w:r w:rsidRPr="000D247B">
        <w:lastRenderedPageBreak/>
        <w:t xml:space="preserve">represents an amino acid residue, and the color of the square indicates the size of the prediction error, and the darker the color indicates the larger the error. The blue region represents a lower error alignment rate and a higher confidence. </w:t>
      </w:r>
      <w:r>
        <w:rPr>
          <w:b/>
          <w:bCs/>
        </w:rPr>
        <w:t>d,</w:t>
      </w:r>
      <w:r w:rsidRPr="000D247B">
        <w:t xml:space="preserve"> pIDDT distribution map of each output model. A higher pIDDT represents higher confidence in the amino acid structure.</w:t>
      </w:r>
    </w:p>
    <w:p w14:paraId="71D4BC16" w14:textId="77777777" w:rsidR="00236245" w:rsidRPr="007C3EC9" w:rsidRDefault="00236245" w:rsidP="00236245">
      <w:pPr>
        <w:spacing w:line="360" w:lineRule="auto"/>
        <w:jc w:val="both"/>
        <w:rPr>
          <w:rFonts w:eastAsia="SimSun"/>
          <w:bCs/>
        </w:rPr>
      </w:pPr>
    </w:p>
    <w:p w14:paraId="33380A35" w14:textId="77777777" w:rsidR="00DE6AE2" w:rsidRDefault="00DE6AE2"/>
    <w:sectPr w:rsidR="00DE6AE2" w:rsidSect="00236245">
      <w:footerReference w:type="even" r:id="rId4"/>
      <w:footerReference w:type="default" r:id="rId5"/>
      <w:pgSz w:w="11906" w:h="16838"/>
      <w:pgMar w:top="1440" w:right="1440" w:bottom="1440" w:left="1440" w:header="851" w:footer="992" w:gutter="0"/>
      <w:lnNumType w:countBy="1" w:restart="continuous"/>
      <w:cols w:space="425"/>
      <w:docGrid w:type="lines"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409AF8" w14:textId="77777777" w:rsidR="00000000" w:rsidRDefault="00000000">
    <w:pPr>
      <w:framePr w:wrap="auto" w:vAnchor="text" w:hAnchor="margin" w:xAlign="right" w:y="1"/>
      <w:rPr>
        <w:rStyle w:val="apple-converted-space"/>
      </w:rPr>
    </w:pPr>
    <w:r>
      <w:rPr>
        <w:rStyle w:val="apple-converted-space"/>
      </w:rPr>
      <w:fldChar w:fldCharType="begin"/>
    </w:r>
    <w:r>
      <w:rPr>
        <w:rStyle w:val="apple-converted-space"/>
      </w:rPr>
      <w:instrText xml:space="preserve"> PAGE</w:instrText>
    </w:r>
    <w:r>
      <w:rPr>
        <w:rStyle w:val="apple-converted-space"/>
      </w:rPr>
      <w:fldChar w:fldCharType="end"/>
    </w:r>
  </w:p>
  <w:p w14:paraId="0E85E30E" w14:textId="77777777" w:rsidR="00000000" w:rsidRDefault="00000000">
    <w:pP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4DC14" w14:textId="77777777" w:rsidR="00000000" w:rsidRDefault="00000000">
    <w:pPr>
      <w:framePr w:wrap="auto" w:vAnchor="text" w:hAnchor="margin" w:xAlign="right" w:y="1"/>
      <w:rPr>
        <w:rStyle w:val="apple-converted-space"/>
      </w:rPr>
    </w:pPr>
    <w:r>
      <w:rPr>
        <w:rStyle w:val="apple-converted-space"/>
      </w:rPr>
      <w:fldChar w:fldCharType="begin"/>
    </w:r>
    <w:r>
      <w:rPr>
        <w:rStyle w:val="apple-converted-space"/>
      </w:rPr>
      <w:instrText xml:space="preserve"> PAGE </w:instrText>
    </w:r>
    <w:r>
      <w:rPr>
        <w:rStyle w:val="apple-converted-space"/>
      </w:rPr>
      <w:fldChar w:fldCharType="separate"/>
    </w:r>
    <w:r>
      <w:rPr>
        <w:rStyle w:val="apple-converted-space"/>
      </w:rPr>
      <w:t>1</w:t>
    </w:r>
    <w:r>
      <w:rPr>
        <w:rStyle w:val="apple-converted-space"/>
      </w:rPr>
      <w:fldChar w:fldCharType="end"/>
    </w:r>
  </w:p>
  <w:p w14:paraId="6FCBCE2B" w14:textId="77777777" w:rsidR="00000000" w:rsidRDefault="00000000">
    <w:pPr>
      <w:ind w:right="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245"/>
    <w:rsid w:val="00236245"/>
    <w:rsid w:val="00A3738C"/>
    <w:rsid w:val="00B212AC"/>
    <w:rsid w:val="00DE6A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F71D90"/>
  <w15:chartTrackingRefBased/>
  <w15:docId w15:val="{5D36009B-F5F5-42C4-9F07-6E308BC354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6245"/>
    <w:pPr>
      <w:spacing w:after="0" w:line="240" w:lineRule="auto"/>
    </w:pPr>
    <w:rPr>
      <w:rFonts w:ascii="Times New Roman" w:eastAsia="Times New Roman" w:hAnsi="Times New Roman" w:cs="Times New Roman"/>
      <w:kern w:val="0"/>
      <w:sz w:val="24"/>
      <w:szCs w:val="24"/>
      <w:lang w:eastAsia="zh-CN"/>
      <w14:ligatures w14:val="none"/>
    </w:rPr>
  </w:style>
  <w:style w:type="paragraph" w:styleId="Heading1">
    <w:name w:val="heading 1"/>
    <w:basedOn w:val="Normal"/>
    <w:next w:val="Normal"/>
    <w:link w:val="Heading1Char"/>
    <w:uiPriority w:val="9"/>
    <w:qFormat/>
    <w:rsid w:val="00236245"/>
    <w:pPr>
      <w:keepNext/>
      <w:keepLines/>
      <w:spacing w:before="360" w:after="80" w:line="259"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236245"/>
    <w:pPr>
      <w:keepNext/>
      <w:keepLines/>
      <w:spacing w:before="160" w:after="80" w:line="259"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236245"/>
    <w:pPr>
      <w:keepNext/>
      <w:keepLines/>
      <w:spacing w:before="160" w:after="80" w:line="259"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236245"/>
    <w:pPr>
      <w:keepNext/>
      <w:keepLines/>
      <w:spacing w:before="80" w:after="40" w:line="259" w:lineRule="auto"/>
      <w:outlineLvl w:val="3"/>
    </w:pPr>
    <w:rPr>
      <w:rFonts w:asciiTheme="minorHAnsi" w:eastAsiaTheme="majorEastAsia" w:hAnsiTheme="minorHAnsi" w:cstheme="majorBidi"/>
      <w:i/>
      <w:iCs/>
      <w:color w:val="0F4761" w:themeColor="accent1" w:themeShade="BF"/>
      <w:kern w:val="2"/>
      <w:sz w:val="22"/>
      <w:szCs w:val="22"/>
      <w:lang w:eastAsia="en-US"/>
      <w14:ligatures w14:val="standardContextual"/>
    </w:rPr>
  </w:style>
  <w:style w:type="paragraph" w:styleId="Heading5">
    <w:name w:val="heading 5"/>
    <w:basedOn w:val="Normal"/>
    <w:next w:val="Normal"/>
    <w:link w:val="Heading5Char"/>
    <w:uiPriority w:val="9"/>
    <w:semiHidden/>
    <w:unhideWhenUsed/>
    <w:qFormat/>
    <w:rsid w:val="00236245"/>
    <w:pPr>
      <w:keepNext/>
      <w:keepLines/>
      <w:spacing w:before="80" w:after="40" w:line="259" w:lineRule="auto"/>
      <w:outlineLvl w:val="4"/>
    </w:pPr>
    <w:rPr>
      <w:rFonts w:asciiTheme="minorHAnsi" w:eastAsiaTheme="majorEastAsia" w:hAnsiTheme="minorHAnsi" w:cstheme="majorBidi"/>
      <w:color w:val="0F4761" w:themeColor="accent1" w:themeShade="BF"/>
      <w:kern w:val="2"/>
      <w:sz w:val="22"/>
      <w:szCs w:val="22"/>
      <w:lang w:eastAsia="en-US"/>
      <w14:ligatures w14:val="standardContextual"/>
    </w:rPr>
  </w:style>
  <w:style w:type="paragraph" w:styleId="Heading6">
    <w:name w:val="heading 6"/>
    <w:basedOn w:val="Normal"/>
    <w:next w:val="Normal"/>
    <w:link w:val="Heading6Char"/>
    <w:uiPriority w:val="9"/>
    <w:semiHidden/>
    <w:unhideWhenUsed/>
    <w:qFormat/>
    <w:rsid w:val="00236245"/>
    <w:pPr>
      <w:keepNext/>
      <w:keepLines/>
      <w:spacing w:before="40" w:line="259" w:lineRule="auto"/>
      <w:outlineLvl w:val="5"/>
    </w:pPr>
    <w:rPr>
      <w:rFonts w:asciiTheme="minorHAnsi" w:eastAsiaTheme="majorEastAsia" w:hAnsiTheme="minorHAnsi" w:cstheme="majorBidi"/>
      <w:i/>
      <w:iCs/>
      <w:color w:val="595959" w:themeColor="text1" w:themeTint="A6"/>
      <w:kern w:val="2"/>
      <w:sz w:val="22"/>
      <w:szCs w:val="22"/>
      <w:lang w:eastAsia="en-US"/>
      <w14:ligatures w14:val="standardContextual"/>
    </w:rPr>
  </w:style>
  <w:style w:type="paragraph" w:styleId="Heading7">
    <w:name w:val="heading 7"/>
    <w:basedOn w:val="Normal"/>
    <w:next w:val="Normal"/>
    <w:link w:val="Heading7Char"/>
    <w:uiPriority w:val="9"/>
    <w:semiHidden/>
    <w:unhideWhenUsed/>
    <w:qFormat/>
    <w:rsid w:val="00236245"/>
    <w:pPr>
      <w:keepNext/>
      <w:keepLines/>
      <w:spacing w:before="40" w:line="259" w:lineRule="auto"/>
      <w:outlineLvl w:val="6"/>
    </w:pPr>
    <w:rPr>
      <w:rFonts w:asciiTheme="minorHAnsi" w:eastAsiaTheme="majorEastAsia" w:hAnsiTheme="minorHAnsi" w:cstheme="majorBidi"/>
      <w:color w:val="595959" w:themeColor="text1" w:themeTint="A6"/>
      <w:kern w:val="2"/>
      <w:sz w:val="22"/>
      <w:szCs w:val="22"/>
      <w:lang w:eastAsia="en-US"/>
      <w14:ligatures w14:val="standardContextual"/>
    </w:rPr>
  </w:style>
  <w:style w:type="paragraph" w:styleId="Heading8">
    <w:name w:val="heading 8"/>
    <w:basedOn w:val="Normal"/>
    <w:next w:val="Normal"/>
    <w:link w:val="Heading8Char"/>
    <w:uiPriority w:val="9"/>
    <w:semiHidden/>
    <w:unhideWhenUsed/>
    <w:qFormat/>
    <w:rsid w:val="00236245"/>
    <w:pPr>
      <w:keepNext/>
      <w:keepLines/>
      <w:spacing w:line="259" w:lineRule="auto"/>
      <w:outlineLvl w:val="7"/>
    </w:pPr>
    <w:rPr>
      <w:rFonts w:asciiTheme="minorHAnsi" w:eastAsiaTheme="majorEastAsia" w:hAnsiTheme="minorHAnsi" w:cstheme="majorBidi"/>
      <w:i/>
      <w:iCs/>
      <w:color w:val="272727" w:themeColor="text1" w:themeTint="D8"/>
      <w:kern w:val="2"/>
      <w:sz w:val="22"/>
      <w:szCs w:val="22"/>
      <w:lang w:eastAsia="en-US"/>
      <w14:ligatures w14:val="standardContextual"/>
    </w:rPr>
  </w:style>
  <w:style w:type="paragraph" w:styleId="Heading9">
    <w:name w:val="heading 9"/>
    <w:basedOn w:val="Normal"/>
    <w:next w:val="Normal"/>
    <w:link w:val="Heading9Char"/>
    <w:uiPriority w:val="9"/>
    <w:semiHidden/>
    <w:unhideWhenUsed/>
    <w:qFormat/>
    <w:rsid w:val="00236245"/>
    <w:pPr>
      <w:keepNext/>
      <w:keepLines/>
      <w:spacing w:line="259" w:lineRule="auto"/>
      <w:outlineLvl w:val="8"/>
    </w:pPr>
    <w:rPr>
      <w:rFonts w:asciiTheme="minorHAnsi" w:eastAsiaTheme="majorEastAsia" w:hAnsiTheme="minorHAnsi" w:cstheme="majorBidi"/>
      <w:color w:val="272727" w:themeColor="text1" w:themeTint="D8"/>
      <w:kern w:val="2"/>
      <w:sz w:val="22"/>
      <w:szCs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3624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3624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3624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3624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3624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3624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3624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3624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36245"/>
    <w:rPr>
      <w:rFonts w:eastAsiaTheme="majorEastAsia" w:cstheme="majorBidi"/>
      <w:color w:val="272727" w:themeColor="text1" w:themeTint="D8"/>
    </w:rPr>
  </w:style>
  <w:style w:type="paragraph" w:styleId="Title">
    <w:name w:val="Title"/>
    <w:basedOn w:val="Normal"/>
    <w:next w:val="Normal"/>
    <w:link w:val="TitleChar"/>
    <w:uiPriority w:val="10"/>
    <w:qFormat/>
    <w:rsid w:val="00236245"/>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23624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36245"/>
    <w:pPr>
      <w:numPr>
        <w:ilvl w:val="1"/>
      </w:numPr>
      <w:spacing w:after="160" w:line="259"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23624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36245"/>
    <w:pPr>
      <w:spacing w:before="160" w:after="160" w:line="259" w:lineRule="auto"/>
      <w:jc w:val="center"/>
    </w:pPr>
    <w:rPr>
      <w:rFonts w:asciiTheme="minorHAnsi" w:eastAsiaTheme="minorHAnsi" w:hAnsiTheme="minorHAnsi" w:cstheme="minorBidi"/>
      <w:i/>
      <w:iCs/>
      <w:color w:val="404040" w:themeColor="text1" w:themeTint="BF"/>
      <w:kern w:val="2"/>
      <w:sz w:val="22"/>
      <w:szCs w:val="22"/>
      <w:lang w:eastAsia="en-US"/>
      <w14:ligatures w14:val="standardContextual"/>
    </w:rPr>
  </w:style>
  <w:style w:type="character" w:customStyle="1" w:styleId="QuoteChar">
    <w:name w:val="Quote Char"/>
    <w:basedOn w:val="DefaultParagraphFont"/>
    <w:link w:val="Quote"/>
    <w:uiPriority w:val="29"/>
    <w:rsid w:val="00236245"/>
    <w:rPr>
      <w:i/>
      <w:iCs/>
      <w:color w:val="404040" w:themeColor="text1" w:themeTint="BF"/>
    </w:rPr>
  </w:style>
  <w:style w:type="paragraph" w:styleId="ListParagraph">
    <w:name w:val="List Paragraph"/>
    <w:basedOn w:val="Normal"/>
    <w:uiPriority w:val="34"/>
    <w:qFormat/>
    <w:rsid w:val="00236245"/>
    <w:pPr>
      <w:spacing w:after="160" w:line="259" w:lineRule="auto"/>
      <w:ind w:left="720"/>
      <w:contextualSpacing/>
    </w:pPr>
    <w:rPr>
      <w:rFonts w:asciiTheme="minorHAnsi" w:eastAsiaTheme="minorHAnsi" w:hAnsiTheme="minorHAnsi" w:cstheme="minorBidi"/>
      <w:kern w:val="2"/>
      <w:sz w:val="22"/>
      <w:szCs w:val="22"/>
      <w:lang w:eastAsia="en-US"/>
      <w14:ligatures w14:val="standardContextual"/>
    </w:rPr>
  </w:style>
  <w:style w:type="character" w:styleId="IntenseEmphasis">
    <w:name w:val="Intense Emphasis"/>
    <w:basedOn w:val="DefaultParagraphFont"/>
    <w:uiPriority w:val="21"/>
    <w:qFormat/>
    <w:rsid w:val="00236245"/>
    <w:rPr>
      <w:i/>
      <w:iCs/>
      <w:color w:val="0F4761" w:themeColor="accent1" w:themeShade="BF"/>
    </w:rPr>
  </w:style>
  <w:style w:type="paragraph" w:styleId="IntenseQuote">
    <w:name w:val="Intense Quote"/>
    <w:basedOn w:val="Normal"/>
    <w:next w:val="Normal"/>
    <w:link w:val="IntenseQuoteChar"/>
    <w:uiPriority w:val="30"/>
    <w:qFormat/>
    <w:rsid w:val="00236245"/>
    <w:pPr>
      <w:pBdr>
        <w:top w:val="single" w:sz="4" w:space="10" w:color="0F4761" w:themeColor="accent1" w:themeShade="BF"/>
        <w:bottom w:val="single" w:sz="4" w:space="10" w:color="0F4761" w:themeColor="accent1" w:themeShade="BF"/>
      </w:pBdr>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lang w:eastAsia="en-US"/>
      <w14:ligatures w14:val="standardContextual"/>
    </w:rPr>
  </w:style>
  <w:style w:type="character" w:customStyle="1" w:styleId="IntenseQuoteChar">
    <w:name w:val="Intense Quote Char"/>
    <w:basedOn w:val="DefaultParagraphFont"/>
    <w:link w:val="IntenseQuote"/>
    <w:uiPriority w:val="30"/>
    <w:rsid w:val="00236245"/>
    <w:rPr>
      <w:i/>
      <w:iCs/>
      <w:color w:val="0F4761" w:themeColor="accent1" w:themeShade="BF"/>
    </w:rPr>
  </w:style>
  <w:style w:type="character" w:styleId="IntenseReference">
    <w:name w:val="Intense Reference"/>
    <w:basedOn w:val="DefaultParagraphFont"/>
    <w:uiPriority w:val="32"/>
    <w:qFormat/>
    <w:rsid w:val="00236245"/>
    <w:rPr>
      <w:b/>
      <w:bCs/>
      <w:smallCaps/>
      <w:color w:val="0F4761" w:themeColor="accent1" w:themeShade="BF"/>
      <w:spacing w:val="5"/>
    </w:rPr>
  </w:style>
  <w:style w:type="character" w:customStyle="1" w:styleId="apple-converted-space">
    <w:name w:val="apple-converted-space"/>
    <w:basedOn w:val="DefaultParagraphFont"/>
    <w:qFormat/>
    <w:rsid w:val="00236245"/>
  </w:style>
  <w:style w:type="character" w:styleId="LineNumber">
    <w:name w:val="line number"/>
    <w:basedOn w:val="DefaultParagraphFont"/>
    <w:uiPriority w:val="99"/>
    <w:semiHidden/>
    <w:unhideWhenUsed/>
    <w:rsid w:val="002362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footer" Target="footer2.xml"/><Relationship Id="rId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5</Pages>
  <Words>1027</Words>
  <Characters>5859</Characters>
  <Application>Microsoft Office Word</Application>
  <DocSecurity>0</DocSecurity>
  <Lines>48</Lines>
  <Paragraphs>13</Paragraphs>
  <ScaleCrop>false</ScaleCrop>
  <Company>Springer Nature</Company>
  <LinksUpToDate>false</LinksUpToDate>
  <CharactersWithSpaces>6873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2025-02-13T09:56:00Z</dcterms:created>
  <dcterms:modified xsi:type="dcterms:W3CDTF">2025-02-13T09:58:00Z</dcterms:modified>
</cp:coreProperties>
</file>