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C6E7B" w14:textId="77777777" w:rsidR="00771F17" w:rsidRDefault="00771F17" w:rsidP="00771F17">
      <w:pPr>
        <w:pStyle w:val="Paragraph"/>
        <w:spacing w:before="0" w:line="360" w:lineRule="auto"/>
        <w:ind w:firstLine="0"/>
        <w:jc w:val="both"/>
        <w:rPr>
          <w:lang w:eastAsia="zh-CN"/>
        </w:rPr>
      </w:pPr>
    </w:p>
    <w:p w14:paraId="1A77298C" w14:textId="77777777" w:rsidR="00771F17" w:rsidRDefault="00771F17" w:rsidP="00771F17">
      <w:pPr>
        <w:pStyle w:val="Paragraph"/>
        <w:spacing w:before="0" w:line="360" w:lineRule="auto"/>
        <w:ind w:firstLine="0"/>
        <w:jc w:val="both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114300" distR="114300" wp14:anchorId="19AAB4C8" wp14:editId="44E61142">
            <wp:extent cx="5266690" cy="2757170"/>
            <wp:effectExtent l="0" t="0" r="0" b="0"/>
            <wp:docPr id="1" name="图片 1" descr="Supplementary Figure1.ppt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1.pptx"/>
                    <pic:cNvPicPr>
                      <a:picLocks noChangeAspect="1"/>
                    </pic:cNvPicPr>
                  </pic:nvPicPr>
                  <pic:blipFill>
                    <a:blip r:embed="rId4"/>
                    <a:srcRect t="4972" b="197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19090" w14:textId="77777777" w:rsidR="00771F17" w:rsidRDefault="00771F17" w:rsidP="00771F17">
      <w:pPr>
        <w:spacing w:line="360" w:lineRule="auto"/>
        <w:rPr>
          <w:rFonts w:ascii="Times New Roman" w:hAnsi="Times New Roman"/>
          <w:color w:val="0000FF"/>
          <w:sz w:val="24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t>Fig</w:t>
      </w:r>
      <w:r>
        <w:rPr>
          <w:rFonts w:ascii="Times New Roman" w:hAnsi="Times New Roman" w:hint="eastAsia"/>
          <w:b/>
          <w:bCs/>
          <w:color w:val="C00000"/>
          <w:sz w:val="24"/>
          <w:szCs w:val="32"/>
        </w:rPr>
        <w:t>ure</w:t>
      </w:r>
      <w:r>
        <w:rPr>
          <w:rFonts w:ascii="Times New Roman" w:hAnsi="Times New Roman" w:hint="eastAsia"/>
          <w:b/>
          <w:bCs/>
          <w:sz w:val="24"/>
          <w:szCs w:val="32"/>
        </w:rPr>
        <w:t xml:space="preserve"> S1. The proproliferation and anti-senescence effects of PBMCs and PBLs were analyzed in the coculture system.</w:t>
      </w:r>
      <w:r>
        <w:rPr>
          <w:rFonts w:ascii="Times New Roman" w:hAnsi="Times New Roman" w:hint="eastAsia"/>
          <w:sz w:val="24"/>
          <w:szCs w:val="32"/>
        </w:rPr>
        <w:t xml:space="preserve"> (A) 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PBMCs from donors of different ages </w:t>
      </w:r>
      <w:r>
        <w:rPr>
          <w:rFonts w:ascii="Times New Roman" w:hAnsi="Times New Roman" w:hint="eastAsia"/>
          <w:color w:val="000000"/>
          <w:kern w:val="0"/>
          <w:sz w:val="24"/>
        </w:rPr>
        <w:t>p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>romote</w:t>
      </w:r>
      <w:r>
        <w:rPr>
          <w:rFonts w:ascii="Times New Roman" w:hAnsi="Times New Roman" w:hint="eastAsia"/>
          <w:color w:val="000000"/>
          <w:kern w:val="0"/>
          <w:sz w:val="24"/>
        </w:rPr>
        <w:t>d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the 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>proliferation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 of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 xml:space="preserve"> P</w:t>
      </w:r>
      <w:r>
        <w:rPr>
          <w:rFonts w:ascii="Times New Roman" w:hAnsi="Times New Roman" w:hint="eastAsia"/>
          <w:color w:val="000000"/>
          <w:kern w:val="0"/>
          <w:sz w:val="24"/>
        </w:rPr>
        <w:t>4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 xml:space="preserve"> hAMSCs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 with similar efficacy.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hint="eastAsia"/>
          <w:sz w:val="24"/>
          <w:szCs w:val="32"/>
        </w:rPr>
        <w:t xml:space="preserve">(B) 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PBMCs from donors of different ages reversed the 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>senescence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 phenotype of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 xml:space="preserve"> P10 hAMSCs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 with similar efficacy.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 xml:space="preserve"> The 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>percentage of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eastAsia="FangSong" w:hAnsi="Times New Roman"/>
          <w:color w:val="000000"/>
          <w:sz w:val="24"/>
        </w:rPr>
        <w:t>SA-β-gal</w:t>
      </w:r>
      <w:r>
        <w:rPr>
          <w:rFonts w:ascii="Times New Roman" w:eastAsia="Times New Roman" w:hAnsi="Times New Roman" w:hint="eastAsia"/>
          <w:color w:val="000000"/>
          <w:kern w:val="0"/>
          <w:sz w:val="24"/>
        </w:rPr>
        <w:t>-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>positive cell</w:t>
      </w:r>
      <w:r>
        <w:rPr>
          <w:rFonts w:ascii="Times New Roman" w:hAnsi="Times New Roman" w:hint="eastAsia"/>
          <w:color w:val="000000"/>
          <w:kern w:val="0"/>
          <w:sz w:val="24"/>
        </w:rPr>
        <w:t>s</w:t>
      </w:r>
      <w:r>
        <w:rPr>
          <w:rFonts w:ascii="Times New Roman" w:eastAsia="Times New Roman" w:hAnsi="Times New Roman"/>
          <w:color w:val="000000"/>
          <w:kern w:val="0"/>
          <w:sz w:val="24"/>
          <w:lang w:eastAsia="en-US"/>
        </w:rPr>
        <w:t xml:space="preserve"> in the P10 group was </w:t>
      </w:r>
      <w:r>
        <w:rPr>
          <w:rFonts w:ascii="Times New Roman" w:eastAsia="Times New Roman" w:hAnsi="Times New Roman" w:hint="eastAsia"/>
          <w:color w:val="000000"/>
          <w:kern w:val="0"/>
          <w:sz w:val="24"/>
          <w:lang w:eastAsia="en-US"/>
        </w:rPr>
        <w:t>69.75±4.79%.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hint="eastAsia"/>
          <w:color w:val="C00000"/>
          <w:kern w:val="0"/>
          <w:sz w:val="24"/>
        </w:rPr>
        <w:t xml:space="preserve">(C) </w:t>
      </w:r>
      <w:r>
        <w:rPr>
          <w:rFonts w:ascii="Times New Roman" w:hAnsi="Times New Roman"/>
          <w:color w:val="C00000"/>
          <w:sz w:val="24"/>
        </w:rPr>
        <w:t xml:space="preserve">Analysis of </w:t>
      </w:r>
      <w:r>
        <w:rPr>
          <w:rFonts w:ascii="Times New Roman" w:eastAsia="FangSong" w:hAnsi="Times New Roman"/>
          <w:color w:val="C00000"/>
          <w:sz w:val="24"/>
        </w:rPr>
        <w:t>SA-β-gal</w:t>
      </w:r>
      <w:r>
        <w:rPr>
          <w:rFonts w:ascii="Times New Roman" w:hAnsi="Times New Roman"/>
          <w:color w:val="C00000"/>
          <w:sz w:val="24"/>
        </w:rPr>
        <w:t xml:space="preserve"> staining in </w:t>
      </w:r>
      <w:r>
        <w:rPr>
          <w:rFonts w:ascii="Times New Roman" w:hAnsi="Times New Roman" w:hint="eastAsia"/>
          <w:color w:val="C00000"/>
          <w:sz w:val="24"/>
        </w:rPr>
        <w:t>P10 hU</w:t>
      </w:r>
      <w:r>
        <w:rPr>
          <w:rFonts w:ascii="Times New Roman" w:hAnsi="Times New Roman"/>
          <w:color w:val="C00000"/>
          <w:sz w:val="24"/>
        </w:rPr>
        <w:t>-MSCs. P10 hU-MSCs were</w:t>
      </w:r>
      <w:r>
        <w:rPr>
          <w:rFonts w:ascii="Times New Roman" w:hAnsi="Times New Roman" w:hint="eastAsia"/>
          <w:color w:val="C00000"/>
          <w:sz w:val="24"/>
        </w:rPr>
        <w:t xml:space="preserve"> co-</w:t>
      </w:r>
      <w:r>
        <w:rPr>
          <w:rFonts w:ascii="Times New Roman" w:hAnsi="Times New Roman"/>
          <w:color w:val="C00000"/>
          <w:sz w:val="24"/>
        </w:rPr>
        <w:t>cultured with PBLs for 3 days.</w:t>
      </w:r>
      <w:r>
        <w:rPr>
          <w:rFonts w:ascii="Times New Roman" w:hAnsi="Times New Roman" w:hint="eastAsia"/>
          <w:color w:val="C00000"/>
          <w:sz w:val="24"/>
        </w:rPr>
        <w:t xml:space="preserve"> (D) </w:t>
      </w:r>
      <w:r>
        <w:rPr>
          <w:rFonts w:ascii="Times New Roman" w:hAnsi="Times New Roman"/>
          <w:color w:val="C00000"/>
          <w:sz w:val="24"/>
        </w:rPr>
        <w:t xml:space="preserve">Analysis of </w:t>
      </w:r>
      <w:r>
        <w:rPr>
          <w:rFonts w:ascii="Times New Roman" w:eastAsia="FangSong" w:hAnsi="Times New Roman"/>
          <w:color w:val="C00000"/>
          <w:sz w:val="24"/>
        </w:rPr>
        <w:t>SA-β-gal</w:t>
      </w:r>
      <w:r>
        <w:rPr>
          <w:rFonts w:ascii="Times New Roman" w:hAnsi="Times New Roman"/>
          <w:color w:val="C00000"/>
          <w:sz w:val="24"/>
        </w:rPr>
        <w:t xml:space="preserve"> staining in </w:t>
      </w:r>
      <w:r>
        <w:rPr>
          <w:rFonts w:ascii="Times New Roman" w:hAnsi="Times New Roman" w:hint="eastAsia"/>
          <w:color w:val="C00000"/>
          <w:sz w:val="24"/>
        </w:rPr>
        <w:t>P10 UCB</w:t>
      </w:r>
      <w:r>
        <w:rPr>
          <w:rFonts w:ascii="Times New Roman" w:hAnsi="Times New Roman"/>
          <w:color w:val="C00000"/>
          <w:sz w:val="24"/>
        </w:rPr>
        <w:t xml:space="preserve">-MSCs. P10 </w:t>
      </w:r>
      <w:r>
        <w:rPr>
          <w:rFonts w:ascii="Times New Roman" w:hAnsi="Times New Roman" w:hint="eastAsia"/>
          <w:color w:val="C00000"/>
          <w:sz w:val="24"/>
        </w:rPr>
        <w:t>UCB</w:t>
      </w:r>
      <w:r>
        <w:rPr>
          <w:rFonts w:ascii="Times New Roman" w:hAnsi="Times New Roman"/>
          <w:color w:val="C00000"/>
          <w:sz w:val="24"/>
        </w:rPr>
        <w:t xml:space="preserve">-MSCs were </w:t>
      </w:r>
      <w:r>
        <w:rPr>
          <w:rFonts w:ascii="Times New Roman" w:hAnsi="Times New Roman" w:hint="eastAsia"/>
          <w:color w:val="C00000"/>
          <w:sz w:val="24"/>
        </w:rPr>
        <w:t>co-</w:t>
      </w:r>
      <w:r>
        <w:rPr>
          <w:rFonts w:ascii="Times New Roman" w:hAnsi="Times New Roman"/>
          <w:color w:val="C00000"/>
          <w:sz w:val="24"/>
        </w:rPr>
        <w:t>cultured with PBLs for 3 days.</w:t>
      </w:r>
      <w:r>
        <w:rPr>
          <w:rFonts w:ascii="Times New Roman" w:hAnsi="Times New Roman" w:hint="eastAsia"/>
          <w:color w:val="C00000"/>
          <w:sz w:val="24"/>
        </w:rPr>
        <w:t xml:space="preserve"> Note: In </w:t>
      </w:r>
      <w:r>
        <w:rPr>
          <w:rFonts w:ascii="Times New Roman" w:eastAsia="Helvetica" w:hAnsi="Times New Roman"/>
          <w:color w:val="C00000"/>
          <w:sz w:val="24"/>
        </w:rPr>
        <w:t>Fig.S1</w:t>
      </w:r>
      <w:r>
        <w:rPr>
          <w:rFonts w:ascii="Times New Roman" w:hAnsi="Times New Roman" w:hint="eastAsia"/>
          <w:color w:val="C00000"/>
          <w:sz w:val="24"/>
        </w:rPr>
        <w:t xml:space="preserve">A-B, PBLs for each age cohort were collected from ten distinct peripheral blood donors; </w:t>
      </w:r>
      <w:r>
        <w:rPr>
          <w:rFonts w:ascii="Times New Roman" w:hAnsi="Times New Roman"/>
          <w:color w:val="C00000"/>
          <w:sz w:val="24"/>
        </w:rPr>
        <w:t>hAMSCs were isolated from three independent amniotic membrane donors</w:t>
      </w:r>
      <w:r>
        <w:rPr>
          <w:rFonts w:ascii="Times New Roman" w:hAnsi="Times New Roman" w:hint="eastAsia"/>
          <w:color w:val="C00000"/>
          <w:sz w:val="24"/>
        </w:rPr>
        <w:t>. hU</w:t>
      </w:r>
      <w:r>
        <w:rPr>
          <w:rFonts w:ascii="Times New Roman" w:hAnsi="Times New Roman"/>
          <w:color w:val="C00000"/>
          <w:sz w:val="24"/>
        </w:rPr>
        <w:t>-MSCs</w:t>
      </w:r>
      <w:r>
        <w:rPr>
          <w:rFonts w:ascii="Times New Roman" w:hAnsi="Times New Roman" w:hint="eastAsia"/>
          <w:color w:val="C00000"/>
          <w:sz w:val="24"/>
        </w:rPr>
        <w:t>: human umbilical cord mesenchymal stem cells; UCB</w:t>
      </w:r>
      <w:r>
        <w:rPr>
          <w:rFonts w:ascii="Times New Roman" w:hAnsi="Times New Roman"/>
          <w:color w:val="C00000"/>
          <w:sz w:val="24"/>
        </w:rPr>
        <w:t>-MSCs</w:t>
      </w:r>
      <w:r>
        <w:rPr>
          <w:rFonts w:ascii="Times New Roman" w:hAnsi="Times New Roman" w:hint="eastAsia"/>
          <w:color w:val="C00000"/>
          <w:sz w:val="24"/>
        </w:rPr>
        <w:t xml:space="preserve">: human umbilical cord blood mesenchymal stem cells. Statistical significance compared with the P4 group is denoted as </w:t>
      </w:r>
      <w:r>
        <w:rPr>
          <w:rFonts w:ascii="Times New Roman" w:hAnsi="Times New Roman" w:hint="eastAsia"/>
          <w:color w:val="C00000"/>
          <w:sz w:val="24"/>
          <w:vertAlign w:val="superscript"/>
        </w:rPr>
        <w:t>**</w:t>
      </w:r>
      <w:r>
        <w:rPr>
          <w:rFonts w:ascii="Times New Roman" w:hAnsi="Times New Roman" w:hint="eastAsia"/>
          <w:i/>
          <w:iCs/>
          <w:color w:val="C00000"/>
          <w:sz w:val="24"/>
        </w:rPr>
        <w:t>P</w:t>
      </w:r>
      <w:r>
        <w:rPr>
          <w:rFonts w:ascii="Times New Roman" w:hAnsi="Times New Roman" w:hint="eastAsia"/>
          <w:color w:val="C00000"/>
          <w:sz w:val="24"/>
        </w:rPr>
        <w:t xml:space="preserve"> &lt; 0.01; that compared with the P10 group is denoted as </w:t>
      </w:r>
      <w:r>
        <w:rPr>
          <w:rFonts w:ascii="Times New Roman" w:hAnsi="Times New Roman" w:hint="eastAsia"/>
          <w:color w:val="C00000"/>
          <w:sz w:val="24"/>
          <w:vertAlign w:val="superscript"/>
        </w:rPr>
        <w:t>##</w:t>
      </w:r>
      <w:r>
        <w:rPr>
          <w:rFonts w:ascii="Times New Roman" w:hAnsi="Times New Roman" w:hint="eastAsia"/>
          <w:i/>
          <w:iCs/>
          <w:color w:val="C00000"/>
          <w:sz w:val="24"/>
        </w:rPr>
        <w:t>P</w:t>
      </w:r>
      <w:r>
        <w:rPr>
          <w:rFonts w:ascii="Times New Roman" w:hAnsi="Times New Roman" w:hint="eastAsia"/>
          <w:color w:val="C00000"/>
          <w:sz w:val="24"/>
        </w:rPr>
        <w:t xml:space="preserve"> &lt; 0.01.</w:t>
      </w:r>
    </w:p>
    <w:p w14:paraId="4D93C0B3" w14:textId="77777777" w:rsidR="00771F17" w:rsidRDefault="00771F17" w:rsidP="00771F17">
      <w:pPr>
        <w:spacing w:line="360" w:lineRule="auto"/>
        <w:rPr>
          <w:rFonts w:ascii="Times New Roman" w:hAnsi="Times New Roman"/>
          <w:color w:val="C00000"/>
          <w:sz w:val="24"/>
        </w:rPr>
      </w:pPr>
      <w:r>
        <w:rPr>
          <w:rFonts w:ascii="Times New Roman" w:hAnsi="Times New Roman" w:hint="eastAsia"/>
          <w:b/>
          <w:bCs/>
          <w:color w:val="C00000"/>
          <w:sz w:val="24"/>
        </w:rPr>
        <w:t xml:space="preserve">Supplementary video 1. Real-time monitoring of P10-hAMSC growth for 72 h in culture plate. </w:t>
      </w:r>
      <w:r>
        <w:rPr>
          <w:rFonts w:ascii="Times New Roman" w:hAnsi="Times New Roman" w:hint="eastAsia"/>
          <w:color w:val="C00000"/>
          <w:sz w:val="24"/>
        </w:rPr>
        <w:t>A total of 272 images were taken at the same position at 100</w:t>
      </w:r>
      <w:r>
        <w:rPr>
          <w:rFonts w:ascii="Times New Roman" w:hAnsi="Times New Roman"/>
          <w:color w:val="C00000"/>
          <w:sz w:val="24"/>
        </w:rPr>
        <w:t>×</w:t>
      </w:r>
      <w:r>
        <w:rPr>
          <w:rFonts w:ascii="Times New Roman" w:hAnsi="Times New Roman" w:hint="eastAsia"/>
          <w:color w:val="C00000"/>
          <w:sz w:val="24"/>
        </w:rPr>
        <w:t xml:space="preserve"> magnification every 15 min using the fully automatic live cell monitoring system (Etaluma LS850, Etaluma, USA). Later, adobe prime software was used to synthesize the above photos into 30s videos.</w:t>
      </w:r>
    </w:p>
    <w:p w14:paraId="38546B72" w14:textId="77777777" w:rsidR="00771F17" w:rsidRDefault="00771F17" w:rsidP="00771F17">
      <w:pPr>
        <w:spacing w:line="360" w:lineRule="auto"/>
        <w:rPr>
          <w:rFonts w:ascii="Times New Roman" w:hAnsi="Times New Roman"/>
          <w:color w:val="C00000"/>
          <w:sz w:val="24"/>
        </w:rPr>
      </w:pPr>
      <w:r>
        <w:rPr>
          <w:rFonts w:ascii="Times New Roman" w:hAnsi="Times New Roman" w:hint="eastAsia"/>
          <w:b/>
          <w:bCs/>
          <w:color w:val="C00000"/>
          <w:sz w:val="24"/>
        </w:rPr>
        <w:t xml:space="preserve">Supplementary video 2. Real-time monitoring of P10-hAMSCs co-cultured with PBLs in culture plate over a 72-hour period. </w:t>
      </w:r>
      <w:r>
        <w:rPr>
          <w:rFonts w:ascii="Times New Roman" w:hAnsi="Times New Roman" w:hint="eastAsia"/>
          <w:color w:val="C00000"/>
          <w:sz w:val="24"/>
        </w:rPr>
        <w:t>A total of 272 images were taken at the same position at 100</w:t>
      </w:r>
      <w:r>
        <w:rPr>
          <w:rFonts w:ascii="Times New Roman" w:hAnsi="Times New Roman"/>
          <w:color w:val="C00000"/>
          <w:sz w:val="24"/>
        </w:rPr>
        <w:t>×</w:t>
      </w:r>
      <w:r>
        <w:rPr>
          <w:rFonts w:ascii="Times New Roman" w:hAnsi="Times New Roman" w:hint="eastAsia"/>
          <w:color w:val="C00000"/>
          <w:sz w:val="24"/>
        </w:rPr>
        <w:t xml:space="preserve"> magnification every 15 min using the fully automatic live cell monitoring system (Etaluma </w:t>
      </w:r>
      <w:r>
        <w:rPr>
          <w:rFonts w:ascii="Times New Roman" w:hAnsi="Times New Roman" w:hint="eastAsia"/>
          <w:color w:val="C00000"/>
          <w:sz w:val="24"/>
        </w:rPr>
        <w:lastRenderedPageBreak/>
        <w:t>LS850, Etaluma, USA). Later, adobe prime software was used to synthesize the above photos into 30s videos.</w:t>
      </w:r>
    </w:p>
    <w:p w14:paraId="4E2BE32D" w14:textId="77777777" w:rsidR="00771F17" w:rsidRDefault="00771F17" w:rsidP="00771F17">
      <w:pPr>
        <w:tabs>
          <w:tab w:val="left" w:pos="7770"/>
        </w:tabs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noProof/>
          <w:color w:val="000000" w:themeColor="text1"/>
          <w:sz w:val="24"/>
        </w:rPr>
        <w:drawing>
          <wp:inline distT="0" distB="0" distL="114300" distR="114300" wp14:anchorId="7FABA0A3" wp14:editId="763E9369">
            <wp:extent cx="5266690" cy="2319020"/>
            <wp:effectExtent l="0" t="0" r="10160" b="5080"/>
            <wp:docPr id="11" name="图片 11" descr="Supplementary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ure2"/>
                    <pic:cNvPicPr>
                      <a:picLocks noChangeAspect="1"/>
                    </pic:cNvPicPr>
                  </pic:nvPicPr>
                  <pic:blipFill>
                    <a:blip r:embed="rId5"/>
                    <a:srcRect b="3517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71BA1" w14:textId="77777777" w:rsidR="00771F17" w:rsidRDefault="00771F17" w:rsidP="00771F17">
      <w:pPr>
        <w:tabs>
          <w:tab w:val="left" w:pos="7770"/>
        </w:tabs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t>Fi</w:t>
      </w:r>
      <w:r>
        <w:rPr>
          <w:rFonts w:ascii="Times New Roman" w:hAnsi="Times New Roman" w:hint="eastAsia"/>
          <w:b/>
          <w:bCs/>
          <w:color w:val="C00000"/>
          <w:sz w:val="24"/>
          <w:szCs w:val="32"/>
        </w:rPr>
        <w:t xml:space="preserve">gure </w:t>
      </w:r>
      <w:r>
        <w:rPr>
          <w:rFonts w:ascii="Times New Roman" w:hAnsi="Times New Roman" w:hint="eastAsia"/>
          <w:b/>
          <w:bCs/>
          <w:sz w:val="24"/>
          <w:szCs w:val="32"/>
        </w:rPr>
        <w:t xml:space="preserve">S2.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 xml:space="preserve">Coculture with MSCs activated the secretion profile of PBLs. </w:t>
      </w:r>
      <w:r>
        <w:rPr>
          <w:rFonts w:ascii="TimesNewRomanPSMT" w:hAnsi="TimesNewRomanPSMT" w:cs="TimesNewRomanPSMT" w:hint="eastAsia"/>
          <w:color w:val="000000" w:themeColor="text1"/>
          <w:sz w:val="24"/>
        </w:rPr>
        <w:t>(A) Clustering of differentially expressed genes in the IL-17 signaling pathway. (B) Clustering of differentially expressed genes in the Toll-like receptor signaling pathway. (C) Clustering of differentially expressed genes in the NF-kappa B signaling pathway.</w:t>
      </w:r>
    </w:p>
    <w:p w14:paraId="6B1D238A" w14:textId="77777777" w:rsidR="00771F17" w:rsidRDefault="00771F17" w:rsidP="00771F17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noProof/>
          <w:color w:val="000000" w:themeColor="text1"/>
          <w:sz w:val="24"/>
        </w:rPr>
        <w:drawing>
          <wp:inline distT="0" distB="0" distL="114300" distR="114300" wp14:anchorId="2ACE2072" wp14:editId="40BF84B0">
            <wp:extent cx="5200650" cy="2975610"/>
            <wp:effectExtent l="0" t="0" r="0" b="0"/>
            <wp:docPr id="5" name="图片 5" descr="Figure S3_S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3_S figure 3"/>
                    <pic:cNvPicPr>
                      <a:picLocks noChangeAspect="1"/>
                    </pic:cNvPicPr>
                  </pic:nvPicPr>
                  <pic:blipFill>
                    <a:blip r:embed="rId6"/>
                    <a:srcRect b="845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94377" w14:textId="77777777" w:rsidR="00771F17" w:rsidRDefault="00771F17" w:rsidP="00771F17">
      <w:pPr>
        <w:tabs>
          <w:tab w:val="left" w:pos="7770"/>
        </w:tabs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</w:rPr>
        <w:t>Figure S3. Effects of cytokines on hAMSC phenotype and characteristics.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(A) Ef</w:t>
      </w:r>
      <w:r>
        <w:rPr>
          <w:rFonts w:ascii="Times New Roman" w:hAnsi="Times New Roman"/>
          <w:color w:val="000000" w:themeColor="text1"/>
          <w:sz w:val="24"/>
        </w:rPr>
        <w:t>fect</w:t>
      </w:r>
      <w:r>
        <w:rPr>
          <w:rFonts w:ascii="Times New Roman" w:hAnsi="Times New Roman" w:hint="eastAsia"/>
          <w:color w:val="000000" w:themeColor="text1"/>
          <w:sz w:val="24"/>
        </w:rPr>
        <w:t>s</w:t>
      </w:r>
      <w:r>
        <w:rPr>
          <w:rFonts w:ascii="Times New Roman" w:hAnsi="Times New Roman"/>
          <w:color w:val="000000" w:themeColor="text1"/>
          <w:sz w:val="24"/>
        </w:rPr>
        <w:t xml:space="preserve"> of cytokines on the </w:t>
      </w:r>
      <w:r>
        <w:rPr>
          <w:rFonts w:ascii="Times New Roman" w:hAnsi="Times New Roman" w:hint="eastAsia"/>
          <w:color w:val="000000" w:themeColor="text1"/>
          <w:sz w:val="24"/>
        </w:rPr>
        <w:t xml:space="preserve">morphology of P10 hAMSCs. (B) </w:t>
      </w:r>
      <w:r>
        <w:rPr>
          <w:rFonts w:ascii="Times New Roman" w:hAnsi="Times New Roman"/>
          <w:color w:val="000000" w:themeColor="text1"/>
          <w:sz w:val="24"/>
        </w:rPr>
        <w:t xml:space="preserve">Analysis of </w:t>
      </w:r>
      <w:r>
        <w:rPr>
          <w:rFonts w:ascii="Times New Roman" w:eastAsia="FangSong" w:hAnsi="Times New Roman"/>
          <w:color w:val="000000"/>
          <w:sz w:val="24"/>
        </w:rPr>
        <w:t>SA-β-gal</w:t>
      </w:r>
      <w:r>
        <w:rPr>
          <w:rFonts w:ascii="Times New Roman" w:hAnsi="Times New Roman"/>
          <w:color w:val="000000" w:themeColor="text1"/>
          <w:sz w:val="24"/>
        </w:rPr>
        <w:t xml:space="preserve"> staining in </w:t>
      </w:r>
      <w:r>
        <w:rPr>
          <w:rFonts w:ascii="Times New Roman" w:hAnsi="Times New Roman" w:hint="eastAsia"/>
          <w:color w:val="000000" w:themeColor="text1"/>
          <w:sz w:val="24"/>
        </w:rPr>
        <w:t>P10 hAMSCs</w:t>
      </w:r>
      <w:r>
        <w:rPr>
          <w:rFonts w:ascii="Times New Roman" w:hAnsi="Times New Roman"/>
          <w:color w:val="000000" w:themeColor="text1"/>
          <w:sz w:val="24"/>
        </w:rPr>
        <w:t>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Scale bar: </w:t>
      </w:r>
      <w:r>
        <w:rPr>
          <w:rFonts w:ascii="Times New Roman" w:hAnsi="Times New Roman" w:hint="eastAsia"/>
          <w:color w:val="000000" w:themeColor="text1"/>
          <w:sz w:val="24"/>
        </w:rPr>
        <w:t>10</w:t>
      </w:r>
      <w:r>
        <w:rPr>
          <w:rFonts w:ascii="Times New Roman" w:hAnsi="Times New Roman"/>
          <w:color w:val="000000" w:themeColor="text1"/>
          <w:sz w:val="24"/>
        </w:rPr>
        <w:t>0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µm</w:t>
      </w:r>
      <w:r>
        <w:rPr>
          <w:rFonts w:ascii="Times New Roman" w:hAnsi="Times New Roman" w:hint="eastAsia"/>
          <w:color w:val="000000" w:themeColor="text1"/>
          <w:sz w:val="24"/>
        </w:rPr>
        <w:t xml:space="preserve">. (C) Effects of cytokines on </w:t>
      </w:r>
      <w:r>
        <w:rPr>
          <w:rFonts w:hint="eastAsia"/>
          <w:color w:val="000000" w:themeColor="text1"/>
          <w:sz w:val="24"/>
        </w:rPr>
        <w:t xml:space="preserve">the </w:t>
      </w:r>
      <w:r>
        <w:rPr>
          <w:rFonts w:ascii="Times New Roman" w:hAnsi="Times New Roman" w:hint="eastAsia"/>
          <w:color w:val="000000" w:themeColor="text1"/>
          <w:sz w:val="24"/>
        </w:rPr>
        <w:t>morphology of P4 hAMSCs. (D) K</w:t>
      </w:r>
      <w:r>
        <w:rPr>
          <w:rFonts w:hint="eastAsia"/>
          <w:color w:val="000000" w:themeColor="text1"/>
          <w:sz w:val="24"/>
        </w:rPr>
        <w:t>i</w:t>
      </w:r>
      <w:r>
        <w:rPr>
          <w:rFonts w:ascii="Times New Roman" w:hAnsi="Times New Roman" w:hint="eastAsia"/>
          <w:color w:val="000000" w:themeColor="text1"/>
          <w:sz w:val="24"/>
        </w:rPr>
        <w:t xml:space="preserve">67 </w:t>
      </w:r>
      <w:r>
        <w:rPr>
          <w:rFonts w:hint="eastAsia"/>
          <w:color w:val="000000" w:themeColor="text1"/>
          <w:sz w:val="24"/>
        </w:rPr>
        <w:t>E</w:t>
      </w:r>
      <w:r>
        <w:rPr>
          <w:rFonts w:ascii="Times New Roman" w:hAnsi="Times New Roman" w:hint="eastAsia"/>
          <w:color w:val="000000" w:themeColor="text1"/>
          <w:sz w:val="24"/>
        </w:rPr>
        <w:t xml:space="preserve">xpression in P4 hAMSCs was analyzed via immunofluorescence staining. (E) Cell density was </w:t>
      </w:r>
      <w:r>
        <w:rPr>
          <w:rFonts w:ascii="Times New Roman" w:hAnsi="Times New Roman" w:hint="eastAsia"/>
          <w:color w:val="000000" w:themeColor="text1"/>
          <w:sz w:val="24"/>
        </w:rPr>
        <w:lastRenderedPageBreak/>
        <w:t xml:space="preserve">analyzed via crystal violet staining. </w:t>
      </w:r>
      <w:r>
        <w:rPr>
          <w:rFonts w:ascii="Times New Roman" w:hAnsi="Times New Roman" w:hint="eastAsia"/>
          <w:color w:val="C00000"/>
          <w:sz w:val="24"/>
        </w:rPr>
        <w:t>(F) Screening of co-culture modes of PBMCs and P10 hAMSCs</w:t>
      </w:r>
      <w:r>
        <w:rPr>
          <w:rFonts w:ascii="Times New Roman" w:hAnsi="Times New Roman" w:hint="eastAsia"/>
          <w:color w:val="0000FF"/>
          <w:sz w:val="24"/>
        </w:rPr>
        <w:t>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No</w:t>
      </w:r>
      <w:r>
        <w:rPr>
          <w:rFonts w:ascii="Times New Roman" w:hAnsi="Times New Roman"/>
          <w:sz w:val="24"/>
        </w:rPr>
        <w:t xml:space="preserve">te: P4: hAMSCs were expanded in vitro up to the fourth generation; P4 + PBL: hAMSCs from the fourth passage </w:t>
      </w:r>
      <w:r>
        <w:rPr>
          <w:rFonts w:ascii="Times New Roman" w:hAnsi="Times New Roman" w:hint="eastAsia"/>
          <w:sz w:val="24"/>
        </w:rPr>
        <w:t xml:space="preserve">were </w:t>
      </w:r>
      <w:r>
        <w:rPr>
          <w:rFonts w:ascii="Times New Roman" w:hAnsi="Times New Roman"/>
          <w:sz w:val="24"/>
        </w:rPr>
        <w:t xml:space="preserve">cocultured with PBLs at a ratio of 1:100. P10: hAMSCs were expanded in vitro up to the tenth generation; P10 + PBL: hAMSCs from the tenth passage </w:t>
      </w:r>
      <w:r>
        <w:rPr>
          <w:rFonts w:ascii="Times New Roman" w:hAnsi="Times New Roman" w:hint="eastAsia"/>
          <w:sz w:val="24"/>
        </w:rPr>
        <w:t xml:space="preserve">were </w:t>
      </w:r>
      <w:r>
        <w:rPr>
          <w:rFonts w:ascii="Times New Roman" w:hAnsi="Times New Roman"/>
          <w:sz w:val="24"/>
        </w:rPr>
        <w:t>cocultured with PBL at a ratio of 1:100</w:t>
      </w:r>
      <w:r>
        <w:rPr>
          <w:rFonts w:ascii="Times New Roman" w:hAnsi="Times New Roman"/>
          <w:kern w:val="0"/>
          <w:sz w:val="24"/>
        </w:rPr>
        <w:t xml:space="preserve">; </w:t>
      </w:r>
      <w:r>
        <w:rPr>
          <w:rFonts w:ascii="Times New Roman" w:eastAsia="FangSong" w:hAnsi="Times New Roman"/>
          <w:color w:val="000000"/>
          <w:sz w:val="24"/>
        </w:rPr>
        <w:t xml:space="preserve">SA-β-gal: </w:t>
      </w:r>
      <w:r>
        <w:rPr>
          <w:rFonts w:ascii="Times New Roman" w:hAnsi="Times New Roman"/>
          <w:color w:val="000000" w:themeColor="text1"/>
          <w:sz w:val="24"/>
        </w:rPr>
        <w:t xml:space="preserve">β-galactosidase. </w:t>
      </w:r>
    </w:p>
    <w:p w14:paraId="2C8D97B8" w14:textId="77777777" w:rsidR="00771F17" w:rsidRDefault="00771F17" w:rsidP="00771F17">
      <w:pPr>
        <w:tabs>
          <w:tab w:val="left" w:pos="7770"/>
        </w:tabs>
        <w:spacing w:line="360" w:lineRule="auto"/>
        <w:rPr>
          <w:rFonts w:ascii="Times New Roman" w:hAnsi="Times New Roman"/>
          <w:b/>
          <w:bCs/>
          <w:color w:val="000000"/>
          <w:sz w:val="24"/>
          <w:szCs w:val="32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32"/>
        </w:rPr>
        <w:lastRenderedPageBreak/>
        <w:drawing>
          <wp:inline distT="0" distB="0" distL="114300" distR="114300" wp14:anchorId="20D34C4E" wp14:editId="652321FA">
            <wp:extent cx="5272405" cy="7908925"/>
            <wp:effectExtent l="0" t="0" r="4445" b="15875"/>
            <wp:docPr id="15" name="图片 15" descr="Supplementary 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ure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2285D" w14:textId="77777777" w:rsidR="00771F17" w:rsidRDefault="00771F17" w:rsidP="00771F17">
      <w:pPr>
        <w:tabs>
          <w:tab w:val="left" w:pos="7770"/>
        </w:tabs>
        <w:spacing w:line="360" w:lineRule="auto"/>
        <w:rPr>
          <w:rFonts w:ascii="TimesNewRomanPSMT" w:hAnsi="TimesNewRomanPSMT" w:cs="TimesNewRomanPSMT"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color w:val="000000"/>
          <w:sz w:val="24"/>
          <w:szCs w:val="32"/>
        </w:rPr>
        <w:t xml:space="preserve">Figure S4.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KEGG enrichment analysis of the RNA-seq data.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NewRomanPSMT" w:hAnsi="TimesNewRomanPSMT" w:cs="TimesNewRomanPSMT" w:hint="eastAsia"/>
          <w:color w:val="000000" w:themeColor="text1"/>
          <w:sz w:val="24"/>
        </w:rPr>
        <w:t xml:space="preserve">(A) Clustering of differentially </w:t>
      </w:r>
      <w:r>
        <w:rPr>
          <w:rFonts w:ascii="TimesNewRomanPSMT" w:hAnsi="TimesNewRomanPSMT" w:cs="TimesNewRomanPSMT" w:hint="eastAsia"/>
          <w:color w:val="000000" w:themeColor="text1"/>
          <w:sz w:val="24"/>
        </w:rPr>
        <w:lastRenderedPageBreak/>
        <w:t>expressed genes in the IL-17 signaling pathway. (B) Clustering of differentially expressed genes in the Toll-like receptor signaling pathway. (C) Clustering of differentially expressed genes in the NF-kappa B signaling pathway.</w:t>
      </w:r>
    </w:p>
    <w:p w14:paraId="3A961BD6" w14:textId="77777777" w:rsidR="00771F17" w:rsidRDefault="00771F17" w:rsidP="00771F17">
      <w:pPr>
        <w:spacing w:line="360" w:lineRule="auto"/>
        <w:rPr>
          <w:rFonts w:ascii="Times New Roman" w:hAnsi="Times New Roman"/>
          <w:color w:val="0000FF"/>
          <w:sz w:val="24"/>
        </w:rPr>
      </w:pPr>
      <w:r>
        <w:rPr>
          <w:rFonts w:ascii="Times New Roman" w:hAnsi="Times New Roman" w:hint="eastAsia"/>
          <w:noProof/>
          <w:color w:val="0000FF"/>
          <w:sz w:val="24"/>
        </w:rPr>
        <w:drawing>
          <wp:inline distT="0" distB="0" distL="114300" distR="114300" wp14:anchorId="18C53E79" wp14:editId="61FA5F8D">
            <wp:extent cx="5261610" cy="1296670"/>
            <wp:effectExtent l="0" t="0" r="0" b="0"/>
            <wp:docPr id="7" name="图片 7" descr="Supplementary Figur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5"/>
                    <pic:cNvPicPr>
                      <a:picLocks noChangeAspect="1"/>
                    </pic:cNvPicPr>
                  </pic:nvPicPr>
                  <pic:blipFill>
                    <a:blip r:embed="rId8"/>
                    <a:srcRect b="5343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6A42E" w14:textId="77777777" w:rsidR="00771F17" w:rsidRDefault="00771F17" w:rsidP="00771F17">
      <w:pPr>
        <w:spacing w:line="360" w:lineRule="auto"/>
        <w:rPr>
          <w:rFonts w:ascii="Times New Roman" w:hAnsi="Times New Roman"/>
          <w:color w:val="C00000"/>
          <w:sz w:val="24"/>
        </w:rPr>
      </w:pPr>
      <w:r>
        <w:rPr>
          <w:rFonts w:ascii="Times New Roman" w:hAnsi="Times New Roman" w:hint="eastAsia"/>
          <w:b/>
          <w:bCs/>
          <w:color w:val="C00000"/>
          <w:sz w:val="24"/>
          <w:szCs w:val="32"/>
        </w:rPr>
        <w:t xml:space="preserve">Figure S5. </w:t>
      </w:r>
      <w:r>
        <w:rPr>
          <w:rFonts w:ascii="Times New Roman" w:eastAsia="Times New Roman" w:hAnsi="Times New Roman"/>
          <w:color w:val="C00000"/>
          <w:kern w:val="0"/>
          <w:sz w:val="24"/>
        </w:rPr>
        <w:t>Expression of NF-κB in P10 hAMSCs.</w:t>
      </w:r>
      <w:r>
        <w:rPr>
          <w:rFonts w:ascii="Times New Roman" w:eastAsia="Times New Roman" w:hAnsi="Times New Roman" w:hint="eastAsia"/>
          <w:color w:val="C00000"/>
          <w:kern w:val="0"/>
          <w:sz w:val="24"/>
        </w:rPr>
        <w:t xml:space="preserve"> </w:t>
      </w:r>
      <w:r>
        <w:rPr>
          <w:rFonts w:ascii="Times New Roman" w:eastAsia="Times New Roman" w:hAnsi="Times New Roman"/>
          <w:color w:val="C00000"/>
          <w:kern w:val="0"/>
          <w:sz w:val="24"/>
        </w:rPr>
        <w:t>The white arrow represents NF-κB activation. The yellow arrow represents BMS-345541 inhibition of NF-κB activation. Scale bar: 100 μm.</w:t>
      </w:r>
    </w:p>
    <w:p w14:paraId="1466FE06" w14:textId="0BC46C73" w:rsidR="00771F17" w:rsidRDefault="00771F17">
      <w:pPr>
        <w:widowControl/>
        <w:spacing w:after="160" w:line="259" w:lineRule="auto"/>
        <w:jc w:val="left"/>
        <w:rPr>
          <w:rFonts w:ascii="Times New Roman" w:hAnsi="Times New Roman"/>
          <w:color w:val="C00000"/>
          <w:sz w:val="24"/>
        </w:rPr>
      </w:pPr>
      <w:r>
        <w:rPr>
          <w:rFonts w:ascii="Times New Roman" w:hAnsi="Times New Roman"/>
          <w:color w:val="C00000"/>
          <w:sz w:val="24"/>
        </w:rPr>
        <w:br w:type="page"/>
      </w:r>
    </w:p>
    <w:p w14:paraId="3C4E03CF" w14:textId="77777777" w:rsidR="00771F17" w:rsidRDefault="00771F17" w:rsidP="00771F17">
      <w:pPr>
        <w:keepNext/>
        <w:spacing w:before="240" w:after="60"/>
        <w:outlineLvl w:val="0"/>
        <w:rPr>
          <w:rFonts w:ascii="Times New Roman" w:hAnsi="Times New Roman"/>
          <w:b/>
          <w:bCs/>
          <w:kern w:val="32"/>
          <w:sz w:val="24"/>
        </w:rPr>
      </w:pPr>
      <w:r>
        <w:rPr>
          <w:rFonts w:ascii="Times New Roman" w:eastAsia="Times New Roman" w:hAnsi="Times New Roman"/>
          <w:b/>
          <w:bCs/>
          <w:kern w:val="32"/>
          <w:sz w:val="24"/>
          <w:lang w:eastAsia="en-US"/>
        </w:rPr>
        <w:lastRenderedPageBreak/>
        <w:t>Table S1.</w:t>
      </w:r>
      <w:r>
        <w:rPr>
          <w:rFonts w:ascii="Times New Roman" w:hAnsi="Times New Roman" w:hint="eastAsia"/>
          <w:b/>
          <w:bCs/>
          <w:kern w:val="32"/>
          <w:sz w:val="24"/>
        </w:rPr>
        <w:t xml:space="preserve"> </w:t>
      </w:r>
      <w:r>
        <w:rPr>
          <w:rFonts w:ascii="Times New Roman" w:hAnsi="Times New Roman" w:hint="eastAsia"/>
          <w:color w:val="000000"/>
          <w:kern w:val="32"/>
          <w:sz w:val="24"/>
        </w:rPr>
        <w:t>Key resource information used in this study.</w:t>
      </w:r>
    </w:p>
    <w:tbl>
      <w:tblPr>
        <w:tblStyle w:val="TableGrid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3"/>
        <w:gridCol w:w="2486"/>
        <w:gridCol w:w="3508"/>
      </w:tblGrid>
      <w:tr w:rsidR="00771F17" w14:paraId="553DE79A" w14:textId="77777777" w:rsidTr="006B106D">
        <w:trPr>
          <w:cantSplit/>
          <w:trHeight w:hRule="exact" w:val="288"/>
        </w:trPr>
        <w:tc>
          <w:tcPr>
            <w:tcW w:w="26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7F5010E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REAGENT or RESOURCE</w:t>
            </w:r>
          </w:p>
        </w:tc>
        <w:tc>
          <w:tcPr>
            <w:tcW w:w="248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D363C4C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SOURCE</w:t>
            </w:r>
          </w:p>
        </w:tc>
        <w:tc>
          <w:tcPr>
            <w:tcW w:w="3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4B3EAA8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IDENTIFIER</w:t>
            </w:r>
          </w:p>
        </w:tc>
      </w:tr>
      <w:tr w:rsidR="00771F17" w14:paraId="47577F82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2EADE1B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Antibodies</w:t>
            </w:r>
          </w:p>
        </w:tc>
      </w:tr>
      <w:tr w:rsidR="00771F17" w14:paraId="3DF4E873" w14:textId="77777777" w:rsidTr="006B106D">
        <w:trPr>
          <w:cantSplit/>
          <w:trHeight w:val="259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02C385EE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anti-Vimentin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21F5BDED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6B83E4F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ab16700</w:t>
            </w:r>
            <w:r>
              <w:rPr>
                <w:rFonts w:ascii="Times New Roman" w:hAnsi="Times New Roman"/>
                <w:sz w:val="20"/>
                <w:szCs w:val="20"/>
              </w:rPr>
              <w:t>; RRID:AB_443435</w:t>
            </w:r>
          </w:p>
        </w:tc>
      </w:tr>
      <w:tr w:rsidR="00771F17" w14:paraId="58C242AC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77864723" w14:textId="77777777" w:rsidR="00771F17" w:rsidRDefault="00771F17" w:rsidP="006B106D">
            <w:pPr>
              <w:widowControl/>
              <w:tabs>
                <w:tab w:val="left" w:pos="872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anti-Cytokeratin 19</w:t>
            </w:r>
          </w:p>
        </w:tc>
        <w:tc>
          <w:tcPr>
            <w:tcW w:w="2486" w:type="dxa"/>
            <w:shd w:val="clear" w:color="auto" w:fill="auto"/>
          </w:tcPr>
          <w:p w14:paraId="7563EEDD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15CF9CE2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hAnsi="Times New Roman"/>
                <w:sz w:val="20"/>
                <w:szCs w:val="20"/>
              </w:rPr>
              <w:t>ab76539; RRID:AB_1523469</w:t>
            </w:r>
          </w:p>
        </w:tc>
      </w:tr>
      <w:tr w:rsidR="00771F17" w14:paraId="5CE8559E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F849FA5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anti-Occludin</w:t>
            </w:r>
          </w:p>
        </w:tc>
        <w:tc>
          <w:tcPr>
            <w:tcW w:w="2486" w:type="dxa"/>
            <w:shd w:val="clear" w:color="auto" w:fill="auto"/>
          </w:tcPr>
          <w:p w14:paraId="0DED4AA5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63555D47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Cat# ab216327; RRID:AB_2737295</w:t>
            </w:r>
          </w:p>
        </w:tc>
      </w:tr>
      <w:tr w:rsidR="00771F17" w14:paraId="714968C1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58296CA8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anti-p21</w:t>
            </w:r>
          </w:p>
        </w:tc>
        <w:tc>
          <w:tcPr>
            <w:tcW w:w="2486" w:type="dxa"/>
            <w:shd w:val="clear" w:color="auto" w:fill="auto"/>
          </w:tcPr>
          <w:p w14:paraId="483A5634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0109D552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ab109520</w:t>
            </w:r>
            <w:r>
              <w:rPr>
                <w:rFonts w:ascii="Times New Roman" w:hAnsi="Times New Roman"/>
                <w:sz w:val="20"/>
                <w:szCs w:val="20"/>
              </w:rPr>
              <w:t>; RRID:AB_10860537</w:t>
            </w:r>
          </w:p>
        </w:tc>
      </w:tr>
      <w:tr w:rsidR="00771F17" w14:paraId="62F91B08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8449646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anti-Anti-p16INK4a</w:t>
            </w:r>
          </w:p>
        </w:tc>
        <w:tc>
          <w:tcPr>
            <w:tcW w:w="2486" w:type="dxa"/>
            <w:shd w:val="clear" w:color="auto" w:fill="auto"/>
          </w:tcPr>
          <w:p w14:paraId="6A45B87E" w14:textId="77777777" w:rsidR="00771F17" w:rsidRDefault="00771F17" w:rsidP="006B106D">
            <w:pPr>
              <w:widowControl/>
              <w:tabs>
                <w:tab w:val="center" w:pos="1170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3508" w:type="dxa"/>
            <w:shd w:val="clear" w:color="auto" w:fill="auto"/>
          </w:tcPr>
          <w:p w14:paraId="0FC3BB67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ab270058</w:t>
            </w:r>
          </w:p>
        </w:tc>
      </w:tr>
      <w:tr w:rsidR="00771F17" w14:paraId="73A5B0AB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098F0017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anti-Fas</w:t>
            </w:r>
          </w:p>
        </w:tc>
        <w:tc>
          <w:tcPr>
            <w:tcW w:w="2486" w:type="dxa"/>
            <w:shd w:val="clear" w:color="auto" w:fill="auto"/>
          </w:tcPr>
          <w:p w14:paraId="4E032156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6922B5C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ab133619</w:t>
            </w:r>
            <w:r>
              <w:rPr>
                <w:rFonts w:ascii="Times New Roman" w:hAnsi="Times New Roman"/>
                <w:sz w:val="20"/>
                <w:szCs w:val="20"/>
              </w:rPr>
              <w:t>; RRID:AB_2940837</w:t>
            </w:r>
          </w:p>
        </w:tc>
      </w:tr>
      <w:tr w:rsidR="00771F17" w14:paraId="63AAC0C7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6779498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anti-Fas Ligand</w:t>
            </w:r>
          </w:p>
        </w:tc>
        <w:tc>
          <w:tcPr>
            <w:tcW w:w="2486" w:type="dxa"/>
            <w:shd w:val="clear" w:color="auto" w:fill="auto"/>
          </w:tcPr>
          <w:p w14:paraId="248C6A74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39DCB8C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b303666</w:t>
            </w:r>
          </w:p>
        </w:tc>
      </w:tr>
      <w:tr w:rsidR="00771F17" w14:paraId="624621D4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8B27B7E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anti-Sox2</w:t>
            </w:r>
          </w:p>
        </w:tc>
        <w:tc>
          <w:tcPr>
            <w:tcW w:w="2486" w:type="dxa"/>
            <w:shd w:val="clear" w:color="auto" w:fill="auto"/>
          </w:tcPr>
          <w:p w14:paraId="62386B8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29815928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ab92494</w:t>
            </w:r>
            <w:r>
              <w:rPr>
                <w:rFonts w:ascii="Times New Roman" w:hAnsi="Times New Roman"/>
                <w:sz w:val="20"/>
                <w:szCs w:val="20"/>
              </w:rPr>
              <w:t>; RRID:AB_10585428</w:t>
            </w:r>
          </w:p>
        </w:tc>
      </w:tr>
      <w:tr w:rsidR="00771F17" w14:paraId="5E7F036E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78CBB1A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anti-Nanog</w:t>
            </w:r>
          </w:p>
        </w:tc>
        <w:tc>
          <w:tcPr>
            <w:tcW w:w="2486" w:type="dxa"/>
            <w:shd w:val="clear" w:color="auto" w:fill="auto"/>
          </w:tcPr>
          <w:p w14:paraId="2CF29C4E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Abcam</w:t>
            </w:r>
          </w:p>
        </w:tc>
        <w:tc>
          <w:tcPr>
            <w:tcW w:w="3508" w:type="dxa"/>
            <w:shd w:val="clear" w:color="auto" w:fill="auto"/>
          </w:tcPr>
          <w:p w14:paraId="7263173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ab109250</w:t>
            </w:r>
            <w:r>
              <w:rPr>
                <w:rFonts w:ascii="Times New Roman" w:hAnsi="Times New Roman"/>
                <w:sz w:val="20"/>
                <w:szCs w:val="20"/>
              </w:rPr>
              <w:t>; RRID:AB_10863442</w:t>
            </w:r>
          </w:p>
        </w:tc>
      </w:tr>
      <w:tr w:rsidR="00771F17" w14:paraId="14E68883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49B37A70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anti-Caspase-8</w:t>
            </w:r>
          </w:p>
        </w:tc>
        <w:tc>
          <w:tcPr>
            <w:tcW w:w="2486" w:type="dxa"/>
            <w:shd w:val="clear" w:color="auto" w:fill="auto"/>
          </w:tcPr>
          <w:p w14:paraId="056CEE9C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signaling technology</w:t>
            </w:r>
          </w:p>
        </w:tc>
        <w:tc>
          <w:tcPr>
            <w:tcW w:w="3508" w:type="dxa"/>
            <w:shd w:val="clear" w:color="auto" w:fill="auto"/>
          </w:tcPr>
          <w:p w14:paraId="3F0A9AE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Cat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9746</w:t>
            </w:r>
            <w:r>
              <w:rPr>
                <w:rFonts w:ascii="Times New Roman" w:hAnsi="Times New Roman"/>
                <w:sz w:val="20"/>
                <w:szCs w:val="20"/>
              </w:rPr>
              <w:t>; RRID:AB_2275120</w:t>
            </w:r>
          </w:p>
        </w:tc>
      </w:tr>
      <w:tr w:rsidR="00771F17" w14:paraId="5CE04D3A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6B0FBA37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anti-NF-κB p65</w:t>
            </w:r>
          </w:p>
        </w:tc>
        <w:tc>
          <w:tcPr>
            <w:tcW w:w="2486" w:type="dxa"/>
            <w:shd w:val="clear" w:color="auto" w:fill="auto"/>
          </w:tcPr>
          <w:p w14:paraId="5567CBC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signaling technology</w:t>
            </w:r>
          </w:p>
        </w:tc>
        <w:tc>
          <w:tcPr>
            <w:tcW w:w="3508" w:type="dxa"/>
            <w:shd w:val="clear" w:color="auto" w:fill="auto"/>
          </w:tcPr>
          <w:p w14:paraId="0A00D46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Cat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6956</w:t>
            </w:r>
            <w:r>
              <w:rPr>
                <w:rFonts w:ascii="Times New Roman" w:hAnsi="Times New Roman"/>
                <w:sz w:val="20"/>
                <w:szCs w:val="20"/>
              </w:rPr>
              <w:t>; RRID:AB_10828935</w:t>
            </w:r>
          </w:p>
        </w:tc>
      </w:tr>
      <w:tr w:rsidR="00771F17" w14:paraId="1ABF43BA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3FF888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anti-Claudin-2</w:t>
            </w:r>
          </w:p>
        </w:tc>
        <w:tc>
          <w:tcPr>
            <w:tcW w:w="2486" w:type="dxa"/>
            <w:shd w:val="clear" w:color="auto" w:fill="auto"/>
          </w:tcPr>
          <w:p w14:paraId="1D268B4D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Santa Cruz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Biotechnology</w:t>
            </w:r>
          </w:p>
        </w:tc>
        <w:tc>
          <w:tcPr>
            <w:tcW w:w="3508" w:type="dxa"/>
            <w:shd w:val="clear" w:color="auto" w:fill="auto"/>
          </w:tcPr>
          <w:p w14:paraId="6ABAC909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Sc-293233</w:t>
            </w:r>
          </w:p>
        </w:tc>
      </w:tr>
      <w:tr w:rsidR="00771F17" w14:paraId="1AE6C7C1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695E7CD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anti-Granzyme B</w:t>
            </w:r>
          </w:p>
        </w:tc>
        <w:tc>
          <w:tcPr>
            <w:tcW w:w="2486" w:type="dxa"/>
            <w:shd w:val="clear" w:color="auto" w:fill="auto"/>
          </w:tcPr>
          <w:p w14:paraId="2FEA63E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Proteintech</w:t>
            </w:r>
          </w:p>
        </w:tc>
        <w:tc>
          <w:tcPr>
            <w:tcW w:w="3508" w:type="dxa"/>
            <w:shd w:val="clear" w:color="auto" w:fill="auto"/>
          </w:tcPr>
          <w:p w14:paraId="4E07C39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13588-1-AP</w:t>
            </w:r>
            <w:r>
              <w:rPr>
                <w:rFonts w:ascii="Times New Roman" w:hAnsi="Times New Roman"/>
                <w:sz w:val="20"/>
                <w:szCs w:val="20"/>
              </w:rPr>
              <w:t>; RRID:AB_2114429</w:t>
            </w:r>
          </w:p>
        </w:tc>
      </w:tr>
      <w:tr w:rsidR="00771F17" w14:paraId="3D9FD0B3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289F96D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anti-Perforin</w:t>
            </w:r>
          </w:p>
        </w:tc>
        <w:tc>
          <w:tcPr>
            <w:tcW w:w="2486" w:type="dxa"/>
            <w:shd w:val="clear" w:color="auto" w:fill="auto"/>
          </w:tcPr>
          <w:p w14:paraId="22329AEC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Proteintech</w:t>
            </w:r>
          </w:p>
        </w:tc>
        <w:tc>
          <w:tcPr>
            <w:tcW w:w="3508" w:type="dxa"/>
            <w:shd w:val="clear" w:color="auto" w:fill="auto"/>
          </w:tcPr>
          <w:p w14:paraId="0A6E1EC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14580-1-AP</w:t>
            </w:r>
            <w:r>
              <w:rPr>
                <w:rFonts w:ascii="Times New Roman" w:hAnsi="Times New Roman"/>
                <w:sz w:val="20"/>
                <w:szCs w:val="20"/>
              </w:rPr>
              <w:t>; RRID:AB_10639524</w:t>
            </w:r>
          </w:p>
        </w:tc>
      </w:tr>
      <w:tr w:rsidR="00771F17" w14:paraId="4744C391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716280A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anti-Beta actin</w:t>
            </w:r>
          </w:p>
        </w:tc>
        <w:tc>
          <w:tcPr>
            <w:tcW w:w="2486" w:type="dxa"/>
            <w:shd w:val="clear" w:color="auto" w:fill="auto"/>
          </w:tcPr>
          <w:p w14:paraId="680AC645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Proteintech</w:t>
            </w:r>
          </w:p>
        </w:tc>
        <w:tc>
          <w:tcPr>
            <w:tcW w:w="3508" w:type="dxa"/>
            <w:shd w:val="clear" w:color="auto" w:fill="auto"/>
          </w:tcPr>
          <w:p w14:paraId="00653F94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66009-1-Ig</w:t>
            </w:r>
            <w:r>
              <w:rPr>
                <w:rFonts w:ascii="Times New Roman" w:hAnsi="Times New Roman"/>
                <w:sz w:val="20"/>
                <w:szCs w:val="20"/>
              </w:rPr>
              <w:t>; RRID:AB_2687938</w:t>
            </w:r>
          </w:p>
        </w:tc>
      </w:tr>
      <w:tr w:rsidR="00771F17" w14:paraId="6A555000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40F715D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anti-GAPDH</w:t>
            </w:r>
          </w:p>
        </w:tc>
        <w:tc>
          <w:tcPr>
            <w:tcW w:w="2486" w:type="dxa"/>
            <w:shd w:val="clear" w:color="auto" w:fill="auto"/>
          </w:tcPr>
          <w:p w14:paraId="4F7CBCEC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Proteintech</w:t>
            </w:r>
          </w:p>
        </w:tc>
        <w:tc>
          <w:tcPr>
            <w:tcW w:w="3508" w:type="dxa"/>
            <w:shd w:val="clear" w:color="auto" w:fill="auto"/>
          </w:tcPr>
          <w:p w14:paraId="7F689627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60004-1-Ig</w:t>
            </w:r>
            <w:r>
              <w:rPr>
                <w:rFonts w:ascii="Times New Roman" w:hAnsi="Times New Roman"/>
                <w:sz w:val="20"/>
                <w:szCs w:val="20"/>
              </w:rPr>
              <w:t>; RRID:AB_2107436</w:t>
            </w:r>
          </w:p>
        </w:tc>
      </w:tr>
      <w:tr w:rsidR="00771F17" w14:paraId="7C51294C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65EAF753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anti-Histone-H3</w:t>
            </w:r>
          </w:p>
        </w:tc>
        <w:tc>
          <w:tcPr>
            <w:tcW w:w="2486" w:type="dxa"/>
            <w:shd w:val="clear" w:color="auto" w:fill="auto"/>
          </w:tcPr>
          <w:p w14:paraId="021F178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Proteintech</w:t>
            </w:r>
          </w:p>
        </w:tc>
        <w:tc>
          <w:tcPr>
            <w:tcW w:w="3508" w:type="dxa"/>
            <w:shd w:val="clear" w:color="auto" w:fill="auto"/>
          </w:tcPr>
          <w:p w14:paraId="7DD5560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17168-1-AP</w:t>
            </w:r>
            <w:r>
              <w:rPr>
                <w:rFonts w:ascii="Times New Roman" w:hAnsi="Times New Roman"/>
                <w:sz w:val="20"/>
                <w:szCs w:val="20"/>
              </w:rPr>
              <w:t>; RRID:AB_2716755</w:t>
            </w:r>
          </w:p>
        </w:tc>
      </w:tr>
      <w:tr w:rsidR="00771F17" w14:paraId="3BFB338B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50AA3DB9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 anti-Claudin-1</w:t>
            </w:r>
          </w:p>
        </w:tc>
        <w:tc>
          <w:tcPr>
            <w:tcW w:w="2486" w:type="dxa"/>
            <w:shd w:val="clear" w:color="auto" w:fill="auto"/>
          </w:tcPr>
          <w:p w14:paraId="2E0EB87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Huabio</w:t>
            </w:r>
          </w:p>
        </w:tc>
        <w:tc>
          <w:tcPr>
            <w:tcW w:w="3508" w:type="dxa"/>
            <w:shd w:val="clear" w:color="auto" w:fill="auto"/>
          </w:tcPr>
          <w:p w14:paraId="05C6F03E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Cat# RT1141</w:t>
            </w:r>
          </w:p>
        </w:tc>
      </w:tr>
      <w:tr w:rsidR="00771F17" w14:paraId="52651E01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EF53E1A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anti-Caspase-3</w:t>
            </w:r>
          </w:p>
        </w:tc>
        <w:tc>
          <w:tcPr>
            <w:tcW w:w="2486" w:type="dxa"/>
            <w:shd w:val="clear" w:color="auto" w:fill="auto"/>
          </w:tcPr>
          <w:p w14:paraId="115C46C9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Huabio</w:t>
            </w:r>
          </w:p>
        </w:tc>
        <w:tc>
          <w:tcPr>
            <w:tcW w:w="3508" w:type="dxa"/>
            <w:shd w:val="clear" w:color="auto" w:fill="auto"/>
          </w:tcPr>
          <w:p w14:paraId="1C14509B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ET1602-39</w:t>
            </w:r>
            <w:r>
              <w:rPr>
                <w:rFonts w:ascii="Times New Roman" w:hAnsi="Times New Roman"/>
                <w:sz w:val="20"/>
                <w:szCs w:val="20"/>
              </w:rPr>
              <w:t>; RRID:AB_3069652</w:t>
            </w:r>
          </w:p>
        </w:tc>
      </w:tr>
      <w:tr w:rsidR="00771F17" w14:paraId="1EAD1F77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0C3CE216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Rabbit anti-IKB alpha</w:t>
            </w:r>
          </w:p>
        </w:tc>
        <w:tc>
          <w:tcPr>
            <w:tcW w:w="2486" w:type="dxa"/>
            <w:shd w:val="clear" w:color="auto" w:fill="auto"/>
          </w:tcPr>
          <w:p w14:paraId="16BA11AE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Huabio</w:t>
            </w:r>
          </w:p>
        </w:tc>
        <w:tc>
          <w:tcPr>
            <w:tcW w:w="3508" w:type="dxa"/>
            <w:shd w:val="clear" w:color="auto" w:fill="auto"/>
          </w:tcPr>
          <w:p w14:paraId="7B44EFB6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ET1603-6</w:t>
            </w:r>
            <w:r>
              <w:rPr>
                <w:rFonts w:ascii="Times New Roman" w:hAnsi="Times New Roman"/>
                <w:sz w:val="20"/>
                <w:szCs w:val="20"/>
              </w:rPr>
              <w:t>; RRID:AB_3065034</w:t>
            </w:r>
          </w:p>
        </w:tc>
      </w:tr>
      <w:tr w:rsidR="00771F17" w14:paraId="76E7451A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729CE5EE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Rabbit anti-Phospho-IKB alpha (S36) </w:t>
            </w:r>
          </w:p>
        </w:tc>
        <w:tc>
          <w:tcPr>
            <w:tcW w:w="2486" w:type="dxa"/>
            <w:shd w:val="clear" w:color="auto" w:fill="auto"/>
          </w:tcPr>
          <w:p w14:paraId="082DC32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Huabio</w:t>
            </w:r>
          </w:p>
        </w:tc>
        <w:tc>
          <w:tcPr>
            <w:tcW w:w="3508" w:type="dxa"/>
            <w:shd w:val="clear" w:color="auto" w:fill="auto"/>
          </w:tcPr>
          <w:p w14:paraId="5EA4E4B8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HA721802</w:t>
            </w:r>
            <w:r>
              <w:rPr>
                <w:rFonts w:ascii="Times New Roman" w:hAnsi="Times New Roman"/>
                <w:sz w:val="20"/>
                <w:szCs w:val="20"/>
              </w:rPr>
              <w:t>; RRID:AB_3072914</w:t>
            </w:r>
          </w:p>
        </w:tc>
      </w:tr>
      <w:tr w:rsidR="00771F17" w14:paraId="08DE933C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152E39E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FITC anti-human HLA-DR, DP, DQ </w:t>
            </w:r>
          </w:p>
        </w:tc>
        <w:tc>
          <w:tcPr>
            <w:tcW w:w="2486" w:type="dxa"/>
            <w:shd w:val="clear" w:color="auto" w:fill="auto"/>
          </w:tcPr>
          <w:p w14:paraId="03F2F0E7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Biolegend</w:t>
            </w:r>
          </w:p>
        </w:tc>
        <w:tc>
          <w:tcPr>
            <w:tcW w:w="3508" w:type="dxa"/>
            <w:shd w:val="clear" w:color="auto" w:fill="auto"/>
          </w:tcPr>
          <w:p w14:paraId="1A1092DB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361705;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RRID:AB_2563191</w:t>
            </w:r>
          </w:p>
        </w:tc>
      </w:tr>
      <w:tr w:rsidR="00771F17" w14:paraId="1A62D0B6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5DC316B3" w14:textId="77777777" w:rsidR="00771F17" w:rsidRDefault="00771F17" w:rsidP="006B106D">
            <w:pPr>
              <w:widowControl/>
              <w:tabs>
                <w:tab w:val="left" w:pos="1525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PerCP/Cyanine 5.5 anti-human CD8</w:t>
            </w:r>
          </w:p>
        </w:tc>
        <w:tc>
          <w:tcPr>
            <w:tcW w:w="2486" w:type="dxa"/>
            <w:shd w:val="clear" w:color="auto" w:fill="auto"/>
          </w:tcPr>
          <w:p w14:paraId="204AA9D2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Biolegend</w:t>
            </w:r>
          </w:p>
        </w:tc>
        <w:tc>
          <w:tcPr>
            <w:tcW w:w="3508" w:type="dxa"/>
            <w:shd w:val="clear" w:color="auto" w:fill="auto"/>
          </w:tcPr>
          <w:p w14:paraId="6B619A2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Cat#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260230</w:t>
            </w:r>
            <w:r>
              <w:rPr>
                <w:rFonts w:ascii="Times New Roman" w:hAnsi="Times New Roman"/>
                <w:sz w:val="20"/>
                <w:szCs w:val="20"/>
              </w:rPr>
              <w:t>; RRID:AB_2941450</w:t>
            </w:r>
          </w:p>
        </w:tc>
      </w:tr>
      <w:tr w:rsidR="00771F17" w14:paraId="460038A5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BED9F2C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Chemicals, peptides, and recombinant proteins</w:t>
            </w:r>
          </w:p>
        </w:tc>
      </w:tr>
      <w:tr w:rsidR="00771F17" w14:paraId="79AB3BDA" w14:textId="77777777" w:rsidTr="006B106D">
        <w:trPr>
          <w:cantSplit/>
          <w:trHeight w:val="259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1189EDBB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Penicillic acid (PCA)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7371E5F6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MCE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7390160F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HY-N6777</w:t>
            </w:r>
          </w:p>
        </w:tc>
      </w:tr>
      <w:tr w:rsidR="00771F17" w14:paraId="5DCE5E46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39240485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BMS-345541</w:t>
            </w:r>
          </w:p>
        </w:tc>
        <w:tc>
          <w:tcPr>
            <w:tcW w:w="2486" w:type="dxa"/>
            <w:shd w:val="clear" w:color="auto" w:fill="auto"/>
          </w:tcPr>
          <w:p w14:paraId="35CE329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Sigma</w:t>
            </w:r>
          </w:p>
        </w:tc>
        <w:tc>
          <w:tcPr>
            <w:tcW w:w="3508" w:type="dxa"/>
            <w:shd w:val="clear" w:color="auto" w:fill="auto"/>
          </w:tcPr>
          <w:p w14:paraId="4276ACC2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B9935</w:t>
            </w:r>
          </w:p>
        </w:tc>
      </w:tr>
      <w:tr w:rsidR="00771F17" w14:paraId="143F5462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51038E6D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Dextran 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ulfate 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odium 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alt</w:t>
            </w:r>
          </w:p>
        </w:tc>
        <w:tc>
          <w:tcPr>
            <w:tcW w:w="2486" w:type="dxa"/>
            <w:shd w:val="clear" w:color="auto" w:fill="auto"/>
          </w:tcPr>
          <w:p w14:paraId="107BD42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Mpbiochina</w:t>
            </w:r>
          </w:p>
        </w:tc>
        <w:tc>
          <w:tcPr>
            <w:tcW w:w="3508" w:type="dxa"/>
            <w:shd w:val="clear" w:color="auto" w:fill="auto"/>
          </w:tcPr>
          <w:p w14:paraId="79859202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9011-18-1</w:t>
            </w:r>
          </w:p>
        </w:tc>
      </w:tr>
      <w:tr w:rsidR="00771F17" w14:paraId="5AF85354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C94FE9A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Critical commercial assays</w:t>
            </w:r>
          </w:p>
        </w:tc>
      </w:tr>
      <w:tr w:rsidR="00771F17" w14:paraId="5DEEA324" w14:textId="77777777" w:rsidTr="006B106D">
        <w:trPr>
          <w:cantSplit/>
          <w:trHeight w:val="259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03A1A140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Human MSC </w:t>
            </w: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nalysis </w:t>
            </w:r>
            <w:r>
              <w:rPr>
                <w:rFonts w:ascii="Times New Roman" w:hAnsi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it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6AB3BEA8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biosciences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0CA62BE5" w14:textId="77777777" w:rsidR="00771F17" w:rsidRDefault="00771F17" w:rsidP="006B106D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562245</w:t>
            </w:r>
          </w:p>
        </w:tc>
      </w:tr>
      <w:tr w:rsidR="00771F17" w14:paraId="787BD6B8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6F589B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senescence-associated β-galactosidase staining kit</w:t>
            </w:r>
          </w:p>
        </w:tc>
        <w:tc>
          <w:tcPr>
            <w:tcW w:w="2486" w:type="dxa"/>
            <w:shd w:val="clear" w:color="auto" w:fill="auto"/>
          </w:tcPr>
          <w:p w14:paraId="34B067E7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Beyotime</w:t>
            </w:r>
          </w:p>
        </w:tc>
        <w:tc>
          <w:tcPr>
            <w:tcW w:w="3508" w:type="dxa"/>
            <w:shd w:val="clear" w:color="auto" w:fill="auto"/>
          </w:tcPr>
          <w:p w14:paraId="6E8ED485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C0602</w:t>
            </w:r>
          </w:p>
        </w:tc>
      </w:tr>
      <w:tr w:rsidR="00771F17" w14:paraId="3A671C46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41E939F8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Human Telomere Length Quantification qPCR Assay kit</w:t>
            </w:r>
          </w:p>
        </w:tc>
        <w:tc>
          <w:tcPr>
            <w:tcW w:w="2486" w:type="dxa"/>
            <w:shd w:val="clear" w:color="auto" w:fill="auto"/>
          </w:tcPr>
          <w:p w14:paraId="2B61B2F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ELK biotechnology</w:t>
            </w:r>
          </w:p>
        </w:tc>
        <w:tc>
          <w:tcPr>
            <w:tcW w:w="3508" w:type="dxa"/>
            <w:shd w:val="clear" w:color="auto" w:fill="auto"/>
          </w:tcPr>
          <w:p w14:paraId="5E1A84D7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EQ022</w:t>
            </w:r>
          </w:p>
        </w:tc>
      </w:tr>
      <w:tr w:rsidR="00771F17" w14:paraId="604F3B3A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20B4800D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EdU apollo488 in vitro kit</w:t>
            </w:r>
          </w:p>
        </w:tc>
        <w:tc>
          <w:tcPr>
            <w:tcW w:w="2486" w:type="dxa"/>
            <w:shd w:val="clear" w:color="auto" w:fill="auto"/>
          </w:tcPr>
          <w:p w14:paraId="47A1254D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Ribobio</w:t>
            </w:r>
          </w:p>
        </w:tc>
        <w:tc>
          <w:tcPr>
            <w:tcW w:w="3508" w:type="dxa"/>
            <w:shd w:val="clear" w:color="auto" w:fill="auto"/>
          </w:tcPr>
          <w:p w14:paraId="0C20C5C1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C10310-3</w:t>
            </w:r>
          </w:p>
        </w:tc>
      </w:tr>
      <w:tr w:rsidR="00771F17" w14:paraId="511F315F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5AA01029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DNA content detection kit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4998EAE8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Solarbio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0A78A359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CA1510</w:t>
            </w:r>
          </w:p>
        </w:tc>
      </w:tr>
      <w:tr w:rsidR="00771F17" w14:paraId="01DE32AF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34B5F183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ROS Assay kit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42FF0CED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Solarbio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4D9FADD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CA1410</w:t>
            </w:r>
          </w:p>
        </w:tc>
      </w:tr>
      <w:tr w:rsidR="00771F17" w14:paraId="5309BC8D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444B21EA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CellEvent™ Senescence Green Flow Cytometry Assay kit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1160ECA6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Invitrogen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4E63503B" w14:textId="77777777" w:rsidR="00771F17" w:rsidRDefault="00771F17" w:rsidP="006B106D">
            <w:pPr>
              <w:widowControl/>
              <w:tabs>
                <w:tab w:val="center" w:pos="1749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C10841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</w:tr>
      <w:tr w:rsidR="00771F17" w14:paraId="1239429A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37935440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CFDA, SE Cell Proliferation and Tracer Assay kit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2A13EBBA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Solarbio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5946F53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CA1200</w:t>
            </w:r>
          </w:p>
        </w:tc>
      </w:tr>
      <w:tr w:rsidR="00771F17" w14:paraId="1C127E5A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9BCD3B4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Experimental models: Cell lines</w:t>
            </w:r>
          </w:p>
        </w:tc>
      </w:tr>
      <w:tr w:rsidR="00771F17" w14:paraId="54061B29" w14:textId="77777777" w:rsidTr="006B106D">
        <w:trPr>
          <w:cantSplit/>
          <w:trHeight w:val="259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0C8613FF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lastRenderedPageBreak/>
              <w:t>Human amniotic mesenchymal stem cells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0EB9D43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Yuan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et al.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vertAlign w:val="superscript"/>
              </w:rPr>
              <w:t>[22]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0A0DF1E9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  <w:tr w:rsidR="00771F17" w14:paraId="0C43CA6A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094CD17C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Human peripheral blood mononuclear cell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630D308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en-US"/>
              </w:rPr>
              <w:t>Renner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et al.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0C0A9005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  <w:tr w:rsidR="00771F17" w14:paraId="73C9D7FB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1FB8F9A2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Human peripheral blood monocytes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164D8D6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en-US"/>
              </w:rPr>
              <w:t>Dagur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et al.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38356754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  <w:tr w:rsidR="00771F17" w14:paraId="44428F47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216FA98D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Human peripheral blood lymphocytes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53C85951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en-US"/>
              </w:rPr>
              <w:t>Dagur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et al.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4817632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  <w:tr w:rsidR="00771F17" w14:paraId="0B75DBE9" w14:textId="77777777" w:rsidTr="006B106D">
        <w:trPr>
          <w:cantSplit/>
          <w:trHeight w:val="259"/>
        </w:trPr>
        <w:tc>
          <w:tcPr>
            <w:tcW w:w="2683" w:type="dxa"/>
            <w:tcBorders>
              <w:bottom w:val="single" w:sz="2" w:space="0" w:color="000000"/>
            </w:tcBorders>
            <w:shd w:val="clear" w:color="auto" w:fill="auto"/>
          </w:tcPr>
          <w:p w14:paraId="487F69A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A549 cells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  <w:shd w:val="clear" w:color="auto" w:fill="auto"/>
          </w:tcPr>
          <w:p w14:paraId="5B05748D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Derived in house</w:t>
            </w:r>
          </w:p>
        </w:tc>
        <w:tc>
          <w:tcPr>
            <w:tcW w:w="3508" w:type="dxa"/>
            <w:tcBorders>
              <w:bottom w:val="single" w:sz="2" w:space="0" w:color="000000"/>
            </w:tcBorders>
            <w:shd w:val="clear" w:color="auto" w:fill="auto"/>
          </w:tcPr>
          <w:p w14:paraId="7B551E3C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  <w:tr w:rsidR="00771F17" w14:paraId="7506C48D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38233B7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Experimental models: Organisms/strains</w:t>
            </w:r>
          </w:p>
        </w:tc>
      </w:tr>
      <w:tr w:rsidR="00771F17" w14:paraId="5181E85C" w14:textId="77777777" w:rsidTr="006B106D">
        <w:trPr>
          <w:cantSplit/>
          <w:trHeight w:val="90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1FAF4398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C57BL/6J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21C0E720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Changsha Tianqin Biotechnology Co., Ltd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006F865A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SCXK 2019-0014</w:t>
            </w:r>
          </w:p>
        </w:tc>
      </w:tr>
      <w:tr w:rsidR="00771F17" w14:paraId="54CBD7D1" w14:textId="77777777" w:rsidTr="006B106D">
        <w:trPr>
          <w:cantSplit/>
          <w:trHeight w:val="259"/>
        </w:trPr>
        <w:tc>
          <w:tcPr>
            <w:tcW w:w="2683" w:type="dxa"/>
            <w:shd w:val="clear" w:color="auto" w:fill="auto"/>
          </w:tcPr>
          <w:p w14:paraId="7FBBFE11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ude mice</w:t>
            </w:r>
          </w:p>
        </w:tc>
        <w:tc>
          <w:tcPr>
            <w:tcW w:w="2486" w:type="dxa"/>
            <w:shd w:val="clear" w:color="auto" w:fill="auto"/>
          </w:tcPr>
          <w:p w14:paraId="6A0EC603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Spiff Beijing Biotechnology</w:t>
            </w:r>
          </w:p>
        </w:tc>
        <w:tc>
          <w:tcPr>
            <w:tcW w:w="3508" w:type="dxa"/>
            <w:shd w:val="clear" w:color="auto" w:fill="auto"/>
          </w:tcPr>
          <w:p w14:paraId="53CF5A66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color w:val="333333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/>
                <w:color w:val="333333"/>
                <w:sz w:val="20"/>
                <w:szCs w:val="20"/>
                <w:shd w:val="clear" w:color="auto" w:fill="FFFFFF"/>
                <w:lang w:eastAsia="en-US"/>
              </w:rPr>
              <w:t>SCXK 2019-0010</w:t>
            </w:r>
          </w:p>
        </w:tc>
      </w:tr>
      <w:tr w:rsidR="00771F17" w14:paraId="02A0E76A" w14:textId="77777777" w:rsidTr="006B106D">
        <w:trPr>
          <w:cantSplit/>
          <w:trHeight w:val="259"/>
        </w:trPr>
        <w:tc>
          <w:tcPr>
            <w:tcW w:w="867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2341D2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Software and algorithms</w:t>
            </w:r>
          </w:p>
        </w:tc>
      </w:tr>
      <w:tr w:rsidR="00771F17" w14:paraId="6B4C80CC" w14:textId="77777777" w:rsidTr="006B106D">
        <w:trPr>
          <w:cantSplit/>
          <w:trHeight w:val="259"/>
        </w:trPr>
        <w:tc>
          <w:tcPr>
            <w:tcW w:w="2683" w:type="dxa"/>
            <w:tcBorders>
              <w:top w:val="single" w:sz="12" w:space="0" w:color="000000"/>
            </w:tcBorders>
            <w:shd w:val="clear" w:color="auto" w:fill="auto"/>
          </w:tcPr>
          <w:p w14:paraId="71DA83FA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Adobe Prime</w:t>
            </w:r>
          </w:p>
        </w:tc>
        <w:tc>
          <w:tcPr>
            <w:tcW w:w="2486" w:type="dxa"/>
            <w:tcBorders>
              <w:top w:val="single" w:sz="12" w:space="0" w:color="000000"/>
            </w:tcBorders>
            <w:shd w:val="clear" w:color="auto" w:fill="auto"/>
          </w:tcPr>
          <w:p w14:paraId="6706100C" w14:textId="77777777" w:rsidR="00771F17" w:rsidRDefault="00771F17" w:rsidP="006B106D">
            <w:pPr>
              <w:widowControl/>
              <w:jc w:val="left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www.adobe.com</w:t>
            </w:r>
          </w:p>
        </w:tc>
        <w:tc>
          <w:tcPr>
            <w:tcW w:w="3508" w:type="dxa"/>
            <w:tcBorders>
              <w:top w:val="single" w:sz="12" w:space="0" w:color="000000"/>
            </w:tcBorders>
            <w:shd w:val="clear" w:color="auto" w:fill="auto"/>
          </w:tcPr>
          <w:p w14:paraId="6EA2816F" w14:textId="77777777" w:rsidR="00771F17" w:rsidRDefault="00771F17" w:rsidP="006B106D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</w:tr>
    </w:tbl>
    <w:p w14:paraId="70F60D83" w14:textId="77777777" w:rsidR="00771F17" w:rsidRDefault="00771F17" w:rsidP="00771F17">
      <w:pPr>
        <w:jc w:val="left"/>
        <w:rPr>
          <w:rFonts w:ascii="Times New Roman" w:hAnsi="Times New Roman"/>
          <w:b/>
          <w:bCs/>
          <w:sz w:val="28"/>
          <w:szCs w:val="36"/>
        </w:rPr>
      </w:pPr>
    </w:p>
    <w:p w14:paraId="2A716116" w14:textId="77777777" w:rsidR="00771F17" w:rsidRDefault="00771F17" w:rsidP="00771F17"/>
    <w:p w14:paraId="09813153" w14:textId="77777777" w:rsidR="00771F17" w:rsidRDefault="00771F17" w:rsidP="00771F17">
      <w:pPr>
        <w:spacing w:line="360" w:lineRule="auto"/>
        <w:rPr>
          <w:rFonts w:ascii="Times New Roman" w:hAnsi="Times New Roman"/>
          <w:color w:val="C00000"/>
          <w:sz w:val="24"/>
        </w:rPr>
      </w:pPr>
    </w:p>
    <w:p w14:paraId="7E1C8CF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F17"/>
    <w:rsid w:val="003C2EF4"/>
    <w:rsid w:val="00423812"/>
    <w:rsid w:val="00771F17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43FB7"/>
  <w15:chartTrackingRefBased/>
  <w15:docId w15:val="{89032141-910A-4A2D-B8AC-91912B891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F17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F1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F1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F17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F17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F17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F17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F17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F17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F17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F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F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F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F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F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F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F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F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F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F1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1F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F17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1F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F17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1F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F17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1F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F1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F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F17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autoRedefine/>
    <w:qFormat/>
    <w:rsid w:val="00771F17"/>
    <w:pPr>
      <w:widowControl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lang w:eastAsia="en-US"/>
    </w:rPr>
  </w:style>
  <w:style w:type="table" w:styleId="TableGrid">
    <w:name w:val="Table Grid"/>
    <w:basedOn w:val="TableNormal"/>
    <w:uiPriority w:val="59"/>
    <w:qFormat/>
    <w:rsid w:val="00771F1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908</Words>
  <Characters>5178</Characters>
  <Application>Microsoft Office Word</Application>
  <DocSecurity>0</DocSecurity>
  <Lines>43</Lines>
  <Paragraphs>12</Paragraphs>
  <ScaleCrop>false</ScaleCrop>
  <Company>Springer Nature</Company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2025-04-02T09:10:00Z</dcterms:created>
  <dcterms:modified xsi:type="dcterms:W3CDTF">2025-04-02T09:12:00Z</dcterms:modified>
</cp:coreProperties>
</file>