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0693D" w14:textId="77777777" w:rsidR="00791F39" w:rsidRDefault="00791F39" w:rsidP="00791F39">
      <w:pPr>
        <w:jc w:val="left"/>
        <w:rPr>
          <w:rFonts w:ascii="Times New Roman" w:hAnsi="Times New Roman"/>
          <w:b/>
          <w:bCs/>
          <w:sz w:val="28"/>
          <w:szCs w:val="36"/>
        </w:rPr>
      </w:pPr>
      <w:r>
        <w:rPr>
          <w:rFonts w:ascii="Times New Roman" w:hAnsi="Times New Roman" w:hint="eastAsia"/>
          <w:b/>
          <w:bCs/>
          <w:sz w:val="28"/>
          <w:szCs w:val="36"/>
        </w:rPr>
        <w:t>Graphical abstract</w:t>
      </w:r>
    </w:p>
    <w:p w14:paraId="2CF20BDA" w14:textId="77777777" w:rsidR="00791F39" w:rsidRDefault="00791F39" w:rsidP="00791F39">
      <w:pPr>
        <w:pStyle w:val="AbstractSummary"/>
        <w:spacing w:before="0"/>
        <w:rPr>
          <w:b/>
          <w:bCs/>
          <w:sz w:val="28"/>
          <w:szCs w:val="36"/>
          <w:lang w:eastAsia="zh-CN"/>
        </w:rPr>
      </w:pPr>
      <w:r>
        <w:rPr>
          <w:b/>
          <w:bCs/>
          <w:noProof/>
          <w:sz w:val="28"/>
          <w:szCs w:val="36"/>
          <w:lang w:eastAsia="zh-CN"/>
        </w:rPr>
        <w:drawing>
          <wp:inline distT="0" distB="0" distL="114300" distR="114300" wp14:anchorId="693DAFF4" wp14:editId="7E941860">
            <wp:extent cx="5269865" cy="3872230"/>
            <wp:effectExtent l="0" t="0" r="6985" b="13970"/>
            <wp:docPr id="10" name="图片 10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未标题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87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D67A3" w14:textId="77777777" w:rsidR="00791F39" w:rsidRDefault="00791F39" w:rsidP="00791F39">
      <w:pPr>
        <w:pStyle w:val="AbstractSummary"/>
        <w:adjustRightInd w:val="0"/>
        <w:snapToGrid w:val="0"/>
        <w:spacing w:before="0" w:line="360" w:lineRule="auto"/>
        <w:jc w:val="both"/>
        <w:rPr>
          <w:b/>
        </w:rPr>
      </w:pPr>
      <w:r>
        <w:rPr>
          <w:rFonts w:hint="eastAsia"/>
          <w:color w:val="C00000"/>
        </w:rPr>
        <w:t>Human peripheral blood lymphocytes (PBLs) rejuvenate aged human amniotic mesenchymal stem cells (hAMSCs)</w:t>
      </w:r>
      <w:r>
        <w:rPr>
          <w:rFonts w:eastAsia="SimSun" w:hint="eastAsia"/>
          <w:color w:val="C00000"/>
          <w:lang w:eastAsia="zh-CN"/>
        </w:rPr>
        <w:t xml:space="preserve"> at </w:t>
      </w:r>
      <w:r>
        <w:rPr>
          <w:rFonts w:hint="eastAsia"/>
          <w:color w:val="C00000"/>
        </w:rPr>
        <w:t>passage 10</w:t>
      </w:r>
      <w:r>
        <w:rPr>
          <w:rFonts w:eastAsia="SimSun" w:hint="eastAsia"/>
          <w:color w:val="C00000"/>
          <w:lang w:eastAsia="zh-CN"/>
        </w:rPr>
        <w:t xml:space="preserve"> (P10)</w:t>
      </w:r>
      <w:r>
        <w:rPr>
          <w:rFonts w:hint="eastAsia"/>
          <w:color w:val="C00000"/>
        </w:rPr>
        <w:t xml:space="preserve"> via a dual-mechanism that </w:t>
      </w:r>
      <w:r>
        <w:rPr>
          <w:rFonts w:eastAsia="SimSun" w:hint="eastAsia"/>
          <w:color w:val="C00000"/>
          <w:lang w:eastAsia="zh-CN"/>
        </w:rPr>
        <w:t xml:space="preserve">induces </w:t>
      </w:r>
      <w:r>
        <w:rPr>
          <w:rFonts w:hint="eastAsia"/>
          <w:color w:val="C00000"/>
        </w:rPr>
        <w:t xml:space="preserve">senescent cell </w:t>
      </w:r>
      <w:r>
        <w:rPr>
          <w:rFonts w:eastAsia="SimSun" w:hint="eastAsia"/>
          <w:color w:val="C00000"/>
          <w:lang w:eastAsia="zh-CN"/>
        </w:rPr>
        <w:t xml:space="preserve">apoptosis by </w:t>
      </w:r>
      <w:r>
        <w:rPr>
          <w:rFonts w:hint="eastAsia"/>
          <w:color w:val="C00000"/>
          <w:szCs w:val="32"/>
          <w:lang w:eastAsia="zh-CN"/>
        </w:rPr>
        <w:t>p</w:t>
      </w:r>
      <w:r>
        <w:rPr>
          <w:color w:val="C00000"/>
          <w:szCs w:val="32"/>
          <w:lang w:eastAsia="zh-CN"/>
        </w:rPr>
        <w:t>53-dependent mitochondrial pathway</w:t>
      </w:r>
      <w:r>
        <w:rPr>
          <w:rFonts w:eastAsia="SimSun" w:hint="eastAsia"/>
          <w:color w:val="C00000"/>
          <w:lang w:eastAsia="zh-CN"/>
        </w:rPr>
        <w:t xml:space="preserve"> </w:t>
      </w:r>
      <w:r>
        <w:rPr>
          <w:rFonts w:hint="eastAsia"/>
          <w:color w:val="C00000"/>
        </w:rPr>
        <w:t xml:space="preserve">and </w:t>
      </w:r>
      <w:r>
        <w:rPr>
          <w:rFonts w:eastAsia="SimSun" w:hint="eastAsia"/>
          <w:color w:val="C00000"/>
          <w:lang w:eastAsia="zh-CN"/>
        </w:rPr>
        <w:t xml:space="preserve">promotes younger cell </w:t>
      </w:r>
      <w:r>
        <w:rPr>
          <w:rFonts w:hint="eastAsia"/>
          <w:color w:val="C00000"/>
        </w:rPr>
        <w:t xml:space="preserve">proliferation </w:t>
      </w:r>
      <w:r>
        <w:rPr>
          <w:rFonts w:eastAsia="SimSun" w:hint="eastAsia"/>
          <w:color w:val="C00000"/>
          <w:lang w:eastAsia="zh-CN"/>
        </w:rPr>
        <w:t>by</w:t>
      </w:r>
      <w:r>
        <w:rPr>
          <w:rFonts w:hint="eastAsia"/>
          <w:color w:val="C00000"/>
          <w:lang w:eastAsia="zh-CN"/>
        </w:rPr>
        <w:t xml:space="preserve"> Serpinb2/</w:t>
      </w:r>
      <w:r>
        <w:rPr>
          <w:rFonts w:hint="eastAsia"/>
          <w:color w:val="C00000"/>
        </w:rPr>
        <w:t>NF-κB signal</w:t>
      </w:r>
      <w:r>
        <w:rPr>
          <w:rFonts w:hint="eastAsia"/>
          <w:color w:val="C00000"/>
          <w:lang w:eastAsia="zh-CN"/>
        </w:rPr>
        <w:t xml:space="preserve"> axis </w:t>
      </w:r>
      <w:r>
        <w:rPr>
          <w:rFonts w:hint="eastAsia"/>
          <w:color w:val="C00000"/>
        </w:rPr>
        <w:t>within a coculture system.</w:t>
      </w:r>
      <w:r>
        <w:rPr>
          <w:rFonts w:eastAsia="SimSun" w:hint="eastAsia"/>
          <w:lang w:eastAsia="zh-CN"/>
        </w:rPr>
        <w:t xml:space="preserve"> </w:t>
      </w:r>
      <w:r>
        <w:rPr>
          <w:b/>
        </w:rPr>
        <w:br w:type="page"/>
      </w:r>
    </w:p>
    <w:p w14:paraId="7B7F1138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F39"/>
    <w:rsid w:val="003C2EF4"/>
    <w:rsid w:val="00423812"/>
    <w:rsid w:val="00791F39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0B4F1"/>
  <w15:chartTrackingRefBased/>
  <w15:docId w15:val="{4B78B785-A242-4E0B-A699-B15392FC8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F39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1F39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1F39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1F39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1F39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1F39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1F39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1F39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1F39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1F39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1F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1F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1F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1F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1F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1F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1F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1F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1F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1F3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91F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1F39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91F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1F39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91F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1F39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91F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1F3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1F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1F39"/>
    <w:rPr>
      <w:b/>
      <w:bCs/>
      <w:smallCaps/>
      <w:color w:val="0F4761" w:themeColor="accent1" w:themeShade="BF"/>
      <w:spacing w:val="5"/>
    </w:rPr>
  </w:style>
  <w:style w:type="paragraph" w:customStyle="1" w:styleId="AbstractSummary">
    <w:name w:val="Abstract/Summary"/>
    <w:basedOn w:val="Normal"/>
    <w:autoRedefine/>
    <w:qFormat/>
    <w:rsid w:val="00791F39"/>
    <w:pPr>
      <w:widowControl/>
      <w:spacing w:before="120"/>
      <w:jc w:val="left"/>
    </w:pPr>
    <w:rPr>
      <w:rFonts w:ascii="Times New Roman" w:eastAsia="Times New Roman" w:hAnsi="Times New Roman"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293</Characters>
  <Application>Microsoft Office Word</Application>
  <DocSecurity>0</DocSecurity>
  <Lines>2</Lines>
  <Paragraphs>1</Paragraphs>
  <ScaleCrop>false</ScaleCrop>
  <Company>Springer Nature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2025-04-02T09:09:00Z</dcterms:created>
  <dcterms:modified xsi:type="dcterms:W3CDTF">2025-04-02T09:09:00Z</dcterms:modified>
</cp:coreProperties>
</file>