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73ED" w:rsidRPr="003C699A" w:rsidRDefault="00A973ED" w:rsidP="00A973ED">
      <w:pPr>
        <w:spacing w:line="480" w:lineRule="auto"/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 w:rsidRPr="003C699A">
        <w:rPr>
          <w:rFonts w:ascii="Times New Roman" w:hAnsi="Times New Roman" w:cs="Times New Roman"/>
          <w:b/>
          <w:bCs/>
          <w:sz w:val="28"/>
          <w:szCs w:val="32"/>
        </w:rPr>
        <w:t xml:space="preserve">Regional and chronological differences in </w:t>
      </w:r>
      <w:proofErr w:type="spellStart"/>
      <w:r w:rsidRPr="003C699A">
        <w:rPr>
          <w:rFonts w:ascii="Times New Roman" w:hAnsi="Times New Roman" w:cs="Times New Roman"/>
          <w:b/>
          <w:bCs/>
          <w:sz w:val="28"/>
          <w:szCs w:val="32"/>
        </w:rPr>
        <w:t>prevalences</w:t>
      </w:r>
      <w:proofErr w:type="spellEnd"/>
      <w:r w:rsidRPr="003C699A">
        <w:rPr>
          <w:rFonts w:ascii="Times New Roman" w:hAnsi="Times New Roman" w:cs="Times New Roman"/>
          <w:b/>
          <w:bCs/>
          <w:sz w:val="28"/>
          <w:szCs w:val="32"/>
        </w:rPr>
        <w:t xml:space="preserve"> of olfactory and gustatory dysfunction in coronavirus disease (COVID-19): a systemic review and meta-analysis</w:t>
      </w:r>
    </w:p>
    <w:p w:rsidR="00A973ED" w:rsidRPr="003C699A" w:rsidRDefault="00A973ED" w:rsidP="00A973ED">
      <w:pPr>
        <w:spacing w:line="480" w:lineRule="auto"/>
        <w:jc w:val="left"/>
        <w:rPr>
          <w:rFonts w:ascii="Times New Roman" w:eastAsia="바탕" w:hAnsi="Times New Roman" w:cs="Times New Roman"/>
          <w:bCs/>
          <w:kern w:val="0"/>
          <w:sz w:val="24"/>
          <w:szCs w:val="24"/>
        </w:rPr>
      </w:pPr>
    </w:p>
    <w:p w:rsidR="00A973ED" w:rsidRPr="003C699A" w:rsidRDefault="00A973ED" w:rsidP="00A973ED">
      <w:pPr>
        <w:spacing w:line="480" w:lineRule="auto"/>
        <w:jc w:val="left"/>
        <w:rPr>
          <w:rFonts w:ascii="Times New Roman" w:eastAsia="바탕" w:hAnsi="Times New Roman" w:cs="Times New Roman"/>
          <w:sz w:val="24"/>
          <w:szCs w:val="24"/>
          <w:vertAlign w:val="superscript"/>
        </w:rPr>
      </w:pPr>
      <w:proofErr w:type="spellStart"/>
      <w:r w:rsidRPr="003C699A">
        <w:rPr>
          <w:rFonts w:ascii="Times New Roman" w:eastAsia="바탕" w:hAnsi="Times New Roman" w:cs="Times New Roman"/>
          <w:sz w:val="24"/>
          <w:szCs w:val="24"/>
        </w:rPr>
        <w:t>Jeong-Whun</w:t>
      </w:r>
      <w:proofErr w:type="spellEnd"/>
      <w:r w:rsidRPr="003C699A">
        <w:rPr>
          <w:rFonts w:ascii="Times New Roman" w:eastAsia="바탕" w:hAnsi="Times New Roman" w:cs="Times New Roman"/>
          <w:sz w:val="24"/>
          <w:szCs w:val="24"/>
        </w:rPr>
        <w:t xml:space="preserve"> Kim, MD, PhD</w:t>
      </w:r>
      <w:r w:rsidRPr="003C699A">
        <w:rPr>
          <w:rFonts w:ascii="Times New Roman" w:eastAsia="바탕" w:hAnsi="Times New Roman" w:cs="Times New Roman"/>
          <w:sz w:val="24"/>
          <w:szCs w:val="24"/>
          <w:vertAlign w:val="superscript"/>
        </w:rPr>
        <w:t>1</w:t>
      </w:r>
      <w:r w:rsidRPr="003C699A">
        <w:rPr>
          <w:rFonts w:ascii="Times New Roman" w:eastAsia="바탕" w:hAnsi="Times New Roman" w:cs="Times New Roman"/>
          <w:sz w:val="24"/>
          <w:szCs w:val="24"/>
        </w:rPr>
        <w:t>, Seung Cheol Han, MD</w:t>
      </w:r>
      <w:r w:rsidRPr="003C699A">
        <w:rPr>
          <w:rFonts w:ascii="Times New Roman" w:eastAsia="바탕" w:hAnsi="Times New Roman" w:cs="Times New Roman"/>
          <w:sz w:val="24"/>
          <w:szCs w:val="24"/>
          <w:vertAlign w:val="superscript"/>
        </w:rPr>
        <w:t>1</w:t>
      </w:r>
      <w:r w:rsidRPr="003C699A">
        <w:rPr>
          <w:rFonts w:ascii="Times New Roman" w:eastAsia="바탕" w:hAnsi="Times New Roman" w:cs="Times New Roman"/>
          <w:sz w:val="24"/>
          <w:szCs w:val="24"/>
        </w:rPr>
        <w:t>, Hyung Dong Jo</w:t>
      </w:r>
      <w:r w:rsidRPr="003C699A">
        <w:rPr>
          <w:rFonts w:ascii="Times New Roman" w:eastAsia="바탕" w:hAnsi="Times New Roman" w:cs="Times New Roman"/>
          <w:sz w:val="24"/>
          <w:szCs w:val="24"/>
          <w:vertAlign w:val="superscript"/>
        </w:rPr>
        <w:t>1</w:t>
      </w:r>
      <w:r w:rsidRPr="003C699A">
        <w:rPr>
          <w:rFonts w:ascii="Times New Roman" w:eastAsia="바탕" w:hAnsi="Times New Roman" w:cs="Times New Roman"/>
          <w:sz w:val="24"/>
          <w:szCs w:val="24"/>
        </w:rPr>
        <w:t>, Sung-Woo Cho, MD</w:t>
      </w:r>
      <w:r w:rsidRPr="003C699A">
        <w:rPr>
          <w:rFonts w:ascii="Times New Roman" w:eastAsia="바탕" w:hAnsi="Times New Roman" w:cs="Times New Roman"/>
          <w:sz w:val="24"/>
          <w:szCs w:val="24"/>
          <w:vertAlign w:val="superscript"/>
        </w:rPr>
        <w:t>1</w:t>
      </w:r>
      <w:r w:rsidRPr="003C699A">
        <w:rPr>
          <w:rFonts w:ascii="Times New Roman" w:eastAsia="바탕" w:hAnsi="Times New Roman" w:cs="Times New Roman"/>
          <w:sz w:val="24"/>
          <w:szCs w:val="24"/>
        </w:rPr>
        <w:t xml:space="preserve">, </w:t>
      </w:r>
      <w:proofErr w:type="spellStart"/>
      <w:r w:rsidRPr="003C699A">
        <w:rPr>
          <w:rFonts w:ascii="Times New Roman" w:eastAsia="맑은 고딕" w:hAnsi="Times New Roman" w:cs="Times New Roman"/>
          <w:color w:val="111111"/>
          <w:sz w:val="24"/>
          <w:szCs w:val="24"/>
          <w:shd w:val="clear" w:color="auto" w:fill="FFFFFF"/>
        </w:rPr>
        <w:t>Jin</w:t>
      </w:r>
      <w:proofErr w:type="spellEnd"/>
      <w:r w:rsidRPr="003C699A">
        <w:rPr>
          <w:rFonts w:ascii="Times New Roman" w:eastAsia="맑은 고딕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3C699A">
        <w:rPr>
          <w:rFonts w:ascii="Times New Roman" w:eastAsia="맑은 고딕" w:hAnsi="Times New Roman" w:cs="Times New Roman"/>
          <w:color w:val="111111"/>
          <w:sz w:val="24"/>
          <w:szCs w:val="24"/>
          <w:shd w:val="clear" w:color="auto" w:fill="FFFFFF"/>
        </w:rPr>
        <w:t>Youp</w:t>
      </w:r>
      <w:proofErr w:type="spellEnd"/>
      <w:r w:rsidRPr="003C699A">
        <w:rPr>
          <w:rFonts w:ascii="Times New Roman" w:eastAsia="맑은 고딕" w:hAnsi="Times New Roman" w:cs="Times New Roman"/>
          <w:color w:val="111111"/>
          <w:sz w:val="24"/>
          <w:szCs w:val="24"/>
          <w:shd w:val="clear" w:color="auto" w:fill="FFFFFF"/>
        </w:rPr>
        <w:t xml:space="preserve"> Kim</w:t>
      </w:r>
      <w:r w:rsidRPr="003C699A">
        <w:rPr>
          <w:rFonts w:ascii="Times New Roman" w:eastAsia="바탕" w:hAnsi="Times New Roman" w:cs="Times New Roman"/>
          <w:sz w:val="24"/>
          <w:szCs w:val="24"/>
        </w:rPr>
        <w:t>, MD</w:t>
      </w:r>
      <w:r w:rsidRPr="003C699A">
        <w:rPr>
          <w:rFonts w:ascii="Times New Roman" w:eastAsia="바탕" w:hAnsi="Times New Roman" w:cs="Times New Roman"/>
          <w:sz w:val="24"/>
          <w:szCs w:val="24"/>
          <w:vertAlign w:val="superscript"/>
        </w:rPr>
        <w:t>1</w:t>
      </w:r>
      <w:r w:rsidR="00DB71A8">
        <w:rPr>
          <w:rFonts w:ascii="Times New Roman" w:eastAsia="바탕" w:hAnsi="Times New Roman" w:cs="Times New Roman"/>
          <w:sz w:val="24"/>
          <w:szCs w:val="24"/>
          <w:vertAlign w:val="superscript"/>
        </w:rPr>
        <w:t>,2*</w:t>
      </w:r>
    </w:p>
    <w:p w:rsidR="00A973ED" w:rsidRDefault="00A973ED" w:rsidP="00A973ED">
      <w:pPr>
        <w:spacing w:line="480" w:lineRule="auto"/>
        <w:jc w:val="left"/>
        <w:rPr>
          <w:rFonts w:ascii="Times New Roman" w:eastAsia="바탕" w:hAnsi="Times New Roman" w:cs="Times New Roman"/>
          <w:sz w:val="24"/>
          <w:szCs w:val="24"/>
        </w:rPr>
      </w:pPr>
      <w:r w:rsidRPr="003C699A">
        <w:rPr>
          <w:rFonts w:ascii="Times New Roman" w:eastAsia="바탕" w:hAnsi="Times New Roman" w:cs="Times New Roman"/>
          <w:sz w:val="24"/>
          <w:szCs w:val="24"/>
          <w:vertAlign w:val="superscript"/>
        </w:rPr>
        <w:t>1</w:t>
      </w:r>
      <w:r w:rsidRPr="003C699A">
        <w:rPr>
          <w:rFonts w:ascii="Times New Roman" w:eastAsia="바탕" w:hAnsi="Times New Roman" w:cs="Times New Roman"/>
          <w:sz w:val="24"/>
          <w:szCs w:val="24"/>
        </w:rPr>
        <w:t xml:space="preserve">Department of Otorhinolaryngology-Head and Neck Surgery, Seoul National University College of Medicine, Seoul National University </w:t>
      </w:r>
      <w:proofErr w:type="spellStart"/>
      <w:r w:rsidRPr="003C699A">
        <w:rPr>
          <w:rFonts w:ascii="Times New Roman" w:eastAsia="바탕" w:hAnsi="Times New Roman" w:cs="Times New Roman"/>
          <w:sz w:val="24"/>
          <w:szCs w:val="24"/>
        </w:rPr>
        <w:t>Bundang</w:t>
      </w:r>
      <w:proofErr w:type="spellEnd"/>
      <w:r w:rsidRPr="003C699A">
        <w:rPr>
          <w:rFonts w:ascii="Times New Roman" w:eastAsia="바탕" w:hAnsi="Times New Roman" w:cs="Times New Roman"/>
          <w:sz w:val="24"/>
          <w:szCs w:val="24"/>
        </w:rPr>
        <w:t xml:space="preserve"> Hospital, </w:t>
      </w:r>
      <w:proofErr w:type="spellStart"/>
      <w:r w:rsidRPr="003C699A">
        <w:rPr>
          <w:rFonts w:ascii="Times New Roman" w:eastAsia="바탕" w:hAnsi="Times New Roman" w:cs="Times New Roman"/>
          <w:sz w:val="24"/>
          <w:szCs w:val="24"/>
        </w:rPr>
        <w:t>Sungnam</w:t>
      </w:r>
      <w:proofErr w:type="spellEnd"/>
      <w:r w:rsidRPr="003C699A">
        <w:rPr>
          <w:rFonts w:ascii="Times New Roman" w:eastAsia="바탕" w:hAnsi="Times New Roman" w:cs="Times New Roman"/>
          <w:sz w:val="24"/>
          <w:szCs w:val="24"/>
        </w:rPr>
        <w:t>, Korea</w:t>
      </w:r>
    </w:p>
    <w:p w:rsidR="00DB71A8" w:rsidRPr="000E49AE" w:rsidRDefault="00DB71A8" w:rsidP="00DB71A8">
      <w:pPr>
        <w:spacing w:line="480" w:lineRule="auto"/>
        <w:jc w:val="left"/>
        <w:rPr>
          <w:rFonts w:ascii="Times New Roman" w:eastAsia="바탕" w:hAnsi="Times New Roman" w:cs="Times New Roman"/>
          <w:sz w:val="24"/>
          <w:szCs w:val="24"/>
        </w:rPr>
      </w:pPr>
      <w:bookmarkStart w:id="0" w:name="_Hlk47693939"/>
      <w:r w:rsidRPr="006E5CD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E5CD2">
        <w:rPr>
          <w:rFonts w:ascii="Times New Roman" w:eastAsia="바탕" w:hAnsi="Times New Roman" w:cs="Times New Roman"/>
          <w:sz w:val="24"/>
          <w:szCs w:val="24"/>
        </w:rPr>
        <w:t>Interdisciplinary Program of Medical Informatics, Seoul National University College of Medicine</w:t>
      </w:r>
    </w:p>
    <w:bookmarkEnd w:id="0"/>
    <w:p w:rsidR="00A973ED" w:rsidRPr="003C699A" w:rsidRDefault="00A973ED" w:rsidP="00A973ED">
      <w:pPr>
        <w:wordWrap/>
        <w:spacing w:line="480" w:lineRule="auto"/>
        <w:jc w:val="left"/>
        <w:rPr>
          <w:rFonts w:ascii="Times New Roman" w:eastAsia="HY신명조" w:hAnsi="Times New Roman" w:cs="Times New Roman"/>
          <w:sz w:val="24"/>
          <w:szCs w:val="24"/>
        </w:rPr>
      </w:pPr>
      <w:r w:rsidRPr="003C699A">
        <w:rPr>
          <w:rFonts w:ascii="Times New Roman" w:eastAsia="HY신명조" w:hAnsi="Times New Roman" w:cs="Times New Roman"/>
          <w:sz w:val="24"/>
          <w:szCs w:val="24"/>
        </w:rPr>
        <w:t xml:space="preserve">*Corresponding author: </w:t>
      </w:r>
      <w:proofErr w:type="spellStart"/>
      <w:r w:rsidRPr="003C699A">
        <w:rPr>
          <w:rFonts w:ascii="Times New Roman" w:eastAsia="맑은 고딕" w:hAnsi="Times New Roman" w:cs="Times New Roman"/>
          <w:color w:val="111111"/>
          <w:sz w:val="24"/>
          <w:szCs w:val="24"/>
          <w:shd w:val="clear" w:color="auto" w:fill="FFFFFF"/>
        </w:rPr>
        <w:t>Jin</w:t>
      </w:r>
      <w:proofErr w:type="spellEnd"/>
      <w:r w:rsidRPr="003C699A">
        <w:rPr>
          <w:rFonts w:ascii="Times New Roman" w:eastAsia="맑은 고딕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3C699A">
        <w:rPr>
          <w:rFonts w:ascii="Times New Roman" w:eastAsia="맑은 고딕" w:hAnsi="Times New Roman" w:cs="Times New Roman"/>
          <w:color w:val="111111"/>
          <w:sz w:val="24"/>
          <w:szCs w:val="24"/>
          <w:shd w:val="clear" w:color="auto" w:fill="FFFFFF"/>
        </w:rPr>
        <w:t>Youp</w:t>
      </w:r>
      <w:proofErr w:type="spellEnd"/>
      <w:r w:rsidRPr="003C699A">
        <w:rPr>
          <w:rFonts w:ascii="Times New Roman" w:eastAsia="맑은 고딕" w:hAnsi="Times New Roman" w:cs="Times New Roman"/>
          <w:color w:val="111111"/>
          <w:sz w:val="24"/>
          <w:szCs w:val="24"/>
          <w:shd w:val="clear" w:color="auto" w:fill="FFFFFF"/>
        </w:rPr>
        <w:t xml:space="preserve"> Kim</w:t>
      </w:r>
      <w:r w:rsidRPr="003C699A">
        <w:rPr>
          <w:rFonts w:ascii="Times New Roman" w:eastAsia="바탕" w:hAnsi="Times New Roman" w:cs="Times New Roman"/>
          <w:sz w:val="24"/>
          <w:szCs w:val="24"/>
        </w:rPr>
        <w:t xml:space="preserve">, M.D.; </w:t>
      </w:r>
      <w:r w:rsidRPr="003C699A">
        <w:rPr>
          <w:rFonts w:ascii="Times New Roman" w:eastAsia="HY신명조" w:hAnsi="Times New Roman" w:cs="Times New Roman"/>
          <w:sz w:val="24"/>
          <w:szCs w:val="24"/>
        </w:rPr>
        <w:t xml:space="preserve">E-mail: </w:t>
      </w:r>
      <w:hyperlink r:id="rId6" w:history="1">
        <w:r w:rsidRPr="003C699A">
          <w:rPr>
            <w:rStyle w:val="a7"/>
            <w:rFonts w:ascii="Times New Roman" w:eastAsia="HY신명조" w:hAnsi="Times New Roman" w:cs="Times New Roman"/>
            <w:sz w:val="24"/>
            <w:szCs w:val="24"/>
          </w:rPr>
          <w:t>kjyoup0622@gmail.com</w:t>
        </w:r>
      </w:hyperlink>
    </w:p>
    <w:p w:rsidR="00A973ED" w:rsidRPr="00A973ED" w:rsidRDefault="00A973ED" w:rsidP="00A72EA7">
      <w:pPr>
        <w:rPr>
          <w:rFonts w:ascii="Times New Roman" w:hAnsi="Times New Roman" w:cs="Times New Roman"/>
          <w:b/>
          <w:sz w:val="24"/>
          <w:szCs w:val="24"/>
        </w:rPr>
      </w:pPr>
    </w:p>
    <w:p w:rsidR="00A973ED" w:rsidRDefault="00A973ED" w:rsidP="00A72EA7">
      <w:pPr>
        <w:rPr>
          <w:rFonts w:ascii="Times New Roman" w:hAnsi="Times New Roman" w:cs="Times New Roman"/>
          <w:b/>
          <w:sz w:val="24"/>
          <w:szCs w:val="24"/>
        </w:rPr>
      </w:pPr>
    </w:p>
    <w:p w:rsidR="00A973ED" w:rsidRDefault="00A973ED" w:rsidP="00A72EA7">
      <w:pPr>
        <w:rPr>
          <w:rFonts w:ascii="Times New Roman" w:hAnsi="Times New Roman" w:cs="Times New Roman"/>
          <w:b/>
          <w:sz w:val="24"/>
          <w:szCs w:val="24"/>
        </w:rPr>
      </w:pPr>
    </w:p>
    <w:p w:rsidR="00A973ED" w:rsidRDefault="00A973ED" w:rsidP="00A72EA7">
      <w:pPr>
        <w:rPr>
          <w:rFonts w:ascii="Times New Roman" w:hAnsi="Times New Roman" w:cs="Times New Roman"/>
          <w:b/>
          <w:sz w:val="24"/>
          <w:szCs w:val="24"/>
        </w:rPr>
      </w:pPr>
    </w:p>
    <w:p w:rsidR="00A973ED" w:rsidRDefault="00A973ED" w:rsidP="00A72EA7">
      <w:pPr>
        <w:rPr>
          <w:rFonts w:ascii="Times New Roman" w:hAnsi="Times New Roman" w:cs="Times New Roman"/>
          <w:b/>
          <w:sz w:val="24"/>
          <w:szCs w:val="24"/>
        </w:rPr>
      </w:pPr>
    </w:p>
    <w:p w:rsidR="00A973ED" w:rsidRDefault="00A973ED" w:rsidP="00A72EA7">
      <w:pPr>
        <w:rPr>
          <w:rFonts w:ascii="Times New Roman" w:hAnsi="Times New Roman" w:cs="Times New Roman"/>
          <w:b/>
          <w:sz w:val="24"/>
          <w:szCs w:val="24"/>
        </w:rPr>
      </w:pPr>
    </w:p>
    <w:p w:rsidR="00A973ED" w:rsidRDefault="00A973ED" w:rsidP="00A72EA7">
      <w:pPr>
        <w:rPr>
          <w:rFonts w:ascii="Times New Roman" w:hAnsi="Times New Roman" w:cs="Times New Roman"/>
          <w:b/>
          <w:sz w:val="24"/>
          <w:szCs w:val="24"/>
        </w:rPr>
      </w:pPr>
    </w:p>
    <w:p w:rsidR="00A973ED" w:rsidRDefault="00A973ED" w:rsidP="00A72EA7">
      <w:pPr>
        <w:rPr>
          <w:rFonts w:ascii="Times New Roman" w:hAnsi="Times New Roman" w:cs="Times New Roman"/>
          <w:b/>
          <w:sz w:val="24"/>
          <w:szCs w:val="24"/>
        </w:rPr>
      </w:pPr>
    </w:p>
    <w:p w:rsidR="00A973ED" w:rsidRDefault="00A973ED" w:rsidP="00A72EA7">
      <w:pPr>
        <w:rPr>
          <w:rFonts w:ascii="Times New Roman" w:hAnsi="Times New Roman" w:cs="Times New Roman"/>
          <w:b/>
          <w:sz w:val="24"/>
          <w:szCs w:val="24"/>
        </w:rPr>
      </w:pPr>
    </w:p>
    <w:p w:rsidR="00A973ED" w:rsidRDefault="00A973ED" w:rsidP="00A72EA7">
      <w:pPr>
        <w:rPr>
          <w:rFonts w:ascii="Times New Roman" w:hAnsi="Times New Roman" w:cs="Times New Roman"/>
          <w:b/>
          <w:sz w:val="24"/>
          <w:szCs w:val="24"/>
        </w:rPr>
      </w:pPr>
    </w:p>
    <w:p w:rsidR="00A973ED" w:rsidRDefault="00A973ED" w:rsidP="00A72EA7">
      <w:pPr>
        <w:rPr>
          <w:rFonts w:ascii="Times New Roman" w:hAnsi="Times New Roman" w:cs="Times New Roman"/>
          <w:b/>
          <w:sz w:val="24"/>
          <w:szCs w:val="24"/>
        </w:rPr>
      </w:pPr>
    </w:p>
    <w:p w:rsidR="00A973ED" w:rsidRDefault="00A973ED" w:rsidP="00A72EA7">
      <w:pPr>
        <w:rPr>
          <w:rFonts w:ascii="Times New Roman" w:hAnsi="Times New Roman" w:cs="Times New Roman"/>
          <w:b/>
          <w:sz w:val="24"/>
          <w:szCs w:val="24"/>
        </w:rPr>
      </w:pPr>
    </w:p>
    <w:p w:rsidR="00A973ED" w:rsidRDefault="00A973ED" w:rsidP="00A72EA7">
      <w:pPr>
        <w:rPr>
          <w:rFonts w:ascii="Times New Roman" w:hAnsi="Times New Roman" w:cs="Times New Roman"/>
          <w:b/>
          <w:sz w:val="24"/>
          <w:szCs w:val="24"/>
        </w:rPr>
      </w:pPr>
    </w:p>
    <w:p w:rsidR="00A973ED" w:rsidRDefault="00A973ED" w:rsidP="00A72EA7">
      <w:pPr>
        <w:rPr>
          <w:rFonts w:ascii="Times New Roman" w:hAnsi="Times New Roman" w:cs="Times New Roman"/>
          <w:b/>
          <w:sz w:val="24"/>
          <w:szCs w:val="24"/>
        </w:rPr>
      </w:pPr>
    </w:p>
    <w:p w:rsidR="002F4562" w:rsidRPr="002F4562" w:rsidRDefault="002F4562" w:rsidP="00A72EA7">
      <w:pPr>
        <w:rPr>
          <w:rFonts w:ascii="Times New Roman" w:hAnsi="Times New Roman" w:cs="Times New Roman"/>
          <w:b/>
          <w:sz w:val="24"/>
          <w:szCs w:val="24"/>
        </w:rPr>
      </w:pPr>
      <w:r w:rsidRPr="002F4562">
        <w:rPr>
          <w:rFonts w:ascii="Times New Roman" w:hAnsi="Times New Roman" w:cs="Times New Roman"/>
          <w:b/>
          <w:sz w:val="24"/>
          <w:szCs w:val="24"/>
        </w:rPr>
        <w:lastRenderedPageBreak/>
        <w:t>SUPPLEMENTARY MATERIAL</w:t>
      </w:r>
    </w:p>
    <w:p w:rsidR="00A72EA7" w:rsidRPr="00DA5246" w:rsidRDefault="00A72EA7" w:rsidP="00A72EA7">
      <w:pPr>
        <w:rPr>
          <w:sz w:val="22"/>
        </w:rPr>
      </w:pPr>
      <w:r w:rsidRPr="00DA5246">
        <w:rPr>
          <w:rFonts w:ascii="Times New Roman" w:hAnsi="Times New Roman" w:cs="Times New Roman"/>
          <w:sz w:val="22"/>
        </w:rPr>
        <w:t>Table S1. Quality Assessment for the included studies.</w:t>
      </w:r>
    </w:p>
    <w:tbl>
      <w:tblPr>
        <w:tblStyle w:val="a3"/>
        <w:tblW w:w="8962" w:type="dxa"/>
        <w:tblBorders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504"/>
        <w:gridCol w:w="505"/>
        <w:gridCol w:w="505"/>
        <w:gridCol w:w="504"/>
        <w:gridCol w:w="505"/>
        <w:gridCol w:w="505"/>
        <w:gridCol w:w="504"/>
        <w:gridCol w:w="505"/>
        <w:gridCol w:w="505"/>
        <w:gridCol w:w="992"/>
        <w:gridCol w:w="1444"/>
      </w:tblGrid>
      <w:tr w:rsidR="002F4562" w:rsidRPr="00246AEE" w:rsidTr="002F4562">
        <w:trPr>
          <w:trHeight w:val="507"/>
        </w:trPr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72EA7" w:rsidRPr="00246AEE" w:rsidRDefault="00A72EA7" w:rsidP="002F4562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46AEE">
              <w:rPr>
                <w:rFonts w:ascii="Times New Roman" w:hAnsi="Times New Roman" w:cs="Times New Roman"/>
                <w:b/>
                <w:bCs/>
                <w:sz w:val="22"/>
              </w:rPr>
              <w:t>Authors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72EA7" w:rsidRPr="00246AEE" w:rsidRDefault="00A72EA7" w:rsidP="002F456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</w:rPr>
              <w:t>Q1</w:t>
            </w: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72EA7" w:rsidRPr="00246AEE" w:rsidRDefault="00A72EA7" w:rsidP="002F456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</w:rPr>
              <w:t>Q2</w:t>
            </w: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72EA7" w:rsidRPr="00246AEE" w:rsidRDefault="00A72EA7" w:rsidP="002F456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</w:rPr>
              <w:t>Q3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72EA7" w:rsidRPr="00246AEE" w:rsidRDefault="00A72EA7" w:rsidP="002F456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</w:rPr>
              <w:t>Q4</w:t>
            </w: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72EA7" w:rsidRPr="00246AEE" w:rsidRDefault="00A72EA7" w:rsidP="002F456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</w:rPr>
              <w:t>Q5</w:t>
            </w: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72EA7" w:rsidRPr="00246AEE" w:rsidRDefault="00A72EA7" w:rsidP="002F456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</w:rPr>
              <w:t>Q6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72EA7" w:rsidRPr="00246AEE" w:rsidRDefault="00A72EA7" w:rsidP="002F456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</w:rPr>
              <w:t>Q7</w:t>
            </w: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72EA7" w:rsidRPr="00246AEE" w:rsidRDefault="00A72EA7" w:rsidP="002F456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</w:rPr>
              <w:t>Q8</w:t>
            </w: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72EA7" w:rsidRPr="00246AEE" w:rsidRDefault="00A72EA7" w:rsidP="002F456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</w:rPr>
              <w:t>Q9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72EA7" w:rsidRPr="00246AEE" w:rsidRDefault="00A72EA7" w:rsidP="002F456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</w:rPr>
              <w:t>Overall</w:t>
            </w:r>
            <w:r w:rsidRPr="00246AEE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</w:rPr>
              <w:t xml:space="preserve"> score</w:t>
            </w:r>
          </w:p>
        </w:tc>
        <w:tc>
          <w:tcPr>
            <w:tcW w:w="14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72EA7" w:rsidRPr="00246AEE" w:rsidRDefault="00A72EA7" w:rsidP="002F4562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</w:rPr>
              <w:t>Overall risk of bias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Liang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7</w:t>
            </w:r>
          </w:p>
        </w:tc>
        <w:tc>
          <w:tcPr>
            <w:tcW w:w="504" w:type="dxa"/>
            <w:tcBorders>
              <w:top w:val="single" w:sz="12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tcBorders>
              <w:top w:val="single" w:sz="12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tcBorders>
              <w:top w:val="single" w:sz="12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tcBorders>
              <w:top w:val="single" w:sz="12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tcBorders>
              <w:top w:val="single" w:sz="12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tcBorders>
              <w:top w:val="single" w:sz="12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tcBorders>
              <w:top w:val="single" w:sz="12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tcBorders>
              <w:top w:val="single" w:sz="12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tcBorders>
              <w:top w:val="single" w:sz="12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44" w:type="dxa"/>
            <w:tcBorders>
              <w:top w:val="single" w:sz="12" w:space="0" w:color="auto"/>
            </w:tcBorders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Mao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8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Chung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53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5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Kim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5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Lee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6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Noh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9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5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Chua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17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Lechien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28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Lechien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29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5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Iravani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, B.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23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Lechien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27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Renaud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40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Zayet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51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5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Zayet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52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Brandstetter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15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Hintschich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54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5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Luers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33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Tsivgoulis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45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De Maria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19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5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Dell'Era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20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Freni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21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Gelardi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22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Karadaş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25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5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Lagi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26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Liguori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32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Meini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34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5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Mercante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35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Paderno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56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Paderno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36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5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bookmarkStart w:id="1" w:name="_Hlk47703488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Petrocelli </w:t>
            </w:r>
            <w:bookmarkEnd w:id="1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38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Vacchiano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46</w:t>
            </w:r>
          </w:p>
        </w:tc>
        <w:tc>
          <w:tcPr>
            <w:tcW w:w="504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44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Vaira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47</w:t>
            </w:r>
          </w:p>
        </w:tc>
        <w:tc>
          <w:tcPr>
            <w:tcW w:w="504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44" w:type="dxa"/>
            <w:tcBorders>
              <w:bottom w:val="single" w:sz="4" w:space="0" w:color="auto"/>
            </w:tcBorders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Vaira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48</w:t>
            </w:r>
          </w:p>
        </w:tc>
        <w:tc>
          <w:tcPr>
            <w:tcW w:w="504" w:type="dxa"/>
            <w:tcBorders>
              <w:top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tcBorders>
              <w:top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tcBorders>
              <w:top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tcBorders>
              <w:top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tcBorders>
              <w:top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tcBorders>
              <w:top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tcBorders>
              <w:top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5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Vaira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49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bookmarkStart w:id="2" w:name="_Hlk47703551"/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Tostmann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bookmarkEnd w:id="2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44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Sierpiński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43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5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Abalo-Lojo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10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Beltrán‐Corbellini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13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507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Izquierdo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-Dominguez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24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Speth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2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Altin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12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Patel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37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5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Carignan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16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</w:rPr>
              <w:t>Lee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30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Cs w:val="20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</w:rPr>
              <w:lastRenderedPageBreak/>
              <w:t>Aggarwal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  <w:vertAlign w:val="superscript"/>
              </w:rPr>
              <w:t>11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5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Cs w:val="20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</w:rPr>
              <w:t>Dawson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  <w:vertAlign w:val="superscript"/>
              </w:rPr>
              <w:t>18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Cs w:val="20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</w:rPr>
              <w:t>Pinna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  <w:vertAlign w:val="superscript"/>
              </w:rPr>
              <w:t>39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Cs w:val="20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</w:rPr>
              <w:t>Yan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  <w:vertAlign w:val="superscript"/>
              </w:rPr>
              <w:t>57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5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Cs w:val="20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</w:rPr>
              <w:t>Yan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  <w:vertAlign w:val="superscript"/>
              </w:rPr>
              <w:t>58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Cs w:val="20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</w:rPr>
              <w:t>Yan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  <w:vertAlign w:val="superscript"/>
              </w:rPr>
              <w:t>50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</w:rPr>
              <w:t>Moein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  <w:vertAlign w:val="superscript"/>
              </w:rPr>
              <w:t>55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</w:rPr>
              <w:t>Biadsee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  <w:vertAlign w:val="superscript"/>
              </w:rPr>
              <w:t>14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5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Cs w:val="20"/>
              </w:rPr>
            </w:pP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</w:rPr>
              <w:t>Levinson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  <w:vertAlign w:val="superscript"/>
              </w:rPr>
              <w:t>31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moderate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</w:rPr>
              <w:t>Sakalli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  <w:vertAlign w:val="superscript"/>
              </w:rPr>
              <w:t>41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  <w:tr w:rsidR="004146CD" w:rsidRPr="00246AEE" w:rsidTr="00CA46FD">
        <w:trPr>
          <w:trHeight w:val="248"/>
        </w:trPr>
        <w:tc>
          <w:tcPr>
            <w:tcW w:w="1984" w:type="dxa"/>
            <w:vAlign w:val="center"/>
          </w:tcPr>
          <w:p w:rsidR="004146CD" w:rsidRPr="004146CD" w:rsidRDefault="004146CD" w:rsidP="004146CD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</w:rPr>
              <w:t>Sayin</w:t>
            </w:r>
            <w:proofErr w:type="spellEnd"/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et al</w:t>
            </w:r>
            <w:r w:rsidRPr="004146CD">
              <w:rPr>
                <w:rFonts w:ascii="Times New Roman" w:eastAsia="맑은 고딕" w:hAnsi="Times New Roman" w:cs="Times New Roman"/>
                <w:color w:val="000000"/>
                <w:szCs w:val="20"/>
                <w:vertAlign w:val="superscript"/>
              </w:rPr>
              <w:t>42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4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505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4146CD" w:rsidRPr="00246AEE" w:rsidRDefault="004146CD" w:rsidP="004146C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44" w:type="dxa"/>
            <w:vAlign w:val="center"/>
          </w:tcPr>
          <w:p w:rsidR="004146CD" w:rsidRPr="00246AEE" w:rsidRDefault="004146CD" w:rsidP="004146CD">
            <w:pPr>
              <w:rPr>
                <w:rFonts w:ascii="Times New Roman" w:hAnsi="Times New Roman" w:cs="Times New Roman"/>
                <w:sz w:val="22"/>
              </w:rPr>
            </w:pPr>
            <w:r w:rsidRPr="00246AEE">
              <w:rPr>
                <w:rFonts w:ascii="Times New Roman" w:eastAsia="맑은 고딕" w:hAnsi="Times New Roman" w:cs="Times New Roman"/>
                <w:color w:val="000000"/>
                <w:sz w:val="22"/>
              </w:rPr>
              <w:t>low risk</w:t>
            </w:r>
          </w:p>
        </w:tc>
      </w:tr>
    </w:tbl>
    <w:p w:rsidR="00A72EA7" w:rsidRPr="00864A22" w:rsidRDefault="00A72EA7" w:rsidP="00A72EA7">
      <w:pPr>
        <w:spacing w:after="0" w:line="276" w:lineRule="auto"/>
        <w:rPr>
          <w:rFonts w:ascii="Times New Roman" w:hAnsi="Times New Roman" w:cs="Times New Roman"/>
          <w:sz w:val="18"/>
          <w:szCs w:val="18"/>
          <w:highlight w:val="white"/>
        </w:rPr>
      </w:pPr>
      <w:r w:rsidRPr="00864A22">
        <w:rPr>
          <w:rFonts w:ascii="Times New Roman" w:hAnsi="Times New Roman" w:cs="Times New Roman"/>
          <w:sz w:val="18"/>
          <w:szCs w:val="18"/>
          <w:highlight w:val="white"/>
        </w:rPr>
        <w:t>Q1: Was the study’s target population a close representation of the national population in relation to relevant variables?</w:t>
      </w:r>
    </w:p>
    <w:p w:rsidR="00A72EA7" w:rsidRPr="00864A22" w:rsidRDefault="00A72EA7" w:rsidP="00A72EA7">
      <w:pPr>
        <w:spacing w:after="0" w:line="276" w:lineRule="auto"/>
        <w:rPr>
          <w:rFonts w:ascii="Times New Roman" w:hAnsi="Times New Roman" w:cs="Times New Roman"/>
          <w:sz w:val="18"/>
          <w:szCs w:val="18"/>
          <w:highlight w:val="white"/>
        </w:rPr>
      </w:pPr>
      <w:r w:rsidRPr="00864A22">
        <w:rPr>
          <w:rFonts w:ascii="Times New Roman" w:hAnsi="Times New Roman" w:cs="Times New Roman"/>
          <w:sz w:val="18"/>
          <w:szCs w:val="18"/>
          <w:highlight w:val="white"/>
        </w:rPr>
        <w:t>Q2: Was the sampling frame a true or close representation of the target population?</w:t>
      </w:r>
    </w:p>
    <w:p w:rsidR="00A72EA7" w:rsidRPr="00864A22" w:rsidRDefault="00A72EA7" w:rsidP="00A72EA7">
      <w:pPr>
        <w:spacing w:after="0" w:line="276" w:lineRule="auto"/>
        <w:rPr>
          <w:rFonts w:ascii="Times New Roman" w:hAnsi="Times New Roman" w:cs="Times New Roman"/>
          <w:sz w:val="18"/>
          <w:szCs w:val="18"/>
          <w:highlight w:val="white"/>
        </w:rPr>
      </w:pPr>
      <w:r w:rsidRPr="00864A22">
        <w:rPr>
          <w:rFonts w:ascii="Times New Roman" w:hAnsi="Times New Roman" w:cs="Times New Roman"/>
          <w:sz w:val="18"/>
          <w:szCs w:val="18"/>
          <w:highlight w:val="white"/>
        </w:rPr>
        <w:t>Q3: Was some form of random selection used to select the sample, OR, was a census undertaken?</w:t>
      </w:r>
    </w:p>
    <w:p w:rsidR="00A72EA7" w:rsidRPr="00864A22" w:rsidRDefault="00A72EA7" w:rsidP="00A72EA7">
      <w:pPr>
        <w:spacing w:after="0" w:line="276" w:lineRule="auto"/>
        <w:rPr>
          <w:rFonts w:ascii="Times New Roman" w:hAnsi="Times New Roman" w:cs="Times New Roman"/>
          <w:sz w:val="18"/>
          <w:szCs w:val="18"/>
          <w:highlight w:val="white"/>
        </w:rPr>
      </w:pPr>
      <w:r w:rsidRPr="00864A22">
        <w:rPr>
          <w:rFonts w:ascii="Times New Roman" w:hAnsi="Times New Roman" w:cs="Times New Roman"/>
          <w:sz w:val="18"/>
          <w:szCs w:val="18"/>
          <w:highlight w:val="white"/>
        </w:rPr>
        <w:t>Q4: Was the likelihood of non-response bias minimal?</w:t>
      </w:r>
    </w:p>
    <w:p w:rsidR="00A72EA7" w:rsidRPr="00864A22" w:rsidRDefault="00A72EA7" w:rsidP="00A72EA7">
      <w:pPr>
        <w:spacing w:after="0" w:line="276" w:lineRule="auto"/>
        <w:rPr>
          <w:rFonts w:ascii="Times New Roman" w:hAnsi="Times New Roman" w:cs="Times New Roman"/>
          <w:sz w:val="18"/>
          <w:szCs w:val="18"/>
          <w:highlight w:val="white"/>
        </w:rPr>
      </w:pPr>
      <w:r w:rsidRPr="00864A22">
        <w:rPr>
          <w:rFonts w:ascii="Times New Roman" w:hAnsi="Times New Roman" w:cs="Times New Roman"/>
          <w:sz w:val="18"/>
          <w:szCs w:val="18"/>
          <w:highlight w:val="white"/>
        </w:rPr>
        <w:t>Q5: Were data collected directly from the subjects (as opposed to a proxy)?</w:t>
      </w:r>
    </w:p>
    <w:p w:rsidR="00A72EA7" w:rsidRPr="00864A22" w:rsidRDefault="00A72EA7" w:rsidP="00A72EA7">
      <w:pPr>
        <w:spacing w:after="0" w:line="276" w:lineRule="auto"/>
        <w:rPr>
          <w:rFonts w:ascii="Times New Roman" w:hAnsi="Times New Roman" w:cs="Times New Roman"/>
          <w:sz w:val="18"/>
          <w:szCs w:val="18"/>
          <w:highlight w:val="white"/>
        </w:rPr>
      </w:pPr>
      <w:r w:rsidRPr="00864A22">
        <w:rPr>
          <w:rFonts w:ascii="Times New Roman" w:hAnsi="Times New Roman" w:cs="Times New Roman"/>
          <w:sz w:val="18"/>
          <w:szCs w:val="18"/>
          <w:highlight w:val="white"/>
        </w:rPr>
        <w:t>Q6: Was an acceptable case definition used in the study?</w:t>
      </w:r>
    </w:p>
    <w:p w:rsidR="00A72EA7" w:rsidRPr="00864A22" w:rsidRDefault="00A72EA7" w:rsidP="00A72EA7">
      <w:pPr>
        <w:spacing w:after="0" w:line="276" w:lineRule="auto"/>
        <w:rPr>
          <w:rFonts w:ascii="Times New Roman" w:hAnsi="Times New Roman" w:cs="Times New Roman"/>
          <w:sz w:val="18"/>
          <w:szCs w:val="18"/>
          <w:highlight w:val="white"/>
        </w:rPr>
      </w:pPr>
      <w:r w:rsidRPr="00864A22">
        <w:rPr>
          <w:rFonts w:ascii="Times New Roman" w:hAnsi="Times New Roman" w:cs="Times New Roman"/>
          <w:sz w:val="18"/>
          <w:szCs w:val="18"/>
          <w:highlight w:val="white"/>
        </w:rPr>
        <w:t>Q7: Was the study instrument that measured the parameter of interest shown to have reliability and validity?</w:t>
      </w:r>
    </w:p>
    <w:p w:rsidR="00A72EA7" w:rsidRPr="00864A22" w:rsidRDefault="00A72EA7" w:rsidP="00A72EA7">
      <w:pPr>
        <w:spacing w:after="0" w:line="276" w:lineRule="auto"/>
        <w:rPr>
          <w:rFonts w:ascii="Times New Roman" w:hAnsi="Times New Roman" w:cs="Times New Roman"/>
          <w:sz w:val="18"/>
          <w:szCs w:val="18"/>
          <w:highlight w:val="white"/>
        </w:rPr>
      </w:pPr>
      <w:r w:rsidRPr="00864A22">
        <w:rPr>
          <w:rFonts w:ascii="Times New Roman" w:hAnsi="Times New Roman" w:cs="Times New Roman"/>
          <w:sz w:val="18"/>
          <w:szCs w:val="18"/>
          <w:highlight w:val="white"/>
        </w:rPr>
        <w:t>Q8: Was the same mode of data collection used for all subjects?</w:t>
      </w:r>
    </w:p>
    <w:p w:rsidR="002F4562" w:rsidRDefault="00A72EA7" w:rsidP="00A72EA7">
      <w:pPr>
        <w:spacing w:after="0" w:line="276" w:lineRule="auto"/>
      </w:pPr>
      <w:r w:rsidRPr="00864A22">
        <w:rPr>
          <w:rFonts w:ascii="Times New Roman" w:hAnsi="Times New Roman" w:cs="Times New Roman"/>
          <w:sz w:val="18"/>
          <w:szCs w:val="18"/>
          <w:highlight w:val="white"/>
        </w:rPr>
        <w:t>Q9: Were the numerator(s) and denominator(s) for the parameter of interest appropriate?</w:t>
      </w:r>
      <w:r>
        <w:tab/>
      </w:r>
    </w:p>
    <w:p w:rsidR="002F4562" w:rsidRDefault="002F4562" w:rsidP="00A72EA7">
      <w:pPr>
        <w:spacing w:after="0" w:line="276" w:lineRule="auto"/>
      </w:pPr>
    </w:p>
    <w:p w:rsidR="002F4562" w:rsidRDefault="002F4562" w:rsidP="00A72EA7">
      <w:pPr>
        <w:spacing w:after="0" w:line="276" w:lineRule="auto"/>
      </w:pPr>
    </w:p>
    <w:p w:rsidR="002F4562" w:rsidRDefault="002F4562" w:rsidP="00A72EA7">
      <w:pPr>
        <w:spacing w:after="0" w:line="276" w:lineRule="auto"/>
      </w:pPr>
    </w:p>
    <w:p w:rsidR="002F4562" w:rsidRDefault="002F4562" w:rsidP="00A72EA7">
      <w:pPr>
        <w:spacing w:after="0" w:line="276" w:lineRule="auto"/>
      </w:pPr>
    </w:p>
    <w:p w:rsidR="002F4562" w:rsidRDefault="002F4562" w:rsidP="00A72EA7">
      <w:pPr>
        <w:spacing w:after="0" w:line="276" w:lineRule="auto"/>
      </w:pPr>
    </w:p>
    <w:p w:rsidR="002F4562" w:rsidRDefault="002F4562" w:rsidP="00A72EA7">
      <w:pPr>
        <w:spacing w:after="0" w:line="276" w:lineRule="auto"/>
      </w:pPr>
    </w:p>
    <w:p w:rsidR="002F4562" w:rsidRDefault="002F4562" w:rsidP="00A72EA7">
      <w:pPr>
        <w:spacing w:after="0" w:line="276" w:lineRule="auto"/>
      </w:pPr>
    </w:p>
    <w:p w:rsidR="002F4562" w:rsidRDefault="002F4562" w:rsidP="00A72EA7">
      <w:pPr>
        <w:spacing w:after="0" w:line="276" w:lineRule="auto"/>
      </w:pPr>
    </w:p>
    <w:p w:rsidR="002F4562" w:rsidRDefault="002F4562" w:rsidP="00A72EA7">
      <w:pPr>
        <w:spacing w:after="0" w:line="276" w:lineRule="auto"/>
      </w:pPr>
    </w:p>
    <w:p w:rsidR="002F4562" w:rsidRDefault="002F4562" w:rsidP="00A72EA7">
      <w:pPr>
        <w:spacing w:after="0" w:line="276" w:lineRule="auto"/>
      </w:pPr>
    </w:p>
    <w:p w:rsidR="002F4562" w:rsidRDefault="002F4562" w:rsidP="00A72EA7">
      <w:pPr>
        <w:spacing w:after="0" w:line="276" w:lineRule="auto"/>
      </w:pPr>
    </w:p>
    <w:p w:rsidR="002F4562" w:rsidRDefault="002F4562" w:rsidP="00A72EA7">
      <w:pPr>
        <w:spacing w:after="0" w:line="276" w:lineRule="auto"/>
      </w:pPr>
    </w:p>
    <w:p w:rsidR="002F4562" w:rsidRDefault="002F4562" w:rsidP="00A72EA7">
      <w:pPr>
        <w:spacing w:after="0" w:line="276" w:lineRule="auto"/>
      </w:pPr>
    </w:p>
    <w:p w:rsidR="002F4562" w:rsidRDefault="002F4562" w:rsidP="00A72EA7">
      <w:pPr>
        <w:spacing w:after="0" w:line="276" w:lineRule="auto"/>
      </w:pPr>
    </w:p>
    <w:p w:rsidR="002F4562" w:rsidRDefault="002F4562" w:rsidP="00A72EA7">
      <w:pPr>
        <w:spacing w:after="0" w:line="276" w:lineRule="auto"/>
      </w:pPr>
    </w:p>
    <w:p w:rsidR="002F4562" w:rsidRDefault="002F4562" w:rsidP="00A72EA7">
      <w:pPr>
        <w:spacing w:after="0" w:line="276" w:lineRule="auto"/>
      </w:pPr>
    </w:p>
    <w:p w:rsidR="002F4562" w:rsidRPr="002328F1" w:rsidRDefault="002F4562" w:rsidP="00A72EA7">
      <w:pPr>
        <w:spacing w:after="0" w:line="276" w:lineRule="auto"/>
        <w:rPr>
          <w:sz w:val="14"/>
        </w:rPr>
      </w:pPr>
    </w:p>
    <w:p w:rsidR="002F4562" w:rsidRPr="002328F1" w:rsidRDefault="002F4562" w:rsidP="00A72EA7">
      <w:pPr>
        <w:spacing w:after="0" w:line="276" w:lineRule="auto"/>
        <w:rPr>
          <w:sz w:val="14"/>
        </w:rPr>
      </w:pPr>
    </w:p>
    <w:p w:rsidR="002F4562" w:rsidRDefault="002F4562" w:rsidP="00A72EA7">
      <w:pPr>
        <w:spacing w:after="0" w:line="276" w:lineRule="auto"/>
      </w:pPr>
    </w:p>
    <w:p w:rsidR="002F4562" w:rsidRDefault="002F4562" w:rsidP="00A72EA7">
      <w:pPr>
        <w:spacing w:after="0" w:line="276" w:lineRule="auto"/>
      </w:pPr>
    </w:p>
    <w:p w:rsidR="002328F1" w:rsidRDefault="002328F1" w:rsidP="00A72EA7">
      <w:pPr>
        <w:spacing w:after="0" w:line="276" w:lineRule="auto"/>
        <w:rPr>
          <w:rFonts w:hint="eastAsia"/>
        </w:rPr>
      </w:pPr>
    </w:p>
    <w:p w:rsidR="002328F1" w:rsidRDefault="002328F1" w:rsidP="00A72EA7">
      <w:pPr>
        <w:spacing w:after="0" w:line="276" w:lineRule="auto"/>
        <w:rPr>
          <w:rFonts w:hint="eastAsia"/>
        </w:rPr>
      </w:pPr>
    </w:p>
    <w:p w:rsidR="00DA5246" w:rsidRPr="00DA5246" w:rsidRDefault="00DA5246" w:rsidP="00DA5246">
      <w:pPr>
        <w:spacing w:line="480" w:lineRule="auto"/>
        <w:rPr>
          <w:rFonts w:ascii="Times New Roman" w:hAnsi="Times New Roman" w:cs="Times New Roman"/>
          <w:sz w:val="22"/>
        </w:rPr>
      </w:pPr>
      <w:r w:rsidRPr="00DA5246">
        <w:rPr>
          <w:rFonts w:ascii="Times New Roman" w:hAnsi="Times New Roman" w:cs="Times New Roman"/>
          <w:b/>
          <w:bCs/>
          <w:sz w:val="22"/>
        </w:rPr>
        <w:lastRenderedPageBreak/>
        <w:t>Fig. S1. Prevalence of chemosensory dysfunction in patients with coronavirus disease 2019 (COVID-19)</w:t>
      </w:r>
      <w:r w:rsidRPr="00DA5246">
        <w:rPr>
          <w:rFonts w:ascii="Times New Roman" w:hAnsi="Times New Roman" w:cs="Times New Roman"/>
          <w:sz w:val="22"/>
        </w:rPr>
        <w:t xml:space="preserve"> (a) Forest plot meta-analysis of the </w:t>
      </w:r>
      <w:proofErr w:type="spellStart"/>
      <w:r w:rsidRPr="00DA5246">
        <w:rPr>
          <w:rFonts w:ascii="Times New Roman" w:hAnsi="Times New Roman" w:cs="Times New Roman"/>
          <w:sz w:val="22"/>
        </w:rPr>
        <w:t>prevalences</w:t>
      </w:r>
      <w:proofErr w:type="spellEnd"/>
      <w:r w:rsidRPr="00DA5246">
        <w:rPr>
          <w:rFonts w:ascii="Times New Roman" w:hAnsi="Times New Roman" w:cs="Times New Roman"/>
          <w:sz w:val="22"/>
        </w:rPr>
        <w:t xml:space="preserve"> of olfactory dysfunction in patients with COVID-19 showed a 52.7% (95% CI, 43.7%-59.1%) pooled prevalence in random-effect model, as represented by the diamond. (b) Forest plot meta-analysis of the </w:t>
      </w:r>
      <w:proofErr w:type="spellStart"/>
      <w:r w:rsidRPr="00DA5246">
        <w:rPr>
          <w:rFonts w:ascii="Times New Roman" w:hAnsi="Times New Roman" w:cs="Times New Roman"/>
          <w:sz w:val="22"/>
        </w:rPr>
        <w:t>prevalences</w:t>
      </w:r>
      <w:proofErr w:type="spellEnd"/>
      <w:r w:rsidRPr="00DA5246">
        <w:rPr>
          <w:rFonts w:ascii="Times New Roman" w:hAnsi="Times New Roman" w:cs="Times New Roman"/>
          <w:sz w:val="22"/>
        </w:rPr>
        <w:t xml:space="preserve"> of gustatory dysfunction in patients with COVID-19 showed a 47.5% (95% CI, 39.7%, 55.3%) pooled prevalence in random-effect model, as represented by the diamond. The estimates of individual studies are represented as squares, with 95% confidence intervals represented as horizontal lines.</w:t>
      </w:r>
    </w:p>
    <w:p w:rsidR="002F4562" w:rsidRDefault="00DA5246" w:rsidP="00A72EA7">
      <w:pPr>
        <w:spacing w:after="0" w:line="276" w:lineRule="auto"/>
      </w:pPr>
      <w:r>
        <w:rPr>
          <w:noProof/>
        </w:rPr>
        <w:drawing>
          <wp:inline distT="0" distB="0" distL="0" distR="0">
            <wp:extent cx="4756150" cy="6341534"/>
            <wp:effectExtent l="0" t="0" r="6350" b="254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0440" cy="6347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246" w:rsidRDefault="00DA5246" w:rsidP="00A72EA7">
      <w:pPr>
        <w:spacing w:after="0" w:line="276" w:lineRule="auto"/>
      </w:pPr>
      <w:r>
        <w:rPr>
          <w:noProof/>
        </w:rPr>
        <w:lastRenderedPageBreak/>
        <w:drawing>
          <wp:inline distT="0" distB="0" distL="0" distR="0">
            <wp:extent cx="4710113" cy="6280150"/>
            <wp:effectExtent l="0" t="0" r="0" b="635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7410" cy="628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DA5246">
      <w:pPr>
        <w:spacing w:line="480" w:lineRule="auto"/>
        <w:rPr>
          <w:rFonts w:ascii="Times New Roman" w:hAnsi="Times New Roman" w:cs="Times New Roman"/>
          <w:sz w:val="22"/>
        </w:rPr>
      </w:pPr>
      <w:r w:rsidRPr="00DA5246">
        <w:rPr>
          <w:rFonts w:ascii="Times New Roman" w:hAnsi="Times New Roman" w:cs="Times New Roman"/>
          <w:b/>
          <w:bCs/>
          <w:sz w:val="22"/>
        </w:rPr>
        <w:lastRenderedPageBreak/>
        <w:t>Fig. S2. Subgroup analysis on region, excluding studies in which history taking was used as the evaluation method</w:t>
      </w:r>
      <w:r w:rsidRPr="00DA5246">
        <w:rPr>
          <w:rFonts w:ascii="Times New Roman" w:hAnsi="Times New Roman" w:cs="Times New Roman"/>
          <w:sz w:val="22"/>
        </w:rPr>
        <w:t xml:space="preserve"> (a) Forest plot meta-analysis of the </w:t>
      </w:r>
      <w:proofErr w:type="spellStart"/>
      <w:r w:rsidRPr="00DA5246">
        <w:rPr>
          <w:rFonts w:ascii="Times New Roman" w:hAnsi="Times New Roman" w:cs="Times New Roman"/>
          <w:sz w:val="22"/>
        </w:rPr>
        <w:t>prevalences</w:t>
      </w:r>
      <w:proofErr w:type="spellEnd"/>
      <w:r w:rsidRPr="00DA5246">
        <w:rPr>
          <w:rFonts w:ascii="Times New Roman" w:hAnsi="Times New Roman" w:cs="Times New Roman"/>
          <w:sz w:val="22"/>
        </w:rPr>
        <w:t xml:space="preserve"> of olfactory dysfunction of four regions (East Asia, Europe, North America, and Middle East) showed 37.3%, 61.0%, 52.7%, and 59.8% pooled subgroup prevalence in random-effect model, respectively (P = 0.005 for subgroup difference). (b) Forest plot meta-analysis of the </w:t>
      </w:r>
      <w:proofErr w:type="spellStart"/>
      <w:r w:rsidRPr="00DA5246">
        <w:rPr>
          <w:rFonts w:ascii="Times New Roman" w:hAnsi="Times New Roman" w:cs="Times New Roman"/>
          <w:sz w:val="22"/>
        </w:rPr>
        <w:t>prevalences</w:t>
      </w:r>
      <w:proofErr w:type="spellEnd"/>
      <w:r w:rsidRPr="00DA5246">
        <w:rPr>
          <w:rFonts w:ascii="Times New Roman" w:hAnsi="Times New Roman" w:cs="Times New Roman"/>
          <w:sz w:val="22"/>
        </w:rPr>
        <w:t xml:space="preserve"> of gustatory dysfunction of four regions (East Asia, Europe, North America, and Middle East) showed 32.6%, 56.7%, 58.9%, and 47.9% pooled subgroup prevalence in the random-effect model, respectively (P &lt; 0.001 for subgroup difference). The diamonds represent pooled prevalence with 95% confidence interval, and the estimates of individual studies are represented as squares, with 95% confidence intervals represented as horizontal lines. </w:t>
      </w:r>
    </w:p>
    <w:p w:rsidR="00DA5246" w:rsidRPr="00DA5246" w:rsidRDefault="00DA5246" w:rsidP="00DA524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noProof/>
        </w:rPr>
        <w:drawing>
          <wp:inline distT="0" distB="0" distL="0" distR="0">
            <wp:extent cx="4273550" cy="5698067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101" cy="570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246" w:rsidRPr="00DA5246" w:rsidRDefault="00DA5246" w:rsidP="00A72EA7">
      <w:pPr>
        <w:spacing w:after="0" w:line="276" w:lineRule="auto"/>
      </w:pPr>
      <w:r>
        <w:rPr>
          <w:noProof/>
        </w:rPr>
        <w:lastRenderedPageBreak/>
        <w:drawing>
          <wp:inline distT="0" distB="0" distL="0" distR="0">
            <wp:extent cx="4200526" cy="5600700"/>
            <wp:effectExtent l="0" t="0" r="9525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968" cy="5605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Pr="00DA5246" w:rsidRDefault="00DA5246" w:rsidP="00DA5246">
      <w:pPr>
        <w:spacing w:after="0" w:line="480" w:lineRule="auto"/>
        <w:rPr>
          <w:sz w:val="22"/>
        </w:rPr>
      </w:pPr>
      <w:r w:rsidRPr="00DA5246">
        <w:rPr>
          <w:rFonts w:ascii="Times New Roman" w:hAnsi="Times New Roman" w:cs="Times New Roman"/>
          <w:b/>
          <w:bCs/>
          <w:sz w:val="22"/>
        </w:rPr>
        <w:lastRenderedPageBreak/>
        <w:t>Fig. S3. Subgroup analysis on the time of enrollment, only including studies in which evaluation method using surveys or validated instruments among the studies conducted in Europe</w:t>
      </w:r>
      <w:r w:rsidRPr="00DA5246">
        <w:rPr>
          <w:rFonts w:ascii="Times New Roman" w:hAnsi="Times New Roman" w:cs="Times New Roman"/>
          <w:sz w:val="22"/>
        </w:rPr>
        <w:t xml:space="preserve"> </w:t>
      </w:r>
      <w:proofErr w:type="gramStart"/>
      <w:r w:rsidRPr="00DA5246">
        <w:rPr>
          <w:rFonts w:ascii="Times New Roman" w:hAnsi="Times New Roman" w:cs="Times New Roman"/>
          <w:sz w:val="22"/>
        </w:rPr>
        <w:t>The</w:t>
      </w:r>
      <w:proofErr w:type="gramEnd"/>
      <w:r w:rsidRPr="00DA5246">
        <w:rPr>
          <w:rFonts w:ascii="Times New Roman" w:hAnsi="Times New Roman" w:cs="Times New Roman"/>
          <w:sz w:val="22"/>
        </w:rPr>
        <w:t xml:space="preserve"> time of enrollment was clarified in 29 out of 55 studies. After calculating the median date (mid-date) between beginning and end date of the time of enrollment, the individual studies were categorized into three groups: </w:t>
      </w:r>
      <w:r w:rsidRPr="00DA5246">
        <w:rPr>
          <w:rFonts w:ascii="Times New Roman" w:hAnsi="Times New Roman" w:cs="Times New Roman" w:hint="eastAsia"/>
          <w:sz w:val="22"/>
        </w:rPr>
        <w:t xml:space="preserve">1st period (mid-date </w:t>
      </w:r>
      <w:r w:rsidRPr="00DA5246">
        <w:rPr>
          <w:rFonts w:ascii="Times New Roman" w:hAnsi="Times New Roman" w:cs="Times New Roman"/>
          <w:sz w:val="22"/>
        </w:rPr>
        <w:t xml:space="preserve">February 2, </w:t>
      </w:r>
      <w:r w:rsidRPr="00DA5246">
        <w:rPr>
          <w:rFonts w:ascii="Times New Roman" w:hAnsi="Times New Roman" w:cs="Times New Roman" w:hint="eastAsia"/>
          <w:sz w:val="22"/>
        </w:rPr>
        <w:t xml:space="preserve">2020 to </w:t>
      </w:r>
      <w:r w:rsidRPr="00DA5246">
        <w:rPr>
          <w:rFonts w:ascii="Times New Roman" w:hAnsi="Times New Roman" w:cs="Times New Roman"/>
          <w:sz w:val="22"/>
        </w:rPr>
        <w:t xml:space="preserve">March 17, </w:t>
      </w:r>
      <w:r w:rsidRPr="00DA5246">
        <w:rPr>
          <w:rFonts w:ascii="Times New Roman" w:hAnsi="Times New Roman" w:cs="Times New Roman" w:hint="eastAsia"/>
          <w:sz w:val="22"/>
        </w:rPr>
        <w:t xml:space="preserve">2020), 2nd period (mid-date </w:t>
      </w:r>
      <w:r w:rsidRPr="00DA5246">
        <w:rPr>
          <w:rFonts w:ascii="Times New Roman" w:hAnsi="Times New Roman" w:cs="Times New Roman"/>
          <w:sz w:val="22"/>
        </w:rPr>
        <w:t xml:space="preserve">March 20, </w:t>
      </w:r>
      <w:r w:rsidRPr="00DA5246">
        <w:rPr>
          <w:rFonts w:ascii="Times New Roman" w:hAnsi="Times New Roman" w:cs="Times New Roman" w:hint="eastAsia"/>
          <w:sz w:val="22"/>
        </w:rPr>
        <w:t xml:space="preserve">2020 to </w:t>
      </w:r>
      <w:r w:rsidRPr="00DA5246">
        <w:rPr>
          <w:rFonts w:ascii="Times New Roman" w:hAnsi="Times New Roman" w:cs="Times New Roman"/>
          <w:sz w:val="22"/>
        </w:rPr>
        <w:t xml:space="preserve">March 29, </w:t>
      </w:r>
      <w:r w:rsidRPr="00DA5246">
        <w:rPr>
          <w:rFonts w:ascii="Times New Roman" w:hAnsi="Times New Roman" w:cs="Times New Roman" w:hint="eastAsia"/>
          <w:sz w:val="22"/>
        </w:rPr>
        <w:t xml:space="preserve">2020), and 3rd period (mid-date </w:t>
      </w:r>
      <w:r w:rsidRPr="00DA5246">
        <w:rPr>
          <w:rFonts w:ascii="Times New Roman" w:hAnsi="Times New Roman" w:cs="Times New Roman"/>
          <w:sz w:val="22"/>
        </w:rPr>
        <w:t xml:space="preserve">March 30, </w:t>
      </w:r>
      <w:r w:rsidRPr="00DA5246">
        <w:rPr>
          <w:rFonts w:ascii="Times New Roman" w:hAnsi="Times New Roman" w:cs="Times New Roman" w:hint="eastAsia"/>
          <w:sz w:val="22"/>
        </w:rPr>
        <w:t xml:space="preserve">2020 to </w:t>
      </w:r>
      <w:r w:rsidRPr="00DA5246">
        <w:rPr>
          <w:rFonts w:ascii="Times New Roman" w:hAnsi="Times New Roman" w:cs="Times New Roman"/>
          <w:sz w:val="22"/>
        </w:rPr>
        <w:t xml:space="preserve">April 9, </w:t>
      </w:r>
      <w:r w:rsidRPr="00DA5246">
        <w:rPr>
          <w:rFonts w:ascii="Times New Roman" w:hAnsi="Times New Roman" w:cs="Times New Roman" w:hint="eastAsia"/>
          <w:sz w:val="22"/>
        </w:rPr>
        <w:t>2020)</w:t>
      </w:r>
      <w:r w:rsidRPr="00DA5246">
        <w:rPr>
          <w:rFonts w:ascii="Times New Roman" w:hAnsi="Times New Roman" w:cs="Times New Roman"/>
          <w:sz w:val="22"/>
        </w:rPr>
        <w:t xml:space="preserve">. Forest plot meta-analysis of the </w:t>
      </w:r>
      <w:proofErr w:type="spellStart"/>
      <w:r w:rsidRPr="00DA5246">
        <w:rPr>
          <w:rFonts w:ascii="Times New Roman" w:hAnsi="Times New Roman" w:cs="Times New Roman"/>
          <w:sz w:val="22"/>
        </w:rPr>
        <w:t>prevalences</w:t>
      </w:r>
      <w:proofErr w:type="spellEnd"/>
      <w:r w:rsidRPr="00DA5246">
        <w:rPr>
          <w:rFonts w:ascii="Times New Roman" w:hAnsi="Times New Roman" w:cs="Times New Roman"/>
          <w:sz w:val="22"/>
        </w:rPr>
        <w:t xml:space="preserve"> of olfactory showed 48.7%, 65.4%, and 58.4% pooled subgroup prevalence in the random-effect model, respectively (P = 0.038 for subgroup difference).</w:t>
      </w:r>
    </w:p>
    <w:p w:rsidR="00DA5246" w:rsidRDefault="00A973ED" w:rsidP="00A72EA7">
      <w:pPr>
        <w:spacing w:after="0" w:line="276" w:lineRule="auto"/>
      </w:pPr>
      <w:r>
        <w:rPr>
          <w:noProof/>
        </w:rPr>
        <w:drawing>
          <wp:inline distT="0" distB="0" distL="0" distR="0">
            <wp:extent cx="4624177" cy="3898900"/>
            <wp:effectExtent l="0" t="0" r="5080" b="635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958" b="21805"/>
                    <a:stretch/>
                  </pic:blipFill>
                  <pic:spPr bwMode="auto">
                    <a:xfrm>
                      <a:off x="0" y="0"/>
                      <a:ext cx="4642900" cy="3914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A973ED" w:rsidRPr="003C699A" w:rsidRDefault="00A973ED" w:rsidP="00A973E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C699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Fig. S4 Online. Funnel plot of the </w:t>
      </w:r>
      <w:proofErr w:type="spellStart"/>
      <w:r w:rsidRPr="003C699A">
        <w:rPr>
          <w:rFonts w:ascii="Times New Roman" w:hAnsi="Times New Roman" w:cs="Times New Roman"/>
          <w:b/>
          <w:bCs/>
          <w:sz w:val="24"/>
          <w:szCs w:val="24"/>
        </w:rPr>
        <w:t>prevalences</w:t>
      </w:r>
      <w:proofErr w:type="spellEnd"/>
      <w:r w:rsidRPr="003C699A">
        <w:rPr>
          <w:rFonts w:ascii="Times New Roman" w:hAnsi="Times New Roman" w:cs="Times New Roman"/>
          <w:b/>
          <w:bCs/>
          <w:sz w:val="24"/>
          <w:szCs w:val="24"/>
        </w:rPr>
        <w:t xml:space="preserve"> of (a) olfactory and (b) gustatory dysfunction</w:t>
      </w:r>
    </w:p>
    <w:p w:rsidR="00A973ED" w:rsidRPr="00A973ED" w:rsidRDefault="006970AB" w:rsidP="00A72EA7">
      <w:pPr>
        <w:spacing w:after="0" w:line="276" w:lineRule="auto"/>
      </w:pPr>
      <w:r>
        <w:rPr>
          <w:noProof/>
        </w:rPr>
        <w:drawing>
          <wp:inline distT="0" distB="0" distL="0" distR="0">
            <wp:extent cx="4882127" cy="3289300"/>
            <wp:effectExtent l="0" t="0" r="0" b="635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274" b="28195"/>
                    <a:stretch/>
                  </pic:blipFill>
                  <pic:spPr bwMode="auto">
                    <a:xfrm>
                      <a:off x="0" y="0"/>
                      <a:ext cx="4892241" cy="3296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A5246" w:rsidRDefault="006970AB" w:rsidP="00A72EA7">
      <w:pPr>
        <w:spacing w:after="0" w:line="276" w:lineRule="auto"/>
      </w:pPr>
      <w:r>
        <w:rPr>
          <w:noProof/>
        </w:rPr>
        <w:drawing>
          <wp:inline distT="0" distB="0" distL="0" distR="0">
            <wp:extent cx="4881880" cy="3234491"/>
            <wp:effectExtent l="0" t="0" r="0" b="4445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687" b="27622"/>
                    <a:stretch/>
                  </pic:blipFill>
                  <pic:spPr bwMode="auto">
                    <a:xfrm>
                      <a:off x="0" y="0"/>
                      <a:ext cx="4900026" cy="3246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</w:p>
    <w:p w:rsidR="00DA5246" w:rsidRDefault="00DA5246" w:rsidP="00A72EA7">
      <w:pPr>
        <w:spacing w:after="0" w:line="276" w:lineRule="auto"/>
      </w:pPr>
      <w:bookmarkStart w:id="3" w:name="_GoBack"/>
      <w:bookmarkEnd w:id="3"/>
    </w:p>
    <w:sectPr w:rsidR="00DA5246" w:rsidSect="002F456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46CD" w:rsidRDefault="004146CD" w:rsidP="004146CD">
      <w:pPr>
        <w:spacing w:after="0" w:line="240" w:lineRule="auto"/>
      </w:pPr>
      <w:r>
        <w:separator/>
      </w:r>
    </w:p>
  </w:endnote>
  <w:endnote w:type="continuationSeparator" w:id="0">
    <w:p w:rsidR="004146CD" w:rsidRDefault="004146CD" w:rsidP="004146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신명조">
    <w:altName w:val="Batang"/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46CD" w:rsidRDefault="004146CD" w:rsidP="004146CD">
      <w:pPr>
        <w:spacing w:after="0" w:line="240" w:lineRule="auto"/>
      </w:pPr>
      <w:r>
        <w:separator/>
      </w:r>
    </w:p>
  </w:footnote>
  <w:footnote w:type="continuationSeparator" w:id="0">
    <w:p w:rsidR="004146CD" w:rsidRDefault="004146CD" w:rsidP="004146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EA7"/>
    <w:rsid w:val="00120596"/>
    <w:rsid w:val="002328F1"/>
    <w:rsid w:val="0026107D"/>
    <w:rsid w:val="002F4562"/>
    <w:rsid w:val="004146CD"/>
    <w:rsid w:val="004C5786"/>
    <w:rsid w:val="00641F13"/>
    <w:rsid w:val="006530A6"/>
    <w:rsid w:val="006970AB"/>
    <w:rsid w:val="00706362"/>
    <w:rsid w:val="00A72EA7"/>
    <w:rsid w:val="00A973ED"/>
    <w:rsid w:val="00B041A5"/>
    <w:rsid w:val="00DA5246"/>
    <w:rsid w:val="00DB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CEB4208"/>
  <w15:chartTrackingRefBased/>
  <w15:docId w15:val="{931A98DB-A795-433F-9F1B-8A0CD964E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2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unhideWhenUsed/>
    <w:qFormat/>
    <w:rsid w:val="00DA5246"/>
    <w:rPr>
      <w:sz w:val="18"/>
      <w:szCs w:val="18"/>
    </w:rPr>
  </w:style>
  <w:style w:type="paragraph" w:styleId="a5">
    <w:name w:val="annotation text"/>
    <w:aliases w:val=" Char,Char11"/>
    <w:basedOn w:val="a"/>
    <w:link w:val="Char"/>
    <w:uiPriority w:val="99"/>
    <w:unhideWhenUsed/>
    <w:qFormat/>
    <w:rsid w:val="00DA5246"/>
    <w:pPr>
      <w:jc w:val="left"/>
    </w:pPr>
  </w:style>
  <w:style w:type="character" w:customStyle="1" w:styleId="Char">
    <w:name w:val="메모 텍스트 Char"/>
    <w:aliases w:val=" Char Char,Char11 Char"/>
    <w:basedOn w:val="a0"/>
    <w:link w:val="a5"/>
    <w:uiPriority w:val="99"/>
    <w:qFormat/>
    <w:rsid w:val="00DA5246"/>
  </w:style>
  <w:style w:type="paragraph" w:styleId="a6">
    <w:name w:val="Balloon Text"/>
    <w:basedOn w:val="a"/>
    <w:link w:val="Char0"/>
    <w:uiPriority w:val="99"/>
    <w:semiHidden/>
    <w:unhideWhenUsed/>
    <w:rsid w:val="00DA524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DA5246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A973ED"/>
    <w:rPr>
      <w:color w:val="0563C1" w:themeColor="hyperlink"/>
      <w:u w:val="single"/>
    </w:rPr>
  </w:style>
  <w:style w:type="paragraph" w:styleId="a8">
    <w:name w:val="header"/>
    <w:basedOn w:val="a"/>
    <w:link w:val="Char1"/>
    <w:uiPriority w:val="99"/>
    <w:unhideWhenUsed/>
    <w:rsid w:val="004146C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8"/>
    <w:uiPriority w:val="99"/>
    <w:rsid w:val="004146CD"/>
  </w:style>
  <w:style w:type="paragraph" w:styleId="a9">
    <w:name w:val="footer"/>
    <w:basedOn w:val="a"/>
    <w:link w:val="Char2"/>
    <w:uiPriority w:val="99"/>
    <w:unhideWhenUsed/>
    <w:rsid w:val="004146CD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9"/>
    <w:uiPriority w:val="99"/>
    <w:rsid w:val="004146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jyoup0622@gmail.com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996</Words>
  <Characters>5681</Characters>
  <Application>Microsoft Office Word</Application>
  <DocSecurity>0</DocSecurity>
  <Lines>47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JinyoupKim</dc:creator>
  <cp:keywords/>
  <dc:description/>
  <cp:lastModifiedBy>JinyoupKim</cp:lastModifiedBy>
  <cp:revision>8</cp:revision>
  <dcterms:created xsi:type="dcterms:W3CDTF">2020-08-07T02:49:00Z</dcterms:created>
  <dcterms:modified xsi:type="dcterms:W3CDTF">2020-08-07T06:28:00Z</dcterms:modified>
</cp:coreProperties>
</file>