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7907E" w14:textId="77777777" w:rsidR="00E5678C" w:rsidRPr="00E5678C" w:rsidRDefault="00E5678C" w:rsidP="00E5678C">
      <w:pPr>
        <w:keepNext/>
        <w:keepLines/>
        <w:spacing w:line="360" w:lineRule="auto"/>
        <w:ind w:firstLineChars="0" w:firstLine="0"/>
        <w:outlineLvl w:val="0"/>
        <w:rPr>
          <w:rFonts w:cstheme="minorBidi"/>
          <w:b/>
          <w:bCs/>
          <w:kern w:val="44"/>
          <w:szCs w:val="44"/>
          <w14:ligatures w14:val="standardContextual"/>
        </w:rPr>
      </w:pPr>
      <w:r w:rsidRPr="00E5678C">
        <w:rPr>
          <w:rFonts w:cstheme="minorBidi" w:hint="eastAsia"/>
          <w:b/>
          <w:bCs/>
          <w:kern w:val="44"/>
          <w:szCs w:val="44"/>
          <w14:ligatures w14:val="standardContextual"/>
        </w:rPr>
        <w:t xml:space="preserve">Influence of long-term anthropogenic </w:t>
      </w:r>
      <w:r w:rsidRPr="00E5678C">
        <w:rPr>
          <w:rFonts w:cstheme="minorBidi"/>
          <w:b/>
          <w:bCs/>
          <w:kern w:val="44"/>
          <w:szCs w:val="44"/>
          <w14:ligatures w14:val="standardContextual"/>
        </w:rPr>
        <w:t>nitrogen</w:t>
      </w:r>
      <w:r w:rsidRPr="00E5678C">
        <w:rPr>
          <w:rFonts w:cstheme="minorBidi" w:hint="eastAsia"/>
          <w:b/>
          <w:bCs/>
          <w:kern w:val="44"/>
          <w:szCs w:val="44"/>
          <w14:ligatures w14:val="standardContextual"/>
        </w:rPr>
        <w:t xml:space="preserve"> inputs and its legacy on riverine output</w:t>
      </w:r>
    </w:p>
    <w:p w14:paraId="7C9EDFED" w14:textId="77777777" w:rsidR="00E5678C" w:rsidRPr="00E5678C" w:rsidRDefault="00E5678C" w:rsidP="00E5678C">
      <w:pPr>
        <w:spacing w:line="360" w:lineRule="auto"/>
        <w:ind w:firstLineChars="0" w:firstLine="0"/>
        <w:rPr>
          <w:rFonts w:cstheme="minorBidi"/>
          <w14:ligatures w14:val="standardContextual"/>
        </w:rPr>
      </w:pPr>
      <w:r w:rsidRPr="00E5678C">
        <w:rPr>
          <w:rFonts w:cstheme="minorBidi"/>
          <w14:ligatures w14:val="standardContextual"/>
        </w:rPr>
        <w:t xml:space="preserve">Min Cao, Wei Gao*, </w:t>
      </w:r>
      <w:proofErr w:type="spellStart"/>
      <w:r w:rsidRPr="00E5678C">
        <w:rPr>
          <w:rFonts w:cstheme="minorBidi"/>
          <w14:ligatures w14:val="standardContextual"/>
        </w:rPr>
        <w:t>Yanpeng</w:t>
      </w:r>
      <w:proofErr w:type="spellEnd"/>
      <w:r w:rsidRPr="00E5678C">
        <w:rPr>
          <w:rFonts w:cstheme="minorBidi"/>
          <w14:ligatures w14:val="standardContextual"/>
        </w:rPr>
        <w:t xml:space="preserve"> Cai</w:t>
      </w:r>
    </w:p>
    <w:p w14:paraId="217BF136" w14:textId="618FC4EF" w:rsidR="00E5678C" w:rsidRPr="00C6461D" w:rsidRDefault="00E5678C" w:rsidP="00C6461D">
      <w:pPr>
        <w:spacing w:line="360" w:lineRule="auto"/>
        <w:ind w:firstLineChars="0" w:firstLine="0"/>
        <w:rPr>
          <w:rFonts w:cstheme="minorBidi"/>
          <w14:ligatures w14:val="standardContextual"/>
        </w:rPr>
      </w:pPr>
      <w:r w:rsidRPr="00E5678C">
        <w:rPr>
          <w:rFonts w:cstheme="minorBidi"/>
          <w14:ligatures w14:val="standardContextual"/>
        </w:rPr>
        <w:t>a Guangdong Basic Research Center of Excellence for Ecological Security and Green Development, School of Ecology, Environment and Resources, Guangdong University of Technology, Guangzhou, China</w:t>
      </w:r>
    </w:p>
    <w:p w14:paraId="558D15BF" w14:textId="3B9A1748" w:rsidR="00CE19D8" w:rsidRDefault="00C14DD0" w:rsidP="00C14DD0">
      <w:pPr>
        <w:pStyle w:val="1"/>
      </w:pPr>
      <w:r>
        <w:rPr>
          <w:rFonts w:hint="eastAsia"/>
        </w:rPr>
        <w:t>Part S1</w:t>
      </w:r>
      <w:r w:rsidR="002164DA">
        <w:rPr>
          <w:rFonts w:hint="eastAsia"/>
        </w:rPr>
        <w:t xml:space="preserve"> </w:t>
      </w:r>
      <w:r w:rsidR="00CB0A09">
        <w:rPr>
          <w:rFonts w:hint="eastAsia"/>
        </w:rPr>
        <w:t>Estimation of NANI</w:t>
      </w:r>
    </w:p>
    <w:p w14:paraId="224FEE9A" w14:textId="26BD899A" w:rsidR="00CE19D8" w:rsidRPr="00CB0A09" w:rsidRDefault="00CE19D8" w:rsidP="00CE19D8">
      <w:pPr>
        <w:pStyle w:val="1"/>
      </w:pPr>
      <w:r>
        <w:rPr>
          <w:rFonts w:hint="eastAsia"/>
        </w:rPr>
        <w:t xml:space="preserve">1 </w:t>
      </w:r>
      <w:r w:rsidR="00CB0A09">
        <w:rPr>
          <w:rFonts w:hint="eastAsia"/>
        </w:rPr>
        <w:t>Estimation of NANI</w:t>
      </w:r>
    </w:p>
    <w:p w14:paraId="4AD99394" w14:textId="29E8A09C" w:rsidR="000B1B37" w:rsidRDefault="000B1B37" w:rsidP="000B1B37">
      <w:pPr>
        <w:ind w:firstLine="420"/>
      </w:pPr>
      <w:r>
        <w:t>Net anthropogenic nitrogen inputs (NANI) can be expressed as the sum of fertilizer nitrogen inputs (</w:t>
      </w:r>
      <w:proofErr w:type="spellStart"/>
      <w:r>
        <w:t>N</w:t>
      </w:r>
      <w:r w:rsidRPr="000B1B37">
        <w:rPr>
          <w:vertAlign w:val="subscript"/>
        </w:rPr>
        <w:t>chem</w:t>
      </w:r>
      <w:proofErr w:type="spellEnd"/>
      <w:r>
        <w:t>), agricultural nitrogen fixation (</w:t>
      </w:r>
      <w:proofErr w:type="spellStart"/>
      <w:r>
        <w:t>N</w:t>
      </w:r>
      <w:r w:rsidRPr="000B1B37">
        <w:rPr>
          <w:vertAlign w:val="subscript"/>
        </w:rPr>
        <w:t>fix</w:t>
      </w:r>
      <w:proofErr w:type="spellEnd"/>
      <w:r>
        <w:t>), atmospheric nitrogen deposition (</w:t>
      </w:r>
      <w:proofErr w:type="spellStart"/>
      <w:r>
        <w:t>N</w:t>
      </w:r>
      <w:r w:rsidRPr="000B1B37">
        <w:rPr>
          <w:vertAlign w:val="subscript"/>
        </w:rPr>
        <w:t>dep</w:t>
      </w:r>
      <w:proofErr w:type="spellEnd"/>
      <w:r>
        <w:t>), and net food/feed nitrogen inputs (N</w:t>
      </w:r>
      <w:r w:rsidRPr="000B1B37">
        <w:rPr>
          <w:vertAlign w:val="subscript"/>
        </w:rPr>
        <w:t>im</w:t>
      </w:r>
      <w:r>
        <w:t>). Nim refers to the difference between nitrogen intake from food and nitrogen output from products, which includes human nitrogen consumption (HC) and animal nitrogen consumption (AC), as well as grain nitrogen production (</w:t>
      </w:r>
      <w:r w:rsidR="008D4B5B" w:rsidRPr="003F1FEB">
        <w:t>GP</w:t>
      </w:r>
      <w:r>
        <w:t>) and animal nitrogen production (AP). The formula for calculating NANI is shown in Equation (S1):</w:t>
      </w:r>
    </w:p>
    <w:p w14:paraId="3C26DC65" w14:textId="4BE97379" w:rsidR="00CE19D8" w:rsidRPr="00CE19D8" w:rsidRDefault="00000000" w:rsidP="00CE19D8">
      <w:pPr>
        <w:ind w:firstLineChars="0" w:firstLine="420"/>
      </w:pPr>
      <m:oMathPara>
        <m:oMath>
          <m:eqArr>
            <m:eqArrPr>
              <m:maxDist m:val="1"/>
              <m:ctrlPr>
                <w:rPr>
                  <w:rFonts w:ascii="Cambria Math" w:hAnsi="Cambria Math"/>
                  <w:i/>
                </w:rPr>
              </m:ctrlPr>
            </m:eqArrPr>
            <m:e>
              <m:r>
                <w:rPr>
                  <w:rFonts w:ascii="Cambria Math" w:hAnsi="Cambria Math"/>
                </w:rPr>
                <m:t>NANI=</m:t>
              </m:r>
              <m:sSub>
                <m:sSubPr>
                  <m:ctrlPr>
                    <w:rPr>
                      <w:rFonts w:ascii="Cambria Math" w:hAnsi="Cambria Math"/>
                      <w:i/>
                    </w:rPr>
                  </m:ctrlPr>
                </m:sSubPr>
                <m:e>
                  <m:r>
                    <w:rPr>
                      <w:rFonts w:ascii="Cambria Math" w:hAnsi="Cambria Math"/>
                    </w:rPr>
                    <m:t>N</m:t>
                  </m:r>
                </m:e>
                <m:sub>
                  <m:r>
                    <w:rPr>
                      <w:rFonts w:ascii="Cambria Math" w:hAnsi="Cambria Math"/>
                    </w:rPr>
                    <m:t>chem</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fix</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dep</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im</m:t>
                  </m:r>
                </m:sub>
              </m:sSub>
              <m:r>
                <w:rPr>
                  <w:rFonts w:ascii="Cambria Math" w:hAnsi="Cambria Math"/>
                </w:rPr>
                <m:t xml:space="preserve"> #</m:t>
              </m:r>
              <m:d>
                <m:dPr>
                  <m:ctrlPr>
                    <w:rPr>
                      <w:rFonts w:ascii="Cambria Math" w:hAnsi="Cambria Math"/>
                      <w:i/>
                    </w:rPr>
                  </m:ctrlPr>
                </m:dPr>
                <m:e>
                  <m:r>
                    <w:rPr>
                      <w:rFonts w:ascii="Cambria Math" w:hAnsi="Cambria Math" w:hint="eastAsia"/>
                    </w:rPr>
                    <m:t>S</m:t>
                  </m:r>
                  <m:r>
                    <w:rPr>
                      <w:rFonts w:ascii="Cambria Math" w:hAnsi="Cambria Math"/>
                    </w:rPr>
                    <m:t>1</m:t>
                  </m:r>
                </m:e>
              </m:d>
            </m:e>
          </m:eqArr>
        </m:oMath>
      </m:oMathPara>
    </w:p>
    <w:p w14:paraId="51D2624F" w14:textId="3703A29C" w:rsidR="000B1B37" w:rsidRDefault="000B1B37" w:rsidP="000B1B37">
      <w:pPr>
        <w:ind w:firstLineChars="0" w:firstLine="0"/>
      </w:pPr>
      <w:r>
        <w:rPr>
          <w:rFonts w:hint="eastAsia"/>
        </w:rPr>
        <w:t>w</w:t>
      </w:r>
      <w:r>
        <w:t>here all units are expressed in kg·yr⁻¹ or kg·km⁻²·yr⁻¹</w:t>
      </w:r>
      <w:r w:rsidR="006E15B2">
        <w:rPr>
          <w:rFonts w:hint="eastAsia"/>
        </w:rPr>
        <w:t>+</w:t>
      </w:r>
      <w:r>
        <w:t>.</w:t>
      </w:r>
    </w:p>
    <w:p w14:paraId="20D8BAC0" w14:textId="11E5BD31" w:rsidR="00CE19D8" w:rsidRDefault="00CE19D8" w:rsidP="00DE0AB6">
      <w:pPr>
        <w:pStyle w:val="2"/>
      </w:pPr>
      <w:r>
        <w:rPr>
          <w:rFonts w:hint="eastAsia"/>
        </w:rPr>
        <w:t xml:space="preserve">1.1 </w:t>
      </w:r>
      <w:r w:rsidR="000B1B37">
        <w:rPr>
          <w:rFonts w:hint="eastAsia"/>
        </w:rPr>
        <w:t xml:space="preserve">Estimation of </w:t>
      </w:r>
      <w:proofErr w:type="spellStart"/>
      <w:r>
        <w:rPr>
          <w:rFonts w:hint="eastAsia"/>
        </w:rPr>
        <w:t>N</w:t>
      </w:r>
      <w:r>
        <w:rPr>
          <w:rFonts w:hint="eastAsia"/>
          <w:vertAlign w:val="subscript"/>
        </w:rPr>
        <w:t>chem</w:t>
      </w:r>
      <w:proofErr w:type="spellEnd"/>
    </w:p>
    <w:p w14:paraId="2B645FE0" w14:textId="77995A35" w:rsidR="000B1B37" w:rsidRDefault="000B1B37" w:rsidP="000B1B37">
      <w:pPr>
        <w:ind w:firstLine="420"/>
      </w:pPr>
      <w:proofErr w:type="spellStart"/>
      <w:r>
        <w:rPr>
          <w:rFonts w:hint="eastAsia"/>
        </w:rPr>
        <w:t>N</w:t>
      </w:r>
      <w:r w:rsidRPr="00C6461D">
        <w:rPr>
          <w:vertAlign w:val="subscript"/>
        </w:rPr>
        <w:t>chem</w:t>
      </w:r>
      <w:proofErr w:type="spellEnd"/>
      <w:r>
        <w:rPr>
          <w:rFonts w:hint="eastAsia"/>
        </w:rPr>
        <w:t xml:space="preserve"> can be expressed as the nitrogen input from compound fertilizer (CF) and nitrogen fertilizer (NF) in their pure forms. For this study, fertilizer purity data prior to 1990 were estimated based on the ratio of purity to application rates during th</w:t>
      </w:r>
      <w:r>
        <w:t xml:space="preserve">e 1990–2000 period. The specific formula for calculating </w:t>
      </w:r>
      <w:proofErr w:type="spellStart"/>
      <w:r>
        <w:t>Nchem</w:t>
      </w:r>
      <w:proofErr w:type="spellEnd"/>
      <w:r>
        <w:t xml:space="preserve"> is shown in Equation (S2):</w:t>
      </w:r>
    </w:p>
    <w:p w14:paraId="4FE3FE74" w14:textId="72C244EC" w:rsidR="00CE19D8" w:rsidRPr="008C0931" w:rsidRDefault="00000000" w:rsidP="00EB674F">
      <w:pPr>
        <w:ind w:firstLineChars="0" w:firstLine="0"/>
        <w:jc w:val="center"/>
        <w:rPr>
          <w:rFonts w:cstheme="minorBidi"/>
        </w:rPr>
      </w:pPr>
      <m:oMathPara>
        <m:oMath>
          <m:eqArr>
            <m:eqArrPr>
              <m:maxDist m:val="1"/>
              <m:ctrlPr>
                <w:rPr>
                  <w:rFonts w:ascii="Cambria Math" w:hAnsi="Cambria Math"/>
                  <w:i/>
                </w:rPr>
              </m:ctrlPr>
            </m:eqArrPr>
            <m:e>
              <m:sSub>
                <m:sSubPr>
                  <m:ctrlPr>
                    <w:rPr>
                      <w:rFonts w:ascii="Cambria Math" w:hAnsi="Cambria Math" w:cstheme="minorBidi"/>
                      <w:i/>
                      <w14:ligatures w14:val="standardContextual"/>
                    </w:rPr>
                  </m:ctrlPr>
                </m:sSubPr>
                <m:e>
                  <m:r>
                    <w:rPr>
                      <w:rFonts w:ascii="Cambria Math" w:hAnsi="Cambria Math"/>
                    </w:rPr>
                    <m:t>N</m:t>
                  </m:r>
                </m:e>
                <m:sub>
                  <m:r>
                    <w:rPr>
                      <w:rFonts w:ascii="Cambria Math" w:hAnsi="Cambria Math"/>
                    </w:rPr>
                    <m:t>chem</m:t>
                  </m:r>
                </m:sub>
              </m:sSub>
              <m:r>
                <w:rPr>
                  <w:rFonts w:ascii="Cambria Math" w:hAnsi="Cambria Math"/>
                </w:rPr>
                <m:t>=NF+CF×r #</m:t>
              </m:r>
              <m:d>
                <m:dPr>
                  <m:ctrlPr>
                    <w:rPr>
                      <w:rFonts w:ascii="Cambria Math" w:hAnsi="Cambria Math"/>
                      <w:i/>
                    </w:rPr>
                  </m:ctrlPr>
                </m:dPr>
                <m:e>
                  <m:r>
                    <w:rPr>
                      <w:rFonts w:ascii="Cambria Math" w:hAnsi="Cambria Math"/>
                    </w:rPr>
                    <m:t>S2</m:t>
                  </m:r>
                </m:e>
              </m:d>
            </m:e>
          </m:eqArr>
        </m:oMath>
      </m:oMathPara>
    </w:p>
    <w:p w14:paraId="3344DBC2" w14:textId="342C3E68" w:rsidR="000B1B37" w:rsidRDefault="000B1B37" w:rsidP="000B1B37">
      <w:pPr>
        <w:ind w:firstLineChars="0" w:firstLine="0"/>
      </w:pPr>
      <w:r>
        <w:rPr>
          <w:rFonts w:hint="eastAsia"/>
        </w:rPr>
        <w:t>w</w:t>
      </w:r>
      <w:r>
        <w:t>here CF and NF are expressed in kg·yr⁻¹ or kg·km⁻²·yr⁻¹, and r represents the nitrogen content in compound fertilizer, which is set at 32.64% in this stud</w:t>
      </w:r>
      <w:r>
        <w:rPr>
          <w:rFonts w:hint="eastAsia"/>
        </w:rPr>
        <w:t>y</w:t>
      </w:r>
      <w:r w:rsidR="00282934">
        <w:fldChar w:fldCharType="begin"/>
      </w:r>
      <w:r w:rsidR="00282934">
        <w:instrText xml:space="preserve"> ADDIN NE.Ref.{898010F8-DF16-4F3F-B674-C6BA9B342992}</w:instrText>
      </w:r>
      <w:r w:rsidR="00282934">
        <w:fldChar w:fldCharType="separate"/>
      </w:r>
      <w:r w:rsidR="00113FE3">
        <w:rPr>
          <w:rFonts w:eastAsiaTheme="minorEastAsia"/>
          <w:color w:val="0000FF"/>
          <w:kern w:val="0"/>
          <w:szCs w:val="21"/>
          <w:vertAlign w:val="superscript"/>
          <w14:ligatures w14:val="standardContextual"/>
        </w:rPr>
        <w:t>1</w:t>
      </w:r>
      <w:r w:rsidR="00282934">
        <w:fldChar w:fldCharType="end"/>
      </w:r>
      <w:r>
        <w:t>.</w:t>
      </w:r>
    </w:p>
    <w:p w14:paraId="7FE2D294" w14:textId="697FB771" w:rsidR="00CE19D8" w:rsidRDefault="00BD3306" w:rsidP="00BD3306">
      <w:pPr>
        <w:pStyle w:val="2"/>
      </w:pPr>
      <w:r>
        <w:rPr>
          <w:rFonts w:hint="eastAsia"/>
        </w:rPr>
        <w:t xml:space="preserve">1.2 </w:t>
      </w:r>
      <w:r w:rsidR="000B1B37">
        <w:rPr>
          <w:rFonts w:hint="eastAsia"/>
        </w:rPr>
        <w:t xml:space="preserve">Estimation of </w:t>
      </w:r>
      <w:proofErr w:type="spellStart"/>
      <w:r>
        <w:rPr>
          <w:rFonts w:hint="eastAsia"/>
        </w:rPr>
        <w:t>N</w:t>
      </w:r>
      <w:r>
        <w:rPr>
          <w:rFonts w:hint="eastAsia"/>
          <w:vertAlign w:val="subscript"/>
        </w:rPr>
        <w:t>fix</w:t>
      </w:r>
      <w:proofErr w:type="spellEnd"/>
    </w:p>
    <w:p w14:paraId="01F5397F" w14:textId="28B9BA73" w:rsidR="000B1B37" w:rsidRDefault="000B1B37" w:rsidP="00BD3306">
      <w:pPr>
        <w:ind w:firstLine="420"/>
      </w:pPr>
      <w:proofErr w:type="spellStart"/>
      <w:r w:rsidRPr="000B1B37">
        <w:rPr>
          <w:rFonts w:hint="eastAsia"/>
        </w:rPr>
        <w:t>N</w:t>
      </w:r>
      <w:r w:rsidRPr="00605B2B">
        <w:rPr>
          <w:rFonts w:hint="eastAsia"/>
          <w:vertAlign w:val="subscript"/>
        </w:rPr>
        <w:t>fix</w:t>
      </w:r>
      <w:proofErr w:type="spellEnd"/>
      <w:r w:rsidRPr="000B1B37">
        <w:rPr>
          <w:rFonts w:hint="eastAsia"/>
        </w:rPr>
        <w:t xml:space="preserve"> represents the amount of nitrogen fixed by crops. This study focuses primarily on three crops: rice, soybeans, and peanut</w:t>
      </w:r>
      <w:r>
        <w:rPr>
          <w:rFonts w:hint="eastAsia"/>
        </w:rPr>
        <w:t>s.</w:t>
      </w:r>
      <w:r w:rsidRPr="000B1B37">
        <w:rPr>
          <w:rFonts w:hint="eastAsia"/>
        </w:rPr>
        <w:t xml:space="preserve"> The formula for calculating </w:t>
      </w:r>
      <w:proofErr w:type="spellStart"/>
      <w:r w:rsidRPr="000B1B37">
        <w:rPr>
          <w:rFonts w:hint="eastAsia"/>
        </w:rPr>
        <w:t>N</w:t>
      </w:r>
      <w:r w:rsidRPr="00C6461D">
        <w:rPr>
          <w:vertAlign w:val="subscript"/>
        </w:rPr>
        <w:t>fix</w:t>
      </w:r>
      <w:proofErr w:type="spellEnd"/>
      <w:r w:rsidRPr="000B1B37">
        <w:rPr>
          <w:rFonts w:hint="eastAsia"/>
        </w:rPr>
        <w:t xml:space="preserve"> is shown in Equation (S3):</w:t>
      </w:r>
    </w:p>
    <w:p w14:paraId="4D457D58" w14:textId="0FDD403A" w:rsidR="00BD3306" w:rsidRPr="00BD3306" w:rsidRDefault="00000000" w:rsidP="00BD3306">
      <w:pPr>
        <w:ind w:firstLine="420"/>
        <w:rPr>
          <w:rFonts w:cstheme="minorBidi"/>
        </w:rPr>
      </w:pPr>
      <m:oMathPara>
        <m:oMath>
          <m:eqArr>
            <m:eqArrPr>
              <m:maxDist m:val="1"/>
              <m:ctrlPr>
                <w:rPr>
                  <w:rFonts w:ascii="Cambria Math" w:hAnsi="Cambria Math"/>
                  <w:i/>
                  <w:color w:val="000000" w:themeColor="text1"/>
                </w:rPr>
              </m:ctrlPr>
            </m:eqArrPr>
            <m:e>
              <m:sSub>
                <m:sSubPr>
                  <m:ctrlPr>
                    <w:rPr>
                      <w:rFonts w:ascii="Cambria Math" w:hAnsi="Cambria Math" w:cstheme="minorBidi"/>
                      <w:i/>
                      <w14:ligatures w14:val="standardContextual"/>
                    </w:rPr>
                  </m:ctrlPr>
                </m:sSubPr>
                <m:e>
                  <m:r>
                    <w:rPr>
                      <w:rFonts w:ascii="Cambria Math" w:hAnsi="Cambria Math"/>
                    </w:rPr>
                    <m:t>N</m:t>
                  </m:r>
                </m:e>
                <m:sub>
                  <m:r>
                    <w:rPr>
                      <w:rFonts w:ascii="Cambria Math" w:hAnsi="Cambria Math" w:hint="eastAsia"/>
                    </w:rPr>
                    <m:t>fix</m:t>
                  </m:r>
                </m:sub>
              </m:sSub>
              <m:r>
                <w:rPr>
                  <w:rFonts w:ascii="Cambria Math" w:hAnsi="Cambria Math"/>
                </w:rPr>
                <m:t>=</m:t>
              </m:r>
              <m:nary>
                <m:naryPr>
                  <m:chr m:val="∑"/>
                  <m:limLoc m:val="undOvr"/>
                  <m:ctrlPr>
                    <w:rPr>
                      <w:rFonts w:ascii="Cambria Math" w:hAnsi="Cambria Math"/>
                      <w:color w:val="000000" w:themeColor="text1"/>
                    </w:rPr>
                  </m:ctrlPr>
                </m:naryPr>
                <m:sub>
                  <m:r>
                    <w:rPr>
                      <w:rFonts w:ascii="Cambria Math" w:hAnsi="Cambria Math"/>
                      <w:color w:val="000000" w:themeColor="text1"/>
                      <w:szCs w:val="21"/>
                    </w:rPr>
                    <m:t>i</m:t>
                  </m:r>
                  <m:r>
                    <m:rPr>
                      <m:sty m:val="p"/>
                    </m:rPr>
                    <w:rPr>
                      <w:rFonts w:ascii="Cambria Math" w:hAnsi="Cambria Math"/>
                      <w:color w:val="000000" w:themeColor="text1"/>
                      <w:szCs w:val="21"/>
                    </w:rPr>
                    <m:t>=1</m:t>
                  </m:r>
                </m:sub>
                <m:sup>
                  <m:r>
                    <m:rPr>
                      <m:sty m:val="p"/>
                    </m:rPr>
                    <w:rPr>
                      <w:rFonts w:ascii="Cambria Math" w:hAnsi="Cambria Math"/>
                      <w:color w:val="000000" w:themeColor="text1"/>
                      <w:szCs w:val="21"/>
                    </w:rPr>
                    <m:t>3</m:t>
                  </m:r>
                </m:sup>
                <m:e>
                  <m:d>
                    <m:dPr>
                      <m:ctrlPr>
                        <w:rPr>
                          <w:rFonts w:ascii="Cambria Math" w:hAnsi="Cambria Math"/>
                          <w:color w:val="000000" w:themeColor="text1"/>
                          <w:szCs w:val="21"/>
                        </w:rPr>
                      </m:ctrlPr>
                    </m:dPr>
                    <m:e>
                      <m:sSub>
                        <m:sSubPr>
                          <m:ctrlPr>
                            <w:rPr>
                              <w:rFonts w:ascii="Cambria Math" w:hAnsi="Cambria Math"/>
                              <w:i/>
                              <w:color w:val="000000" w:themeColor="text1"/>
                            </w:rPr>
                          </m:ctrlPr>
                        </m:sSubPr>
                        <m:e>
                          <m:r>
                            <w:rPr>
                              <w:rFonts w:ascii="Cambria Math" w:hAnsi="Cambria Math"/>
                              <w:color w:val="000000" w:themeColor="text1"/>
                              <w:szCs w:val="21"/>
                            </w:rPr>
                            <m:t>S</m:t>
                          </m:r>
                        </m:e>
                        <m:sub>
                          <m:r>
                            <w:rPr>
                              <w:rFonts w:ascii="Cambria Math" w:hAnsi="Cambria Math"/>
                              <w:color w:val="000000" w:themeColor="text1"/>
                              <w:szCs w:val="21"/>
                            </w:rPr>
                            <m:t>i</m:t>
                          </m:r>
                        </m:sub>
                      </m:sSub>
                      <m:r>
                        <m:rPr>
                          <m:sty m:val="p"/>
                        </m:rPr>
                        <w:rPr>
                          <w:rFonts w:ascii="Cambria Math" w:hAnsi="Cambria Math"/>
                          <w:color w:val="000000" w:themeColor="text1"/>
                          <w:szCs w:val="21"/>
                        </w:rPr>
                        <m:t>×</m:t>
                      </m:r>
                      <m:sSub>
                        <m:sSubPr>
                          <m:ctrlPr>
                            <w:rPr>
                              <w:rFonts w:ascii="Cambria Math" w:hAnsi="Cambria Math"/>
                              <w:i/>
                              <w:color w:val="000000" w:themeColor="text1"/>
                            </w:rPr>
                          </m:ctrlPr>
                        </m:sSubPr>
                        <m:e>
                          <m:r>
                            <w:rPr>
                              <w:rFonts w:ascii="Cambria Math" w:hAnsi="Cambria Math"/>
                              <w:color w:val="000000" w:themeColor="text1"/>
                              <w:szCs w:val="21"/>
                            </w:rPr>
                            <m:t>N</m:t>
                          </m:r>
                        </m:e>
                        <m:sub>
                          <m:r>
                            <w:rPr>
                              <w:rFonts w:ascii="Cambria Math" w:hAnsi="Cambria Math"/>
                              <w:color w:val="000000" w:themeColor="text1"/>
                              <w:szCs w:val="21"/>
                            </w:rPr>
                            <m:t>i</m:t>
                          </m:r>
                        </m:sub>
                      </m:sSub>
                    </m:e>
                  </m:d>
                </m:e>
              </m:nary>
              <m:r>
                <w:rPr>
                  <w:rFonts w:ascii="Cambria Math" w:hAnsi="Cambria Math"/>
                  <w:color w:val="000000" w:themeColor="text1"/>
                </w:rPr>
                <m:t xml:space="preserve"> </m:t>
              </m:r>
              <m:r>
                <w:rPr>
                  <w:rFonts w:ascii="Cambria Math" w:hAnsi="Cambria Math"/>
                </w:rPr>
                <m:t>#</m:t>
              </m:r>
              <m:d>
                <m:dPr>
                  <m:ctrlPr>
                    <w:rPr>
                      <w:rFonts w:ascii="Cambria Math" w:hAnsi="Cambria Math"/>
                      <w:i/>
                      <w:color w:val="000000" w:themeColor="text1"/>
                    </w:rPr>
                  </m:ctrlPr>
                </m:dPr>
                <m:e>
                  <m:r>
                    <w:rPr>
                      <w:rFonts w:ascii="Cambria Math" w:hAnsi="Cambria Math"/>
                      <w:color w:val="000000" w:themeColor="text1"/>
                    </w:rPr>
                    <m:t>S3</m:t>
                  </m:r>
                </m:e>
              </m:d>
              <m:ctrlPr>
                <w:rPr>
                  <w:rFonts w:ascii="Cambria Math" w:hAnsi="Cambria Math"/>
                  <w:i/>
                </w:rPr>
              </m:ctrlPr>
            </m:e>
          </m:eqArr>
        </m:oMath>
      </m:oMathPara>
    </w:p>
    <w:p w14:paraId="767BB849" w14:textId="2062E297" w:rsidR="000B1B37" w:rsidRDefault="000B1B37" w:rsidP="000B1B37">
      <w:pPr>
        <w:ind w:firstLineChars="0" w:firstLine="0"/>
      </w:pPr>
      <w:r>
        <w:rPr>
          <w:rFonts w:hint="eastAsia"/>
        </w:rPr>
        <w:t>w</w:t>
      </w:r>
      <w:r>
        <w:t>here S represents the planting area of the crops, with units in km², and N represents the nitrogen fixation rate of the crops. In this study, the nitrogen fixation rates for rice, peanuts, and soybeans are set at 3,000, 8,000, and 9,600 kg·km⁻²·yr⁻¹, resp</w:t>
      </w:r>
      <w:r>
        <w:rPr>
          <w:rFonts w:hint="eastAsia"/>
        </w:rPr>
        <w:t>ectively</w:t>
      </w:r>
      <w:r w:rsidR="00282934">
        <w:fldChar w:fldCharType="begin"/>
      </w:r>
      <w:r w:rsidR="00282934">
        <w:instrText xml:space="preserve"> ADDIN NE.Ref.{A6B5FD73-D448-41B5-BF7D-BD3F71F8E722}</w:instrText>
      </w:r>
      <w:r w:rsidR="00282934">
        <w:fldChar w:fldCharType="separate"/>
      </w:r>
      <w:r w:rsidR="00113FE3">
        <w:rPr>
          <w:rFonts w:eastAsiaTheme="minorEastAsia"/>
          <w:color w:val="0000FF"/>
          <w:kern w:val="0"/>
          <w:szCs w:val="21"/>
          <w:vertAlign w:val="superscript"/>
          <w14:ligatures w14:val="standardContextual"/>
        </w:rPr>
        <w:t>2</w:t>
      </w:r>
      <w:r w:rsidR="00282934">
        <w:fldChar w:fldCharType="end"/>
      </w:r>
      <w:r>
        <w:rPr>
          <w:rFonts w:hint="eastAsia"/>
        </w:rPr>
        <w:t xml:space="preserve">. The variable </w:t>
      </w:r>
      <w:proofErr w:type="spellStart"/>
      <w:r>
        <w:rPr>
          <w:rFonts w:hint="eastAsia"/>
        </w:rPr>
        <w:t>i</w:t>
      </w:r>
      <w:proofErr w:type="spellEnd"/>
      <w:r>
        <w:rPr>
          <w:rFonts w:hint="eastAsia"/>
        </w:rPr>
        <w:t xml:space="preserve"> represents the crop type, where </w:t>
      </w:r>
      <w:proofErr w:type="spellStart"/>
      <w:r>
        <w:rPr>
          <w:rFonts w:hint="eastAsia"/>
        </w:rPr>
        <w:t>i</w:t>
      </w:r>
      <w:proofErr w:type="spellEnd"/>
      <w:r>
        <w:rPr>
          <w:rFonts w:hint="eastAsia"/>
        </w:rPr>
        <w:t>=1, 2, 3 correspond to rice, soybeans, and peanuts, respectively.</w:t>
      </w:r>
    </w:p>
    <w:p w14:paraId="2DAE9BED" w14:textId="77777777" w:rsidR="00605B2B" w:rsidRDefault="00BD3306" w:rsidP="00BD3306">
      <w:pPr>
        <w:pStyle w:val="2"/>
        <w:rPr>
          <w:vertAlign w:val="subscript"/>
        </w:rPr>
      </w:pPr>
      <w:r>
        <w:rPr>
          <w:rFonts w:hint="eastAsia"/>
        </w:rPr>
        <w:t xml:space="preserve">1.3 </w:t>
      </w:r>
      <w:r w:rsidR="000B1B37">
        <w:rPr>
          <w:rFonts w:hint="eastAsia"/>
        </w:rPr>
        <w:t xml:space="preserve">Estimation of </w:t>
      </w:r>
      <w:r>
        <w:rPr>
          <w:rFonts w:hint="eastAsia"/>
        </w:rPr>
        <w:t>N</w:t>
      </w:r>
      <w:r>
        <w:rPr>
          <w:rFonts w:hint="eastAsia"/>
          <w:vertAlign w:val="subscript"/>
        </w:rPr>
        <w:t>im</w:t>
      </w:r>
    </w:p>
    <w:p w14:paraId="497E7708" w14:textId="29531518" w:rsidR="00BD3306" w:rsidRDefault="000B1B37" w:rsidP="00605B2B">
      <w:pPr>
        <w:ind w:firstLine="420"/>
      </w:pPr>
      <w:r>
        <w:t xml:space="preserve"> </w:t>
      </w:r>
      <w:r w:rsidR="00605B2B">
        <w:t>N</w:t>
      </w:r>
      <w:r w:rsidR="00605B2B" w:rsidRPr="00605B2B">
        <w:rPr>
          <w:vertAlign w:val="subscript"/>
        </w:rPr>
        <w:t>im</w:t>
      </w:r>
      <w:r w:rsidR="00605B2B">
        <w:t xml:space="preserve"> represents the difference between the nitrogen intake by humans and livestock in the watershed and the nitrogen production from livestock and agricultural products. The specific calculation formula is shown in Equation (S4):</w:t>
      </w:r>
    </w:p>
    <w:p w14:paraId="0DBADA81" w14:textId="29E6033C" w:rsidR="00B972EE" w:rsidRPr="00B972EE" w:rsidRDefault="00000000" w:rsidP="00B972EE">
      <w:pPr>
        <w:ind w:firstLine="420"/>
        <w:rPr>
          <w:rFonts w:cstheme="minorBidi"/>
        </w:rPr>
      </w:pPr>
      <m:oMathPara>
        <m:oMath>
          <m:eqArr>
            <m:eqArrPr>
              <m:maxDist m:val="1"/>
              <m:ctrlPr>
                <w:rPr>
                  <w:rFonts w:ascii="Cambria Math" w:hAnsi="Cambria Math"/>
                  <w:i/>
                </w:rPr>
              </m:ctrlPr>
            </m:eqArrPr>
            <m:e>
              <m:sSub>
                <m:sSubPr>
                  <m:ctrlPr>
                    <w:rPr>
                      <w:rFonts w:ascii="Cambria Math" w:hAnsi="Cambria Math" w:cstheme="minorBidi"/>
                      <w:i/>
                      <w14:ligatures w14:val="standardContextual"/>
                    </w:rPr>
                  </m:ctrlPr>
                </m:sSubPr>
                <m:e>
                  <m:r>
                    <w:rPr>
                      <w:rFonts w:ascii="Cambria Math" w:hAnsi="Cambria Math" w:hint="eastAsia"/>
                    </w:rPr>
                    <m:t>N</m:t>
                  </m:r>
                </m:e>
                <m:sub>
                  <m:r>
                    <w:rPr>
                      <w:rFonts w:ascii="Cambria Math" w:hAnsi="Cambria Math"/>
                    </w:rPr>
                    <m:t>im</m:t>
                  </m:r>
                </m:sub>
              </m:sSub>
              <m:r>
                <w:rPr>
                  <w:rFonts w:ascii="Cambria Math" w:hAnsi="Cambria Math"/>
                </w:rPr>
                <m:t>=AC+HC-</m:t>
              </m:r>
              <m:d>
                <m:dPr>
                  <m:ctrlPr>
                    <w:rPr>
                      <w:rFonts w:ascii="Cambria Math" w:hAnsi="Cambria Math"/>
                      <w:i/>
                    </w:rPr>
                  </m:ctrlPr>
                </m:dPr>
                <m:e>
                  <m:r>
                    <w:rPr>
                      <w:rFonts w:ascii="Cambria Math" w:hAnsi="Cambria Math"/>
                    </w:rPr>
                    <m:t>AP+GP</m:t>
                  </m:r>
                </m:e>
              </m:d>
              <m:r>
                <w:rPr>
                  <w:rFonts w:ascii="Cambria Math" w:hAnsi="Cambria Math"/>
                </w:rPr>
                <m:t>×</m:t>
              </m:r>
              <m:d>
                <m:dPr>
                  <m:ctrlPr>
                    <w:rPr>
                      <w:rFonts w:ascii="Cambria Math" w:hAnsi="Cambria Math"/>
                      <w:i/>
                    </w:rPr>
                  </m:ctrlPr>
                </m:dPr>
                <m:e>
                  <m:r>
                    <w:rPr>
                      <w:rFonts w:ascii="Cambria Math" w:hAnsi="Cambria Math"/>
                    </w:rPr>
                    <m:t>1-α</m:t>
                  </m:r>
                </m:e>
              </m:d>
              <m:r>
                <w:rPr>
                  <w:rFonts w:ascii="Cambria Math" w:hAnsi="Cambria Math"/>
                </w:rPr>
                <m:t>#</m:t>
              </m:r>
              <m:d>
                <m:dPr>
                  <m:ctrlPr>
                    <w:rPr>
                      <w:rFonts w:ascii="Cambria Math" w:hAnsi="Cambria Math"/>
                      <w:i/>
                    </w:rPr>
                  </m:ctrlPr>
                </m:dPr>
                <m:e>
                  <m:r>
                    <w:rPr>
                      <w:rFonts w:ascii="Cambria Math" w:hAnsi="Cambria Math"/>
                    </w:rPr>
                    <m:t>S4</m:t>
                  </m:r>
                </m:e>
              </m:d>
            </m:e>
          </m:eqArr>
        </m:oMath>
      </m:oMathPara>
    </w:p>
    <w:p w14:paraId="4C92433C" w14:textId="0C9B8749" w:rsidR="000B1B37" w:rsidRDefault="000B1B37" w:rsidP="00561935">
      <w:pPr>
        <w:ind w:firstLineChars="0" w:firstLine="0"/>
      </w:pPr>
      <w:r>
        <w:rPr>
          <w:rFonts w:hint="eastAsia"/>
        </w:rPr>
        <w:t>w</w:t>
      </w:r>
      <w:r w:rsidRPr="000B1B37">
        <w:t>here AC represents animal nitrogen consumption, HC represents human nitrogen consumption, AP represents animal product nitrogen production, and GP represents grain product nitrogen production, all expressed in kg·yr⁻¹ or kg·km⁻²·yr⁻¹. The parameter α deno</w:t>
      </w:r>
      <w:r w:rsidRPr="000B1B37">
        <w:rPr>
          <w:rFonts w:hint="eastAsia"/>
        </w:rPr>
        <w:t>tes the loss of nitrogen during production, processing, and transportation of animal and agricultural products, which is set at 10% in this study</w:t>
      </w:r>
      <w:r w:rsidR="00282934">
        <w:fldChar w:fldCharType="begin"/>
      </w:r>
      <w:r w:rsidR="00282934">
        <w:instrText xml:space="preserve"> ADDIN NE.Ref.{A1DC47E5-FBDC-460F-A979-92FEA3159F21}</w:instrText>
      </w:r>
      <w:r w:rsidR="00282934">
        <w:fldChar w:fldCharType="separate"/>
      </w:r>
      <w:r w:rsidR="00113FE3">
        <w:rPr>
          <w:rFonts w:eastAsiaTheme="minorEastAsia"/>
          <w:color w:val="0000FF"/>
          <w:kern w:val="0"/>
          <w:szCs w:val="21"/>
          <w:vertAlign w:val="superscript"/>
          <w14:ligatures w14:val="standardContextual"/>
        </w:rPr>
        <w:t>3</w:t>
      </w:r>
      <w:r w:rsidR="00282934">
        <w:fldChar w:fldCharType="end"/>
      </w:r>
      <w:r w:rsidRPr="000B1B37">
        <w:rPr>
          <w:rFonts w:hint="eastAsia"/>
        </w:rPr>
        <w:t xml:space="preserve"> </w:t>
      </w:r>
      <w:r w:rsidR="00282934">
        <w:rPr>
          <w:rFonts w:hint="eastAsia"/>
        </w:rPr>
        <w:t>.</w:t>
      </w:r>
      <w:r w:rsidRPr="000B1B37">
        <w:rPr>
          <w:rFonts w:hint="eastAsia"/>
        </w:rPr>
        <w:t>The detailed calculation formula is as follows:</w:t>
      </w:r>
    </w:p>
    <w:p w14:paraId="0579C44F" w14:textId="1F054F90" w:rsidR="00561935" w:rsidRDefault="00561935" w:rsidP="00561935">
      <w:pPr>
        <w:pStyle w:val="3"/>
      </w:pPr>
      <w:r>
        <w:rPr>
          <w:rFonts w:hint="eastAsia"/>
        </w:rPr>
        <w:t xml:space="preserve">1.3.1 </w:t>
      </w:r>
      <w:r w:rsidR="000B1B37">
        <w:rPr>
          <w:rFonts w:hint="eastAsia"/>
        </w:rPr>
        <w:t xml:space="preserve">Estimation of </w:t>
      </w:r>
      <w:r>
        <w:rPr>
          <w:rFonts w:hint="eastAsia"/>
        </w:rPr>
        <w:t>AC</w:t>
      </w:r>
      <w:r w:rsidR="000B1B37">
        <w:t xml:space="preserve"> </w:t>
      </w:r>
    </w:p>
    <w:p w14:paraId="5693CEAF" w14:textId="45A1B97C" w:rsidR="000B1B37" w:rsidRDefault="000B1B37" w:rsidP="000B1B37">
      <w:pPr>
        <w:ind w:firstLine="420"/>
      </w:pPr>
      <w:r>
        <w:t>AC can be expressed as the product of the number of livestock and their nitrogen intake. The number of livestock is calculated using the dynamic assessment method based on both the slaughter rate and the stocking rate provided by Hong et al</w:t>
      </w:r>
      <w:r w:rsidR="006D7C27">
        <w:fldChar w:fldCharType="begin"/>
      </w:r>
      <w:r w:rsidR="006D7C27">
        <w:instrText xml:space="preserve"> ADDIN NE.Ref.{EC4984A5-749E-42B3-880C-9E07DFC3B61A}</w:instrText>
      </w:r>
      <w:r w:rsidR="006D7C27">
        <w:fldChar w:fldCharType="separate"/>
      </w:r>
      <w:r w:rsidR="00113FE3">
        <w:rPr>
          <w:rFonts w:eastAsiaTheme="minorEastAsia"/>
          <w:color w:val="0000FF"/>
          <w:kern w:val="0"/>
          <w:szCs w:val="21"/>
          <w:vertAlign w:val="superscript"/>
          <w14:ligatures w14:val="standardContextual"/>
        </w:rPr>
        <w:t>4</w:t>
      </w:r>
      <w:r w:rsidR="006D7C27">
        <w:fldChar w:fldCharType="end"/>
      </w:r>
      <w:r>
        <w:t>. The specific calculation formulas are shown in Equations (S5-S6):</w:t>
      </w:r>
    </w:p>
    <w:p w14:paraId="149F0B59" w14:textId="1008E97E" w:rsidR="006B227E" w:rsidRPr="006B227E" w:rsidRDefault="00000000" w:rsidP="006B227E">
      <w:pPr>
        <w:ind w:firstLine="420"/>
        <w:rPr>
          <w:rFonts w:cstheme="minorBidi"/>
          <w:color w:val="000000" w:themeColor="text1"/>
          <w:szCs w:val="21"/>
        </w:rPr>
      </w:pPr>
      <m:oMathPara>
        <m:oMath>
          <m:eqArr>
            <m:eqArrPr>
              <m:maxDist m:val="1"/>
              <m:ctrlPr>
                <w:rPr>
                  <w:rFonts w:ascii="Cambria Math" w:hAnsi="Cambria Math"/>
                  <w:i/>
                  <w:color w:val="000000" w:themeColor="text1"/>
                </w:rPr>
              </m:ctrlPr>
            </m:eqArrPr>
            <m:e>
              <m:r>
                <m:rPr>
                  <m:sty m:val="p"/>
                </m:rPr>
                <w:rPr>
                  <w:rFonts w:ascii="Cambria Math" w:hAnsi="Cambria Math"/>
                  <w:color w:val="000000" w:themeColor="text1"/>
                  <w:szCs w:val="21"/>
                </w:rPr>
                <m:t>AQ=</m:t>
              </m:r>
              <m:d>
                <m:dPr>
                  <m:ctrlPr>
                    <w:rPr>
                      <w:rFonts w:ascii="Cambria Math" w:hAnsi="Cambria Math"/>
                      <w:color w:val="000000" w:themeColor="text1"/>
                      <w:szCs w:val="21"/>
                    </w:rPr>
                  </m:ctrlPr>
                </m:dPr>
                <m:e>
                  <m:r>
                    <m:rPr>
                      <m:sty m:val="p"/>
                    </m:rPr>
                    <w:rPr>
                      <w:rFonts w:ascii="Cambria Math" w:hAnsi="Cambria Math"/>
                      <w:color w:val="000000" w:themeColor="text1"/>
                      <w:szCs w:val="21"/>
                    </w:rPr>
                    <m:t>Inventory×</m:t>
                  </m:r>
                  <m:f>
                    <m:fPr>
                      <m:ctrlPr>
                        <w:rPr>
                          <w:rFonts w:ascii="Cambria Math" w:hAnsi="Cambria Math"/>
                          <w:color w:val="000000" w:themeColor="text1"/>
                        </w:rPr>
                      </m:ctrlPr>
                    </m:fPr>
                    <m:num>
                      <m:r>
                        <m:rPr>
                          <m:sty m:val="p"/>
                        </m:rPr>
                        <w:rPr>
                          <w:rFonts w:ascii="Cambria Math" w:hAnsi="Cambria Math"/>
                          <w:color w:val="000000" w:themeColor="text1"/>
                          <w:szCs w:val="21"/>
                        </w:rPr>
                        <m:t>1</m:t>
                      </m:r>
                    </m:num>
                    <m:den>
                      <m:r>
                        <m:rPr>
                          <m:sty m:val="p"/>
                        </m:rPr>
                        <w:rPr>
                          <w:rFonts w:ascii="Cambria Math" w:hAnsi="Cambria Math"/>
                          <w:color w:val="000000" w:themeColor="text1"/>
                          <w:szCs w:val="21"/>
                        </w:rPr>
                        <m:t>Cycles</m:t>
                      </m:r>
                    </m:den>
                  </m:f>
                </m:e>
              </m:d>
              <m:r>
                <m:rPr>
                  <m:sty m:val="p"/>
                </m:rPr>
                <w:rPr>
                  <w:rFonts w:ascii="Cambria Math" w:hAnsi="Cambria Math"/>
                  <w:color w:val="000000" w:themeColor="text1"/>
                  <w:szCs w:val="21"/>
                </w:rPr>
                <m:t>+</m:t>
              </m:r>
              <m:d>
                <m:dPr>
                  <m:ctrlPr>
                    <w:rPr>
                      <w:rFonts w:ascii="Cambria Math" w:hAnsi="Cambria Math"/>
                      <w:color w:val="000000" w:themeColor="text1"/>
                      <w:szCs w:val="21"/>
                    </w:rPr>
                  </m:ctrlPr>
                </m:dPr>
                <m:e>
                  <m:f>
                    <m:fPr>
                      <m:ctrlPr>
                        <w:rPr>
                          <w:rFonts w:ascii="Cambria Math" w:hAnsi="Cambria Math"/>
                          <w:color w:val="000000" w:themeColor="text1"/>
                        </w:rPr>
                      </m:ctrlPr>
                    </m:fPr>
                    <m:num>
                      <m:r>
                        <m:rPr>
                          <m:sty m:val="p"/>
                        </m:rPr>
                        <w:rPr>
                          <w:rFonts w:ascii="Cambria Math" w:hAnsi="Cambria Math"/>
                          <w:color w:val="000000" w:themeColor="text1"/>
                          <w:szCs w:val="21"/>
                        </w:rPr>
                        <m:t>Sales</m:t>
                      </m:r>
                    </m:num>
                    <m:den>
                      <m:r>
                        <m:rPr>
                          <m:sty m:val="p"/>
                        </m:rPr>
                        <w:rPr>
                          <w:rFonts w:ascii="Cambria Math" w:hAnsi="Cambria Math"/>
                          <w:color w:val="000000" w:themeColor="text1"/>
                          <w:szCs w:val="21"/>
                        </w:rPr>
                        <m:t>Cycles</m:t>
                      </m:r>
                    </m:den>
                  </m:f>
                  <m:r>
                    <m:rPr>
                      <m:sty m:val="p"/>
                    </m:rPr>
                    <w:rPr>
                      <w:rFonts w:ascii="Cambria Math" w:hAnsi="Cambria Math"/>
                      <w:color w:val="000000" w:themeColor="text1"/>
                      <w:szCs w:val="21"/>
                    </w:rPr>
                    <m:t>×</m:t>
                  </m:r>
                  <m:f>
                    <m:fPr>
                      <m:ctrlPr>
                        <w:rPr>
                          <w:rFonts w:ascii="Cambria Math" w:hAnsi="Cambria Math"/>
                          <w:color w:val="000000" w:themeColor="text1"/>
                        </w:rPr>
                      </m:ctrlPr>
                    </m:fPr>
                    <m:num>
                      <m:r>
                        <m:rPr>
                          <m:sty m:val="p"/>
                        </m:rPr>
                        <w:rPr>
                          <w:rFonts w:ascii="Cambria Math" w:hAnsi="Cambria Math"/>
                          <w:color w:val="000000" w:themeColor="text1"/>
                          <w:szCs w:val="21"/>
                        </w:rPr>
                        <m:t>Cycles-1</m:t>
                      </m:r>
                    </m:num>
                    <m:den>
                      <m:r>
                        <m:rPr>
                          <m:sty m:val="p"/>
                        </m:rPr>
                        <w:rPr>
                          <w:rFonts w:ascii="Cambria Math" w:hAnsi="Cambria Math"/>
                          <w:color w:val="000000" w:themeColor="text1"/>
                          <w:szCs w:val="21"/>
                        </w:rPr>
                        <m:t>Cycles</m:t>
                      </m:r>
                    </m:den>
                  </m:f>
                  <m:r>
                    <w:rPr>
                      <w:rFonts w:ascii="Cambria Math" w:hAnsi="Cambria Math"/>
                      <w:color w:val="000000" w:themeColor="text1"/>
                    </w:rPr>
                    <m:t xml:space="preserve"> </m:t>
                  </m:r>
                </m:e>
              </m:d>
              <m:r>
                <w:rPr>
                  <w:rFonts w:ascii="Cambria Math" w:hAnsi="Cambria Math"/>
                  <w:color w:val="000000" w:themeColor="text1"/>
                  <w:szCs w:val="21"/>
                </w:rPr>
                <m:t>#</m:t>
              </m:r>
              <m:d>
                <m:dPr>
                  <m:ctrlPr>
                    <w:rPr>
                      <w:rFonts w:ascii="Cambria Math" w:hAnsi="Cambria Math"/>
                      <w:i/>
                      <w:color w:val="000000" w:themeColor="text1"/>
                    </w:rPr>
                  </m:ctrlPr>
                </m:dPr>
                <m:e>
                  <m:r>
                    <w:rPr>
                      <w:rFonts w:ascii="Cambria Math" w:hAnsi="Cambria Math"/>
                      <w:color w:val="000000" w:themeColor="text1"/>
                    </w:rPr>
                    <m:t>S5</m:t>
                  </m:r>
                </m:e>
              </m:d>
              <m:ctrlPr>
                <w:rPr>
                  <w:rFonts w:ascii="Cambria Math" w:hAnsi="Cambria Math"/>
                  <w:i/>
                  <w:color w:val="000000" w:themeColor="text1"/>
                  <w:szCs w:val="21"/>
                </w:rPr>
              </m:ctrlPr>
            </m:e>
          </m:eqArr>
        </m:oMath>
      </m:oMathPara>
    </w:p>
    <w:p w14:paraId="0BBE37CE" w14:textId="49DED519" w:rsidR="006B227E" w:rsidRPr="006B227E" w:rsidRDefault="00000000" w:rsidP="006B227E">
      <w:pPr>
        <w:ind w:firstLine="420"/>
        <w:rPr>
          <w:rFonts w:cstheme="minorBidi"/>
          <w:color w:val="000000" w:themeColor="text1"/>
          <w:szCs w:val="21"/>
        </w:rPr>
      </w:pPr>
      <m:oMathPara>
        <m:oMath>
          <m:eqArr>
            <m:eqArrPr>
              <m:maxDist m:val="1"/>
              <m:ctrlPr>
                <w:rPr>
                  <w:rFonts w:ascii="Cambria Math" w:hAnsi="Cambria Math"/>
                  <w:i/>
                  <w:color w:val="000000" w:themeColor="text1"/>
                </w:rPr>
              </m:ctrlPr>
            </m:eqArrPr>
            <m:e>
              <m:r>
                <m:rPr>
                  <m:sty m:val="p"/>
                </m:rPr>
                <w:rPr>
                  <w:rFonts w:ascii="Cambria Math" w:hAnsi="Cambria Math"/>
                  <w:color w:val="000000" w:themeColor="text1"/>
                  <w:szCs w:val="21"/>
                </w:rPr>
                <m:t>AC=</m:t>
              </m:r>
              <m:nary>
                <m:naryPr>
                  <m:chr m:val="∑"/>
                  <m:limLoc m:val="undOvr"/>
                  <m:ctrlPr>
                    <w:rPr>
                      <w:rFonts w:ascii="Cambria Math" w:hAnsi="Cambria Math"/>
                      <w:color w:val="000000" w:themeColor="text1"/>
                    </w:rPr>
                  </m:ctrlPr>
                </m:naryPr>
                <m:sub>
                  <m:r>
                    <m:rPr>
                      <m:sty m:val="p"/>
                    </m:rPr>
                    <w:rPr>
                      <w:rFonts w:ascii="Cambria Math" w:hAnsi="Cambria Math"/>
                      <w:color w:val="000000" w:themeColor="text1"/>
                      <w:szCs w:val="21"/>
                    </w:rPr>
                    <m:t>k=1</m:t>
                  </m:r>
                </m:sub>
                <m:sup>
                  <m:r>
                    <w:rPr>
                      <w:rFonts w:ascii="Cambria Math" w:hAnsi="Cambria Math"/>
                      <w:color w:val="000000" w:themeColor="text1"/>
                      <w:szCs w:val="21"/>
                    </w:rPr>
                    <m:t>K</m:t>
                  </m:r>
                </m:sup>
                <m:e>
                  <m:sSub>
                    <m:sSubPr>
                      <m:ctrlPr>
                        <w:rPr>
                          <w:rFonts w:ascii="Cambria Math" w:hAnsi="Cambria Math"/>
                          <w:color w:val="000000" w:themeColor="text1"/>
                        </w:rPr>
                      </m:ctrlPr>
                    </m:sSubPr>
                    <m:e>
                      <m:r>
                        <m:rPr>
                          <m:sty m:val="p"/>
                        </m:rPr>
                        <w:rPr>
                          <w:rFonts w:ascii="Cambria Math" w:hAnsi="Cambria Math"/>
                          <w:color w:val="000000" w:themeColor="text1"/>
                          <w:szCs w:val="21"/>
                        </w:rPr>
                        <m:t>AQ</m:t>
                      </m:r>
                    </m:e>
                    <m:sub>
                      <m:r>
                        <m:rPr>
                          <m:sty m:val="p"/>
                        </m:rPr>
                        <w:rPr>
                          <w:rFonts w:ascii="Cambria Math" w:hAnsi="Cambria Math"/>
                          <w:color w:val="000000" w:themeColor="text1"/>
                          <w:szCs w:val="21"/>
                        </w:rPr>
                        <m:t>k</m:t>
                      </m:r>
                    </m:sub>
                  </m:sSub>
                  <m:r>
                    <m:rPr>
                      <m:sty m:val="p"/>
                    </m:rPr>
                    <w:rPr>
                      <w:rFonts w:ascii="Cambria Math" w:hAnsi="Cambria Math"/>
                      <w:color w:val="000000" w:themeColor="text1"/>
                      <w:szCs w:val="21"/>
                    </w:rPr>
                    <m:t>×</m:t>
                  </m:r>
                  <m:sSub>
                    <m:sSubPr>
                      <m:ctrlPr>
                        <w:rPr>
                          <w:rFonts w:ascii="Cambria Math" w:hAnsi="Cambria Math"/>
                          <w:color w:val="000000" w:themeColor="text1"/>
                        </w:rPr>
                      </m:ctrlPr>
                    </m:sSubPr>
                    <m:e>
                      <m:r>
                        <m:rPr>
                          <m:sty m:val="p"/>
                        </m:rPr>
                        <w:rPr>
                          <w:rFonts w:ascii="Cambria Math" w:hAnsi="Cambria Math"/>
                          <w:color w:val="000000" w:themeColor="text1"/>
                          <w:szCs w:val="21"/>
                        </w:rPr>
                        <m:t>AN</m:t>
                      </m:r>
                    </m:e>
                    <m:sub>
                      <m:r>
                        <m:rPr>
                          <m:sty m:val="p"/>
                        </m:rPr>
                        <w:rPr>
                          <w:rFonts w:ascii="Cambria Math" w:hAnsi="Cambria Math"/>
                          <w:color w:val="000000" w:themeColor="text1"/>
                          <w:szCs w:val="21"/>
                        </w:rPr>
                        <m:t>k</m:t>
                      </m:r>
                    </m:sub>
                  </m:sSub>
                </m:e>
              </m:nary>
              <m:r>
                <w:rPr>
                  <w:rFonts w:ascii="Cambria Math" w:hAnsi="Cambria Math"/>
                  <w:color w:val="000000" w:themeColor="text1"/>
                </w:rPr>
                <m:t xml:space="preserve"> </m:t>
              </m:r>
              <m:r>
                <w:rPr>
                  <w:rFonts w:ascii="Cambria Math" w:hAnsi="Cambria Math"/>
                  <w:color w:val="000000" w:themeColor="text1"/>
                  <w:szCs w:val="21"/>
                </w:rPr>
                <m:t>#</m:t>
              </m:r>
              <m:d>
                <m:dPr>
                  <m:ctrlPr>
                    <w:rPr>
                      <w:rFonts w:ascii="Cambria Math" w:hAnsi="Cambria Math"/>
                      <w:i/>
                      <w:color w:val="000000" w:themeColor="text1"/>
                    </w:rPr>
                  </m:ctrlPr>
                </m:dPr>
                <m:e>
                  <m:r>
                    <w:rPr>
                      <w:rFonts w:ascii="Cambria Math" w:hAnsi="Cambria Math"/>
                      <w:color w:val="000000" w:themeColor="text1"/>
                    </w:rPr>
                    <m:t>S6</m:t>
                  </m:r>
                </m:e>
              </m:d>
              <m:ctrlPr>
                <w:rPr>
                  <w:rFonts w:ascii="Cambria Math" w:hAnsi="Cambria Math"/>
                  <w:i/>
                  <w:color w:val="000000" w:themeColor="text1"/>
                  <w:szCs w:val="21"/>
                </w:rPr>
              </m:ctrlPr>
            </m:e>
          </m:eqArr>
        </m:oMath>
      </m:oMathPara>
    </w:p>
    <w:p w14:paraId="5CA8F8CC" w14:textId="30B1B102" w:rsidR="000B1B37" w:rsidRDefault="000B1B37" w:rsidP="006B227E">
      <w:pPr>
        <w:ind w:firstLineChars="0" w:firstLine="0"/>
      </w:pPr>
      <w:r>
        <w:rPr>
          <w:rFonts w:hint="eastAsia"/>
        </w:rPr>
        <w:t>w</w:t>
      </w:r>
      <w:r w:rsidRPr="000B1B37">
        <w:t xml:space="preserve">here AQ represents the number of livestock, Inventory refers to the stocking number, and Sales refers to the slaughter number, all expressed in units of livestock. Cycles </w:t>
      </w:r>
      <w:proofErr w:type="gramStart"/>
      <w:r w:rsidRPr="000B1B37">
        <w:t>represents</w:t>
      </w:r>
      <w:proofErr w:type="gramEnd"/>
      <w:r w:rsidRPr="000B1B37">
        <w:t xml:space="preserve"> the breeding cycles of the livestock, calculated as 365 divided by the number of days in a breeding cycle. AN is the nitrogen intake per livestock unit, expressed in kg·</w:t>
      </w:r>
      <w:r w:rsidR="006133A1">
        <w:rPr>
          <w:rFonts w:hint="eastAsia"/>
        </w:rPr>
        <w:t>capita</w:t>
      </w:r>
      <w:r w:rsidRPr="000B1B37">
        <w:t>⁻¹·yr⁻¹. The variable k represents the livestock type, and this study only considers four categories: pig, cattle, sheep, and poultry. Detailed parameters and data sources can be found in Table S1.</w:t>
      </w:r>
    </w:p>
    <w:p w14:paraId="355BF76E" w14:textId="7D2AFD6E" w:rsidR="00C81AD6" w:rsidRPr="00811CF7" w:rsidRDefault="00C81AD6" w:rsidP="00E93F0D">
      <w:pPr>
        <w:pStyle w:val="4"/>
      </w:pPr>
      <w:r w:rsidRPr="00811CF7">
        <w:rPr>
          <w:rFonts w:hint="eastAsia"/>
        </w:rPr>
        <w:t xml:space="preserve">Table S1 The </w:t>
      </w:r>
      <w:r w:rsidR="000C6CAF" w:rsidRPr="00811CF7">
        <w:rPr>
          <w:rFonts w:hint="eastAsia"/>
        </w:rPr>
        <w:t>parameters of intake and breeding cycle of livestock</w:t>
      </w:r>
    </w:p>
    <w:tbl>
      <w:tblPr>
        <w:tblStyle w:val="a7"/>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2834"/>
        <w:gridCol w:w="1811"/>
        <w:gridCol w:w="2409"/>
        <w:gridCol w:w="1961"/>
      </w:tblGrid>
      <w:tr w:rsidR="00C81AD6" w:rsidRPr="00C81AD6" w14:paraId="2F105B61" w14:textId="77777777" w:rsidTr="00747E3D">
        <w:trPr>
          <w:jc w:val="center"/>
        </w:trPr>
        <w:tc>
          <w:tcPr>
            <w:tcW w:w="693" w:type="pct"/>
            <w:tcBorders>
              <w:top w:val="single" w:sz="12" w:space="0" w:color="auto"/>
              <w:bottom w:val="single" w:sz="4" w:space="0" w:color="auto"/>
            </w:tcBorders>
          </w:tcPr>
          <w:p w14:paraId="57FFA055" w14:textId="72DB3810" w:rsidR="00C81AD6" w:rsidRPr="00C81AD6" w:rsidRDefault="001221BC" w:rsidP="00D25115">
            <w:pPr>
              <w:spacing w:line="276" w:lineRule="auto"/>
              <w:ind w:firstLineChars="0" w:firstLine="0"/>
              <w:jc w:val="center"/>
              <w:rPr>
                <w:color w:val="000000" w:themeColor="text1"/>
                <w:szCs w:val="21"/>
              </w:rPr>
            </w:pPr>
            <w:r>
              <w:rPr>
                <w:rFonts w:hint="eastAsia"/>
                <w:color w:val="000000" w:themeColor="text1"/>
                <w:szCs w:val="21"/>
              </w:rPr>
              <w:t>Type</w:t>
            </w:r>
          </w:p>
        </w:tc>
        <w:tc>
          <w:tcPr>
            <w:tcW w:w="1354" w:type="pct"/>
            <w:tcBorders>
              <w:top w:val="single" w:sz="12" w:space="0" w:color="auto"/>
              <w:bottom w:val="single" w:sz="4" w:space="0" w:color="auto"/>
            </w:tcBorders>
          </w:tcPr>
          <w:p w14:paraId="04B6C303" w14:textId="032F056C" w:rsidR="00C81AD6" w:rsidRPr="001221BC" w:rsidRDefault="001221BC" w:rsidP="00D25115">
            <w:pPr>
              <w:wordWrap w:val="0"/>
              <w:ind w:firstLineChars="0" w:firstLine="0"/>
              <w:jc w:val="center"/>
              <w:rPr>
                <w:color w:val="000000" w:themeColor="text1"/>
                <w:szCs w:val="21"/>
              </w:rPr>
            </w:pPr>
            <w:r w:rsidRPr="001221BC">
              <w:rPr>
                <w:color w:val="000000" w:themeColor="text1"/>
                <w:szCs w:val="21"/>
              </w:rPr>
              <w:t>N</w:t>
            </w:r>
            <w:r w:rsidR="00FD4545">
              <w:rPr>
                <w:rFonts w:hint="eastAsia"/>
                <w:color w:val="000000" w:themeColor="text1"/>
                <w:szCs w:val="21"/>
              </w:rPr>
              <w:t xml:space="preserve"> </w:t>
            </w:r>
            <w:r w:rsidRPr="001221BC">
              <w:rPr>
                <w:color w:val="000000" w:themeColor="text1"/>
                <w:szCs w:val="21"/>
              </w:rPr>
              <w:t>intake (</w:t>
            </w:r>
            <w:r w:rsidR="00FD4545" w:rsidRPr="000B1B37">
              <w:t>kg·</w:t>
            </w:r>
            <w:r w:rsidR="00D25115">
              <w:rPr>
                <w:rFonts w:hint="eastAsia"/>
              </w:rPr>
              <w:t>capita</w:t>
            </w:r>
            <w:r w:rsidR="00FD4545" w:rsidRPr="000B1B37">
              <w:t>⁻¹·yr⁻¹</w:t>
            </w:r>
            <w:r w:rsidRPr="001221BC">
              <w:t>)</w:t>
            </w:r>
          </w:p>
        </w:tc>
        <w:tc>
          <w:tcPr>
            <w:tcW w:w="865" w:type="pct"/>
            <w:tcBorders>
              <w:top w:val="single" w:sz="12" w:space="0" w:color="auto"/>
              <w:bottom w:val="single" w:sz="4" w:space="0" w:color="auto"/>
            </w:tcBorders>
          </w:tcPr>
          <w:p w14:paraId="7263ED4E" w14:textId="3179F640" w:rsidR="00C81AD6" w:rsidRPr="00C81AD6" w:rsidRDefault="001221BC" w:rsidP="00D25115">
            <w:pPr>
              <w:spacing w:line="276" w:lineRule="auto"/>
              <w:ind w:firstLineChars="0" w:firstLine="0"/>
              <w:jc w:val="center"/>
              <w:rPr>
                <w:color w:val="000000" w:themeColor="text1"/>
                <w:szCs w:val="21"/>
              </w:rPr>
            </w:pPr>
            <w:r>
              <w:rPr>
                <w:rFonts w:hint="eastAsia"/>
                <w:color w:val="000000" w:themeColor="text1"/>
                <w:szCs w:val="21"/>
              </w:rPr>
              <w:t>Date source</w:t>
            </w:r>
          </w:p>
        </w:tc>
        <w:tc>
          <w:tcPr>
            <w:tcW w:w="1151" w:type="pct"/>
            <w:tcBorders>
              <w:top w:val="single" w:sz="12" w:space="0" w:color="auto"/>
              <w:bottom w:val="single" w:sz="4" w:space="0" w:color="auto"/>
            </w:tcBorders>
          </w:tcPr>
          <w:p w14:paraId="7E93B168" w14:textId="1BF637C4" w:rsidR="00C81AD6" w:rsidRPr="00C81AD6" w:rsidRDefault="00FD4545" w:rsidP="00D25115">
            <w:pPr>
              <w:spacing w:line="276" w:lineRule="auto"/>
              <w:ind w:firstLineChars="0" w:firstLine="0"/>
              <w:jc w:val="center"/>
              <w:rPr>
                <w:color w:val="000000" w:themeColor="text1"/>
                <w:szCs w:val="21"/>
              </w:rPr>
            </w:pPr>
            <w:r>
              <w:rPr>
                <w:rFonts w:hint="eastAsia"/>
                <w:color w:val="000000" w:themeColor="text1"/>
                <w:szCs w:val="21"/>
              </w:rPr>
              <w:t>Breeding cycle</w:t>
            </w:r>
            <w:r w:rsidR="00C81AD6" w:rsidRPr="00C81AD6">
              <w:rPr>
                <w:color w:val="000000" w:themeColor="text1"/>
                <w:szCs w:val="21"/>
              </w:rPr>
              <w:t>/d</w:t>
            </w:r>
          </w:p>
        </w:tc>
        <w:tc>
          <w:tcPr>
            <w:tcW w:w="937" w:type="pct"/>
            <w:tcBorders>
              <w:top w:val="single" w:sz="12" w:space="0" w:color="auto"/>
              <w:bottom w:val="single" w:sz="4" w:space="0" w:color="auto"/>
            </w:tcBorders>
          </w:tcPr>
          <w:p w14:paraId="0309EE87" w14:textId="41560DFF" w:rsidR="00C81AD6" w:rsidRPr="00C81AD6" w:rsidRDefault="001221BC" w:rsidP="00C81AD6">
            <w:pPr>
              <w:spacing w:line="276" w:lineRule="auto"/>
              <w:ind w:firstLineChars="0" w:firstLine="0"/>
              <w:rPr>
                <w:color w:val="000000" w:themeColor="text1"/>
                <w:szCs w:val="21"/>
              </w:rPr>
            </w:pPr>
            <w:r>
              <w:rPr>
                <w:rFonts w:hint="eastAsia"/>
                <w:color w:val="000000" w:themeColor="text1"/>
                <w:szCs w:val="21"/>
              </w:rPr>
              <w:t>Date source</w:t>
            </w:r>
          </w:p>
        </w:tc>
      </w:tr>
      <w:tr w:rsidR="00C81AD6" w:rsidRPr="00C81AD6" w14:paraId="04770691" w14:textId="77777777" w:rsidTr="00747E3D">
        <w:trPr>
          <w:jc w:val="center"/>
        </w:trPr>
        <w:tc>
          <w:tcPr>
            <w:tcW w:w="693" w:type="pct"/>
            <w:tcBorders>
              <w:top w:val="single" w:sz="4" w:space="0" w:color="auto"/>
            </w:tcBorders>
          </w:tcPr>
          <w:p w14:paraId="218E63C5" w14:textId="1EDDA6E4" w:rsidR="00C81AD6" w:rsidRPr="00C81AD6" w:rsidRDefault="001221BC" w:rsidP="00D25115">
            <w:pPr>
              <w:spacing w:line="276" w:lineRule="auto"/>
              <w:ind w:firstLineChars="0" w:firstLine="0"/>
              <w:jc w:val="center"/>
              <w:rPr>
                <w:color w:val="000000" w:themeColor="text1"/>
                <w:szCs w:val="21"/>
              </w:rPr>
            </w:pPr>
            <w:r>
              <w:rPr>
                <w:rFonts w:hint="eastAsia"/>
                <w:color w:val="000000" w:themeColor="text1"/>
                <w:szCs w:val="21"/>
              </w:rPr>
              <w:t>Pig</w:t>
            </w:r>
          </w:p>
        </w:tc>
        <w:tc>
          <w:tcPr>
            <w:tcW w:w="1354" w:type="pct"/>
            <w:tcBorders>
              <w:top w:val="single" w:sz="4" w:space="0" w:color="auto"/>
            </w:tcBorders>
          </w:tcPr>
          <w:p w14:paraId="6E964AA4" w14:textId="77777777" w:rsidR="00C81AD6" w:rsidRPr="00C81AD6" w:rsidRDefault="00C81AD6" w:rsidP="00D25115">
            <w:pPr>
              <w:spacing w:line="276" w:lineRule="auto"/>
              <w:ind w:firstLineChars="0" w:firstLine="0"/>
              <w:jc w:val="center"/>
              <w:rPr>
                <w:color w:val="000000" w:themeColor="text1"/>
                <w:szCs w:val="21"/>
              </w:rPr>
            </w:pPr>
            <w:r w:rsidRPr="00C81AD6">
              <w:rPr>
                <w:color w:val="000000" w:themeColor="text1"/>
                <w:szCs w:val="21"/>
              </w:rPr>
              <w:t>8.70</w:t>
            </w:r>
          </w:p>
        </w:tc>
        <w:tc>
          <w:tcPr>
            <w:tcW w:w="865" w:type="pct"/>
            <w:vMerge w:val="restart"/>
            <w:tcBorders>
              <w:top w:val="single" w:sz="4" w:space="0" w:color="auto"/>
            </w:tcBorders>
            <w:vAlign w:val="center"/>
          </w:tcPr>
          <w:p w14:paraId="16BA59C3" w14:textId="6855AC33" w:rsidR="00C81AD6" w:rsidRPr="00C81AD6" w:rsidRDefault="006D7C27" w:rsidP="00C6461D">
            <w:pPr>
              <w:spacing w:line="276" w:lineRule="auto"/>
              <w:ind w:firstLineChars="0" w:firstLine="0"/>
              <w:jc w:val="center"/>
              <w:rPr>
                <w:color w:val="000000" w:themeColor="text1"/>
                <w:szCs w:val="21"/>
              </w:rPr>
            </w:pPr>
            <w:r>
              <w:rPr>
                <w:color w:val="00B0F0"/>
                <w:vertAlign w:val="superscript"/>
              </w:rPr>
              <w:fldChar w:fldCharType="begin"/>
            </w:r>
            <w:r>
              <w:rPr>
                <w:color w:val="00B0F0"/>
                <w:vertAlign w:val="superscript"/>
              </w:rPr>
              <w:instrText xml:space="preserve"> ADDIN NE.Ref.{5D95BDA9-F605-427D-BC69-15C158C75D24}</w:instrText>
            </w:r>
            <w:r>
              <w:rPr>
                <w:color w:val="00B0F0"/>
                <w:vertAlign w:val="superscript"/>
              </w:rPr>
              <w:fldChar w:fldCharType="separate"/>
            </w:r>
            <w:r w:rsidR="00113FE3">
              <w:rPr>
                <w:rFonts w:eastAsiaTheme="minorEastAsia"/>
                <w:color w:val="0000FF"/>
                <w:kern w:val="0"/>
                <w:szCs w:val="21"/>
                <w:vertAlign w:val="superscript"/>
                <w14:ligatures w14:val="standardContextual"/>
              </w:rPr>
              <w:t>5</w:t>
            </w:r>
            <w:r>
              <w:rPr>
                <w:color w:val="00B0F0"/>
                <w:vertAlign w:val="superscript"/>
              </w:rPr>
              <w:fldChar w:fldCharType="end"/>
            </w:r>
          </w:p>
        </w:tc>
        <w:tc>
          <w:tcPr>
            <w:tcW w:w="1151" w:type="pct"/>
            <w:tcBorders>
              <w:top w:val="single" w:sz="4" w:space="0" w:color="auto"/>
            </w:tcBorders>
          </w:tcPr>
          <w:p w14:paraId="06123BC6" w14:textId="77777777" w:rsidR="00C81AD6" w:rsidRPr="00C81AD6" w:rsidRDefault="00C81AD6" w:rsidP="00D25115">
            <w:pPr>
              <w:spacing w:line="276" w:lineRule="auto"/>
              <w:ind w:firstLineChars="0" w:firstLine="0"/>
              <w:jc w:val="center"/>
              <w:rPr>
                <w:color w:val="000000" w:themeColor="text1"/>
                <w:szCs w:val="21"/>
              </w:rPr>
            </w:pPr>
            <w:r w:rsidRPr="00C81AD6">
              <w:rPr>
                <w:color w:val="000000" w:themeColor="text1"/>
                <w:szCs w:val="21"/>
              </w:rPr>
              <w:t>199</w:t>
            </w:r>
          </w:p>
        </w:tc>
        <w:tc>
          <w:tcPr>
            <w:tcW w:w="937" w:type="pct"/>
            <w:vMerge w:val="restart"/>
            <w:tcBorders>
              <w:top w:val="single" w:sz="4" w:space="0" w:color="auto"/>
            </w:tcBorders>
            <w:vAlign w:val="center"/>
          </w:tcPr>
          <w:p w14:paraId="048BDBAC" w14:textId="39BC1EC8" w:rsidR="00C81AD6" w:rsidRPr="003A1971" w:rsidRDefault="00C204FD" w:rsidP="003F1FEB">
            <w:pPr>
              <w:spacing w:line="276" w:lineRule="auto"/>
              <w:ind w:firstLineChars="0" w:firstLine="0"/>
              <w:jc w:val="center"/>
              <w:rPr>
                <w:rFonts w:eastAsiaTheme="minorEastAsia"/>
                <w:color w:val="00BFFF"/>
                <w:kern w:val="0"/>
                <w:szCs w:val="21"/>
                <w14:ligatures w14:val="standardContextual"/>
              </w:rPr>
            </w:pPr>
            <w:r>
              <w:rPr>
                <w:color w:val="00B0F0"/>
                <w:vertAlign w:val="superscript"/>
              </w:rPr>
              <w:fldChar w:fldCharType="begin"/>
            </w:r>
            <w:r>
              <w:rPr>
                <w:color w:val="00B0F0"/>
                <w:vertAlign w:val="superscript"/>
              </w:rPr>
              <w:instrText xml:space="preserve"> ADDIN NE.Ref.{C344F1FD-0C81-4664-B870-9CCE7435EA91}</w:instrText>
            </w:r>
            <w:r>
              <w:rPr>
                <w:color w:val="00B0F0"/>
                <w:vertAlign w:val="superscript"/>
              </w:rPr>
              <w:fldChar w:fldCharType="separate"/>
            </w:r>
            <w:r w:rsidR="00113FE3">
              <w:rPr>
                <w:rFonts w:eastAsiaTheme="minorEastAsia"/>
                <w:color w:val="0000FF"/>
                <w:kern w:val="0"/>
                <w:szCs w:val="21"/>
                <w:vertAlign w:val="superscript"/>
                <w14:ligatures w14:val="standardContextual"/>
              </w:rPr>
              <w:t>6</w:t>
            </w:r>
            <w:r>
              <w:rPr>
                <w:color w:val="00B0F0"/>
                <w:vertAlign w:val="superscript"/>
              </w:rPr>
              <w:fldChar w:fldCharType="end"/>
            </w:r>
          </w:p>
        </w:tc>
      </w:tr>
      <w:tr w:rsidR="00C81AD6" w:rsidRPr="00C81AD6" w14:paraId="1FF3A346" w14:textId="77777777" w:rsidTr="00747E3D">
        <w:trPr>
          <w:jc w:val="center"/>
        </w:trPr>
        <w:tc>
          <w:tcPr>
            <w:tcW w:w="693" w:type="pct"/>
          </w:tcPr>
          <w:p w14:paraId="65439B2D" w14:textId="3EDA6321" w:rsidR="00C81AD6" w:rsidRPr="00C81AD6" w:rsidRDefault="001221BC" w:rsidP="00D25115">
            <w:pPr>
              <w:spacing w:line="276" w:lineRule="auto"/>
              <w:ind w:firstLineChars="0" w:firstLine="0"/>
              <w:jc w:val="center"/>
              <w:rPr>
                <w:color w:val="000000" w:themeColor="text1"/>
                <w:szCs w:val="21"/>
              </w:rPr>
            </w:pPr>
            <w:r>
              <w:rPr>
                <w:rFonts w:hint="eastAsia"/>
                <w:color w:val="000000" w:themeColor="text1"/>
                <w:szCs w:val="21"/>
              </w:rPr>
              <w:t>Cattle</w:t>
            </w:r>
          </w:p>
        </w:tc>
        <w:tc>
          <w:tcPr>
            <w:tcW w:w="1354" w:type="pct"/>
          </w:tcPr>
          <w:p w14:paraId="6DA4F785" w14:textId="77777777" w:rsidR="00C81AD6" w:rsidRPr="00C81AD6" w:rsidRDefault="00C81AD6" w:rsidP="00D25115">
            <w:pPr>
              <w:spacing w:line="276" w:lineRule="auto"/>
              <w:ind w:firstLineChars="0" w:firstLine="0"/>
              <w:jc w:val="center"/>
              <w:rPr>
                <w:color w:val="000000" w:themeColor="text1"/>
                <w:szCs w:val="21"/>
              </w:rPr>
            </w:pPr>
            <w:r w:rsidRPr="00C81AD6">
              <w:rPr>
                <w:color w:val="000000" w:themeColor="text1"/>
                <w:szCs w:val="21"/>
              </w:rPr>
              <w:t>51.30</w:t>
            </w:r>
          </w:p>
        </w:tc>
        <w:tc>
          <w:tcPr>
            <w:tcW w:w="865" w:type="pct"/>
            <w:vMerge/>
          </w:tcPr>
          <w:p w14:paraId="6CB891EA" w14:textId="77777777" w:rsidR="00C81AD6" w:rsidRPr="00C81AD6" w:rsidRDefault="00C81AD6" w:rsidP="00C81AD6">
            <w:pPr>
              <w:spacing w:line="276" w:lineRule="auto"/>
              <w:ind w:firstLineChars="0" w:firstLine="0"/>
              <w:rPr>
                <w:color w:val="000000" w:themeColor="text1"/>
                <w:szCs w:val="21"/>
              </w:rPr>
            </w:pPr>
          </w:p>
        </w:tc>
        <w:tc>
          <w:tcPr>
            <w:tcW w:w="1151" w:type="pct"/>
          </w:tcPr>
          <w:p w14:paraId="7FC2ADB9" w14:textId="77777777" w:rsidR="00C81AD6" w:rsidRPr="00C81AD6" w:rsidRDefault="00C81AD6" w:rsidP="00D25115">
            <w:pPr>
              <w:spacing w:line="276" w:lineRule="auto"/>
              <w:ind w:firstLineChars="0" w:firstLine="0"/>
              <w:jc w:val="center"/>
              <w:rPr>
                <w:color w:val="000000" w:themeColor="text1"/>
                <w:szCs w:val="21"/>
              </w:rPr>
            </w:pPr>
            <w:r w:rsidRPr="00C81AD6">
              <w:rPr>
                <w:color w:val="000000" w:themeColor="text1"/>
                <w:szCs w:val="21"/>
              </w:rPr>
              <w:t>365</w:t>
            </w:r>
          </w:p>
        </w:tc>
        <w:tc>
          <w:tcPr>
            <w:tcW w:w="937" w:type="pct"/>
            <w:vMerge/>
          </w:tcPr>
          <w:p w14:paraId="6A8F8BD0" w14:textId="77777777" w:rsidR="00C81AD6" w:rsidRPr="00C81AD6" w:rsidRDefault="00C81AD6" w:rsidP="00C81AD6">
            <w:pPr>
              <w:spacing w:line="276" w:lineRule="auto"/>
              <w:ind w:firstLineChars="0" w:firstLine="0"/>
              <w:rPr>
                <w:color w:val="000000" w:themeColor="text1"/>
                <w:szCs w:val="21"/>
              </w:rPr>
            </w:pPr>
          </w:p>
        </w:tc>
      </w:tr>
      <w:tr w:rsidR="00C81AD6" w:rsidRPr="00C81AD6" w14:paraId="1919C5D0" w14:textId="77777777" w:rsidTr="00747E3D">
        <w:trPr>
          <w:jc w:val="center"/>
        </w:trPr>
        <w:tc>
          <w:tcPr>
            <w:tcW w:w="693" w:type="pct"/>
          </w:tcPr>
          <w:p w14:paraId="60CB7FCE" w14:textId="24AE3DC4" w:rsidR="00C81AD6" w:rsidRPr="00C81AD6" w:rsidRDefault="001221BC" w:rsidP="00D25115">
            <w:pPr>
              <w:spacing w:line="276" w:lineRule="auto"/>
              <w:ind w:firstLineChars="0" w:firstLine="0"/>
              <w:jc w:val="center"/>
              <w:rPr>
                <w:color w:val="000000" w:themeColor="text1"/>
                <w:szCs w:val="21"/>
              </w:rPr>
            </w:pPr>
            <w:r>
              <w:rPr>
                <w:rFonts w:hint="eastAsia"/>
                <w:color w:val="000000" w:themeColor="text1"/>
                <w:szCs w:val="21"/>
              </w:rPr>
              <w:t>Sheep</w:t>
            </w:r>
          </w:p>
        </w:tc>
        <w:tc>
          <w:tcPr>
            <w:tcW w:w="1354" w:type="pct"/>
          </w:tcPr>
          <w:p w14:paraId="79F2F7B2" w14:textId="77777777" w:rsidR="00C81AD6" w:rsidRPr="00C81AD6" w:rsidRDefault="00C81AD6" w:rsidP="00D25115">
            <w:pPr>
              <w:spacing w:line="276" w:lineRule="auto"/>
              <w:ind w:firstLineChars="0" w:firstLine="0"/>
              <w:jc w:val="center"/>
              <w:rPr>
                <w:color w:val="000000" w:themeColor="text1"/>
                <w:szCs w:val="21"/>
              </w:rPr>
            </w:pPr>
            <w:r w:rsidRPr="00C81AD6">
              <w:rPr>
                <w:color w:val="000000" w:themeColor="text1"/>
                <w:szCs w:val="21"/>
              </w:rPr>
              <w:t>5.97</w:t>
            </w:r>
          </w:p>
        </w:tc>
        <w:tc>
          <w:tcPr>
            <w:tcW w:w="865" w:type="pct"/>
            <w:vMerge/>
          </w:tcPr>
          <w:p w14:paraId="79155D26" w14:textId="77777777" w:rsidR="00C81AD6" w:rsidRPr="00C81AD6" w:rsidRDefault="00C81AD6" w:rsidP="00C81AD6">
            <w:pPr>
              <w:spacing w:line="276" w:lineRule="auto"/>
              <w:ind w:firstLineChars="0" w:firstLine="0"/>
              <w:rPr>
                <w:color w:val="000000" w:themeColor="text1"/>
                <w:szCs w:val="21"/>
              </w:rPr>
            </w:pPr>
          </w:p>
        </w:tc>
        <w:tc>
          <w:tcPr>
            <w:tcW w:w="1151" w:type="pct"/>
          </w:tcPr>
          <w:p w14:paraId="43A373D0" w14:textId="77777777" w:rsidR="00C81AD6" w:rsidRPr="00C81AD6" w:rsidRDefault="00C81AD6" w:rsidP="00D25115">
            <w:pPr>
              <w:spacing w:line="276" w:lineRule="auto"/>
              <w:ind w:firstLineChars="0" w:firstLine="0"/>
              <w:jc w:val="center"/>
              <w:rPr>
                <w:color w:val="000000" w:themeColor="text1"/>
                <w:szCs w:val="21"/>
              </w:rPr>
            </w:pPr>
            <w:r w:rsidRPr="00C81AD6">
              <w:rPr>
                <w:color w:val="000000" w:themeColor="text1"/>
                <w:szCs w:val="21"/>
              </w:rPr>
              <w:t>365</w:t>
            </w:r>
          </w:p>
        </w:tc>
        <w:tc>
          <w:tcPr>
            <w:tcW w:w="937" w:type="pct"/>
            <w:vMerge/>
          </w:tcPr>
          <w:p w14:paraId="709ED9E3" w14:textId="77777777" w:rsidR="00C81AD6" w:rsidRPr="00C81AD6" w:rsidRDefault="00C81AD6" w:rsidP="00C81AD6">
            <w:pPr>
              <w:spacing w:line="276" w:lineRule="auto"/>
              <w:ind w:firstLineChars="0" w:firstLine="0"/>
              <w:rPr>
                <w:color w:val="000000" w:themeColor="text1"/>
                <w:szCs w:val="21"/>
              </w:rPr>
            </w:pPr>
          </w:p>
        </w:tc>
      </w:tr>
      <w:tr w:rsidR="00C81AD6" w:rsidRPr="00C81AD6" w14:paraId="54207EAB" w14:textId="77777777" w:rsidTr="00747E3D">
        <w:trPr>
          <w:jc w:val="center"/>
        </w:trPr>
        <w:tc>
          <w:tcPr>
            <w:tcW w:w="693" w:type="pct"/>
            <w:tcBorders>
              <w:bottom w:val="single" w:sz="12" w:space="0" w:color="auto"/>
            </w:tcBorders>
          </w:tcPr>
          <w:p w14:paraId="383C5069" w14:textId="3F59C91B" w:rsidR="00C81AD6" w:rsidRPr="00C81AD6" w:rsidRDefault="001221BC" w:rsidP="00D25115">
            <w:pPr>
              <w:spacing w:line="276" w:lineRule="auto"/>
              <w:ind w:firstLineChars="0" w:firstLine="0"/>
              <w:jc w:val="center"/>
              <w:rPr>
                <w:color w:val="000000" w:themeColor="text1"/>
                <w:szCs w:val="21"/>
              </w:rPr>
            </w:pPr>
            <w:r>
              <w:rPr>
                <w:rFonts w:hint="eastAsia"/>
                <w:color w:val="000000" w:themeColor="text1"/>
                <w:szCs w:val="21"/>
              </w:rPr>
              <w:t>Poultry</w:t>
            </w:r>
          </w:p>
        </w:tc>
        <w:tc>
          <w:tcPr>
            <w:tcW w:w="1354" w:type="pct"/>
            <w:tcBorders>
              <w:bottom w:val="single" w:sz="12" w:space="0" w:color="auto"/>
            </w:tcBorders>
            <w:vAlign w:val="center"/>
          </w:tcPr>
          <w:p w14:paraId="7CE5A335" w14:textId="77777777" w:rsidR="00C81AD6" w:rsidRPr="00C81AD6" w:rsidRDefault="00C81AD6" w:rsidP="00D25115">
            <w:pPr>
              <w:spacing w:line="276" w:lineRule="auto"/>
              <w:ind w:firstLineChars="0" w:firstLine="0"/>
              <w:jc w:val="center"/>
              <w:rPr>
                <w:color w:val="000000" w:themeColor="text1"/>
                <w:szCs w:val="21"/>
              </w:rPr>
            </w:pPr>
            <w:r w:rsidRPr="00C81AD6">
              <w:rPr>
                <w:color w:val="000000" w:themeColor="text1"/>
                <w:szCs w:val="21"/>
              </w:rPr>
              <w:t>0.26</w:t>
            </w:r>
          </w:p>
        </w:tc>
        <w:tc>
          <w:tcPr>
            <w:tcW w:w="865" w:type="pct"/>
            <w:vMerge/>
            <w:tcBorders>
              <w:bottom w:val="single" w:sz="12" w:space="0" w:color="auto"/>
            </w:tcBorders>
          </w:tcPr>
          <w:p w14:paraId="10B32B02" w14:textId="77777777" w:rsidR="00C81AD6" w:rsidRPr="00C81AD6" w:rsidRDefault="00C81AD6" w:rsidP="00C81AD6">
            <w:pPr>
              <w:spacing w:line="276" w:lineRule="auto"/>
              <w:ind w:firstLineChars="0" w:firstLine="0"/>
              <w:rPr>
                <w:color w:val="000000" w:themeColor="text1"/>
                <w:szCs w:val="21"/>
              </w:rPr>
            </w:pPr>
          </w:p>
        </w:tc>
        <w:tc>
          <w:tcPr>
            <w:tcW w:w="1151" w:type="pct"/>
            <w:tcBorders>
              <w:bottom w:val="single" w:sz="12" w:space="0" w:color="auto"/>
            </w:tcBorders>
          </w:tcPr>
          <w:p w14:paraId="44859DDB" w14:textId="77777777" w:rsidR="00C81AD6" w:rsidRPr="00C81AD6" w:rsidRDefault="00C81AD6" w:rsidP="00D25115">
            <w:pPr>
              <w:spacing w:line="276" w:lineRule="auto"/>
              <w:ind w:firstLineChars="0" w:firstLine="0"/>
              <w:jc w:val="center"/>
              <w:rPr>
                <w:color w:val="000000" w:themeColor="text1"/>
                <w:szCs w:val="21"/>
              </w:rPr>
            </w:pPr>
            <w:r w:rsidRPr="00C81AD6">
              <w:rPr>
                <w:color w:val="000000" w:themeColor="text1"/>
                <w:szCs w:val="21"/>
              </w:rPr>
              <w:t>155</w:t>
            </w:r>
          </w:p>
        </w:tc>
        <w:tc>
          <w:tcPr>
            <w:tcW w:w="937" w:type="pct"/>
            <w:vMerge/>
            <w:tcBorders>
              <w:bottom w:val="single" w:sz="12" w:space="0" w:color="auto"/>
            </w:tcBorders>
          </w:tcPr>
          <w:p w14:paraId="5505A1E4" w14:textId="77777777" w:rsidR="00C81AD6" w:rsidRPr="00C81AD6" w:rsidRDefault="00C81AD6" w:rsidP="00C81AD6">
            <w:pPr>
              <w:spacing w:line="276" w:lineRule="auto"/>
              <w:ind w:firstLineChars="0" w:firstLine="0"/>
              <w:rPr>
                <w:color w:val="000000" w:themeColor="text1"/>
                <w:szCs w:val="21"/>
              </w:rPr>
            </w:pPr>
          </w:p>
        </w:tc>
      </w:tr>
    </w:tbl>
    <w:p w14:paraId="67C772D4" w14:textId="04F4B354" w:rsidR="00903D26" w:rsidRDefault="000C6CAF" w:rsidP="000C6CAF">
      <w:pPr>
        <w:pStyle w:val="3"/>
      </w:pPr>
      <w:r>
        <w:rPr>
          <w:rFonts w:hint="eastAsia"/>
        </w:rPr>
        <w:t xml:space="preserve">1.3.2 </w:t>
      </w:r>
      <w:r w:rsidR="000B1B37">
        <w:rPr>
          <w:rFonts w:hint="eastAsia"/>
        </w:rPr>
        <w:t xml:space="preserve">Estimation of </w:t>
      </w:r>
      <w:r>
        <w:rPr>
          <w:rFonts w:hint="eastAsia"/>
        </w:rPr>
        <w:t>H</w:t>
      </w:r>
      <w:r w:rsidR="000B1B37">
        <w:rPr>
          <w:rFonts w:hint="eastAsia"/>
        </w:rPr>
        <w:t>C</w:t>
      </w:r>
    </w:p>
    <w:p w14:paraId="2D284E96" w14:textId="00F5BAF9" w:rsidR="000B1B37" w:rsidRDefault="000B1B37" w:rsidP="000B1B37">
      <w:pPr>
        <w:ind w:firstLine="420"/>
      </w:pPr>
      <w:r>
        <w:rPr>
          <w:rFonts w:hint="eastAsia"/>
        </w:rPr>
        <w:t xml:space="preserve">HC can be expressed as the product of the population and the per capita nitrogen intake. Given the </w:t>
      </w:r>
      <w:proofErr w:type="gramStart"/>
      <w:r>
        <w:rPr>
          <w:rFonts w:hint="eastAsia"/>
        </w:rPr>
        <w:t>long t</w:t>
      </w:r>
      <w:r w:rsidR="008121B6">
        <w:rPr>
          <w:rFonts w:hint="eastAsia"/>
        </w:rPr>
        <w:t>erm</w:t>
      </w:r>
      <w:proofErr w:type="gramEnd"/>
      <w:r>
        <w:rPr>
          <w:rFonts w:hint="eastAsia"/>
        </w:rPr>
        <w:t xml:space="preserve"> span of this study, the per capita nitrogen intake is assumed to meet the daily protein intake necessary for normal growth and development, and is converted to nitrogen using a conversion factor of 6.25</w:t>
      </w:r>
      <w:r w:rsidR="00C204FD">
        <w:fldChar w:fldCharType="begin"/>
      </w:r>
      <w:r w:rsidR="00C204FD">
        <w:instrText xml:space="preserve"> ADDIN NE.Ref.{29967E86-90C6-4F3B-972E-6A2556560F24}</w:instrText>
      </w:r>
      <w:r w:rsidR="00C204FD">
        <w:fldChar w:fldCharType="separate"/>
      </w:r>
      <w:r w:rsidR="00113FE3">
        <w:rPr>
          <w:rFonts w:eastAsiaTheme="minorEastAsia"/>
          <w:color w:val="0000FF"/>
          <w:kern w:val="0"/>
          <w:szCs w:val="21"/>
          <w:vertAlign w:val="superscript"/>
          <w14:ligatures w14:val="standardContextual"/>
        </w:rPr>
        <w:t>7</w:t>
      </w:r>
      <w:r w:rsidR="00C204FD">
        <w:fldChar w:fldCharType="end"/>
      </w:r>
      <w:r>
        <w:rPr>
          <w:rFonts w:hint="eastAsia"/>
        </w:rPr>
        <w:t>. The specific calculation formula is shown in Equation (S7)</w:t>
      </w:r>
    </w:p>
    <w:p w14:paraId="2B4F359B" w14:textId="1EF21987" w:rsidR="007E6A4E" w:rsidRPr="007E6A4E" w:rsidRDefault="00000000" w:rsidP="000C6CAF">
      <w:pPr>
        <w:ind w:firstLine="420"/>
        <w:rPr>
          <w:rFonts w:cstheme="minorBidi"/>
        </w:rPr>
      </w:pPr>
      <m:oMathPara>
        <m:oMath>
          <m:eqArr>
            <m:eqArrPr>
              <m:maxDist m:val="1"/>
              <m:ctrlPr>
                <w:rPr>
                  <w:rFonts w:ascii="Cambria Math" w:hAnsi="Cambria Math"/>
                  <w:i/>
                </w:rPr>
              </m:ctrlPr>
            </m:eqArrPr>
            <m:e>
              <m:r>
                <w:rPr>
                  <w:rFonts w:ascii="Cambria Math" w:hAnsi="Cambria Math"/>
                </w:rPr>
                <m:t>HC=HQ×HN #</m:t>
              </m:r>
              <m:d>
                <m:dPr>
                  <m:ctrlPr>
                    <w:rPr>
                      <w:rFonts w:ascii="Cambria Math" w:hAnsi="Cambria Math"/>
                      <w:i/>
                    </w:rPr>
                  </m:ctrlPr>
                </m:dPr>
                <m:e>
                  <m:r>
                    <w:rPr>
                      <w:rFonts w:ascii="Cambria Math" w:hAnsi="Cambria Math"/>
                    </w:rPr>
                    <m:t>S7</m:t>
                  </m:r>
                </m:e>
              </m:d>
            </m:e>
          </m:eqArr>
        </m:oMath>
      </m:oMathPara>
    </w:p>
    <w:p w14:paraId="6DC4FD4F" w14:textId="6E128D8A" w:rsidR="00C776D1" w:rsidRDefault="00C776D1" w:rsidP="007E6A4E">
      <w:pPr>
        <w:ind w:firstLineChars="0" w:firstLine="0"/>
      </w:pPr>
      <w:r w:rsidRPr="00C776D1">
        <w:t>Where HQ represents the total population, expressed in units of people, and HN represents the per capita nitrogen intake, expressed in kg·person⁻¹. In this study, the value of HN is set at 3.91</w:t>
      </w:r>
      <w:r w:rsidR="00744F1A">
        <w:fldChar w:fldCharType="begin"/>
      </w:r>
      <w:r w:rsidR="00744F1A">
        <w:instrText xml:space="preserve"> ADDIN NE.Ref.{D5C68ED9-E14F-4D22-BEAC-DC8E6A5C3FFF}</w:instrText>
      </w:r>
      <w:r w:rsidR="00744F1A">
        <w:fldChar w:fldCharType="separate"/>
      </w:r>
      <w:r w:rsidR="00113FE3">
        <w:rPr>
          <w:rFonts w:eastAsiaTheme="minorEastAsia"/>
          <w:color w:val="0000FF"/>
          <w:kern w:val="0"/>
          <w:szCs w:val="21"/>
          <w:vertAlign w:val="superscript"/>
          <w14:ligatures w14:val="standardContextual"/>
        </w:rPr>
        <w:t>8</w:t>
      </w:r>
      <w:r w:rsidR="00744F1A">
        <w:fldChar w:fldCharType="end"/>
      </w:r>
      <w:r w:rsidRPr="00C776D1">
        <w:t>.</w:t>
      </w:r>
    </w:p>
    <w:p w14:paraId="219A0EF5" w14:textId="4AB7E21B" w:rsidR="005C7E6F" w:rsidRDefault="005C7E6F" w:rsidP="005C7E6F">
      <w:pPr>
        <w:pStyle w:val="3"/>
      </w:pPr>
      <w:r>
        <w:rPr>
          <w:rFonts w:hint="eastAsia"/>
        </w:rPr>
        <w:t xml:space="preserve">1.3.3 </w:t>
      </w:r>
      <w:r w:rsidR="00C776D1">
        <w:rPr>
          <w:rFonts w:hint="eastAsia"/>
        </w:rPr>
        <w:t xml:space="preserve">Estimation of </w:t>
      </w:r>
      <w:r>
        <w:rPr>
          <w:rFonts w:hint="eastAsia"/>
        </w:rPr>
        <w:t>AP</w:t>
      </w:r>
    </w:p>
    <w:p w14:paraId="4BEC5BDD" w14:textId="654A3ADC" w:rsidR="00D945F8" w:rsidRDefault="00D945F8" w:rsidP="00D945F8">
      <w:pPr>
        <w:ind w:firstLine="420"/>
      </w:pPr>
      <w:r>
        <w:rPr>
          <w:rFonts w:hint="eastAsia"/>
        </w:rPr>
        <w:t>AP can be expressed as the product of the livestock product yield and its nitrogen content</w:t>
      </w:r>
      <w:r w:rsidR="00141EE2">
        <w:rPr>
          <w:rFonts w:hint="eastAsia"/>
        </w:rPr>
        <w:t xml:space="preserve"> </w:t>
      </w:r>
      <w:r w:rsidR="00C6461D" w:rsidRPr="003F1FEB">
        <w:rPr>
          <w:color w:val="00B0F0"/>
          <w:vertAlign w:val="superscript"/>
        </w:rPr>
        <w:t>8</w:t>
      </w:r>
      <w:r>
        <w:rPr>
          <w:rFonts w:hint="eastAsia"/>
        </w:rPr>
        <w:t>. The specific calculation formula is shown in Equation (S8):</w:t>
      </w:r>
    </w:p>
    <w:p w14:paraId="70760277" w14:textId="5D143966" w:rsidR="005C7E6F" w:rsidRPr="005C7E6F" w:rsidRDefault="00000000" w:rsidP="005C7E6F">
      <w:pPr>
        <w:ind w:firstLine="420"/>
        <w:rPr>
          <w:rFonts w:cstheme="minorBidi"/>
          <w:color w:val="000000" w:themeColor="text1"/>
          <w:szCs w:val="21"/>
        </w:rPr>
      </w:pPr>
      <m:oMathPara>
        <m:oMath>
          <m:eqArr>
            <m:eqArrPr>
              <m:maxDist m:val="1"/>
              <m:ctrlPr>
                <w:rPr>
                  <w:rFonts w:ascii="Cambria Math" w:hAnsi="Cambria Math"/>
                  <w:i/>
                  <w:color w:val="000000" w:themeColor="text1"/>
                </w:rPr>
              </m:ctrlPr>
            </m:eqArrPr>
            <m:e>
              <m:r>
                <m:rPr>
                  <m:sty m:val="p"/>
                </m:rPr>
                <w:rPr>
                  <w:rFonts w:ascii="Cambria Math" w:hAnsi="Cambria Math"/>
                  <w:color w:val="000000" w:themeColor="text1"/>
                  <w:szCs w:val="21"/>
                </w:rPr>
                <m:t>AP</m:t>
              </m:r>
              <m:r>
                <w:rPr>
                  <w:rFonts w:ascii="Cambria Math" w:hAnsi="Cambria Math"/>
                  <w:color w:val="000000" w:themeColor="text1"/>
                  <w:szCs w:val="21"/>
                </w:rPr>
                <m:t>=</m:t>
              </m:r>
              <m:nary>
                <m:naryPr>
                  <m:chr m:val="∑"/>
                  <m:limLoc m:val="undOvr"/>
                  <m:ctrlPr>
                    <w:rPr>
                      <w:rFonts w:ascii="Cambria Math" w:hAnsi="Cambria Math"/>
                      <w:i/>
                      <w:color w:val="000000" w:themeColor="text1"/>
                    </w:rPr>
                  </m:ctrlPr>
                </m:naryPr>
                <m:sub>
                  <m:r>
                    <w:rPr>
                      <w:rFonts w:ascii="Cambria Math" w:hAnsi="Cambria Math"/>
                      <w:color w:val="000000" w:themeColor="text1"/>
                      <w:szCs w:val="21"/>
                    </w:rPr>
                    <m:t>m=1</m:t>
                  </m:r>
                </m:sub>
                <m:sup>
                  <m:r>
                    <w:rPr>
                      <w:rFonts w:ascii="Cambria Math" w:hAnsi="Cambria Math"/>
                      <w:color w:val="000000" w:themeColor="text1"/>
                      <w:szCs w:val="21"/>
                    </w:rPr>
                    <m:t>M</m:t>
                  </m:r>
                </m:sup>
                <m:e>
                  <m:d>
                    <m:dPr>
                      <m:ctrlPr>
                        <w:rPr>
                          <w:rFonts w:ascii="Cambria Math" w:hAnsi="Cambria Math"/>
                          <w:i/>
                          <w:color w:val="000000" w:themeColor="text1"/>
                          <w:szCs w:val="21"/>
                        </w:rPr>
                      </m:ctrlPr>
                    </m:dPr>
                    <m:e>
                      <m:sSub>
                        <m:sSubPr>
                          <m:ctrlPr>
                            <w:rPr>
                              <w:rFonts w:ascii="Cambria Math" w:hAnsi="Cambria Math"/>
                              <w:i/>
                              <w:color w:val="000000" w:themeColor="text1"/>
                            </w:rPr>
                          </m:ctrlPr>
                        </m:sSubPr>
                        <m:e>
                          <m:r>
                            <m:rPr>
                              <m:sty m:val="p"/>
                            </m:rPr>
                            <w:rPr>
                              <w:rFonts w:ascii="Cambria Math" w:hAnsi="Cambria Math"/>
                              <w:color w:val="000000" w:themeColor="text1"/>
                              <w:szCs w:val="21"/>
                            </w:rPr>
                            <m:t>AW</m:t>
                          </m:r>
                        </m:e>
                        <m:sub>
                          <m:r>
                            <w:rPr>
                              <w:rFonts w:ascii="Cambria Math" w:hAnsi="Cambria Math" w:hint="eastAsia"/>
                              <w:color w:val="000000" w:themeColor="text1"/>
                              <w:szCs w:val="21"/>
                            </w:rPr>
                            <m:t>m</m:t>
                          </m:r>
                        </m:sub>
                      </m:sSub>
                      <m:r>
                        <w:rPr>
                          <w:rFonts w:ascii="Cambria Math" w:hAnsi="Cambria Math"/>
                          <w:color w:val="000000" w:themeColor="text1"/>
                          <w:szCs w:val="21"/>
                        </w:rPr>
                        <m:t>×</m:t>
                      </m:r>
                      <m:sSub>
                        <m:sSubPr>
                          <m:ctrlPr>
                            <w:rPr>
                              <w:rFonts w:ascii="Cambria Math" w:hAnsi="Cambria Math"/>
                              <w:i/>
                              <w:color w:val="000000" w:themeColor="text1"/>
                            </w:rPr>
                          </m:ctrlPr>
                        </m:sSubPr>
                        <m:e>
                          <m:r>
                            <m:rPr>
                              <m:sty m:val="p"/>
                            </m:rPr>
                            <w:rPr>
                              <w:rFonts w:ascii="Cambria Math" w:hAnsi="Cambria Math"/>
                              <w:color w:val="000000" w:themeColor="text1"/>
                              <w:szCs w:val="21"/>
                            </w:rPr>
                            <m:t>APN</m:t>
                          </m:r>
                        </m:e>
                        <m:sub>
                          <m:r>
                            <w:rPr>
                              <w:rFonts w:ascii="Cambria Math" w:hAnsi="Cambria Math"/>
                              <w:color w:val="000000" w:themeColor="text1"/>
                              <w:szCs w:val="21"/>
                            </w:rPr>
                            <m:t>m</m:t>
                          </m:r>
                        </m:sub>
                      </m:sSub>
                    </m:e>
                  </m:d>
                </m:e>
              </m:nary>
              <m:r>
                <w:rPr>
                  <w:rFonts w:ascii="Cambria Math" w:hAnsi="Cambria Math"/>
                  <w:color w:val="000000" w:themeColor="text1"/>
                </w:rPr>
                <m:t xml:space="preserve"> </m:t>
              </m:r>
              <m:r>
                <w:rPr>
                  <w:rFonts w:ascii="Cambria Math" w:hAnsi="Cambria Math"/>
                  <w:color w:val="000000" w:themeColor="text1"/>
                  <w:szCs w:val="21"/>
                </w:rPr>
                <m:t>#</m:t>
              </m:r>
              <m:d>
                <m:dPr>
                  <m:ctrlPr>
                    <w:rPr>
                      <w:rFonts w:ascii="Cambria Math" w:hAnsi="Cambria Math"/>
                      <w:i/>
                      <w:color w:val="000000" w:themeColor="text1"/>
                    </w:rPr>
                  </m:ctrlPr>
                </m:dPr>
                <m:e>
                  <m:r>
                    <w:rPr>
                      <w:rFonts w:ascii="Cambria Math" w:hAnsi="Cambria Math"/>
                      <w:color w:val="000000" w:themeColor="text1"/>
                    </w:rPr>
                    <m:t>S8</m:t>
                  </m:r>
                </m:e>
              </m:d>
              <m:ctrlPr>
                <w:rPr>
                  <w:rFonts w:ascii="Cambria Math" w:hAnsi="Cambria Math"/>
                  <w:i/>
                  <w:color w:val="000000" w:themeColor="text1"/>
                  <w:szCs w:val="21"/>
                </w:rPr>
              </m:ctrlPr>
            </m:e>
          </m:eqArr>
        </m:oMath>
      </m:oMathPara>
    </w:p>
    <w:p w14:paraId="5CAF3644" w14:textId="54CB29C5" w:rsidR="00D945F8" w:rsidRDefault="00D945F8" w:rsidP="00081BC5">
      <w:pPr>
        <w:ind w:firstLineChars="0" w:firstLine="0"/>
      </w:pPr>
      <w:r>
        <w:rPr>
          <w:rFonts w:hint="eastAsia"/>
        </w:rPr>
        <w:t>w</w:t>
      </w:r>
      <w:r w:rsidRPr="00D945F8">
        <w:t>here AW represents the livestock product yield, expressed in kg, and APN represents the nitrogen content of the corresponding livestock product, which is dimensionless. The variable m represents the type of livestock product. Based on data availability, this study considers six categories: pork, beef, mutton, poultry meat, eggs, and aquatic products. Detailed parameters and data sources for this section can be found in Table S2.</w:t>
      </w:r>
    </w:p>
    <w:p w14:paraId="6086344F" w14:textId="3F4167CD" w:rsidR="00090FB7" w:rsidRPr="00811CF7" w:rsidRDefault="0029333D" w:rsidP="00E93F0D">
      <w:pPr>
        <w:pStyle w:val="4"/>
      </w:pPr>
      <w:r w:rsidRPr="00811CF7">
        <w:rPr>
          <w:rFonts w:hint="eastAsia"/>
        </w:rPr>
        <w:t>Table S2. N contents of livestock and agricultural products</w:t>
      </w:r>
    </w:p>
    <w:tbl>
      <w:tblPr>
        <w:tblStyle w:val="11"/>
        <w:tblW w:w="5000" w:type="pct"/>
        <w:jc w:val="center"/>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5"/>
        <w:gridCol w:w="1071"/>
        <w:gridCol w:w="1172"/>
        <w:gridCol w:w="1262"/>
        <w:gridCol w:w="262"/>
        <w:gridCol w:w="1516"/>
        <w:gridCol w:w="1374"/>
        <w:gridCol w:w="1173"/>
        <w:gridCol w:w="1171"/>
      </w:tblGrid>
      <w:tr w:rsidR="0029333D" w:rsidRPr="0029333D" w14:paraId="5AD1F2C8" w14:textId="77777777" w:rsidTr="0029333D">
        <w:trPr>
          <w:tblHeader/>
          <w:jc w:val="center"/>
        </w:trPr>
        <w:tc>
          <w:tcPr>
            <w:tcW w:w="661" w:type="pct"/>
            <w:tcBorders>
              <w:top w:val="single" w:sz="12" w:space="0" w:color="auto"/>
              <w:bottom w:val="single" w:sz="4" w:space="0" w:color="auto"/>
            </w:tcBorders>
          </w:tcPr>
          <w:p w14:paraId="3FCDC796" w14:textId="7F293D9A"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Kinds</w:t>
            </w:r>
          </w:p>
        </w:tc>
        <w:tc>
          <w:tcPr>
            <w:tcW w:w="517" w:type="pct"/>
            <w:tcBorders>
              <w:top w:val="single" w:sz="12" w:space="0" w:color="auto"/>
              <w:bottom w:val="single" w:sz="4" w:space="0" w:color="auto"/>
            </w:tcBorders>
          </w:tcPr>
          <w:p w14:paraId="546EAEEA" w14:textId="0A8A9846"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Name</w:t>
            </w:r>
          </w:p>
        </w:tc>
        <w:tc>
          <w:tcPr>
            <w:tcW w:w="565" w:type="pct"/>
            <w:tcBorders>
              <w:top w:val="single" w:sz="12" w:space="0" w:color="auto"/>
              <w:bottom w:val="single" w:sz="4" w:space="0" w:color="auto"/>
            </w:tcBorders>
          </w:tcPr>
          <w:p w14:paraId="353936A7" w14:textId="2E8AE599"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Contents</w:t>
            </w:r>
          </w:p>
        </w:tc>
        <w:tc>
          <w:tcPr>
            <w:tcW w:w="608" w:type="pct"/>
            <w:tcBorders>
              <w:top w:val="single" w:sz="12" w:space="0" w:color="auto"/>
              <w:bottom w:val="single" w:sz="4" w:space="0" w:color="auto"/>
              <w:right w:val="single" w:sz="4" w:space="0" w:color="auto"/>
            </w:tcBorders>
          </w:tcPr>
          <w:p w14:paraId="6EF270DE" w14:textId="7E598ADF"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Source</w:t>
            </w:r>
          </w:p>
        </w:tc>
        <w:tc>
          <w:tcPr>
            <w:tcW w:w="130" w:type="pct"/>
            <w:vMerge w:val="restart"/>
            <w:tcBorders>
              <w:top w:val="single" w:sz="12" w:space="0" w:color="auto"/>
              <w:left w:val="single" w:sz="4" w:space="0" w:color="auto"/>
              <w:bottom w:val="single" w:sz="12" w:space="0" w:color="auto"/>
              <w:right w:val="single" w:sz="4" w:space="0" w:color="auto"/>
            </w:tcBorders>
          </w:tcPr>
          <w:p w14:paraId="65E0EA6F" w14:textId="77777777" w:rsidR="0029333D" w:rsidRPr="00090FB7" w:rsidRDefault="0029333D" w:rsidP="00090FB7">
            <w:pPr>
              <w:spacing w:line="276" w:lineRule="auto"/>
              <w:ind w:firstLineChars="0" w:firstLine="0"/>
              <w:rPr>
                <w:color w:val="000000" w:themeColor="text1"/>
                <w:szCs w:val="21"/>
              </w:rPr>
            </w:pPr>
          </w:p>
        </w:tc>
        <w:tc>
          <w:tcPr>
            <w:tcW w:w="729" w:type="pct"/>
            <w:tcBorders>
              <w:top w:val="single" w:sz="12" w:space="0" w:color="auto"/>
              <w:left w:val="single" w:sz="4" w:space="0" w:color="auto"/>
              <w:bottom w:val="single" w:sz="4" w:space="0" w:color="auto"/>
            </w:tcBorders>
          </w:tcPr>
          <w:p w14:paraId="008E92D9" w14:textId="1108689A" w:rsidR="0029333D" w:rsidRPr="00090FB7" w:rsidRDefault="0029333D" w:rsidP="00090FB7">
            <w:pPr>
              <w:spacing w:line="276" w:lineRule="auto"/>
              <w:ind w:firstLineChars="0" w:firstLine="0"/>
              <w:rPr>
                <w:color w:val="000000" w:themeColor="text1"/>
                <w:szCs w:val="21"/>
              </w:rPr>
            </w:pPr>
            <w:r>
              <w:rPr>
                <w:rFonts w:hint="eastAsia"/>
                <w:color w:val="000000" w:themeColor="text1"/>
                <w:szCs w:val="21"/>
              </w:rPr>
              <w:t>Kinds</w:t>
            </w:r>
          </w:p>
        </w:tc>
        <w:tc>
          <w:tcPr>
            <w:tcW w:w="661" w:type="pct"/>
            <w:tcBorders>
              <w:top w:val="single" w:sz="12" w:space="0" w:color="auto"/>
              <w:bottom w:val="single" w:sz="4" w:space="0" w:color="auto"/>
            </w:tcBorders>
          </w:tcPr>
          <w:p w14:paraId="78A43F3C" w14:textId="66EC137E" w:rsidR="0029333D" w:rsidRPr="00090FB7" w:rsidRDefault="0029333D" w:rsidP="00090FB7">
            <w:pPr>
              <w:spacing w:line="276" w:lineRule="auto"/>
              <w:ind w:firstLineChars="0" w:firstLine="0"/>
              <w:rPr>
                <w:color w:val="000000" w:themeColor="text1"/>
                <w:szCs w:val="21"/>
              </w:rPr>
            </w:pPr>
            <w:r>
              <w:rPr>
                <w:rFonts w:hint="eastAsia"/>
                <w:color w:val="000000" w:themeColor="text1"/>
                <w:szCs w:val="21"/>
              </w:rPr>
              <w:t>Names</w:t>
            </w:r>
          </w:p>
        </w:tc>
        <w:tc>
          <w:tcPr>
            <w:tcW w:w="565" w:type="pct"/>
            <w:tcBorders>
              <w:top w:val="single" w:sz="12" w:space="0" w:color="auto"/>
              <w:bottom w:val="single" w:sz="4" w:space="0" w:color="auto"/>
            </w:tcBorders>
          </w:tcPr>
          <w:p w14:paraId="501AC7AD" w14:textId="5C3CB18E" w:rsidR="0029333D" w:rsidRPr="00090FB7" w:rsidRDefault="0029333D" w:rsidP="00090FB7">
            <w:pPr>
              <w:spacing w:line="276" w:lineRule="auto"/>
              <w:ind w:firstLineChars="0" w:firstLine="0"/>
              <w:rPr>
                <w:color w:val="000000" w:themeColor="text1"/>
                <w:szCs w:val="21"/>
              </w:rPr>
            </w:pPr>
            <w:r>
              <w:rPr>
                <w:rFonts w:hint="eastAsia"/>
                <w:color w:val="000000" w:themeColor="text1"/>
                <w:szCs w:val="21"/>
              </w:rPr>
              <w:t>Contents</w:t>
            </w:r>
          </w:p>
        </w:tc>
        <w:tc>
          <w:tcPr>
            <w:tcW w:w="564" w:type="pct"/>
            <w:tcBorders>
              <w:top w:val="single" w:sz="12" w:space="0" w:color="auto"/>
              <w:bottom w:val="single" w:sz="4" w:space="0" w:color="auto"/>
            </w:tcBorders>
          </w:tcPr>
          <w:p w14:paraId="2E6B0600" w14:textId="77FA23C0" w:rsidR="0029333D" w:rsidRPr="00090FB7" w:rsidRDefault="0029333D" w:rsidP="00090FB7">
            <w:pPr>
              <w:spacing w:line="276" w:lineRule="auto"/>
              <w:ind w:firstLineChars="0" w:firstLine="0"/>
              <w:rPr>
                <w:color w:val="000000" w:themeColor="text1"/>
                <w:szCs w:val="21"/>
              </w:rPr>
            </w:pPr>
            <w:r>
              <w:rPr>
                <w:rFonts w:hint="eastAsia"/>
                <w:color w:val="000000" w:themeColor="text1"/>
                <w:szCs w:val="21"/>
              </w:rPr>
              <w:t>Source</w:t>
            </w:r>
          </w:p>
        </w:tc>
      </w:tr>
      <w:tr w:rsidR="0029333D" w:rsidRPr="0029333D" w14:paraId="39CB4E30" w14:textId="77777777" w:rsidTr="0029333D">
        <w:trPr>
          <w:trHeight w:val="170"/>
          <w:jc w:val="center"/>
        </w:trPr>
        <w:tc>
          <w:tcPr>
            <w:tcW w:w="661" w:type="pct"/>
            <w:vMerge w:val="restart"/>
            <w:tcBorders>
              <w:top w:val="single" w:sz="4" w:space="0" w:color="auto"/>
            </w:tcBorders>
            <w:vAlign w:val="center"/>
          </w:tcPr>
          <w:p w14:paraId="65C5EE6E" w14:textId="6CDF6E80" w:rsidR="0029333D" w:rsidRPr="0029333D" w:rsidRDefault="0029333D" w:rsidP="00090FB7">
            <w:pPr>
              <w:spacing w:line="276" w:lineRule="auto"/>
              <w:ind w:firstLine="420"/>
              <w:jc w:val="center"/>
              <w:rPr>
                <w:color w:val="000000" w:themeColor="text1"/>
                <w:szCs w:val="21"/>
              </w:rPr>
            </w:pPr>
            <w:bookmarkStart w:id="0" w:name="_Hlk164342730"/>
            <w:r w:rsidRPr="0029333D">
              <w:rPr>
                <w:color w:val="000000" w:themeColor="text1"/>
                <w:szCs w:val="21"/>
              </w:rPr>
              <w:t>Livestock</w:t>
            </w:r>
          </w:p>
          <w:p w14:paraId="435BD91E" w14:textId="34E58423" w:rsidR="0029333D" w:rsidRPr="00090FB7" w:rsidRDefault="0029333D" w:rsidP="00090FB7">
            <w:pPr>
              <w:spacing w:line="276" w:lineRule="auto"/>
              <w:ind w:firstLineChars="0" w:firstLine="0"/>
              <w:jc w:val="center"/>
              <w:rPr>
                <w:color w:val="000000" w:themeColor="text1"/>
                <w:szCs w:val="21"/>
              </w:rPr>
            </w:pPr>
            <w:r w:rsidRPr="0029333D">
              <w:rPr>
                <w:color w:val="000000" w:themeColor="text1"/>
                <w:szCs w:val="21"/>
              </w:rPr>
              <w:t>production</w:t>
            </w:r>
          </w:p>
        </w:tc>
        <w:tc>
          <w:tcPr>
            <w:tcW w:w="517" w:type="pct"/>
            <w:tcBorders>
              <w:top w:val="single" w:sz="4" w:space="0" w:color="auto"/>
            </w:tcBorders>
          </w:tcPr>
          <w:p w14:paraId="35A53468" w14:textId="36A63C16" w:rsidR="0029333D" w:rsidRPr="00090FB7" w:rsidRDefault="0029333D" w:rsidP="0029333D">
            <w:pPr>
              <w:spacing w:line="276" w:lineRule="auto"/>
              <w:ind w:firstLineChars="0" w:firstLine="0"/>
              <w:rPr>
                <w:color w:val="000000" w:themeColor="text1"/>
                <w:szCs w:val="21"/>
              </w:rPr>
            </w:pPr>
            <w:r w:rsidRPr="0029333D">
              <w:rPr>
                <w:color w:val="000000" w:themeColor="text1"/>
                <w:szCs w:val="21"/>
              </w:rPr>
              <w:t>Pork</w:t>
            </w:r>
          </w:p>
        </w:tc>
        <w:tc>
          <w:tcPr>
            <w:tcW w:w="565" w:type="pct"/>
            <w:tcBorders>
              <w:top w:val="single" w:sz="4" w:space="0" w:color="auto"/>
            </w:tcBorders>
          </w:tcPr>
          <w:p w14:paraId="1DD851D3" w14:textId="77777777" w:rsidR="0029333D" w:rsidRPr="00090FB7" w:rsidRDefault="0029333D" w:rsidP="0029333D">
            <w:pPr>
              <w:spacing w:line="276" w:lineRule="auto"/>
              <w:ind w:firstLineChars="0" w:firstLine="0"/>
              <w:rPr>
                <w:color w:val="000000" w:themeColor="text1"/>
                <w:szCs w:val="21"/>
              </w:rPr>
            </w:pPr>
            <w:r w:rsidRPr="00090FB7">
              <w:rPr>
                <w:color w:val="000000" w:themeColor="text1"/>
                <w:szCs w:val="21"/>
              </w:rPr>
              <w:t>2.42%</w:t>
            </w:r>
          </w:p>
        </w:tc>
        <w:tc>
          <w:tcPr>
            <w:tcW w:w="608" w:type="pct"/>
            <w:vMerge w:val="restart"/>
            <w:tcBorders>
              <w:top w:val="single" w:sz="4" w:space="0" w:color="auto"/>
              <w:right w:val="single" w:sz="4" w:space="0" w:color="auto"/>
            </w:tcBorders>
            <w:vAlign w:val="center"/>
          </w:tcPr>
          <w:p w14:paraId="0EC7CF8A" w14:textId="58CCD1FB" w:rsidR="0029333D" w:rsidRPr="00090FB7" w:rsidRDefault="00744F1A" w:rsidP="003F1FEB">
            <w:pPr>
              <w:spacing w:line="276" w:lineRule="auto"/>
              <w:ind w:firstLineChars="0" w:firstLine="0"/>
              <w:jc w:val="center"/>
              <w:rPr>
                <w:color w:val="000000" w:themeColor="text1"/>
                <w:szCs w:val="21"/>
                <w:highlight w:val="yellow"/>
              </w:rPr>
            </w:pPr>
            <w:r>
              <w:rPr>
                <w:color w:val="00B0F0"/>
                <w:vertAlign w:val="superscript"/>
              </w:rPr>
              <w:fldChar w:fldCharType="begin"/>
            </w:r>
            <w:r>
              <w:rPr>
                <w:color w:val="00B0F0"/>
                <w:vertAlign w:val="superscript"/>
              </w:rPr>
              <w:instrText xml:space="preserve"> ADDIN NE.Ref.{AF18412F-022E-4CD3-B2B2-BDB12AD2F747}</w:instrText>
            </w:r>
            <w:r>
              <w:rPr>
                <w:color w:val="00B0F0"/>
                <w:vertAlign w:val="superscript"/>
              </w:rPr>
              <w:fldChar w:fldCharType="separate"/>
            </w:r>
            <w:r w:rsidR="00113FE3">
              <w:rPr>
                <w:rFonts w:eastAsiaTheme="minorEastAsia"/>
                <w:color w:val="0000FF"/>
                <w:kern w:val="0"/>
                <w:szCs w:val="21"/>
                <w:vertAlign w:val="superscript"/>
                <w14:ligatures w14:val="standardContextual"/>
              </w:rPr>
              <w:t>8</w:t>
            </w:r>
            <w:r>
              <w:rPr>
                <w:color w:val="00B0F0"/>
                <w:vertAlign w:val="superscript"/>
              </w:rPr>
              <w:fldChar w:fldCharType="end"/>
            </w:r>
          </w:p>
        </w:tc>
        <w:tc>
          <w:tcPr>
            <w:tcW w:w="130" w:type="pct"/>
            <w:vMerge/>
            <w:tcBorders>
              <w:top w:val="nil"/>
              <w:left w:val="single" w:sz="4" w:space="0" w:color="auto"/>
              <w:bottom w:val="single" w:sz="12" w:space="0" w:color="auto"/>
              <w:right w:val="single" w:sz="4" w:space="0" w:color="auto"/>
            </w:tcBorders>
          </w:tcPr>
          <w:p w14:paraId="2271AA57" w14:textId="77777777" w:rsidR="0029333D" w:rsidRPr="00090FB7" w:rsidRDefault="0029333D" w:rsidP="00090FB7">
            <w:pPr>
              <w:spacing w:line="276" w:lineRule="auto"/>
              <w:ind w:firstLineChars="0" w:firstLine="0"/>
              <w:jc w:val="center"/>
              <w:rPr>
                <w:color w:val="000000" w:themeColor="text1"/>
                <w:szCs w:val="21"/>
              </w:rPr>
            </w:pPr>
          </w:p>
        </w:tc>
        <w:tc>
          <w:tcPr>
            <w:tcW w:w="729" w:type="pct"/>
            <w:vMerge w:val="restart"/>
            <w:tcBorders>
              <w:top w:val="single" w:sz="4" w:space="0" w:color="auto"/>
              <w:left w:val="single" w:sz="4" w:space="0" w:color="auto"/>
            </w:tcBorders>
            <w:vAlign w:val="center"/>
          </w:tcPr>
          <w:p w14:paraId="22BC6806" w14:textId="6DDAD529" w:rsidR="0029333D" w:rsidRPr="0029333D" w:rsidRDefault="0029333D" w:rsidP="00605B2B">
            <w:pPr>
              <w:spacing w:line="276" w:lineRule="auto"/>
              <w:ind w:firstLineChars="95" w:firstLine="199"/>
              <w:rPr>
                <w:color w:val="000000" w:themeColor="text1"/>
                <w:szCs w:val="21"/>
              </w:rPr>
            </w:pPr>
            <w:r w:rsidRPr="0029333D">
              <w:rPr>
                <w:color w:val="000000" w:themeColor="text1"/>
                <w:szCs w:val="21"/>
              </w:rPr>
              <w:t>Agricultural</w:t>
            </w:r>
          </w:p>
          <w:p w14:paraId="7DA090D6" w14:textId="3460A3E6" w:rsidR="0029333D" w:rsidRPr="00090FB7" w:rsidRDefault="0029333D" w:rsidP="00090FB7">
            <w:pPr>
              <w:spacing w:line="276" w:lineRule="auto"/>
              <w:ind w:firstLineChars="0" w:firstLine="0"/>
              <w:jc w:val="center"/>
              <w:rPr>
                <w:color w:val="000000" w:themeColor="text1"/>
                <w:szCs w:val="21"/>
              </w:rPr>
            </w:pPr>
            <w:r w:rsidRPr="0029333D">
              <w:rPr>
                <w:color w:val="000000" w:themeColor="text1"/>
                <w:szCs w:val="21"/>
              </w:rPr>
              <w:t>production</w:t>
            </w:r>
          </w:p>
        </w:tc>
        <w:tc>
          <w:tcPr>
            <w:tcW w:w="661" w:type="pct"/>
            <w:tcBorders>
              <w:top w:val="single" w:sz="4" w:space="0" w:color="auto"/>
            </w:tcBorders>
            <w:vAlign w:val="center"/>
          </w:tcPr>
          <w:p w14:paraId="13E15BA7" w14:textId="5C06ED5B"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Paddy</w:t>
            </w:r>
          </w:p>
        </w:tc>
        <w:tc>
          <w:tcPr>
            <w:tcW w:w="565" w:type="pct"/>
            <w:tcBorders>
              <w:top w:val="single" w:sz="4" w:space="0" w:color="auto"/>
            </w:tcBorders>
            <w:vAlign w:val="bottom"/>
          </w:tcPr>
          <w:p w14:paraId="4785DD86" w14:textId="008F9A8F" w:rsidR="0029333D" w:rsidRPr="00090FB7" w:rsidRDefault="0029333D" w:rsidP="00090FB7">
            <w:pPr>
              <w:spacing w:line="276" w:lineRule="auto"/>
              <w:ind w:firstLineChars="0" w:firstLine="0"/>
              <w:rPr>
                <w:color w:val="000000" w:themeColor="text1"/>
                <w:szCs w:val="21"/>
                <w:highlight w:val="yellow"/>
              </w:rPr>
            </w:pPr>
            <w:r w:rsidRPr="006F0EF7">
              <w:rPr>
                <w:color w:val="000000" w:themeColor="text1"/>
                <w:szCs w:val="21"/>
              </w:rPr>
              <w:t>1.24%</w:t>
            </w:r>
          </w:p>
        </w:tc>
        <w:tc>
          <w:tcPr>
            <w:tcW w:w="564" w:type="pct"/>
            <w:vMerge w:val="restart"/>
            <w:tcBorders>
              <w:top w:val="single" w:sz="4" w:space="0" w:color="auto"/>
            </w:tcBorders>
            <w:vAlign w:val="center"/>
          </w:tcPr>
          <w:p w14:paraId="75903EEF" w14:textId="44A07050" w:rsidR="0029333D" w:rsidRPr="00090FB7" w:rsidRDefault="00744F1A" w:rsidP="003F1FEB">
            <w:pPr>
              <w:spacing w:line="276" w:lineRule="auto"/>
              <w:ind w:firstLineChars="0" w:firstLine="0"/>
              <w:jc w:val="center"/>
              <w:rPr>
                <w:color w:val="000000" w:themeColor="text1"/>
                <w:szCs w:val="21"/>
                <w:highlight w:val="yellow"/>
              </w:rPr>
            </w:pPr>
            <w:r>
              <w:rPr>
                <w:color w:val="00B0F0"/>
                <w:vertAlign w:val="superscript"/>
              </w:rPr>
              <w:fldChar w:fldCharType="begin"/>
            </w:r>
            <w:r>
              <w:rPr>
                <w:color w:val="00B0F0"/>
                <w:vertAlign w:val="superscript"/>
              </w:rPr>
              <w:instrText xml:space="preserve"> ADDIN NE.Ref.{F336C39B-49F1-44AE-B3BF-FB46D5E8331B}</w:instrText>
            </w:r>
            <w:r>
              <w:rPr>
                <w:color w:val="00B0F0"/>
                <w:vertAlign w:val="superscript"/>
              </w:rPr>
              <w:fldChar w:fldCharType="separate"/>
            </w:r>
            <w:r w:rsidR="00113FE3">
              <w:rPr>
                <w:rFonts w:eastAsiaTheme="minorEastAsia"/>
                <w:color w:val="0000FF"/>
                <w:kern w:val="0"/>
                <w:szCs w:val="21"/>
                <w:vertAlign w:val="superscript"/>
                <w14:ligatures w14:val="standardContextual"/>
              </w:rPr>
              <w:t>8</w:t>
            </w:r>
            <w:r>
              <w:rPr>
                <w:color w:val="00B0F0"/>
                <w:vertAlign w:val="superscript"/>
              </w:rPr>
              <w:fldChar w:fldCharType="end"/>
            </w:r>
          </w:p>
        </w:tc>
      </w:tr>
      <w:tr w:rsidR="0029333D" w:rsidRPr="0029333D" w14:paraId="53FE6776" w14:textId="77777777" w:rsidTr="0029333D">
        <w:trPr>
          <w:trHeight w:val="170"/>
          <w:jc w:val="center"/>
        </w:trPr>
        <w:tc>
          <w:tcPr>
            <w:tcW w:w="661" w:type="pct"/>
            <w:vMerge/>
            <w:tcBorders>
              <w:top w:val="nil"/>
            </w:tcBorders>
          </w:tcPr>
          <w:p w14:paraId="4783488D" w14:textId="77777777" w:rsidR="0029333D" w:rsidRPr="00090FB7" w:rsidRDefault="0029333D" w:rsidP="00090FB7">
            <w:pPr>
              <w:spacing w:line="276" w:lineRule="auto"/>
              <w:ind w:firstLineChars="0" w:firstLine="0"/>
              <w:rPr>
                <w:color w:val="000000" w:themeColor="text1"/>
                <w:szCs w:val="21"/>
              </w:rPr>
            </w:pPr>
          </w:p>
        </w:tc>
        <w:tc>
          <w:tcPr>
            <w:tcW w:w="517" w:type="pct"/>
            <w:tcBorders>
              <w:top w:val="nil"/>
            </w:tcBorders>
          </w:tcPr>
          <w:p w14:paraId="12831D25" w14:textId="077DBEB3" w:rsidR="0029333D" w:rsidRPr="00090FB7" w:rsidRDefault="0029333D" w:rsidP="0029333D">
            <w:pPr>
              <w:spacing w:line="276" w:lineRule="auto"/>
              <w:ind w:firstLineChars="0" w:firstLine="0"/>
              <w:rPr>
                <w:color w:val="000000" w:themeColor="text1"/>
                <w:szCs w:val="21"/>
              </w:rPr>
            </w:pPr>
            <w:r w:rsidRPr="0029333D">
              <w:rPr>
                <w:color w:val="000000" w:themeColor="text1"/>
                <w:szCs w:val="21"/>
              </w:rPr>
              <w:t>Beef</w:t>
            </w:r>
          </w:p>
        </w:tc>
        <w:tc>
          <w:tcPr>
            <w:tcW w:w="565" w:type="pct"/>
            <w:tcBorders>
              <w:top w:val="nil"/>
            </w:tcBorders>
          </w:tcPr>
          <w:p w14:paraId="4B01D8B3" w14:textId="77777777" w:rsidR="0029333D" w:rsidRPr="00090FB7" w:rsidRDefault="0029333D" w:rsidP="0029333D">
            <w:pPr>
              <w:spacing w:line="276" w:lineRule="auto"/>
              <w:ind w:firstLineChars="0" w:firstLine="0"/>
              <w:rPr>
                <w:color w:val="000000" w:themeColor="text1"/>
                <w:szCs w:val="21"/>
              </w:rPr>
            </w:pPr>
            <w:r w:rsidRPr="00090FB7">
              <w:rPr>
                <w:color w:val="000000" w:themeColor="text1"/>
                <w:szCs w:val="21"/>
              </w:rPr>
              <w:t>3.20%</w:t>
            </w:r>
          </w:p>
        </w:tc>
        <w:tc>
          <w:tcPr>
            <w:tcW w:w="608" w:type="pct"/>
            <w:vMerge/>
            <w:tcBorders>
              <w:top w:val="nil"/>
              <w:right w:val="single" w:sz="4" w:space="0" w:color="auto"/>
            </w:tcBorders>
            <w:vAlign w:val="center"/>
          </w:tcPr>
          <w:p w14:paraId="20E33713" w14:textId="77777777" w:rsidR="0029333D" w:rsidRPr="00090FB7" w:rsidRDefault="0029333D" w:rsidP="00090FB7">
            <w:pPr>
              <w:spacing w:line="276" w:lineRule="auto"/>
              <w:ind w:firstLineChars="0" w:firstLine="0"/>
              <w:rPr>
                <w:color w:val="000000" w:themeColor="text1"/>
                <w:szCs w:val="21"/>
              </w:rPr>
            </w:pPr>
          </w:p>
        </w:tc>
        <w:tc>
          <w:tcPr>
            <w:tcW w:w="130" w:type="pct"/>
            <w:vMerge/>
            <w:tcBorders>
              <w:top w:val="nil"/>
              <w:left w:val="single" w:sz="4" w:space="0" w:color="auto"/>
              <w:bottom w:val="single" w:sz="12" w:space="0" w:color="auto"/>
              <w:right w:val="single" w:sz="4" w:space="0" w:color="auto"/>
            </w:tcBorders>
          </w:tcPr>
          <w:p w14:paraId="47C4AAE5" w14:textId="77777777" w:rsidR="0029333D" w:rsidRPr="00090FB7" w:rsidRDefault="0029333D" w:rsidP="00090FB7">
            <w:pPr>
              <w:spacing w:line="276" w:lineRule="auto"/>
              <w:ind w:firstLineChars="0" w:firstLine="0"/>
              <w:rPr>
                <w:color w:val="000000" w:themeColor="text1"/>
                <w:szCs w:val="21"/>
              </w:rPr>
            </w:pPr>
          </w:p>
        </w:tc>
        <w:tc>
          <w:tcPr>
            <w:tcW w:w="729" w:type="pct"/>
            <w:vMerge/>
            <w:tcBorders>
              <w:top w:val="nil"/>
              <w:left w:val="single" w:sz="4" w:space="0" w:color="auto"/>
            </w:tcBorders>
          </w:tcPr>
          <w:p w14:paraId="5EDCE89C" w14:textId="77777777" w:rsidR="0029333D" w:rsidRPr="00090FB7" w:rsidRDefault="0029333D" w:rsidP="00090FB7">
            <w:pPr>
              <w:spacing w:line="276" w:lineRule="auto"/>
              <w:ind w:firstLineChars="0" w:firstLine="0"/>
              <w:rPr>
                <w:color w:val="000000" w:themeColor="text1"/>
                <w:szCs w:val="21"/>
              </w:rPr>
            </w:pPr>
          </w:p>
        </w:tc>
        <w:tc>
          <w:tcPr>
            <w:tcW w:w="661" w:type="pct"/>
            <w:tcBorders>
              <w:top w:val="nil"/>
            </w:tcBorders>
            <w:vAlign w:val="center"/>
          </w:tcPr>
          <w:p w14:paraId="5BD48535" w14:textId="51E87AC7"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Bean</w:t>
            </w:r>
          </w:p>
        </w:tc>
        <w:tc>
          <w:tcPr>
            <w:tcW w:w="565" w:type="pct"/>
            <w:tcBorders>
              <w:top w:val="nil"/>
            </w:tcBorders>
            <w:vAlign w:val="bottom"/>
          </w:tcPr>
          <w:p w14:paraId="0307289C" w14:textId="55888365"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5.60</w:t>
            </w:r>
            <w:r w:rsidRPr="00090FB7">
              <w:rPr>
                <w:color w:val="000000" w:themeColor="text1"/>
                <w:szCs w:val="21"/>
              </w:rPr>
              <w:t>%</w:t>
            </w:r>
          </w:p>
        </w:tc>
        <w:tc>
          <w:tcPr>
            <w:tcW w:w="564" w:type="pct"/>
            <w:vMerge/>
            <w:tcBorders>
              <w:top w:val="nil"/>
            </w:tcBorders>
          </w:tcPr>
          <w:p w14:paraId="44ADA0CB" w14:textId="77777777" w:rsidR="0029333D" w:rsidRPr="00090FB7" w:rsidRDefault="0029333D" w:rsidP="00090FB7">
            <w:pPr>
              <w:spacing w:line="276" w:lineRule="auto"/>
              <w:ind w:firstLineChars="0" w:firstLine="0"/>
              <w:rPr>
                <w:color w:val="000000" w:themeColor="text1"/>
                <w:szCs w:val="21"/>
              </w:rPr>
            </w:pPr>
          </w:p>
        </w:tc>
      </w:tr>
      <w:tr w:rsidR="0029333D" w:rsidRPr="0029333D" w14:paraId="2A151E56" w14:textId="77777777" w:rsidTr="0029333D">
        <w:trPr>
          <w:trHeight w:val="170"/>
          <w:jc w:val="center"/>
        </w:trPr>
        <w:tc>
          <w:tcPr>
            <w:tcW w:w="661" w:type="pct"/>
            <w:vMerge/>
            <w:tcBorders>
              <w:top w:val="nil"/>
            </w:tcBorders>
          </w:tcPr>
          <w:p w14:paraId="61D3F0EF" w14:textId="77777777" w:rsidR="0029333D" w:rsidRPr="00090FB7" w:rsidRDefault="0029333D" w:rsidP="00090FB7">
            <w:pPr>
              <w:spacing w:line="276" w:lineRule="auto"/>
              <w:ind w:firstLineChars="0" w:firstLine="0"/>
              <w:rPr>
                <w:color w:val="000000" w:themeColor="text1"/>
                <w:szCs w:val="21"/>
              </w:rPr>
            </w:pPr>
          </w:p>
        </w:tc>
        <w:tc>
          <w:tcPr>
            <w:tcW w:w="517" w:type="pct"/>
            <w:tcBorders>
              <w:top w:val="nil"/>
            </w:tcBorders>
          </w:tcPr>
          <w:p w14:paraId="1ACEDD37" w14:textId="0633A085" w:rsidR="0029333D" w:rsidRPr="00090FB7" w:rsidRDefault="0029333D" w:rsidP="0029333D">
            <w:pPr>
              <w:spacing w:line="276" w:lineRule="auto"/>
              <w:ind w:firstLineChars="0" w:firstLine="0"/>
              <w:rPr>
                <w:color w:val="000000" w:themeColor="text1"/>
                <w:szCs w:val="21"/>
              </w:rPr>
            </w:pPr>
            <w:r w:rsidRPr="0029333D">
              <w:rPr>
                <w:color w:val="000000" w:themeColor="text1"/>
                <w:szCs w:val="21"/>
              </w:rPr>
              <w:t>Mutton</w:t>
            </w:r>
          </w:p>
        </w:tc>
        <w:tc>
          <w:tcPr>
            <w:tcW w:w="565" w:type="pct"/>
            <w:tcBorders>
              <w:top w:val="nil"/>
            </w:tcBorders>
          </w:tcPr>
          <w:p w14:paraId="0D093909" w14:textId="77777777" w:rsidR="0029333D" w:rsidRPr="00090FB7" w:rsidRDefault="0029333D" w:rsidP="0029333D">
            <w:pPr>
              <w:spacing w:line="276" w:lineRule="auto"/>
              <w:ind w:firstLineChars="0" w:firstLine="0"/>
              <w:rPr>
                <w:color w:val="000000" w:themeColor="text1"/>
                <w:szCs w:val="21"/>
              </w:rPr>
            </w:pPr>
            <w:r w:rsidRPr="00090FB7">
              <w:rPr>
                <w:color w:val="000000" w:themeColor="text1"/>
                <w:szCs w:val="21"/>
              </w:rPr>
              <w:t>2.96%</w:t>
            </w:r>
          </w:p>
        </w:tc>
        <w:tc>
          <w:tcPr>
            <w:tcW w:w="608" w:type="pct"/>
            <w:vMerge/>
            <w:tcBorders>
              <w:top w:val="nil"/>
              <w:right w:val="single" w:sz="4" w:space="0" w:color="auto"/>
            </w:tcBorders>
            <w:vAlign w:val="center"/>
          </w:tcPr>
          <w:p w14:paraId="35DDCEA2" w14:textId="77777777" w:rsidR="0029333D" w:rsidRPr="00090FB7" w:rsidRDefault="0029333D" w:rsidP="00090FB7">
            <w:pPr>
              <w:spacing w:line="276" w:lineRule="auto"/>
              <w:ind w:firstLineChars="0" w:firstLine="0"/>
              <w:rPr>
                <w:color w:val="000000" w:themeColor="text1"/>
                <w:szCs w:val="21"/>
              </w:rPr>
            </w:pPr>
          </w:p>
        </w:tc>
        <w:tc>
          <w:tcPr>
            <w:tcW w:w="130" w:type="pct"/>
            <w:vMerge/>
            <w:tcBorders>
              <w:top w:val="nil"/>
              <w:left w:val="single" w:sz="4" w:space="0" w:color="auto"/>
              <w:bottom w:val="single" w:sz="12" w:space="0" w:color="auto"/>
              <w:right w:val="single" w:sz="4" w:space="0" w:color="auto"/>
            </w:tcBorders>
          </w:tcPr>
          <w:p w14:paraId="194CF7D1" w14:textId="77777777" w:rsidR="0029333D" w:rsidRPr="00090FB7" w:rsidRDefault="0029333D" w:rsidP="00090FB7">
            <w:pPr>
              <w:spacing w:line="276" w:lineRule="auto"/>
              <w:ind w:firstLineChars="0" w:firstLine="0"/>
              <w:rPr>
                <w:color w:val="000000" w:themeColor="text1"/>
                <w:szCs w:val="21"/>
              </w:rPr>
            </w:pPr>
          </w:p>
        </w:tc>
        <w:tc>
          <w:tcPr>
            <w:tcW w:w="729" w:type="pct"/>
            <w:vMerge/>
            <w:tcBorders>
              <w:top w:val="nil"/>
              <w:left w:val="single" w:sz="4" w:space="0" w:color="auto"/>
            </w:tcBorders>
          </w:tcPr>
          <w:p w14:paraId="38CBD409" w14:textId="77777777" w:rsidR="0029333D" w:rsidRPr="00090FB7" w:rsidRDefault="0029333D" w:rsidP="00090FB7">
            <w:pPr>
              <w:spacing w:line="276" w:lineRule="auto"/>
              <w:ind w:firstLineChars="0" w:firstLine="0"/>
              <w:rPr>
                <w:color w:val="000000" w:themeColor="text1"/>
                <w:szCs w:val="21"/>
              </w:rPr>
            </w:pPr>
          </w:p>
        </w:tc>
        <w:tc>
          <w:tcPr>
            <w:tcW w:w="661" w:type="pct"/>
            <w:tcBorders>
              <w:top w:val="nil"/>
            </w:tcBorders>
            <w:vAlign w:val="center"/>
          </w:tcPr>
          <w:p w14:paraId="7E921F34" w14:textId="28977094"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P</w:t>
            </w:r>
            <w:r w:rsidR="00D43914">
              <w:rPr>
                <w:rFonts w:hint="eastAsia"/>
                <w:color w:val="000000" w:themeColor="text1"/>
                <w:szCs w:val="21"/>
              </w:rPr>
              <w:t>eanut</w:t>
            </w:r>
          </w:p>
        </w:tc>
        <w:tc>
          <w:tcPr>
            <w:tcW w:w="565" w:type="pct"/>
            <w:tcBorders>
              <w:top w:val="nil"/>
            </w:tcBorders>
            <w:vAlign w:val="bottom"/>
          </w:tcPr>
          <w:p w14:paraId="46C40819" w14:textId="09F55425"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1.92</w:t>
            </w:r>
            <w:r w:rsidRPr="00090FB7">
              <w:rPr>
                <w:color w:val="000000" w:themeColor="text1"/>
                <w:szCs w:val="21"/>
              </w:rPr>
              <w:t>%</w:t>
            </w:r>
          </w:p>
        </w:tc>
        <w:tc>
          <w:tcPr>
            <w:tcW w:w="564" w:type="pct"/>
            <w:vMerge/>
            <w:tcBorders>
              <w:top w:val="nil"/>
            </w:tcBorders>
          </w:tcPr>
          <w:p w14:paraId="69778ACF" w14:textId="77777777" w:rsidR="0029333D" w:rsidRPr="00090FB7" w:rsidRDefault="0029333D" w:rsidP="00090FB7">
            <w:pPr>
              <w:spacing w:line="276" w:lineRule="auto"/>
              <w:ind w:firstLineChars="0" w:firstLine="0"/>
              <w:rPr>
                <w:color w:val="000000" w:themeColor="text1"/>
                <w:szCs w:val="21"/>
              </w:rPr>
            </w:pPr>
          </w:p>
        </w:tc>
      </w:tr>
      <w:tr w:rsidR="0029333D" w:rsidRPr="0029333D" w14:paraId="4366AD3A" w14:textId="77777777" w:rsidTr="0029333D">
        <w:trPr>
          <w:trHeight w:val="170"/>
          <w:jc w:val="center"/>
        </w:trPr>
        <w:tc>
          <w:tcPr>
            <w:tcW w:w="661" w:type="pct"/>
            <w:vMerge/>
            <w:tcBorders>
              <w:top w:val="nil"/>
            </w:tcBorders>
          </w:tcPr>
          <w:p w14:paraId="07399BBE" w14:textId="77777777" w:rsidR="0029333D" w:rsidRPr="00090FB7" w:rsidRDefault="0029333D" w:rsidP="00090FB7">
            <w:pPr>
              <w:spacing w:line="276" w:lineRule="auto"/>
              <w:ind w:firstLineChars="0" w:firstLine="0"/>
              <w:rPr>
                <w:color w:val="000000" w:themeColor="text1"/>
                <w:szCs w:val="21"/>
              </w:rPr>
            </w:pPr>
          </w:p>
        </w:tc>
        <w:tc>
          <w:tcPr>
            <w:tcW w:w="517" w:type="pct"/>
            <w:tcBorders>
              <w:top w:val="nil"/>
            </w:tcBorders>
          </w:tcPr>
          <w:p w14:paraId="48187AF9" w14:textId="57F329A8" w:rsidR="0029333D" w:rsidRPr="00090FB7" w:rsidRDefault="0029333D" w:rsidP="0029333D">
            <w:pPr>
              <w:spacing w:line="276" w:lineRule="auto"/>
              <w:ind w:firstLineChars="0" w:firstLine="0"/>
              <w:rPr>
                <w:color w:val="000000" w:themeColor="text1"/>
                <w:szCs w:val="21"/>
              </w:rPr>
            </w:pPr>
            <w:r w:rsidRPr="0029333D">
              <w:rPr>
                <w:color w:val="000000" w:themeColor="text1"/>
                <w:szCs w:val="21"/>
              </w:rPr>
              <w:t>Poultry</w:t>
            </w:r>
          </w:p>
        </w:tc>
        <w:tc>
          <w:tcPr>
            <w:tcW w:w="565" w:type="pct"/>
            <w:tcBorders>
              <w:top w:val="nil"/>
            </w:tcBorders>
          </w:tcPr>
          <w:p w14:paraId="6E329013" w14:textId="4164CD61" w:rsidR="0029333D" w:rsidRPr="00090FB7" w:rsidRDefault="0029333D" w:rsidP="0029333D">
            <w:pPr>
              <w:spacing w:line="276" w:lineRule="auto"/>
              <w:ind w:firstLineChars="0" w:firstLine="0"/>
              <w:rPr>
                <w:color w:val="000000" w:themeColor="text1"/>
                <w:szCs w:val="21"/>
              </w:rPr>
            </w:pPr>
            <w:r w:rsidRPr="0029333D">
              <w:rPr>
                <w:color w:val="000000" w:themeColor="text1"/>
                <w:szCs w:val="21"/>
              </w:rPr>
              <w:t>2.81</w:t>
            </w:r>
          </w:p>
        </w:tc>
        <w:tc>
          <w:tcPr>
            <w:tcW w:w="608" w:type="pct"/>
            <w:vMerge/>
            <w:tcBorders>
              <w:top w:val="nil"/>
              <w:right w:val="single" w:sz="4" w:space="0" w:color="auto"/>
            </w:tcBorders>
            <w:vAlign w:val="center"/>
          </w:tcPr>
          <w:p w14:paraId="24CE1F24" w14:textId="77777777" w:rsidR="0029333D" w:rsidRPr="00090FB7" w:rsidRDefault="0029333D" w:rsidP="00090FB7">
            <w:pPr>
              <w:spacing w:line="276" w:lineRule="auto"/>
              <w:ind w:firstLineChars="0" w:firstLine="0"/>
              <w:rPr>
                <w:color w:val="000000" w:themeColor="text1"/>
                <w:szCs w:val="21"/>
              </w:rPr>
            </w:pPr>
          </w:p>
        </w:tc>
        <w:tc>
          <w:tcPr>
            <w:tcW w:w="130" w:type="pct"/>
            <w:vMerge/>
            <w:tcBorders>
              <w:top w:val="nil"/>
              <w:left w:val="single" w:sz="4" w:space="0" w:color="auto"/>
              <w:bottom w:val="single" w:sz="12" w:space="0" w:color="auto"/>
              <w:right w:val="single" w:sz="4" w:space="0" w:color="auto"/>
            </w:tcBorders>
          </w:tcPr>
          <w:p w14:paraId="128D73D5" w14:textId="77777777" w:rsidR="0029333D" w:rsidRPr="00090FB7" w:rsidRDefault="0029333D" w:rsidP="00090FB7">
            <w:pPr>
              <w:spacing w:line="276" w:lineRule="auto"/>
              <w:ind w:firstLineChars="0" w:firstLine="0"/>
              <w:rPr>
                <w:color w:val="000000" w:themeColor="text1"/>
                <w:szCs w:val="21"/>
              </w:rPr>
            </w:pPr>
          </w:p>
        </w:tc>
        <w:tc>
          <w:tcPr>
            <w:tcW w:w="729" w:type="pct"/>
            <w:vMerge/>
            <w:tcBorders>
              <w:top w:val="nil"/>
              <w:left w:val="single" w:sz="4" w:space="0" w:color="auto"/>
            </w:tcBorders>
          </w:tcPr>
          <w:p w14:paraId="57A17E5B" w14:textId="77777777" w:rsidR="0029333D" w:rsidRPr="00090FB7" w:rsidRDefault="0029333D" w:rsidP="00090FB7">
            <w:pPr>
              <w:spacing w:line="276" w:lineRule="auto"/>
              <w:ind w:firstLineChars="0" w:firstLine="0"/>
              <w:rPr>
                <w:color w:val="000000" w:themeColor="text1"/>
                <w:szCs w:val="21"/>
              </w:rPr>
            </w:pPr>
          </w:p>
        </w:tc>
        <w:tc>
          <w:tcPr>
            <w:tcW w:w="661" w:type="pct"/>
            <w:tcBorders>
              <w:top w:val="nil"/>
            </w:tcBorders>
            <w:vAlign w:val="center"/>
          </w:tcPr>
          <w:p w14:paraId="697949F0" w14:textId="1BC03608"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Wheat</w:t>
            </w:r>
          </w:p>
        </w:tc>
        <w:tc>
          <w:tcPr>
            <w:tcW w:w="565" w:type="pct"/>
            <w:tcBorders>
              <w:top w:val="nil"/>
            </w:tcBorders>
            <w:vAlign w:val="bottom"/>
          </w:tcPr>
          <w:p w14:paraId="6D167711" w14:textId="4907BDA2"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1.90</w:t>
            </w:r>
            <w:r w:rsidRPr="00090FB7">
              <w:rPr>
                <w:color w:val="000000" w:themeColor="text1"/>
                <w:szCs w:val="21"/>
              </w:rPr>
              <w:t>%</w:t>
            </w:r>
          </w:p>
        </w:tc>
        <w:tc>
          <w:tcPr>
            <w:tcW w:w="564" w:type="pct"/>
            <w:vMerge/>
            <w:tcBorders>
              <w:top w:val="nil"/>
            </w:tcBorders>
          </w:tcPr>
          <w:p w14:paraId="11E2C32F" w14:textId="77777777" w:rsidR="0029333D" w:rsidRPr="00090FB7" w:rsidRDefault="0029333D" w:rsidP="00090FB7">
            <w:pPr>
              <w:spacing w:line="276" w:lineRule="auto"/>
              <w:ind w:firstLineChars="0" w:firstLine="0"/>
              <w:rPr>
                <w:color w:val="000000" w:themeColor="text1"/>
                <w:szCs w:val="21"/>
              </w:rPr>
            </w:pPr>
          </w:p>
        </w:tc>
      </w:tr>
      <w:tr w:rsidR="0029333D" w:rsidRPr="0029333D" w14:paraId="5BC5569C" w14:textId="77777777" w:rsidTr="0029333D">
        <w:trPr>
          <w:trHeight w:val="381"/>
          <w:jc w:val="center"/>
        </w:trPr>
        <w:tc>
          <w:tcPr>
            <w:tcW w:w="661" w:type="pct"/>
            <w:vMerge/>
            <w:tcBorders>
              <w:top w:val="nil"/>
            </w:tcBorders>
          </w:tcPr>
          <w:p w14:paraId="55106B07" w14:textId="77777777" w:rsidR="0029333D" w:rsidRPr="00090FB7" w:rsidRDefault="0029333D" w:rsidP="00090FB7">
            <w:pPr>
              <w:spacing w:line="276" w:lineRule="auto"/>
              <w:ind w:firstLineChars="0" w:firstLine="0"/>
              <w:rPr>
                <w:color w:val="000000" w:themeColor="text1"/>
                <w:szCs w:val="21"/>
              </w:rPr>
            </w:pPr>
          </w:p>
        </w:tc>
        <w:tc>
          <w:tcPr>
            <w:tcW w:w="517" w:type="pct"/>
            <w:tcBorders>
              <w:top w:val="nil"/>
            </w:tcBorders>
          </w:tcPr>
          <w:p w14:paraId="71E6C707" w14:textId="2DAA11F1" w:rsidR="0029333D" w:rsidRPr="00090FB7" w:rsidRDefault="0029333D" w:rsidP="0029333D">
            <w:pPr>
              <w:spacing w:line="276" w:lineRule="auto"/>
              <w:ind w:firstLineChars="0" w:firstLine="0"/>
              <w:rPr>
                <w:color w:val="000000" w:themeColor="text1"/>
                <w:szCs w:val="21"/>
              </w:rPr>
            </w:pPr>
            <w:r w:rsidRPr="0029333D">
              <w:rPr>
                <w:color w:val="000000" w:themeColor="text1"/>
                <w:szCs w:val="21"/>
              </w:rPr>
              <w:t>Egg</w:t>
            </w:r>
          </w:p>
        </w:tc>
        <w:tc>
          <w:tcPr>
            <w:tcW w:w="565" w:type="pct"/>
            <w:tcBorders>
              <w:top w:val="nil"/>
            </w:tcBorders>
          </w:tcPr>
          <w:p w14:paraId="3D6E4F6E" w14:textId="747C74DB" w:rsidR="0029333D" w:rsidRPr="00090FB7" w:rsidRDefault="0029333D" w:rsidP="0029333D">
            <w:pPr>
              <w:spacing w:line="276" w:lineRule="auto"/>
              <w:ind w:firstLineChars="0" w:firstLine="0"/>
              <w:rPr>
                <w:color w:val="000000" w:themeColor="text1"/>
                <w:szCs w:val="21"/>
              </w:rPr>
            </w:pPr>
            <w:r w:rsidRPr="0029333D">
              <w:rPr>
                <w:color w:val="000000" w:themeColor="text1"/>
                <w:szCs w:val="21"/>
              </w:rPr>
              <w:t>2.31%</w:t>
            </w:r>
          </w:p>
        </w:tc>
        <w:tc>
          <w:tcPr>
            <w:tcW w:w="608" w:type="pct"/>
            <w:vMerge/>
            <w:tcBorders>
              <w:top w:val="nil"/>
              <w:right w:val="single" w:sz="4" w:space="0" w:color="auto"/>
            </w:tcBorders>
            <w:vAlign w:val="center"/>
          </w:tcPr>
          <w:p w14:paraId="4BE9FA6A" w14:textId="77777777" w:rsidR="0029333D" w:rsidRPr="00090FB7" w:rsidRDefault="0029333D" w:rsidP="00090FB7">
            <w:pPr>
              <w:spacing w:line="276" w:lineRule="auto"/>
              <w:ind w:firstLineChars="0" w:firstLine="0"/>
              <w:rPr>
                <w:color w:val="000000" w:themeColor="text1"/>
                <w:szCs w:val="21"/>
              </w:rPr>
            </w:pPr>
          </w:p>
        </w:tc>
        <w:tc>
          <w:tcPr>
            <w:tcW w:w="130" w:type="pct"/>
            <w:vMerge/>
            <w:tcBorders>
              <w:top w:val="nil"/>
              <w:left w:val="single" w:sz="4" w:space="0" w:color="auto"/>
              <w:bottom w:val="single" w:sz="12" w:space="0" w:color="auto"/>
              <w:right w:val="single" w:sz="4" w:space="0" w:color="auto"/>
            </w:tcBorders>
          </w:tcPr>
          <w:p w14:paraId="6A388AF9" w14:textId="77777777" w:rsidR="0029333D" w:rsidRPr="00090FB7" w:rsidRDefault="0029333D" w:rsidP="00090FB7">
            <w:pPr>
              <w:spacing w:line="276" w:lineRule="auto"/>
              <w:ind w:firstLineChars="0" w:firstLine="0"/>
              <w:rPr>
                <w:color w:val="000000" w:themeColor="text1"/>
                <w:szCs w:val="21"/>
              </w:rPr>
            </w:pPr>
          </w:p>
        </w:tc>
        <w:tc>
          <w:tcPr>
            <w:tcW w:w="729" w:type="pct"/>
            <w:vMerge/>
            <w:tcBorders>
              <w:top w:val="nil"/>
              <w:left w:val="single" w:sz="4" w:space="0" w:color="auto"/>
            </w:tcBorders>
          </w:tcPr>
          <w:p w14:paraId="163863D4" w14:textId="77777777" w:rsidR="0029333D" w:rsidRPr="00090FB7" w:rsidRDefault="0029333D" w:rsidP="00090FB7">
            <w:pPr>
              <w:spacing w:line="276" w:lineRule="auto"/>
              <w:ind w:firstLineChars="0" w:firstLine="0"/>
              <w:rPr>
                <w:color w:val="000000" w:themeColor="text1"/>
                <w:szCs w:val="21"/>
              </w:rPr>
            </w:pPr>
          </w:p>
        </w:tc>
        <w:tc>
          <w:tcPr>
            <w:tcW w:w="661" w:type="pct"/>
            <w:tcBorders>
              <w:top w:val="nil"/>
            </w:tcBorders>
            <w:vAlign w:val="center"/>
          </w:tcPr>
          <w:p w14:paraId="0C5A68AD" w14:textId="2F9B4844"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Vegetables</w:t>
            </w:r>
          </w:p>
        </w:tc>
        <w:tc>
          <w:tcPr>
            <w:tcW w:w="565" w:type="pct"/>
            <w:tcBorders>
              <w:top w:val="nil"/>
            </w:tcBorders>
            <w:vAlign w:val="bottom"/>
          </w:tcPr>
          <w:p w14:paraId="036E7238" w14:textId="1DE2C1C5"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0.51</w:t>
            </w:r>
            <w:r w:rsidRPr="00090FB7">
              <w:rPr>
                <w:color w:val="000000" w:themeColor="text1"/>
                <w:szCs w:val="21"/>
              </w:rPr>
              <w:t>%</w:t>
            </w:r>
          </w:p>
        </w:tc>
        <w:tc>
          <w:tcPr>
            <w:tcW w:w="564" w:type="pct"/>
            <w:vMerge/>
            <w:tcBorders>
              <w:top w:val="nil"/>
            </w:tcBorders>
          </w:tcPr>
          <w:p w14:paraId="3F2078C1" w14:textId="77777777" w:rsidR="0029333D" w:rsidRPr="00090FB7" w:rsidRDefault="0029333D" w:rsidP="00090FB7">
            <w:pPr>
              <w:spacing w:line="276" w:lineRule="auto"/>
              <w:ind w:firstLineChars="0" w:firstLine="0"/>
              <w:rPr>
                <w:color w:val="000000" w:themeColor="text1"/>
                <w:szCs w:val="21"/>
              </w:rPr>
            </w:pPr>
          </w:p>
        </w:tc>
      </w:tr>
      <w:tr w:rsidR="0029333D" w:rsidRPr="0029333D" w14:paraId="5463A038" w14:textId="77777777" w:rsidTr="0029333D">
        <w:trPr>
          <w:trHeight w:val="170"/>
          <w:jc w:val="center"/>
        </w:trPr>
        <w:tc>
          <w:tcPr>
            <w:tcW w:w="661" w:type="pct"/>
            <w:vMerge/>
            <w:tcBorders>
              <w:top w:val="nil"/>
            </w:tcBorders>
          </w:tcPr>
          <w:p w14:paraId="3C9877FD" w14:textId="77777777" w:rsidR="0029333D" w:rsidRPr="00090FB7" w:rsidRDefault="0029333D" w:rsidP="00090FB7">
            <w:pPr>
              <w:spacing w:line="276" w:lineRule="auto"/>
              <w:ind w:firstLineChars="0" w:firstLine="0"/>
              <w:rPr>
                <w:color w:val="000000" w:themeColor="text1"/>
                <w:szCs w:val="21"/>
              </w:rPr>
            </w:pPr>
          </w:p>
        </w:tc>
        <w:tc>
          <w:tcPr>
            <w:tcW w:w="517" w:type="pct"/>
            <w:vMerge w:val="restart"/>
            <w:tcBorders>
              <w:top w:val="nil"/>
            </w:tcBorders>
          </w:tcPr>
          <w:p w14:paraId="403FEC2B" w14:textId="110FF610" w:rsidR="0029333D" w:rsidRPr="00090FB7" w:rsidRDefault="0029333D" w:rsidP="0029333D">
            <w:pPr>
              <w:spacing w:line="276" w:lineRule="auto"/>
              <w:ind w:firstLineChars="0" w:firstLine="0"/>
              <w:rPr>
                <w:color w:val="000000" w:themeColor="text1"/>
                <w:szCs w:val="21"/>
              </w:rPr>
            </w:pPr>
            <w:r w:rsidRPr="0029333D">
              <w:rPr>
                <w:color w:val="000000" w:themeColor="text1"/>
                <w:szCs w:val="21"/>
              </w:rPr>
              <w:t>Aquatic</w:t>
            </w:r>
          </w:p>
        </w:tc>
        <w:tc>
          <w:tcPr>
            <w:tcW w:w="565" w:type="pct"/>
            <w:vMerge w:val="restart"/>
            <w:tcBorders>
              <w:top w:val="nil"/>
            </w:tcBorders>
          </w:tcPr>
          <w:p w14:paraId="6F53FD7E" w14:textId="31B3064B" w:rsidR="0029333D" w:rsidRPr="00090FB7" w:rsidRDefault="0029333D" w:rsidP="0029333D">
            <w:pPr>
              <w:spacing w:line="276" w:lineRule="auto"/>
              <w:ind w:firstLineChars="0" w:firstLine="0"/>
              <w:rPr>
                <w:color w:val="000000" w:themeColor="text1"/>
                <w:szCs w:val="21"/>
              </w:rPr>
            </w:pPr>
            <w:r w:rsidRPr="0029333D">
              <w:rPr>
                <w:color w:val="000000" w:themeColor="text1"/>
                <w:szCs w:val="21"/>
              </w:rPr>
              <w:t>2.31%</w:t>
            </w:r>
          </w:p>
        </w:tc>
        <w:tc>
          <w:tcPr>
            <w:tcW w:w="608" w:type="pct"/>
            <w:vMerge/>
            <w:tcBorders>
              <w:top w:val="nil"/>
              <w:right w:val="single" w:sz="4" w:space="0" w:color="auto"/>
            </w:tcBorders>
            <w:vAlign w:val="center"/>
          </w:tcPr>
          <w:p w14:paraId="0430BCBE" w14:textId="77777777" w:rsidR="0029333D" w:rsidRPr="00090FB7" w:rsidRDefault="0029333D" w:rsidP="00090FB7">
            <w:pPr>
              <w:spacing w:line="276" w:lineRule="auto"/>
              <w:ind w:firstLineChars="0" w:firstLine="0"/>
              <w:rPr>
                <w:color w:val="000000" w:themeColor="text1"/>
                <w:szCs w:val="21"/>
              </w:rPr>
            </w:pPr>
          </w:p>
        </w:tc>
        <w:tc>
          <w:tcPr>
            <w:tcW w:w="130" w:type="pct"/>
            <w:vMerge/>
            <w:tcBorders>
              <w:top w:val="nil"/>
              <w:left w:val="single" w:sz="4" w:space="0" w:color="auto"/>
              <w:bottom w:val="single" w:sz="12" w:space="0" w:color="auto"/>
              <w:right w:val="single" w:sz="4" w:space="0" w:color="auto"/>
            </w:tcBorders>
          </w:tcPr>
          <w:p w14:paraId="5CC58323" w14:textId="77777777" w:rsidR="0029333D" w:rsidRPr="00090FB7" w:rsidRDefault="0029333D" w:rsidP="00090FB7">
            <w:pPr>
              <w:spacing w:line="276" w:lineRule="auto"/>
              <w:ind w:firstLineChars="0" w:firstLine="0"/>
              <w:rPr>
                <w:color w:val="000000" w:themeColor="text1"/>
                <w:szCs w:val="21"/>
              </w:rPr>
            </w:pPr>
          </w:p>
        </w:tc>
        <w:tc>
          <w:tcPr>
            <w:tcW w:w="729" w:type="pct"/>
            <w:vMerge/>
            <w:tcBorders>
              <w:top w:val="nil"/>
              <w:left w:val="single" w:sz="4" w:space="0" w:color="auto"/>
            </w:tcBorders>
          </w:tcPr>
          <w:p w14:paraId="2044C5CF" w14:textId="77777777" w:rsidR="0029333D" w:rsidRPr="00090FB7" w:rsidRDefault="0029333D" w:rsidP="00090FB7">
            <w:pPr>
              <w:spacing w:line="276" w:lineRule="auto"/>
              <w:ind w:firstLineChars="0" w:firstLine="0"/>
              <w:rPr>
                <w:color w:val="000000" w:themeColor="text1"/>
                <w:szCs w:val="21"/>
              </w:rPr>
            </w:pPr>
          </w:p>
        </w:tc>
        <w:tc>
          <w:tcPr>
            <w:tcW w:w="661" w:type="pct"/>
            <w:tcBorders>
              <w:top w:val="nil"/>
            </w:tcBorders>
            <w:vAlign w:val="center"/>
          </w:tcPr>
          <w:p w14:paraId="096565DA" w14:textId="4EE5952C"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Potato</w:t>
            </w:r>
          </w:p>
        </w:tc>
        <w:tc>
          <w:tcPr>
            <w:tcW w:w="565" w:type="pct"/>
            <w:tcBorders>
              <w:top w:val="nil"/>
            </w:tcBorders>
            <w:vAlign w:val="bottom"/>
          </w:tcPr>
          <w:p w14:paraId="120112E5" w14:textId="010499EE"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0.33</w:t>
            </w:r>
            <w:r w:rsidRPr="00090FB7">
              <w:rPr>
                <w:color w:val="000000" w:themeColor="text1"/>
                <w:szCs w:val="21"/>
              </w:rPr>
              <w:t>%</w:t>
            </w:r>
          </w:p>
        </w:tc>
        <w:tc>
          <w:tcPr>
            <w:tcW w:w="564" w:type="pct"/>
            <w:vMerge/>
            <w:tcBorders>
              <w:top w:val="nil"/>
            </w:tcBorders>
          </w:tcPr>
          <w:p w14:paraId="4E3EA598" w14:textId="77777777" w:rsidR="0029333D" w:rsidRPr="00090FB7" w:rsidRDefault="0029333D" w:rsidP="00090FB7">
            <w:pPr>
              <w:spacing w:line="276" w:lineRule="auto"/>
              <w:ind w:firstLineChars="0" w:firstLine="0"/>
              <w:rPr>
                <w:color w:val="000000" w:themeColor="text1"/>
                <w:szCs w:val="21"/>
              </w:rPr>
            </w:pPr>
          </w:p>
        </w:tc>
      </w:tr>
      <w:bookmarkEnd w:id="0"/>
      <w:tr w:rsidR="0029333D" w:rsidRPr="0029333D" w14:paraId="5FEF2626" w14:textId="77777777" w:rsidTr="0029333D">
        <w:trPr>
          <w:jc w:val="center"/>
        </w:trPr>
        <w:tc>
          <w:tcPr>
            <w:tcW w:w="661" w:type="pct"/>
            <w:vMerge/>
            <w:tcBorders>
              <w:top w:val="nil"/>
            </w:tcBorders>
          </w:tcPr>
          <w:p w14:paraId="0D0662AF" w14:textId="77777777" w:rsidR="0029333D" w:rsidRPr="00090FB7" w:rsidRDefault="0029333D" w:rsidP="00090FB7">
            <w:pPr>
              <w:spacing w:line="276" w:lineRule="auto"/>
              <w:ind w:firstLineChars="0" w:firstLine="0"/>
              <w:rPr>
                <w:color w:val="000000" w:themeColor="text1"/>
                <w:szCs w:val="21"/>
              </w:rPr>
            </w:pPr>
          </w:p>
        </w:tc>
        <w:tc>
          <w:tcPr>
            <w:tcW w:w="517" w:type="pct"/>
            <w:vMerge/>
            <w:tcBorders>
              <w:top w:val="nil"/>
            </w:tcBorders>
            <w:vAlign w:val="center"/>
          </w:tcPr>
          <w:p w14:paraId="49047AFC" w14:textId="2C5F9077" w:rsidR="0029333D" w:rsidRPr="00090FB7" w:rsidRDefault="0029333D" w:rsidP="00090FB7">
            <w:pPr>
              <w:spacing w:line="276" w:lineRule="auto"/>
              <w:ind w:firstLineChars="0" w:firstLine="0"/>
              <w:rPr>
                <w:color w:val="000000" w:themeColor="text1"/>
                <w:szCs w:val="21"/>
              </w:rPr>
            </w:pPr>
          </w:p>
        </w:tc>
        <w:tc>
          <w:tcPr>
            <w:tcW w:w="565" w:type="pct"/>
            <w:vMerge/>
            <w:tcBorders>
              <w:top w:val="nil"/>
            </w:tcBorders>
            <w:vAlign w:val="bottom"/>
          </w:tcPr>
          <w:p w14:paraId="4BEF0437" w14:textId="5EA2109A" w:rsidR="0029333D" w:rsidRPr="00090FB7" w:rsidRDefault="0029333D" w:rsidP="00090FB7">
            <w:pPr>
              <w:spacing w:line="276" w:lineRule="auto"/>
              <w:ind w:firstLineChars="0" w:firstLine="0"/>
              <w:rPr>
                <w:color w:val="000000" w:themeColor="text1"/>
                <w:szCs w:val="21"/>
              </w:rPr>
            </w:pPr>
          </w:p>
        </w:tc>
        <w:tc>
          <w:tcPr>
            <w:tcW w:w="608" w:type="pct"/>
            <w:vMerge/>
            <w:tcBorders>
              <w:top w:val="nil"/>
              <w:right w:val="single" w:sz="4" w:space="0" w:color="auto"/>
            </w:tcBorders>
            <w:vAlign w:val="center"/>
          </w:tcPr>
          <w:p w14:paraId="2B8196B0" w14:textId="77777777" w:rsidR="0029333D" w:rsidRPr="00090FB7" w:rsidRDefault="0029333D" w:rsidP="00090FB7">
            <w:pPr>
              <w:spacing w:line="276" w:lineRule="auto"/>
              <w:ind w:firstLineChars="0" w:firstLine="0"/>
              <w:rPr>
                <w:color w:val="000000" w:themeColor="text1"/>
                <w:szCs w:val="21"/>
              </w:rPr>
            </w:pPr>
          </w:p>
        </w:tc>
        <w:tc>
          <w:tcPr>
            <w:tcW w:w="130" w:type="pct"/>
            <w:vMerge/>
            <w:tcBorders>
              <w:top w:val="nil"/>
              <w:left w:val="single" w:sz="4" w:space="0" w:color="auto"/>
              <w:bottom w:val="single" w:sz="12" w:space="0" w:color="auto"/>
              <w:right w:val="single" w:sz="4" w:space="0" w:color="auto"/>
            </w:tcBorders>
          </w:tcPr>
          <w:p w14:paraId="257E9636" w14:textId="77777777" w:rsidR="0029333D" w:rsidRPr="00090FB7" w:rsidRDefault="0029333D" w:rsidP="00090FB7">
            <w:pPr>
              <w:spacing w:line="276" w:lineRule="auto"/>
              <w:ind w:firstLineChars="0" w:firstLine="0"/>
              <w:rPr>
                <w:color w:val="000000" w:themeColor="text1"/>
                <w:szCs w:val="21"/>
              </w:rPr>
            </w:pPr>
          </w:p>
        </w:tc>
        <w:tc>
          <w:tcPr>
            <w:tcW w:w="729" w:type="pct"/>
            <w:vMerge/>
            <w:tcBorders>
              <w:top w:val="nil"/>
              <w:left w:val="single" w:sz="4" w:space="0" w:color="auto"/>
            </w:tcBorders>
          </w:tcPr>
          <w:p w14:paraId="045558E8" w14:textId="77777777" w:rsidR="0029333D" w:rsidRPr="00090FB7" w:rsidRDefault="0029333D" w:rsidP="00090FB7">
            <w:pPr>
              <w:spacing w:line="276" w:lineRule="auto"/>
              <w:ind w:firstLineChars="0" w:firstLine="0"/>
              <w:rPr>
                <w:color w:val="000000" w:themeColor="text1"/>
                <w:szCs w:val="21"/>
              </w:rPr>
            </w:pPr>
          </w:p>
        </w:tc>
        <w:tc>
          <w:tcPr>
            <w:tcW w:w="661" w:type="pct"/>
            <w:tcBorders>
              <w:top w:val="nil"/>
            </w:tcBorders>
            <w:vAlign w:val="center"/>
          </w:tcPr>
          <w:p w14:paraId="5940741A" w14:textId="1666C5DA"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Fruits</w:t>
            </w:r>
          </w:p>
        </w:tc>
        <w:tc>
          <w:tcPr>
            <w:tcW w:w="565" w:type="pct"/>
            <w:tcBorders>
              <w:top w:val="nil"/>
            </w:tcBorders>
            <w:vAlign w:val="bottom"/>
          </w:tcPr>
          <w:p w14:paraId="18B2EFA6" w14:textId="30148327"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0.09</w:t>
            </w:r>
            <w:r w:rsidRPr="00090FB7">
              <w:rPr>
                <w:color w:val="000000" w:themeColor="text1"/>
                <w:szCs w:val="21"/>
              </w:rPr>
              <w:t>%</w:t>
            </w:r>
          </w:p>
        </w:tc>
        <w:tc>
          <w:tcPr>
            <w:tcW w:w="564" w:type="pct"/>
            <w:vMerge/>
            <w:tcBorders>
              <w:top w:val="nil"/>
            </w:tcBorders>
          </w:tcPr>
          <w:p w14:paraId="23A083DB" w14:textId="77777777" w:rsidR="0029333D" w:rsidRPr="00090FB7" w:rsidRDefault="0029333D" w:rsidP="00090FB7">
            <w:pPr>
              <w:spacing w:line="276" w:lineRule="auto"/>
              <w:ind w:firstLineChars="0" w:firstLine="0"/>
              <w:rPr>
                <w:color w:val="000000" w:themeColor="text1"/>
                <w:szCs w:val="21"/>
              </w:rPr>
            </w:pPr>
          </w:p>
        </w:tc>
      </w:tr>
      <w:tr w:rsidR="0029333D" w:rsidRPr="0029333D" w14:paraId="5D5733C2" w14:textId="77777777" w:rsidTr="0029333D">
        <w:trPr>
          <w:jc w:val="center"/>
        </w:trPr>
        <w:tc>
          <w:tcPr>
            <w:tcW w:w="661" w:type="pct"/>
            <w:vMerge/>
            <w:tcBorders>
              <w:top w:val="nil"/>
              <w:bottom w:val="single" w:sz="12" w:space="0" w:color="auto"/>
            </w:tcBorders>
          </w:tcPr>
          <w:p w14:paraId="7497657B" w14:textId="77777777" w:rsidR="0029333D" w:rsidRPr="00090FB7" w:rsidRDefault="0029333D" w:rsidP="00090FB7">
            <w:pPr>
              <w:spacing w:line="276" w:lineRule="auto"/>
              <w:ind w:firstLineChars="0" w:firstLine="0"/>
              <w:rPr>
                <w:color w:val="000000" w:themeColor="text1"/>
                <w:szCs w:val="21"/>
              </w:rPr>
            </w:pPr>
          </w:p>
        </w:tc>
        <w:tc>
          <w:tcPr>
            <w:tcW w:w="517" w:type="pct"/>
            <w:vMerge/>
            <w:tcBorders>
              <w:top w:val="nil"/>
              <w:bottom w:val="single" w:sz="12" w:space="0" w:color="auto"/>
            </w:tcBorders>
            <w:vAlign w:val="center"/>
          </w:tcPr>
          <w:p w14:paraId="6F1D0C2D" w14:textId="749E2417" w:rsidR="0029333D" w:rsidRPr="00090FB7" w:rsidRDefault="0029333D" w:rsidP="00090FB7">
            <w:pPr>
              <w:spacing w:line="276" w:lineRule="auto"/>
              <w:ind w:firstLineChars="0" w:firstLine="0"/>
              <w:rPr>
                <w:color w:val="000000" w:themeColor="text1"/>
                <w:szCs w:val="21"/>
              </w:rPr>
            </w:pPr>
          </w:p>
        </w:tc>
        <w:tc>
          <w:tcPr>
            <w:tcW w:w="565" w:type="pct"/>
            <w:vMerge/>
            <w:tcBorders>
              <w:top w:val="nil"/>
              <w:bottom w:val="single" w:sz="12" w:space="0" w:color="auto"/>
            </w:tcBorders>
            <w:vAlign w:val="bottom"/>
          </w:tcPr>
          <w:p w14:paraId="48691B26" w14:textId="5C563132" w:rsidR="0029333D" w:rsidRPr="00090FB7" w:rsidRDefault="0029333D" w:rsidP="00090FB7">
            <w:pPr>
              <w:spacing w:line="276" w:lineRule="auto"/>
              <w:ind w:firstLineChars="0" w:firstLine="0"/>
              <w:rPr>
                <w:color w:val="000000" w:themeColor="text1"/>
                <w:szCs w:val="21"/>
              </w:rPr>
            </w:pPr>
          </w:p>
        </w:tc>
        <w:tc>
          <w:tcPr>
            <w:tcW w:w="608" w:type="pct"/>
            <w:vMerge/>
            <w:tcBorders>
              <w:top w:val="nil"/>
              <w:bottom w:val="single" w:sz="12" w:space="0" w:color="auto"/>
              <w:right w:val="single" w:sz="4" w:space="0" w:color="auto"/>
            </w:tcBorders>
            <w:vAlign w:val="center"/>
          </w:tcPr>
          <w:p w14:paraId="034363F0" w14:textId="77777777" w:rsidR="0029333D" w:rsidRPr="00090FB7" w:rsidRDefault="0029333D" w:rsidP="00090FB7">
            <w:pPr>
              <w:spacing w:line="276" w:lineRule="auto"/>
              <w:ind w:firstLineChars="0" w:firstLine="0"/>
              <w:rPr>
                <w:color w:val="000000" w:themeColor="text1"/>
                <w:szCs w:val="21"/>
              </w:rPr>
            </w:pPr>
          </w:p>
        </w:tc>
        <w:tc>
          <w:tcPr>
            <w:tcW w:w="130" w:type="pct"/>
            <w:vMerge/>
            <w:tcBorders>
              <w:top w:val="nil"/>
              <w:left w:val="single" w:sz="4" w:space="0" w:color="auto"/>
              <w:bottom w:val="single" w:sz="12" w:space="0" w:color="auto"/>
              <w:right w:val="single" w:sz="4" w:space="0" w:color="auto"/>
            </w:tcBorders>
          </w:tcPr>
          <w:p w14:paraId="4B5DAD94" w14:textId="77777777" w:rsidR="0029333D" w:rsidRPr="00090FB7" w:rsidRDefault="0029333D" w:rsidP="00090FB7">
            <w:pPr>
              <w:spacing w:line="276" w:lineRule="auto"/>
              <w:ind w:firstLineChars="0" w:firstLine="0"/>
              <w:rPr>
                <w:color w:val="000000" w:themeColor="text1"/>
                <w:szCs w:val="21"/>
              </w:rPr>
            </w:pPr>
          </w:p>
        </w:tc>
        <w:tc>
          <w:tcPr>
            <w:tcW w:w="729" w:type="pct"/>
            <w:vMerge/>
            <w:tcBorders>
              <w:top w:val="nil"/>
              <w:left w:val="single" w:sz="4" w:space="0" w:color="auto"/>
              <w:bottom w:val="single" w:sz="12" w:space="0" w:color="auto"/>
            </w:tcBorders>
          </w:tcPr>
          <w:p w14:paraId="63D8D3DE" w14:textId="77777777" w:rsidR="0029333D" w:rsidRPr="00090FB7" w:rsidRDefault="0029333D" w:rsidP="00090FB7">
            <w:pPr>
              <w:spacing w:line="276" w:lineRule="auto"/>
              <w:ind w:firstLineChars="0" w:firstLine="0"/>
              <w:rPr>
                <w:color w:val="000000" w:themeColor="text1"/>
                <w:szCs w:val="21"/>
              </w:rPr>
            </w:pPr>
          </w:p>
        </w:tc>
        <w:tc>
          <w:tcPr>
            <w:tcW w:w="661" w:type="pct"/>
            <w:tcBorders>
              <w:top w:val="nil"/>
              <w:bottom w:val="single" w:sz="12" w:space="0" w:color="auto"/>
            </w:tcBorders>
            <w:vAlign w:val="center"/>
          </w:tcPr>
          <w:p w14:paraId="1044D8F9" w14:textId="42AEBE81" w:rsidR="0029333D" w:rsidRPr="00090FB7" w:rsidRDefault="0029333D" w:rsidP="00090FB7">
            <w:pPr>
              <w:spacing w:line="276" w:lineRule="auto"/>
              <w:ind w:firstLineChars="0" w:firstLine="0"/>
              <w:rPr>
                <w:color w:val="000000" w:themeColor="text1"/>
                <w:szCs w:val="21"/>
              </w:rPr>
            </w:pPr>
            <w:r w:rsidRPr="0029333D">
              <w:rPr>
                <w:color w:val="000000" w:themeColor="text1"/>
                <w:szCs w:val="21"/>
              </w:rPr>
              <w:t>ma</w:t>
            </w:r>
            <w:r w:rsidR="00D43914">
              <w:rPr>
                <w:rFonts w:hint="eastAsia"/>
                <w:color w:val="000000" w:themeColor="text1"/>
                <w:szCs w:val="21"/>
              </w:rPr>
              <w:t>i</w:t>
            </w:r>
            <w:r w:rsidRPr="0029333D">
              <w:rPr>
                <w:color w:val="000000" w:themeColor="text1"/>
                <w:szCs w:val="21"/>
              </w:rPr>
              <w:t>ze</w:t>
            </w:r>
          </w:p>
        </w:tc>
        <w:tc>
          <w:tcPr>
            <w:tcW w:w="565" w:type="pct"/>
            <w:tcBorders>
              <w:top w:val="nil"/>
              <w:bottom w:val="single" w:sz="12" w:space="0" w:color="auto"/>
            </w:tcBorders>
            <w:vAlign w:val="bottom"/>
          </w:tcPr>
          <w:p w14:paraId="3C447C75" w14:textId="77777777" w:rsidR="0029333D" w:rsidRPr="00090FB7" w:rsidRDefault="0029333D" w:rsidP="00090FB7">
            <w:pPr>
              <w:spacing w:line="276" w:lineRule="auto"/>
              <w:ind w:firstLineChars="0" w:firstLine="0"/>
              <w:rPr>
                <w:color w:val="000000" w:themeColor="text1"/>
                <w:szCs w:val="21"/>
              </w:rPr>
            </w:pPr>
            <w:r w:rsidRPr="00090FB7">
              <w:rPr>
                <w:color w:val="000000" w:themeColor="text1"/>
                <w:szCs w:val="21"/>
              </w:rPr>
              <w:t>0.19%</w:t>
            </w:r>
          </w:p>
        </w:tc>
        <w:tc>
          <w:tcPr>
            <w:tcW w:w="564" w:type="pct"/>
            <w:vMerge/>
            <w:tcBorders>
              <w:top w:val="nil"/>
              <w:bottom w:val="single" w:sz="12" w:space="0" w:color="auto"/>
            </w:tcBorders>
          </w:tcPr>
          <w:p w14:paraId="2A677098" w14:textId="77777777" w:rsidR="0029333D" w:rsidRPr="00090FB7" w:rsidRDefault="0029333D" w:rsidP="00090FB7">
            <w:pPr>
              <w:spacing w:line="276" w:lineRule="auto"/>
              <w:ind w:firstLineChars="0" w:firstLine="0"/>
              <w:rPr>
                <w:color w:val="000000" w:themeColor="text1"/>
                <w:szCs w:val="21"/>
              </w:rPr>
            </w:pPr>
          </w:p>
        </w:tc>
      </w:tr>
    </w:tbl>
    <w:p w14:paraId="4A89B91F" w14:textId="00B85ADA" w:rsidR="00090FB7" w:rsidRDefault="0029333D" w:rsidP="00551373">
      <w:pPr>
        <w:pStyle w:val="3"/>
      </w:pPr>
      <w:r>
        <w:rPr>
          <w:rFonts w:hint="eastAsia"/>
        </w:rPr>
        <w:t xml:space="preserve">1.3.4 </w:t>
      </w:r>
      <w:r w:rsidR="00D945F8">
        <w:rPr>
          <w:rFonts w:hint="eastAsia"/>
        </w:rPr>
        <w:t xml:space="preserve">Estimation of </w:t>
      </w:r>
      <w:r>
        <w:rPr>
          <w:rFonts w:hint="eastAsia"/>
        </w:rPr>
        <w:t>GP</w:t>
      </w:r>
    </w:p>
    <w:p w14:paraId="1BA1F980" w14:textId="492AC62A" w:rsidR="00D945F8" w:rsidRDefault="00D945F8" w:rsidP="00551373">
      <w:pPr>
        <w:ind w:firstLine="420"/>
      </w:pPr>
      <w:r w:rsidRPr="00D945F8">
        <w:rPr>
          <w:rFonts w:hint="eastAsia"/>
        </w:rPr>
        <w:t>GP can be expressed as the product of crop yield and its nitrogen content</w:t>
      </w:r>
      <w:r w:rsidR="00744F1A">
        <w:fldChar w:fldCharType="begin"/>
      </w:r>
      <w:r w:rsidR="00744F1A">
        <w:instrText xml:space="preserve"> ADDIN NE.Ref.{C4AA1FC5-1F7D-4C09-918B-EA92B92F1C6E}</w:instrText>
      </w:r>
      <w:r w:rsidR="00744F1A">
        <w:fldChar w:fldCharType="separate"/>
      </w:r>
      <w:r w:rsidR="00113FE3">
        <w:rPr>
          <w:rFonts w:eastAsiaTheme="minorEastAsia"/>
          <w:color w:val="0000FF"/>
          <w:kern w:val="0"/>
          <w:szCs w:val="21"/>
          <w:vertAlign w:val="superscript"/>
          <w14:ligatures w14:val="standardContextual"/>
        </w:rPr>
        <w:t>9</w:t>
      </w:r>
      <w:r w:rsidR="00744F1A">
        <w:fldChar w:fldCharType="end"/>
      </w:r>
      <w:r w:rsidRPr="00D945F8">
        <w:rPr>
          <w:rFonts w:hint="eastAsia"/>
        </w:rPr>
        <w:t>. The calculation formula is shown in Equation (S9):</w:t>
      </w:r>
    </w:p>
    <w:p w14:paraId="6DBD1189" w14:textId="140D4465" w:rsidR="00CE19D8" w:rsidRPr="00551373" w:rsidRDefault="00000000" w:rsidP="00EB674F">
      <w:pPr>
        <w:ind w:firstLine="420"/>
        <w:jc w:val="center"/>
        <w:rPr>
          <w:rFonts w:eastAsiaTheme="minorEastAsia"/>
          <w:color w:val="000000" w:themeColor="text1"/>
          <w:szCs w:val="21"/>
        </w:rPr>
      </w:pPr>
      <m:oMathPara>
        <m:oMath>
          <m:eqArr>
            <m:eqArrPr>
              <m:maxDist m:val="1"/>
              <m:ctrlPr>
                <w:rPr>
                  <w:rFonts w:ascii="Cambria Math" w:hAnsi="Cambria Math"/>
                  <w:color w:val="000000" w:themeColor="text1"/>
                  <w:szCs w:val="21"/>
                  <w:vertAlign w:val="subscript"/>
                </w:rPr>
              </m:ctrlPr>
            </m:eqArrPr>
            <m:e>
              <m:r>
                <m:rPr>
                  <m:sty m:val="p"/>
                </m:rPr>
                <w:rPr>
                  <w:rFonts w:ascii="Cambria Math" w:hAnsi="Cambria Math"/>
                  <w:color w:val="000000" w:themeColor="text1"/>
                  <w:szCs w:val="21"/>
                </w:rPr>
                <m:t>GP=</m:t>
              </m:r>
              <m:nary>
                <m:naryPr>
                  <m:chr m:val="∑"/>
                  <m:limLoc m:val="undOvr"/>
                  <m:ctrlPr>
                    <w:rPr>
                      <w:rFonts w:ascii="Cambria Math" w:hAnsi="Cambria Math"/>
                      <w:color w:val="000000" w:themeColor="text1"/>
                    </w:rPr>
                  </m:ctrlPr>
                </m:naryPr>
                <m:sub>
                  <m:r>
                    <w:rPr>
                      <w:rFonts w:ascii="Cambria Math" w:hAnsi="Cambria Math"/>
                      <w:color w:val="000000" w:themeColor="text1"/>
                      <w:szCs w:val="21"/>
                    </w:rPr>
                    <m:t>i</m:t>
                  </m:r>
                  <m:r>
                    <m:rPr>
                      <m:sty m:val="p"/>
                    </m:rPr>
                    <w:rPr>
                      <w:rFonts w:ascii="Cambria Math" w:hAnsi="Cambria Math"/>
                      <w:color w:val="000000" w:themeColor="text1"/>
                      <w:szCs w:val="21"/>
                    </w:rPr>
                    <m:t>=1</m:t>
                  </m:r>
                </m:sub>
                <m:sup>
                  <m:r>
                    <m:rPr>
                      <m:sty m:val="p"/>
                    </m:rPr>
                    <w:rPr>
                      <w:rFonts w:ascii="Cambria Math" w:hAnsi="Cambria Math"/>
                      <w:color w:val="000000" w:themeColor="text1"/>
                      <w:szCs w:val="21"/>
                    </w:rPr>
                    <m:t>n</m:t>
                  </m:r>
                </m:sup>
                <m:e>
                  <m:sSub>
                    <m:sSubPr>
                      <m:ctrlPr>
                        <w:rPr>
                          <w:rFonts w:ascii="Cambria Math" w:hAnsi="Cambria Math"/>
                          <w:color w:val="000000" w:themeColor="text1"/>
                        </w:rPr>
                      </m:ctrlPr>
                    </m:sSubPr>
                    <m:e>
                      <m:r>
                        <m:rPr>
                          <m:sty m:val="p"/>
                        </m:rPr>
                        <w:rPr>
                          <w:rFonts w:ascii="Cambria Math" w:hAnsi="Cambria Math"/>
                          <w:color w:val="000000" w:themeColor="text1"/>
                          <w:szCs w:val="21"/>
                        </w:rPr>
                        <m:t>(GW</m:t>
                      </m:r>
                    </m:e>
                    <m:sub>
                      <m:r>
                        <w:rPr>
                          <w:rFonts w:ascii="Cambria Math" w:hAnsi="Cambria Math"/>
                          <w:color w:val="000000" w:themeColor="text1"/>
                          <w:szCs w:val="21"/>
                        </w:rPr>
                        <m:t>i</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GPN</m:t>
                      </m:r>
                    </m:e>
                    <m:sub>
                      <m:r>
                        <w:rPr>
                          <w:rFonts w:ascii="Cambria Math" w:hAnsi="Cambria Math"/>
                          <w:color w:val="000000" w:themeColor="text1"/>
                        </w:rPr>
                        <m:t>i</m:t>
                      </m:r>
                    </m:sub>
                  </m:sSub>
                  <m:r>
                    <w:rPr>
                      <w:rFonts w:ascii="Cambria Math" w:hAnsi="Cambria Math"/>
                      <w:color w:val="000000" w:themeColor="text1"/>
                    </w:rPr>
                    <m:t>)</m:t>
                  </m:r>
                </m:e>
              </m:nary>
              <m:r>
                <m:rPr>
                  <m:sty m:val="p"/>
                </m:rPr>
                <w:rPr>
                  <w:rFonts w:ascii="Cambria Math" w:hAnsi="Cambria Math"/>
                  <w:color w:val="000000" w:themeColor="text1"/>
                  <w:szCs w:val="21"/>
                  <w:vertAlign w:val="subscript"/>
                </w:rPr>
                <m:t xml:space="preserve"> </m:t>
              </m:r>
              <m:r>
                <w:rPr>
                  <w:rFonts w:ascii="Cambria Math" w:hAnsi="Cambria Math"/>
                  <w:color w:val="000000" w:themeColor="text1"/>
                  <w:szCs w:val="21"/>
                </w:rPr>
                <m:t>#</m:t>
              </m:r>
              <m:d>
                <m:dPr>
                  <m:ctrlPr>
                    <w:rPr>
                      <w:rFonts w:ascii="Cambria Math" w:hAnsi="Cambria Math"/>
                      <w:color w:val="000000" w:themeColor="text1"/>
                      <w:szCs w:val="21"/>
                      <w:vertAlign w:val="subscript"/>
                    </w:rPr>
                  </m:ctrlPr>
                </m:dPr>
                <m:e>
                  <m:r>
                    <m:rPr>
                      <m:sty m:val="p"/>
                    </m:rPr>
                    <w:rPr>
                      <w:rFonts w:ascii="Cambria Math" w:hAnsi="Cambria Math"/>
                      <w:color w:val="000000" w:themeColor="text1"/>
                      <w:szCs w:val="21"/>
                      <w:vertAlign w:val="subscript"/>
                    </w:rPr>
                    <m:t>S9</m:t>
                  </m:r>
                </m:e>
              </m:d>
              <m:ctrlPr>
                <w:rPr>
                  <w:rFonts w:ascii="Cambria Math" w:hAnsi="Cambria Math"/>
                  <w:i/>
                  <w:color w:val="000000" w:themeColor="text1"/>
                  <w:szCs w:val="21"/>
                </w:rPr>
              </m:ctrlPr>
            </m:e>
          </m:eqArr>
        </m:oMath>
      </m:oMathPara>
    </w:p>
    <w:p w14:paraId="3AD15FBB" w14:textId="20D6236E" w:rsidR="00D945F8" w:rsidRDefault="00D945F8" w:rsidP="00D945F8">
      <w:pPr>
        <w:ind w:firstLineChars="0" w:firstLine="0"/>
        <w:rPr>
          <w:color w:val="000000" w:themeColor="text1"/>
          <w:szCs w:val="21"/>
        </w:rPr>
      </w:pPr>
      <w:r w:rsidRPr="00D945F8">
        <w:rPr>
          <w:color w:val="000000" w:themeColor="text1"/>
          <w:szCs w:val="21"/>
        </w:rPr>
        <w:lastRenderedPageBreak/>
        <w:t>Where GW represents the crop yield, expressed in kg, and GPN represents the nitrogen content of the corresponding crop, which is dimensionless. This study considers eight types of crops: rice, soybeans, peanuts, wheat, tubers, vegetables, corn, and fruits. Detailed calculation formulas and data sources for this section can be found in Table S2.</w:t>
      </w:r>
    </w:p>
    <w:p w14:paraId="09989D89" w14:textId="5B9D2213" w:rsidR="003D6A86" w:rsidRDefault="003D6A86" w:rsidP="003D6A86">
      <w:pPr>
        <w:pStyle w:val="2"/>
      </w:pPr>
      <w:r>
        <w:rPr>
          <w:rFonts w:hint="eastAsia"/>
        </w:rPr>
        <w:t xml:space="preserve">1.4 </w:t>
      </w:r>
      <w:r w:rsidR="00D945F8">
        <w:rPr>
          <w:rFonts w:hint="eastAsia"/>
        </w:rPr>
        <w:t xml:space="preserve">Estimation of </w:t>
      </w:r>
      <w:proofErr w:type="spellStart"/>
      <w:r>
        <w:rPr>
          <w:rFonts w:hint="eastAsia"/>
        </w:rPr>
        <w:t>N</w:t>
      </w:r>
      <w:r w:rsidRPr="00C6461D">
        <w:rPr>
          <w:vertAlign w:val="subscript"/>
        </w:rPr>
        <w:t>dep</w:t>
      </w:r>
      <w:proofErr w:type="spellEnd"/>
    </w:p>
    <w:p w14:paraId="708480A8" w14:textId="0A5A6B58" w:rsidR="00D945F8" w:rsidRDefault="00D945F8" w:rsidP="00811CF7">
      <w:pPr>
        <w:ind w:firstLine="420"/>
      </w:pPr>
      <w:r w:rsidRPr="00D945F8">
        <w:t xml:space="preserve">The </w:t>
      </w:r>
      <w:proofErr w:type="spellStart"/>
      <w:r w:rsidRPr="00D945F8">
        <w:t>N</w:t>
      </w:r>
      <w:r w:rsidRPr="00C6461D">
        <w:rPr>
          <w:vertAlign w:val="subscript"/>
        </w:rPr>
        <w:t>dep</w:t>
      </w:r>
      <w:proofErr w:type="spellEnd"/>
      <w:r w:rsidRPr="00D945F8">
        <w:t xml:space="preserve"> dataset for the period from 1996 to 2015 used in this study was obtained from the "</w:t>
      </w:r>
      <w:r w:rsidR="007A5E3B" w:rsidRPr="005C5EED">
        <w:rPr>
          <w:i/>
          <w:iCs/>
        </w:rPr>
        <w:t xml:space="preserve">A spatial and temporal dataset of atmospheric inorganic nitrogen dry deposition in China (2006–2015) </w:t>
      </w:r>
      <w:r w:rsidRPr="005C5EED">
        <w:t>" and the "</w:t>
      </w:r>
      <w:r w:rsidRPr="005C5EED">
        <w:rPr>
          <w:i/>
          <w:iCs/>
        </w:rPr>
        <w:t>1996–2015 Dataset of the Spatial-Temporal Patterns of Atmospheric Inorganic Nitrogen Wet Deposition in China</w:t>
      </w:r>
      <w:r w:rsidRPr="00D945F8">
        <w:t>," published by the Ecological Data Center of the Chinese Academy of Sciences. The dry deposition data for 1996–2005 were calculated based on the dry-to-wet deposition ratio during the 2006–2015 period. The total nitrogen deposition data for the period from 1949 to 1995 were calculated using the rate of change provided by</w:t>
      </w:r>
      <w:r w:rsidR="00744F1A">
        <w:rPr>
          <w:rFonts w:hint="eastAsia"/>
        </w:rPr>
        <w:t xml:space="preserve"> Lu et al</w:t>
      </w:r>
      <w:r w:rsidR="00744F1A">
        <w:fldChar w:fldCharType="begin"/>
      </w:r>
      <w:r w:rsidR="00744F1A">
        <w:instrText xml:space="preserve"> ADDIN NE.Ref.{A163061D-5845-46AE-BAC0-C23FF933FC7A}</w:instrText>
      </w:r>
      <w:r w:rsidR="00744F1A">
        <w:fldChar w:fldCharType="separate"/>
      </w:r>
      <w:r w:rsidR="00113FE3">
        <w:rPr>
          <w:rFonts w:eastAsiaTheme="minorEastAsia"/>
          <w:color w:val="0000FF"/>
          <w:kern w:val="0"/>
          <w:szCs w:val="21"/>
          <w:vertAlign w:val="superscript"/>
          <w14:ligatures w14:val="standardContextual"/>
        </w:rPr>
        <w:t>10</w:t>
      </w:r>
      <w:r w:rsidR="00744F1A">
        <w:fldChar w:fldCharType="end"/>
      </w:r>
      <w:r w:rsidRPr="00D945F8">
        <w:t>. The total atmospheric deposition in this study includes the sum of nitrate nitrogen dry deposition and nitr</w:t>
      </w:r>
      <w:r w:rsidRPr="00D945F8">
        <w:rPr>
          <w:rFonts w:hint="eastAsia"/>
        </w:rPr>
        <w:t>ate nitrogen wet deposition, excluding</w:t>
      </w:r>
      <w:r w:rsidRPr="000C50B2">
        <w:rPr>
          <w:rFonts w:hint="eastAsia"/>
        </w:rPr>
        <w:t xml:space="preserve"> ammonia nitrogen deposition</w:t>
      </w:r>
      <w:r w:rsidR="00CA0CEA" w:rsidRPr="000C50B2">
        <w:rPr>
          <w:rFonts w:hint="eastAsia"/>
        </w:rPr>
        <w:t xml:space="preserve">, </w:t>
      </w:r>
      <w:r w:rsidR="00CA0CEA" w:rsidRPr="00C6461D">
        <w:t>ammonia nitrogen deposition in atmospheric nitrogen deposition often comes from the volatilization of chemical fertilizers and manure. Since it lacks the ability for cross-basin transport, it does not need to be considered</w:t>
      </w:r>
      <w:r w:rsidR="001B5C7E">
        <w:fldChar w:fldCharType="begin"/>
      </w:r>
      <w:r w:rsidR="001B5C7E">
        <w:instrText xml:space="preserve"> ADDIN NE.Ref.{CC0612A9-DCF8-40CA-9FD3-A6C0BA39EF97}</w:instrText>
      </w:r>
      <w:r w:rsidR="001B5C7E">
        <w:fldChar w:fldCharType="separate"/>
      </w:r>
      <w:r w:rsidR="00113FE3">
        <w:rPr>
          <w:rFonts w:eastAsiaTheme="minorEastAsia"/>
          <w:color w:val="0000FF"/>
          <w:kern w:val="0"/>
          <w:szCs w:val="21"/>
          <w:vertAlign w:val="superscript"/>
          <w14:ligatures w14:val="standardContextual"/>
        </w:rPr>
        <w:t>11</w:t>
      </w:r>
      <w:r w:rsidR="001B5C7E">
        <w:fldChar w:fldCharType="end"/>
      </w:r>
      <w:r w:rsidR="00CA0CEA" w:rsidRPr="00CA0CEA">
        <w:rPr>
          <w:color w:val="FF0000"/>
        </w:rPr>
        <w:t>.</w:t>
      </w:r>
      <w:r w:rsidR="00C6461D" w:rsidRPr="00CA0CEA" w:rsidDel="00C6461D">
        <w:rPr>
          <w:color w:val="FF0000"/>
        </w:rPr>
        <w:t xml:space="preserve"> </w:t>
      </w:r>
    </w:p>
    <w:p w14:paraId="4852C97B" w14:textId="2C0F4033" w:rsidR="00811CF7" w:rsidRPr="00811CF7" w:rsidRDefault="00E93F0D" w:rsidP="00811CF7">
      <w:pPr>
        <w:pStyle w:val="1"/>
      </w:pPr>
      <w:r>
        <w:rPr>
          <w:rFonts w:hint="eastAsia"/>
        </w:rPr>
        <w:t>Part S2</w:t>
      </w:r>
      <w:r w:rsidR="00811CF7">
        <w:rPr>
          <w:rFonts w:hint="eastAsia"/>
        </w:rPr>
        <w:t xml:space="preserve"> </w:t>
      </w:r>
      <w:r w:rsidR="00D945F8">
        <w:rPr>
          <w:rFonts w:hint="eastAsia"/>
        </w:rPr>
        <w:t xml:space="preserve">Parameters and source of </w:t>
      </w:r>
      <w:r w:rsidR="00811CF7">
        <w:rPr>
          <w:rFonts w:hint="eastAsia"/>
        </w:rPr>
        <w:t>ECM</w:t>
      </w:r>
    </w:p>
    <w:p w14:paraId="71AD1F9E" w14:textId="693BB192" w:rsidR="00DC0BBA" w:rsidRPr="00811CF7" w:rsidRDefault="00DC0BBA" w:rsidP="00E93F0D">
      <w:pPr>
        <w:pStyle w:val="4"/>
      </w:pPr>
      <w:r w:rsidRPr="00811CF7">
        <w:rPr>
          <w:rFonts w:hint="eastAsia"/>
        </w:rPr>
        <w:t xml:space="preserve">Table S3 The parameters </w:t>
      </w:r>
      <w:r w:rsidR="00811CF7" w:rsidRPr="00811CF7">
        <w:rPr>
          <w:rFonts w:hint="eastAsia"/>
        </w:rPr>
        <w:t xml:space="preserve">and sources </w:t>
      </w:r>
      <w:r w:rsidRPr="00811CF7">
        <w:rPr>
          <w:rFonts w:hint="eastAsia"/>
        </w:rPr>
        <w:t xml:space="preserve">of ECM </w:t>
      </w:r>
    </w:p>
    <w:tbl>
      <w:tblPr>
        <w:tblW w:w="5000" w:type="pct"/>
        <w:tblBorders>
          <w:top w:val="single" w:sz="12" w:space="0" w:color="auto"/>
          <w:bottom w:val="single" w:sz="12" w:space="0" w:color="auto"/>
        </w:tblBorders>
        <w:tblLook w:val="04A0" w:firstRow="1" w:lastRow="0" w:firstColumn="1" w:lastColumn="0" w:noHBand="0" w:noVBand="1"/>
      </w:tblPr>
      <w:tblGrid>
        <w:gridCol w:w="1621"/>
        <w:gridCol w:w="2186"/>
        <w:gridCol w:w="1591"/>
        <w:gridCol w:w="645"/>
        <w:gridCol w:w="1474"/>
        <w:gridCol w:w="1474"/>
        <w:gridCol w:w="1475"/>
      </w:tblGrid>
      <w:tr w:rsidR="00DC0BBA" w:rsidRPr="00C14DD0" w14:paraId="36B5E06F" w14:textId="3062FC61" w:rsidTr="00DC0BBA">
        <w:trPr>
          <w:trHeight w:val="300"/>
          <w:tblHeader/>
        </w:trPr>
        <w:tc>
          <w:tcPr>
            <w:tcW w:w="746" w:type="pct"/>
            <w:tcBorders>
              <w:top w:val="single" w:sz="12" w:space="0" w:color="auto"/>
              <w:bottom w:val="single" w:sz="6" w:space="0" w:color="auto"/>
            </w:tcBorders>
            <w:shd w:val="clear" w:color="auto" w:fill="auto"/>
            <w:noWrap/>
            <w:vAlign w:val="center"/>
            <w:hideMark/>
          </w:tcPr>
          <w:p w14:paraId="75391BDF" w14:textId="06D6C912" w:rsidR="00DC0BBA" w:rsidRPr="00C14DD0" w:rsidRDefault="00DC0BBA" w:rsidP="004E4639">
            <w:pPr>
              <w:widowControl/>
              <w:ind w:firstLineChars="0" w:firstLine="0"/>
              <w:rPr>
                <w:rFonts w:eastAsia="仿宋"/>
                <w:color w:val="000000"/>
                <w:kern w:val="0"/>
                <w:sz w:val="22"/>
              </w:rPr>
            </w:pPr>
            <w:r w:rsidRPr="00C14DD0">
              <w:rPr>
                <w:rFonts w:eastAsia="仿宋"/>
                <w:color w:val="000000"/>
                <w:kern w:val="0"/>
                <w:sz w:val="22"/>
              </w:rPr>
              <w:t>Non-point</w:t>
            </w:r>
          </w:p>
        </w:tc>
        <w:tc>
          <w:tcPr>
            <w:tcW w:w="1049" w:type="pct"/>
            <w:tcBorders>
              <w:top w:val="single" w:sz="12" w:space="0" w:color="auto"/>
              <w:bottom w:val="single" w:sz="6" w:space="0" w:color="auto"/>
            </w:tcBorders>
            <w:shd w:val="clear" w:color="auto" w:fill="auto"/>
            <w:noWrap/>
            <w:vAlign w:val="bottom"/>
            <w:hideMark/>
          </w:tcPr>
          <w:p w14:paraId="2AEF3AF7" w14:textId="2746E054" w:rsidR="00DC0BBA" w:rsidRPr="00C14DD0" w:rsidRDefault="00DC0BBA" w:rsidP="004E4639">
            <w:pPr>
              <w:widowControl/>
              <w:ind w:firstLineChars="0" w:firstLine="0"/>
              <w:jc w:val="left"/>
              <w:rPr>
                <w:rFonts w:eastAsia="仿宋"/>
                <w:color w:val="000000"/>
                <w:kern w:val="0"/>
                <w:sz w:val="22"/>
              </w:rPr>
            </w:pPr>
            <w:r w:rsidRPr="00C14DD0">
              <w:rPr>
                <w:rFonts w:eastAsia="仿宋"/>
                <w:color w:val="000000"/>
                <w:kern w:val="0"/>
                <w:sz w:val="22"/>
              </w:rPr>
              <w:t>TN</w:t>
            </w:r>
            <w:r w:rsidRPr="00C14DD0">
              <w:rPr>
                <w:rFonts w:eastAsia="仿宋"/>
                <w:color w:val="000000"/>
                <w:kern w:val="0"/>
                <w:sz w:val="22"/>
              </w:rPr>
              <w:t>（</w:t>
            </w:r>
            <w:r w:rsidRPr="00C14DD0">
              <w:rPr>
                <w:rFonts w:eastAsia="仿宋"/>
                <w:color w:val="000000"/>
                <w:kern w:val="0"/>
                <w:sz w:val="22"/>
              </w:rPr>
              <w:t>kg</w:t>
            </w:r>
            <w:r w:rsidR="00D25115" w:rsidRPr="00D25115">
              <w:rPr>
                <w:rFonts w:eastAsia="仿宋"/>
                <w:color w:val="000000"/>
                <w:kern w:val="0"/>
                <w:sz w:val="22"/>
              </w:rPr>
              <w:t>·</w:t>
            </w:r>
            <w:r w:rsidRPr="00D25115">
              <w:rPr>
                <w:rFonts w:eastAsia="仿宋"/>
                <w:color w:val="000000"/>
                <w:kern w:val="0"/>
                <w:sz w:val="22"/>
              </w:rPr>
              <w:t>hm</w:t>
            </w:r>
            <w:r w:rsidR="006E15B2">
              <w:rPr>
                <w:rFonts w:eastAsia="仿宋" w:hint="eastAsia"/>
                <w:color w:val="000000"/>
                <w:kern w:val="0"/>
                <w:sz w:val="22"/>
                <w:vertAlign w:val="superscript"/>
              </w:rPr>
              <w:t>-</w:t>
            </w:r>
            <w:r w:rsidRPr="00D25115">
              <w:rPr>
                <w:rFonts w:eastAsia="仿宋"/>
                <w:color w:val="000000"/>
                <w:kern w:val="0"/>
                <w:sz w:val="22"/>
                <w:vertAlign w:val="superscript"/>
              </w:rPr>
              <w:t>2</w:t>
            </w:r>
            <w:r w:rsidRPr="00C14DD0">
              <w:rPr>
                <w:rFonts w:eastAsia="仿宋"/>
                <w:color w:val="000000"/>
                <w:kern w:val="0"/>
                <w:sz w:val="22"/>
              </w:rPr>
              <w:t>)</w:t>
            </w:r>
          </w:p>
        </w:tc>
        <w:tc>
          <w:tcPr>
            <w:tcW w:w="765" w:type="pct"/>
            <w:tcBorders>
              <w:top w:val="single" w:sz="12" w:space="0" w:color="auto"/>
              <w:bottom w:val="single" w:sz="6" w:space="0" w:color="auto"/>
              <w:right w:val="single" w:sz="6" w:space="0" w:color="auto"/>
            </w:tcBorders>
          </w:tcPr>
          <w:p w14:paraId="2AF7694E" w14:textId="2E49CC08" w:rsidR="00DC0BBA" w:rsidRPr="00C14DD0" w:rsidRDefault="00DC0BBA" w:rsidP="00D25115">
            <w:pPr>
              <w:widowControl/>
              <w:ind w:firstLineChars="0" w:firstLine="0"/>
              <w:jc w:val="center"/>
              <w:rPr>
                <w:rFonts w:eastAsia="仿宋"/>
                <w:color w:val="000000"/>
                <w:kern w:val="0"/>
                <w:sz w:val="22"/>
              </w:rPr>
            </w:pPr>
            <w:r>
              <w:rPr>
                <w:rFonts w:eastAsia="仿宋" w:hint="eastAsia"/>
                <w:color w:val="000000"/>
                <w:kern w:val="0"/>
                <w:sz w:val="22"/>
              </w:rPr>
              <w:t>Source</w:t>
            </w:r>
          </w:p>
        </w:tc>
        <w:tc>
          <w:tcPr>
            <w:tcW w:w="313" w:type="pct"/>
            <w:vMerge w:val="restart"/>
            <w:tcBorders>
              <w:top w:val="single" w:sz="12" w:space="0" w:color="auto"/>
              <w:left w:val="single" w:sz="6" w:space="0" w:color="auto"/>
              <w:bottom w:val="single" w:sz="12" w:space="0" w:color="auto"/>
              <w:right w:val="single" w:sz="6" w:space="0" w:color="auto"/>
            </w:tcBorders>
          </w:tcPr>
          <w:p w14:paraId="44D7CE38" w14:textId="77777777" w:rsidR="00DC0BBA" w:rsidRDefault="00DC0BBA" w:rsidP="004E4639">
            <w:pPr>
              <w:widowControl/>
              <w:ind w:firstLineChars="0" w:firstLine="0"/>
              <w:jc w:val="left"/>
              <w:rPr>
                <w:rFonts w:eastAsia="仿宋"/>
                <w:color w:val="000000"/>
                <w:kern w:val="0"/>
                <w:sz w:val="22"/>
              </w:rPr>
            </w:pPr>
          </w:p>
        </w:tc>
        <w:tc>
          <w:tcPr>
            <w:tcW w:w="709" w:type="pct"/>
            <w:tcBorders>
              <w:top w:val="single" w:sz="12" w:space="0" w:color="auto"/>
              <w:left w:val="single" w:sz="6" w:space="0" w:color="auto"/>
              <w:bottom w:val="single" w:sz="6" w:space="0" w:color="auto"/>
            </w:tcBorders>
          </w:tcPr>
          <w:p w14:paraId="04C9A87A" w14:textId="4C93926A" w:rsidR="00DC0BBA" w:rsidRDefault="00DC0BBA" w:rsidP="00D25115">
            <w:pPr>
              <w:widowControl/>
              <w:ind w:firstLineChars="0" w:firstLine="0"/>
              <w:jc w:val="center"/>
              <w:rPr>
                <w:rFonts w:eastAsia="仿宋"/>
                <w:color w:val="000000"/>
                <w:kern w:val="0"/>
                <w:sz w:val="22"/>
              </w:rPr>
            </w:pPr>
            <w:r>
              <w:rPr>
                <w:rFonts w:eastAsia="仿宋" w:hint="eastAsia"/>
                <w:color w:val="000000"/>
                <w:kern w:val="0"/>
                <w:sz w:val="22"/>
              </w:rPr>
              <w:t>Point</w:t>
            </w:r>
          </w:p>
        </w:tc>
        <w:tc>
          <w:tcPr>
            <w:tcW w:w="709" w:type="pct"/>
            <w:tcBorders>
              <w:top w:val="single" w:sz="12" w:space="0" w:color="auto"/>
              <w:bottom w:val="single" w:sz="6" w:space="0" w:color="auto"/>
            </w:tcBorders>
          </w:tcPr>
          <w:p w14:paraId="7E9E91A2" w14:textId="16A134B9" w:rsidR="00DC0BBA" w:rsidRDefault="00DC0BBA" w:rsidP="004E4639">
            <w:pPr>
              <w:widowControl/>
              <w:ind w:firstLineChars="0" w:firstLine="0"/>
              <w:jc w:val="left"/>
              <w:rPr>
                <w:rFonts w:eastAsia="仿宋"/>
                <w:color w:val="000000"/>
                <w:kern w:val="0"/>
                <w:sz w:val="22"/>
              </w:rPr>
            </w:pPr>
            <w:r>
              <w:rPr>
                <w:rFonts w:eastAsia="仿宋" w:hint="eastAsia"/>
                <w:color w:val="000000"/>
                <w:kern w:val="0"/>
                <w:sz w:val="22"/>
              </w:rPr>
              <w:t>TN (kg)</w:t>
            </w:r>
          </w:p>
        </w:tc>
        <w:tc>
          <w:tcPr>
            <w:tcW w:w="709" w:type="pct"/>
            <w:tcBorders>
              <w:top w:val="single" w:sz="12" w:space="0" w:color="auto"/>
              <w:bottom w:val="single" w:sz="6" w:space="0" w:color="auto"/>
            </w:tcBorders>
          </w:tcPr>
          <w:p w14:paraId="6078ECE7" w14:textId="0B8BF0E4" w:rsidR="00DC0BBA" w:rsidRDefault="00DC0BBA" w:rsidP="00D25115">
            <w:pPr>
              <w:widowControl/>
              <w:ind w:firstLineChars="0" w:firstLine="0"/>
              <w:jc w:val="center"/>
              <w:rPr>
                <w:rFonts w:eastAsia="仿宋"/>
                <w:color w:val="000000"/>
                <w:kern w:val="0"/>
                <w:sz w:val="22"/>
              </w:rPr>
            </w:pPr>
            <w:r>
              <w:rPr>
                <w:rFonts w:eastAsia="仿宋" w:hint="eastAsia"/>
                <w:color w:val="000000"/>
                <w:kern w:val="0"/>
                <w:sz w:val="22"/>
              </w:rPr>
              <w:t>Source</w:t>
            </w:r>
          </w:p>
        </w:tc>
      </w:tr>
      <w:tr w:rsidR="00DC0BBA" w:rsidRPr="00C14DD0" w14:paraId="3E03B091" w14:textId="1A2547B1" w:rsidTr="00DC0BBA">
        <w:trPr>
          <w:trHeight w:val="315"/>
        </w:trPr>
        <w:tc>
          <w:tcPr>
            <w:tcW w:w="746" w:type="pct"/>
            <w:tcBorders>
              <w:top w:val="single" w:sz="6" w:space="0" w:color="auto"/>
            </w:tcBorders>
            <w:shd w:val="clear" w:color="auto" w:fill="auto"/>
            <w:noWrap/>
            <w:hideMark/>
          </w:tcPr>
          <w:p w14:paraId="7A6FDFD5" w14:textId="0293D074" w:rsidR="00DC0BBA" w:rsidRPr="00C14DD0" w:rsidRDefault="00DC0BBA" w:rsidP="00DC0BBA">
            <w:pPr>
              <w:widowControl/>
              <w:ind w:firstLineChars="0" w:firstLine="0"/>
              <w:jc w:val="center"/>
              <w:rPr>
                <w:rFonts w:eastAsia="仿宋"/>
                <w:color w:val="000000"/>
                <w:kern w:val="0"/>
                <w:sz w:val="22"/>
              </w:rPr>
            </w:pPr>
            <w:r w:rsidRPr="00C14DD0">
              <w:rPr>
                <w:rFonts w:eastAsia="仿宋"/>
                <w:color w:val="000000"/>
                <w:kern w:val="0"/>
                <w:sz w:val="22"/>
              </w:rPr>
              <w:t>Developed-land</w:t>
            </w:r>
          </w:p>
        </w:tc>
        <w:tc>
          <w:tcPr>
            <w:tcW w:w="1049" w:type="pct"/>
            <w:tcBorders>
              <w:top w:val="single" w:sz="6" w:space="0" w:color="auto"/>
            </w:tcBorders>
            <w:shd w:val="clear" w:color="auto" w:fill="auto"/>
            <w:noWrap/>
            <w:vAlign w:val="center"/>
            <w:hideMark/>
          </w:tcPr>
          <w:p w14:paraId="30EAE298" w14:textId="1BC6DC71" w:rsidR="00DC0BBA" w:rsidRPr="00C14DD0" w:rsidRDefault="006E15B2" w:rsidP="006E15B2">
            <w:pPr>
              <w:widowControl/>
              <w:ind w:firstLineChars="0" w:firstLine="0"/>
              <w:jc w:val="center"/>
              <w:rPr>
                <w:rFonts w:eastAsia="等线"/>
                <w:color w:val="000000"/>
                <w:kern w:val="0"/>
                <w:sz w:val="22"/>
              </w:rPr>
            </w:pPr>
            <w:r>
              <w:rPr>
                <w:rFonts w:eastAsia="等线" w:hint="eastAsia"/>
                <w:color w:val="000000"/>
                <w:kern w:val="0"/>
                <w:sz w:val="22"/>
              </w:rPr>
              <w:t>---</w:t>
            </w:r>
          </w:p>
        </w:tc>
        <w:tc>
          <w:tcPr>
            <w:tcW w:w="765" w:type="pct"/>
            <w:vMerge w:val="restart"/>
            <w:tcBorders>
              <w:top w:val="single" w:sz="6" w:space="0" w:color="auto"/>
              <w:right w:val="single" w:sz="6" w:space="0" w:color="auto"/>
            </w:tcBorders>
            <w:vAlign w:val="center"/>
          </w:tcPr>
          <w:p w14:paraId="4FBC6B7F" w14:textId="49D4B602" w:rsidR="00DC0BBA" w:rsidRPr="00C14DD0" w:rsidRDefault="00113FE3" w:rsidP="003F1FEB">
            <w:pPr>
              <w:widowControl/>
              <w:ind w:left="210" w:hangingChars="100" w:hanging="210"/>
              <w:jc w:val="center"/>
              <w:rPr>
                <w:rFonts w:eastAsia="等线"/>
                <w:color w:val="000000"/>
                <w:kern w:val="0"/>
                <w:sz w:val="22"/>
              </w:rPr>
            </w:pPr>
            <w:r>
              <w:rPr>
                <w:color w:val="00B0F0"/>
                <w:vertAlign w:val="superscript"/>
              </w:rPr>
              <w:fldChar w:fldCharType="begin"/>
            </w:r>
            <w:r>
              <w:rPr>
                <w:color w:val="00B0F0"/>
                <w:vertAlign w:val="superscript"/>
              </w:rPr>
              <w:instrText xml:space="preserve"> ADDIN NE.Ref.{C42EF216-45DA-46B4-93C1-E8E5ADDFAB6E}</w:instrText>
            </w:r>
            <w:r>
              <w:rPr>
                <w:color w:val="00B0F0"/>
                <w:vertAlign w:val="superscript"/>
              </w:rPr>
              <w:fldChar w:fldCharType="separate"/>
            </w:r>
            <w:r>
              <w:rPr>
                <w:rFonts w:eastAsiaTheme="minorEastAsia"/>
                <w:color w:val="0000FF"/>
                <w:kern w:val="0"/>
                <w:szCs w:val="21"/>
                <w:vertAlign w:val="superscript"/>
                <w14:ligatures w14:val="standardContextual"/>
              </w:rPr>
              <w:t>12</w:t>
            </w:r>
            <w:r>
              <w:rPr>
                <w:color w:val="00B0F0"/>
                <w:vertAlign w:val="superscript"/>
              </w:rPr>
              <w:fldChar w:fldCharType="end"/>
            </w:r>
          </w:p>
        </w:tc>
        <w:tc>
          <w:tcPr>
            <w:tcW w:w="313" w:type="pct"/>
            <w:vMerge/>
            <w:tcBorders>
              <w:top w:val="nil"/>
              <w:left w:val="single" w:sz="6" w:space="0" w:color="auto"/>
              <w:bottom w:val="single" w:sz="12" w:space="0" w:color="auto"/>
              <w:right w:val="single" w:sz="6" w:space="0" w:color="auto"/>
            </w:tcBorders>
          </w:tcPr>
          <w:p w14:paraId="29165CD0" w14:textId="77777777" w:rsidR="00DC0BBA" w:rsidRDefault="00DC0BBA" w:rsidP="004E4639">
            <w:pPr>
              <w:widowControl/>
              <w:ind w:firstLineChars="0" w:firstLine="0"/>
              <w:jc w:val="center"/>
              <w:rPr>
                <w:rFonts w:eastAsia="等线"/>
                <w:color w:val="000000"/>
                <w:kern w:val="0"/>
                <w:sz w:val="22"/>
              </w:rPr>
            </w:pPr>
          </w:p>
        </w:tc>
        <w:tc>
          <w:tcPr>
            <w:tcW w:w="709" w:type="pct"/>
            <w:tcBorders>
              <w:top w:val="single" w:sz="6" w:space="0" w:color="auto"/>
              <w:left w:val="single" w:sz="6" w:space="0" w:color="auto"/>
            </w:tcBorders>
          </w:tcPr>
          <w:p w14:paraId="0B58EBC8" w14:textId="5D6328A6" w:rsidR="00DC0BBA" w:rsidRDefault="00DC0BBA" w:rsidP="00D25115">
            <w:pPr>
              <w:widowControl/>
              <w:ind w:firstLineChars="0" w:firstLine="0"/>
              <w:jc w:val="center"/>
              <w:rPr>
                <w:rFonts w:eastAsia="等线"/>
                <w:color w:val="000000"/>
                <w:kern w:val="0"/>
                <w:sz w:val="22"/>
              </w:rPr>
            </w:pPr>
            <w:r>
              <w:rPr>
                <w:rFonts w:eastAsia="等线" w:hint="eastAsia"/>
                <w:color w:val="000000"/>
                <w:kern w:val="0"/>
                <w:sz w:val="22"/>
              </w:rPr>
              <w:t>Human</w:t>
            </w:r>
          </w:p>
        </w:tc>
        <w:tc>
          <w:tcPr>
            <w:tcW w:w="709" w:type="pct"/>
            <w:tcBorders>
              <w:top w:val="single" w:sz="6" w:space="0" w:color="auto"/>
            </w:tcBorders>
            <w:vAlign w:val="center"/>
          </w:tcPr>
          <w:p w14:paraId="2AB08ED6" w14:textId="5A414B5D" w:rsidR="00DC0BBA" w:rsidRDefault="00DC0BBA" w:rsidP="00D25115">
            <w:pPr>
              <w:widowControl/>
              <w:ind w:firstLineChars="0" w:firstLine="0"/>
              <w:jc w:val="center"/>
              <w:rPr>
                <w:rFonts w:eastAsia="等线"/>
                <w:color w:val="000000"/>
                <w:kern w:val="0"/>
                <w:sz w:val="22"/>
              </w:rPr>
            </w:pPr>
            <w:r>
              <w:rPr>
                <w:rFonts w:eastAsia="等线" w:hint="eastAsia"/>
                <w:color w:val="000000"/>
                <w:kern w:val="0"/>
                <w:sz w:val="22"/>
              </w:rPr>
              <w:t>1.58</w:t>
            </w:r>
          </w:p>
        </w:tc>
        <w:tc>
          <w:tcPr>
            <w:tcW w:w="709" w:type="pct"/>
            <w:vMerge w:val="restart"/>
            <w:tcBorders>
              <w:top w:val="single" w:sz="6" w:space="0" w:color="auto"/>
            </w:tcBorders>
            <w:vAlign w:val="center"/>
          </w:tcPr>
          <w:p w14:paraId="233C08C0" w14:textId="0057368F" w:rsidR="00DC0BBA" w:rsidRDefault="00113FE3" w:rsidP="003F1FEB">
            <w:pPr>
              <w:widowControl/>
              <w:ind w:firstLineChars="0" w:firstLine="0"/>
              <w:jc w:val="center"/>
              <w:rPr>
                <w:rFonts w:eastAsia="等线"/>
                <w:color w:val="000000"/>
                <w:kern w:val="0"/>
                <w:sz w:val="22"/>
              </w:rPr>
            </w:pPr>
            <w:r>
              <w:rPr>
                <w:color w:val="00B0F0"/>
                <w:vertAlign w:val="superscript"/>
              </w:rPr>
              <w:fldChar w:fldCharType="begin"/>
            </w:r>
            <w:r>
              <w:rPr>
                <w:color w:val="00B0F0"/>
                <w:vertAlign w:val="superscript"/>
              </w:rPr>
              <w:instrText xml:space="preserve"> ADDIN NE.Ref.{C848C0CA-4813-4254-B6DE-10218B3B81E1}</w:instrText>
            </w:r>
            <w:r>
              <w:rPr>
                <w:color w:val="00B0F0"/>
                <w:vertAlign w:val="superscript"/>
              </w:rPr>
              <w:fldChar w:fldCharType="separate"/>
            </w:r>
            <w:r>
              <w:rPr>
                <w:rFonts w:eastAsiaTheme="minorEastAsia"/>
                <w:color w:val="0000FF"/>
                <w:kern w:val="0"/>
                <w:szCs w:val="21"/>
                <w:vertAlign w:val="superscript"/>
                <w14:ligatures w14:val="standardContextual"/>
              </w:rPr>
              <w:t>13</w:t>
            </w:r>
            <w:r>
              <w:rPr>
                <w:color w:val="00B0F0"/>
                <w:vertAlign w:val="superscript"/>
              </w:rPr>
              <w:fldChar w:fldCharType="end"/>
            </w:r>
          </w:p>
        </w:tc>
      </w:tr>
      <w:tr w:rsidR="00DC0BBA" w:rsidRPr="00C14DD0" w14:paraId="0A04BE82" w14:textId="5128711C" w:rsidTr="00DC0BBA">
        <w:trPr>
          <w:trHeight w:val="315"/>
        </w:trPr>
        <w:tc>
          <w:tcPr>
            <w:tcW w:w="746" w:type="pct"/>
            <w:shd w:val="clear" w:color="auto" w:fill="auto"/>
            <w:noWrap/>
            <w:hideMark/>
          </w:tcPr>
          <w:p w14:paraId="2E99923A" w14:textId="77BBE950" w:rsidR="00DC0BBA" w:rsidRPr="00C14DD0" w:rsidRDefault="00DC0BBA" w:rsidP="00DC0BBA">
            <w:pPr>
              <w:widowControl/>
              <w:ind w:firstLineChars="0" w:firstLine="0"/>
              <w:jc w:val="center"/>
              <w:rPr>
                <w:rFonts w:eastAsia="仿宋"/>
                <w:color w:val="000000"/>
                <w:kern w:val="0"/>
                <w:sz w:val="22"/>
              </w:rPr>
            </w:pPr>
            <w:r w:rsidRPr="00C14DD0">
              <w:rPr>
                <w:rFonts w:eastAsia="仿宋"/>
                <w:color w:val="000000"/>
                <w:kern w:val="0"/>
                <w:sz w:val="22"/>
              </w:rPr>
              <w:t>Cropland</w:t>
            </w:r>
          </w:p>
        </w:tc>
        <w:tc>
          <w:tcPr>
            <w:tcW w:w="1049" w:type="pct"/>
            <w:shd w:val="clear" w:color="auto" w:fill="auto"/>
            <w:noWrap/>
            <w:vAlign w:val="center"/>
            <w:hideMark/>
          </w:tcPr>
          <w:p w14:paraId="548B95F5" w14:textId="77777777" w:rsidR="00DC0BBA" w:rsidRPr="00C14DD0" w:rsidRDefault="00DC0BBA" w:rsidP="006E15B2">
            <w:pPr>
              <w:widowControl/>
              <w:ind w:firstLineChars="0" w:firstLine="0"/>
              <w:jc w:val="center"/>
              <w:rPr>
                <w:rFonts w:eastAsia="等线"/>
                <w:color w:val="000000"/>
                <w:kern w:val="0"/>
                <w:sz w:val="22"/>
              </w:rPr>
            </w:pPr>
            <w:r w:rsidRPr="00C14DD0">
              <w:rPr>
                <w:rFonts w:eastAsia="等线"/>
                <w:color w:val="000000"/>
                <w:kern w:val="0"/>
                <w:sz w:val="22"/>
              </w:rPr>
              <w:t>10.22</w:t>
            </w:r>
          </w:p>
        </w:tc>
        <w:tc>
          <w:tcPr>
            <w:tcW w:w="765" w:type="pct"/>
            <w:vMerge/>
            <w:tcBorders>
              <w:right w:val="single" w:sz="6" w:space="0" w:color="auto"/>
            </w:tcBorders>
          </w:tcPr>
          <w:p w14:paraId="3FA29FE2" w14:textId="77777777" w:rsidR="00DC0BBA" w:rsidRPr="00C14DD0" w:rsidRDefault="00DC0BBA" w:rsidP="004E4639">
            <w:pPr>
              <w:widowControl/>
              <w:ind w:firstLineChars="0" w:firstLine="0"/>
              <w:jc w:val="center"/>
              <w:rPr>
                <w:rFonts w:eastAsia="等线"/>
                <w:color w:val="000000"/>
                <w:kern w:val="0"/>
                <w:sz w:val="22"/>
              </w:rPr>
            </w:pPr>
          </w:p>
        </w:tc>
        <w:tc>
          <w:tcPr>
            <w:tcW w:w="313" w:type="pct"/>
            <w:vMerge/>
            <w:tcBorders>
              <w:top w:val="nil"/>
              <w:left w:val="single" w:sz="6" w:space="0" w:color="auto"/>
              <w:bottom w:val="single" w:sz="12" w:space="0" w:color="auto"/>
              <w:right w:val="single" w:sz="6" w:space="0" w:color="auto"/>
            </w:tcBorders>
          </w:tcPr>
          <w:p w14:paraId="674A5C84" w14:textId="77777777" w:rsidR="00DC0BBA" w:rsidRPr="00C14DD0" w:rsidRDefault="00DC0BBA" w:rsidP="004E4639">
            <w:pPr>
              <w:widowControl/>
              <w:ind w:firstLineChars="0" w:firstLine="0"/>
              <w:jc w:val="center"/>
              <w:rPr>
                <w:rFonts w:eastAsia="等线"/>
                <w:color w:val="000000"/>
                <w:kern w:val="0"/>
                <w:sz w:val="22"/>
              </w:rPr>
            </w:pPr>
          </w:p>
        </w:tc>
        <w:tc>
          <w:tcPr>
            <w:tcW w:w="709" w:type="pct"/>
            <w:tcBorders>
              <w:left w:val="single" w:sz="6" w:space="0" w:color="auto"/>
            </w:tcBorders>
          </w:tcPr>
          <w:p w14:paraId="3572061B" w14:textId="50AAF857" w:rsidR="00DC0BBA" w:rsidRPr="00C14DD0" w:rsidRDefault="00DC0BBA" w:rsidP="00D25115">
            <w:pPr>
              <w:widowControl/>
              <w:ind w:firstLineChars="0" w:firstLine="0"/>
              <w:jc w:val="center"/>
              <w:rPr>
                <w:rFonts w:eastAsia="等线"/>
                <w:color w:val="000000"/>
                <w:kern w:val="0"/>
                <w:sz w:val="22"/>
              </w:rPr>
            </w:pPr>
            <w:r>
              <w:rPr>
                <w:rFonts w:eastAsia="等线" w:hint="eastAsia"/>
                <w:color w:val="000000"/>
                <w:kern w:val="0"/>
                <w:sz w:val="22"/>
              </w:rPr>
              <w:t>Pig</w:t>
            </w:r>
          </w:p>
        </w:tc>
        <w:tc>
          <w:tcPr>
            <w:tcW w:w="709" w:type="pct"/>
            <w:vAlign w:val="center"/>
          </w:tcPr>
          <w:p w14:paraId="700659C3" w14:textId="25537156" w:rsidR="00DC0BBA" w:rsidRPr="00C14DD0" w:rsidRDefault="00DC0BBA" w:rsidP="00D25115">
            <w:pPr>
              <w:widowControl/>
              <w:ind w:firstLineChars="0" w:firstLine="0"/>
              <w:jc w:val="center"/>
              <w:rPr>
                <w:rFonts w:eastAsia="等线"/>
                <w:color w:val="000000"/>
                <w:kern w:val="0"/>
                <w:sz w:val="22"/>
              </w:rPr>
            </w:pPr>
            <w:r>
              <w:rPr>
                <w:rFonts w:eastAsia="等线" w:hint="eastAsia"/>
                <w:color w:val="000000"/>
                <w:kern w:val="0"/>
                <w:sz w:val="22"/>
              </w:rPr>
              <w:t>1.365</w:t>
            </w:r>
          </w:p>
        </w:tc>
        <w:tc>
          <w:tcPr>
            <w:tcW w:w="709" w:type="pct"/>
            <w:vMerge/>
          </w:tcPr>
          <w:p w14:paraId="17882454" w14:textId="77777777" w:rsidR="00DC0BBA" w:rsidRPr="00C14DD0" w:rsidRDefault="00DC0BBA" w:rsidP="004E4639">
            <w:pPr>
              <w:widowControl/>
              <w:ind w:firstLineChars="0" w:firstLine="0"/>
              <w:jc w:val="center"/>
              <w:rPr>
                <w:rFonts w:eastAsia="等线"/>
                <w:color w:val="000000"/>
                <w:kern w:val="0"/>
                <w:sz w:val="22"/>
              </w:rPr>
            </w:pPr>
          </w:p>
        </w:tc>
      </w:tr>
      <w:tr w:rsidR="00DC0BBA" w:rsidRPr="00C14DD0" w14:paraId="159E673D" w14:textId="5CE6663B" w:rsidTr="00DC0BBA">
        <w:trPr>
          <w:trHeight w:val="315"/>
        </w:trPr>
        <w:tc>
          <w:tcPr>
            <w:tcW w:w="746" w:type="pct"/>
            <w:shd w:val="clear" w:color="auto" w:fill="auto"/>
            <w:noWrap/>
            <w:hideMark/>
          </w:tcPr>
          <w:p w14:paraId="730D4748" w14:textId="31F2776F" w:rsidR="00DC0BBA" w:rsidRPr="00C14DD0" w:rsidRDefault="00DC0BBA" w:rsidP="00DC0BBA">
            <w:pPr>
              <w:widowControl/>
              <w:ind w:firstLineChars="0" w:firstLine="0"/>
              <w:jc w:val="center"/>
              <w:rPr>
                <w:rFonts w:eastAsia="仿宋"/>
                <w:color w:val="000000"/>
                <w:kern w:val="0"/>
                <w:sz w:val="22"/>
              </w:rPr>
            </w:pPr>
            <w:r w:rsidRPr="00C14DD0">
              <w:rPr>
                <w:rFonts w:eastAsia="仿宋"/>
                <w:color w:val="000000"/>
                <w:kern w:val="0"/>
                <w:sz w:val="22"/>
              </w:rPr>
              <w:t>Grassland</w:t>
            </w:r>
          </w:p>
        </w:tc>
        <w:tc>
          <w:tcPr>
            <w:tcW w:w="1049" w:type="pct"/>
            <w:shd w:val="clear" w:color="auto" w:fill="auto"/>
            <w:noWrap/>
            <w:vAlign w:val="center"/>
            <w:hideMark/>
          </w:tcPr>
          <w:p w14:paraId="5F748EFD" w14:textId="77777777" w:rsidR="00DC0BBA" w:rsidRPr="00C14DD0" w:rsidRDefault="00DC0BBA" w:rsidP="006E15B2">
            <w:pPr>
              <w:widowControl/>
              <w:ind w:firstLineChars="0" w:firstLine="0"/>
              <w:jc w:val="center"/>
              <w:rPr>
                <w:rFonts w:eastAsia="等线"/>
                <w:color w:val="000000"/>
                <w:kern w:val="0"/>
                <w:sz w:val="22"/>
              </w:rPr>
            </w:pPr>
            <w:r w:rsidRPr="00C14DD0">
              <w:rPr>
                <w:rFonts w:eastAsia="等线"/>
                <w:color w:val="000000"/>
                <w:kern w:val="0"/>
                <w:sz w:val="22"/>
              </w:rPr>
              <w:t>5.12</w:t>
            </w:r>
          </w:p>
        </w:tc>
        <w:tc>
          <w:tcPr>
            <w:tcW w:w="765" w:type="pct"/>
            <w:vMerge/>
            <w:tcBorders>
              <w:right w:val="single" w:sz="6" w:space="0" w:color="auto"/>
            </w:tcBorders>
          </w:tcPr>
          <w:p w14:paraId="12E0B028" w14:textId="77777777" w:rsidR="00DC0BBA" w:rsidRPr="00C14DD0" w:rsidRDefault="00DC0BBA" w:rsidP="004E4639">
            <w:pPr>
              <w:widowControl/>
              <w:ind w:firstLineChars="0" w:firstLine="0"/>
              <w:jc w:val="center"/>
              <w:rPr>
                <w:rFonts w:eastAsia="等线"/>
                <w:color w:val="000000"/>
                <w:kern w:val="0"/>
                <w:sz w:val="22"/>
              </w:rPr>
            </w:pPr>
          </w:p>
        </w:tc>
        <w:tc>
          <w:tcPr>
            <w:tcW w:w="313" w:type="pct"/>
            <w:vMerge/>
            <w:tcBorders>
              <w:top w:val="nil"/>
              <w:left w:val="single" w:sz="6" w:space="0" w:color="auto"/>
              <w:bottom w:val="single" w:sz="12" w:space="0" w:color="auto"/>
              <w:right w:val="single" w:sz="6" w:space="0" w:color="auto"/>
            </w:tcBorders>
          </w:tcPr>
          <w:p w14:paraId="746771D1" w14:textId="77777777" w:rsidR="00DC0BBA" w:rsidRPr="00C14DD0" w:rsidRDefault="00DC0BBA" w:rsidP="004E4639">
            <w:pPr>
              <w:widowControl/>
              <w:ind w:firstLineChars="0" w:firstLine="0"/>
              <w:jc w:val="center"/>
              <w:rPr>
                <w:rFonts w:eastAsia="等线"/>
                <w:color w:val="000000"/>
                <w:kern w:val="0"/>
                <w:sz w:val="22"/>
              </w:rPr>
            </w:pPr>
          </w:p>
        </w:tc>
        <w:tc>
          <w:tcPr>
            <w:tcW w:w="709" w:type="pct"/>
            <w:tcBorders>
              <w:left w:val="single" w:sz="6" w:space="0" w:color="auto"/>
            </w:tcBorders>
          </w:tcPr>
          <w:p w14:paraId="11249A04" w14:textId="1D668407" w:rsidR="00DC0BBA" w:rsidRPr="00C14DD0" w:rsidRDefault="00DC0BBA" w:rsidP="00D25115">
            <w:pPr>
              <w:widowControl/>
              <w:ind w:firstLineChars="0" w:firstLine="0"/>
              <w:jc w:val="center"/>
              <w:rPr>
                <w:rFonts w:eastAsia="等线"/>
                <w:color w:val="000000"/>
                <w:kern w:val="0"/>
                <w:sz w:val="22"/>
              </w:rPr>
            </w:pPr>
            <w:r>
              <w:rPr>
                <w:rFonts w:eastAsia="等线"/>
                <w:color w:val="000000"/>
                <w:kern w:val="0"/>
                <w:sz w:val="22"/>
              </w:rPr>
              <w:t>C</w:t>
            </w:r>
            <w:r>
              <w:rPr>
                <w:rFonts w:eastAsia="等线" w:hint="eastAsia"/>
                <w:color w:val="000000"/>
                <w:kern w:val="0"/>
                <w:sz w:val="22"/>
              </w:rPr>
              <w:t>ow</w:t>
            </w:r>
          </w:p>
        </w:tc>
        <w:tc>
          <w:tcPr>
            <w:tcW w:w="709" w:type="pct"/>
            <w:vAlign w:val="center"/>
          </w:tcPr>
          <w:p w14:paraId="477E0556" w14:textId="5F242A80" w:rsidR="00DC0BBA" w:rsidRPr="00C14DD0" w:rsidRDefault="00DC0BBA" w:rsidP="00D25115">
            <w:pPr>
              <w:widowControl/>
              <w:ind w:firstLineChars="0" w:firstLine="0"/>
              <w:jc w:val="center"/>
              <w:rPr>
                <w:rFonts w:eastAsia="等线"/>
                <w:color w:val="000000"/>
                <w:kern w:val="0"/>
                <w:sz w:val="22"/>
              </w:rPr>
            </w:pPr>
            <w:r>
              <w:rPr>
                <w:rFonts w:eastAsia="等线" w:hint="eastAsia"/>
                <w:color w:val="000000"/>
                <w:kern w:val="0"/>
                <w:sz w:val="22"/>
              </w:rPr>
              <w:t>9.2</w:t>
            </w:r>
          </w:p>
        </w:tc>
        <w:tc>
          <w:tcPr>
            <w:tcW w:w="709" w:type="pct"/>
            <w:vMerge/>
          </w:tcPr>
          <w:p w14:paraId="0DECDCB9" w14:textId="77777777" w:rsidR="00DC0BBA" w:rsidRPr="00C14DD0" w:rsidRDefault="00DC0BBA" w:rsidP="004E4639">
            <w:pPr>
              <w:widowControl/>
              <w:ind w:firstLineChars="0" w:firstLine="0"/>
              <w:jc w:val="center"/>
              <w:rPr>
                <w:rFonts w:eastAsia="等线"/>
                <w:color w:val="000000"/>
                <w:kern w:val="0"/>
                <w:sz w:val="22"/>
              </w:rPr>
            </w:pPr>
          </w:p>
        </w:tc>
      </w:tr>
      <w:tr w:rsidR="00DC0BBA" w:rsidRPr="00C14DD0" w14:paraId="434B60EC" w14:textId="52DC5F47" w:rsidTr="00DC0BBA">
        <w:trPr>
          <w:trHeight w:val="315"/>
        </w:trPr>
        <w:tc>
          <w:tcPr>
            <w:tcW w:w="746" w:type="pct"/>
            <w:shd w:val="clear" w:color="auto" w:fill="auto"/>
            <w:noWrap/>
            <w:hideMark/>
          </w:tcPr>
          <w:p w14:paraId="78EB5524" w14:textId="1868555D" w:rsidR="00DC0BBA" w:rsidRPr="00C14DD0" w:rsidRDefault="00DC0BBA" w:rsidP="00DC0BBA">
            <w:pPr>
              <w:widowControl/>
              <w:ind w:firstLineChars="0" w:firstLine="0"/>
              <w:jc w:val="center"/>
              <w:rPr>
                <w:rFonts w:eastAsia="仿宋"/>
                <w:color w:val="000000"/>
                <w:kern w:val="0"/>
                <w:sz w:val="22"/>
              </w:rPr>
            </w:pPr>
            <w:r w:rsidRPr="00C14DD0">
              <w:rPr>
                <w:rFonts w:eastAsia="仿宋"/>
                <w:color w:val="000000"/>
                <w:kern w:val="0"/>
                <w:sz w:val="22"/>
              </w:rPr>
              <w:t>Forest</w:t>
            </w:r>
          </w:p>
        </w:tc>
        <w:tc>
          <w:tcPr>
            <w:tcW w:w="1049" w:type="pct"/>
            <w:shd w:val="clear" w:color="auto" w:fill="auto"/>
            <w:noWrap/>
            <w:vAlign w:val="center"/>
            <w:hideMark/>
          </w:tcPr>
          <w:p w14:paraId="772E38F1" w14:textId="77777777" w:rsidR="00DC0BBA" w:rsidRPr="00C14DD0" w:rsidRDefault="00DC0BBA" w:rsidP="006E15B2">
            <w:pPr>
              <w:widowControl/>
              <w:ind w:firstLineChars="0" w:firstLine="0"/>
              <w:jc w:val="center"/>
              <w:rPr>
                <w:rFonts w:eastAsia="等线"/>
                <w:color w:val="000000"/>
                <w:kern w:val="0"/>
                <w:sz w:val="22"/>
              </w:rPr>
            </w:pPr>
            <w:r w:rsidRPr="00C14DD0">
              <w:rPr>
                <w:rFonts w:eastAsia="等线"/>
                <w:color w:val="000000"/>
                <w:kern w:val="0"/>
                <w:sz w:val="22"/>
              </w:rPr>
              <w:t>2.61</w:t>
            </w:r>
          </w:p>
        </w:tc>
        <w:tc>
          <w:tcPr>
            <w:tcW w:w="765" w:type="pct"/>
            <w:vMerge/>
            <w:tcBorders>
              <w:right w:val="single" w:sz="6" w:space="0" w:color="auto"/>
            </w:tcBorders>
          </w:tcPr>
          <w:p w14:paraId="3A844513" w14:textId="77777777" w:rsidR="00DC0BBA" w:rsidRPr="00C14DD0" w:rsidRDefault="00DC0BBA" w:rsidP="004E4639">
            <w:pPr>
              <w:widowControl/>
              <w:ind w:firstLineChars="0" w:firstLine="0"/>
              <w:jc w:val="center"/>
              <w:rPr>
                <w:rFonts w:eastAsia="等线"/>
                <w:color w:val="000000"/>
                <w:kern w:val="0"/>
                <w:sz w:val="22"/>
              </w:rPr>
            </w:pPr>
          </w:p>
        </w:tc>
        <w:tc>
          <w:tcPr>
            <w:tcW w:w="313" w:type="pct"/>
            <w:vMerge/>
            <w:tcBorders>
              <w:top w:val="nil"/>
              <w:left w:val="single" w:sz="6" w:space="0" w:color="auto"/>
              <w:bottom w:val="single" w:sz="12" w:space="0" w:color="auto"/>
              <w:right w:val="single" w:sz="6" w:space="0" w:color="auto"/>
            </w:tcBorders>
          </w:tcPr>
          <w:p w14:paraId="1E9DC1F3" w14:textId="77777777" w:rsidR="00DC0BBA" w:rsidRPr="00C14DD0" w:rsidRDefault="00DC0BBA" w:rsidP="004E4639">
            <w:pPr>
              <w:widowControl/>
              <w:ind w:firstLineChars="0" w:firstLine="0"/>
              <w:jc w:val="center"/>
              <w:rPr>
                <w:rFonts w:eastAsia="等线"/>
                <w:color w:val="000000"/>
                <w:kern w:val="0"/>
                <w:sz w:val="22"/>
              </w:rPr>
            </w:pPr>
          </w:p>
        </w:tc>
        <w:tc>
          <w:tcPr>
            <w:tcW w:w="709" w:type="pct"/>
            <w:tcBorders>
              <w:left w:val="single" w:sz="6" w:space="0" w:color="auto"/>
            </w:tcBorders>
          </w:tcPr>
          <w:p w14:paraId="48E18BF6" w14:textId="5D48E29A" w:rsidR="00DC0BBA" w:rsidRPr="00C14DD0" w:rsidRDefault="00DC0BBA" w:rsidP="00D25115">
            <w:pPr>
              <w:widowControl/>
              <w:ind w:firstLineChars="0" w:firstLine="0"/>
              <w:jc w:val="center"/>
              <w:rPr>
                <w:rFonts w:eastAsia="等线"/>
                <w:color w:val="000000"/>
                <w:kern w:val="0"/>
                <w:sz w:val="22"/>
              </w:rPr>
            </w:pPr>
            <w:r>
              <w:rPr>
                <w:rFonts w:eastAsia="等线"/>
                <w:color w:val="000000"/>
                <w:kern w:val="0"/>
                <w:sz w:val="22"/>
              </w:rPr>
              <w:t>S</w:t>
            </w:r>
            <w:r>
              <w:rPr>
                <w:rFonts w:eastAsia="等线" w:hint="eastAsia"/>
                <w:color w:val="000000"/>
                <w:kern w:val="0"/>
                <w:sz w:val="22"/>
              </w:rPr>
              <w:t>heep</w:t>
            </w:r>
          </w:p>
        </w:tc>
        <w:tc>
          <w:tcPr>
            <w:tcW w:w="709" w:type="pct"/>
            <w:vAlign w:val="center"/>
          </w:tcPr>
          <w:p w14:paraId="2A1244B6" w14:textId="6084E5E4" w:rsidR="00DC0BBA" w:rsidRPr="00C14DD0" w:rsidRDefault="00DC0BBA" w:rsidP="00D25115">
            <w:pPr>
              <w:widowControl/>
              <w:ind w:firstLineChars="0" w:firstLine="0"/>
              <w:jc w:val="center"/>
              <w:rPr>
                <w:rFonts w:eastAsia="等线"/>
                <w:color w:val="000000"/>
                <w:kern w:val="0"/>
                <w:sz w:val="22"/>
              </w:rPr>
            </w:pPr>
            <w:r>
              <w:rPr>
                <w:rFonts w:eastAsia="等线" w:hint="eastAsia"/>
                <w:color w:val="000000"/>
                <w:kern w:val="0"/>
                <w:sz w:val="22"/>
              </w:rPr>
              <w:t>0.968</w:t>
            </w:r>
          </w:p>
        </w:tc>
        <w:tc>
          <w:tcPr>
            <w:tcW w:w="709" w:type="pct"/>
            <w:vMerge/>
          </w:tcPr>
          <w:p w14:paraId="6B3FF7DD" w14:textId="77777777" w:rsidR="00DC0BBA" w:rsidRPr="00C14DD0" w:rsidRDefault="00DC0BBA" w:rsidP="004E4639">
            <w:pPr>
              <w:widowControl/>
              <w:ind w:firstLineChars="0" w:firstLine="0"/>
              <w:jc w:val="center"/>
              <w:rPr>
                <w:rFonts w:eastAsia="等线"/>
                <w:color w:val="000000"/>
                <w:kern w:val="0"/>
                <w:sz w:val="22"/>
              </w:rPr>
            </w:pPr>
          </w:p>
        </w:tc>
      </w:tr>
      <w:tr w:rsidR="00DC0BBA" w:rsidRPr="00C14DD0" w14:paraId="0E1FA1E5" w14:textId="1014C7A8" w:rsidTr="00DC0BBA">
        <w:trPr>
          <w:trHeight w:val="315"/>
        </w:trPr>
        <w:tc>
          <w:tcPr>
            <w:tcW w:w="746" w:type="pct"/>
            <w:shd w:val="clear" w:color="auto" w:fill="auto"/>
            <w:noWrap/>
            <w:hideMark/>
          </w:tcPr>
          <w:p w14:paraId="3DD222D0" w14:textId="3204ADEE" w:rsidR="00DC0BBA" w:rsidRPr="00C14DD0" w:rsidRDefault="00DC0BBA" w:rsidP="00DC0BBA">
            <w:pPr>
              <w:widowControl/>
              <w:ind w:firstLineChars="0" w:firstLine="0"/>
              <w:jc w:val="center"/>
              <w:rPr>
                <w:rFonts w:eastAsia="仿宋"/>
                <w:color w:val="000000"/>
                <w:kern w:val="0"/>
                <w:sz w:val="22"/>
              </w:rPr>
            </w:pPr>
            <w:proofErr w:type="spellStart"/>
            <w:r w:rsidRPr="00C14DD0">
              <w:rPr>
                <w:rFonts w:eastAsia="仿宋"/>
                <w:color w:val="000000"/>
                <w:kern w:val="0"/>
                <w:sz w:val="22"/>
              </w:rPr>
              <w:t>otherland</w:t>
            </w:r>
            <w:proofErr w:type="spellEnd"/>
          </w:p>
        </w:tc>
        <w:tc>
          <w:tcPr>
            <w:tcW w:w="1049" w:type="pct"/>
            <w:shd w:val="clear" w:color="auto" w:fill="auto"/>
            <w:noWrap/>
            <w:vAlign w:val="center"/>
            <w:hideMark/>
          </w:tcPr>
          <w:p w14:paraId="418E60AD" w14:textId="40C2E32C" w:rsidR="00DC0BBA" w:rsidRPr="00C14DD0" w:rsidRDefault="00DC0BBA" w:rsidP="006E15B2">
            <w:pPr>
              <w:widowControl/>
              <w:ind w:firstLineChars="0" w:firstLine="0"/>
              <w:jc w:val="center"/>
              <w:rPr>
                <w:rFonts w:eastAsia="等线"/>
                <w:color w:val="000000"/>
                <w:kern w:val="0"/>
                <w:sz w:val="22"/>
              </w:rPr>
            </w:pPr>
            <w:r w:rsidRPr="00C14DD0">
              <w:rPr>
                <w:rFonts w:eastAsia="等线"/>
                <w:color w:val="000000"/>
                <w:kern w:val="0"/>
                <w:sz w:val="22"/>
              </w:rPr>
              <w:t>1.1</w:t>
            </w:r>
            <w:r>
              <w:rPr>
                <w:rFonts w:eastAsia="等线" w:hint="eastAsia"/>
                <w:color w:val="000000"/>
                <w:kern w:val="0"/>
                <w:sz w:val="22"/>
              </w:rPr>
              <w:t>0</w:t>
            </w:r>
          </w:p>
        </w:tc>
        <w:tc>
          <w:tcPr>
            <w:tcW w:w="765" w:type="pct"/>
            <w:vMerge/>
            <w:tcBorders>
              <w:right w:val="single" w:sz="6" w:space="0" w:color="auto"/>
            </w:tcBorders>
          </w:tcPr>
          <w:p w14:paraId="554B41C4" w14:textId="77777777" w:rsidR="00DC0BBA" w:rsidRPr="00C14DD0" w:rsidRDefault="00DC0BBA" w:rsidP="004E4639">
            <w:pPr>
              <w:widowControl/>
              <w:ind w:firstLineChars="0" w:firstLine="0"/>
              <w:jc w:val="center"/>
              <w:rPr>
                <w:rFonts w:eastAsia="等线"/>
                <w:color w:val="000000"/>
                <w:kern w:val="0"/>
                <w:sz w:val="22"/>
              </w:rPr>
            </w:pPr>
          </w:p>
        </w:tc>
        <w:tc>
          <w:tcPr>
            <w:tcW w:w="313" w:type="pct"/>
            <w:vMerge/>
            <w:tcBorders>
              <w:top w:val="nil"/>
              <w:left w:val="single" w:sz="6" w:space="0" w:color="auto"/>
              <w:bottom w:val="single" w:sz="12" w:space="0" w:color="auto"/>
              <w:right w:val="single" w:sz="6" w:space="0" w:color="auto"/>
            </w:tcBorders>
          </w:tcPr>
          <w:p w14:paraId="4A6BC476" w14:textId="77777777" w:rsidR="00DC0BBA" w:rsidRPr="00C14DD0" w:rsidRDefault="00DC0BBA" w:rsidP="004E4639">
            <w:pPr>
              <w:widowControl/>
              <w:ind w:firstLineChars="0" w:firstLine="0"/>
              <w:jc w:val="center"/>
              <w:rPr>
                <w:rFonts w:eastAsia="等线"/>
                <w:color w:val="000000"/>
                <w:kern w:val="0"/>
                <w:sz w:val="22"/>
              </w:rPr>
            </w:pPr>
          </w:p>
        </w:tc>
        <w:tc>
          <w:tcPr>
            <w:tcW w:w="709" w:type="pct"/>
            <w:tcBorders>
              <w:left w:val="single" w:sz="6" w:space="0" w:color="auto"/>
            </w:tcBorders>
          </w:tcPr>
          <w:p w14:paraId="4FE396D6" w14:textId="1ECA798A" w:rsidR="00DC0BBA" w:rsidRPr="00C14DD0" w:rsidRDefault="00DC0BBA" w:rsidP="00D25115">
            <w:pPr>
              <w:widowControl/>
              <w:ind w:firstLineChars="0" w:firstLine="0"/>
              <w:jc w:val="center"/>
              <w:rPr>
                <w:rFonts w:eastAsia="等线"/>
                <w:color w:val="000000"/>
                <w:kern w:val="0"/>
                <w:sz w:val="22"/>
              </w:rPr>
            </w:pPr>
            <w:r>
              <w:rPr>
                <w:rFonts w:eastAsia="等线"/>
                <w:color w:val="000000"/>
                <w:kern w:val="0"/>
                <w:sz w:val="22"/>
              </w:rPr>
              <w:t>P</w:t>
            </w:r>
            <w:r>
              <w:rPr>
                <w:rFonts w:eastAsia="等线" w:hint="eastAsia"/>
                <w:color w:val="000000"/>
                <w:kern w:val="0"/>
                <w:sz w:val="22"/>
              </w:rPr>
              <w:t>oultry</w:t>
            </w:r>
          </w:p>
        </w:tc>
        <w:tc>
          <w:tcPr>
            <w:tcW w:w="709" w:type="pct"/>
            <w:vAlign w:val="center"/>
          </w:tcPr>
          <w:p w14:paraId="2AA5B550" w14:textId="7105B8F0" w:rsidR="00DC0BBA" w:rsidRPr="00C14DD0" w:rsidRDefault="00DC0BBA" w:rsidP="00D25115">
            <w:pPr>
              <w:widowControl/>
              <w:ind w:firstLineChars="0" w:firstLine="0"/>
              <w:jc w:val="center"/>
              <w:rPr>
                <w:rFonts w:eastAsia="等线"/>
                <w:color w:val="000000"/>
                <w:kern w:val="0"/>
                <w:sz w:val="22"/>
              </w:rPr>
            </w:pPr>
            <w:r>
              <w:rPr>
                <w:rFonts w:eastAsia="等线" w:hint="eastAsia"/>
                <w:color w:val="000000"/>
                <w:kern w:val="0"/>
                <w:sz w:val="22"/>
              </w:rPr>
              <w:t>0.086</w:t>
            </w:r>
          </w:p>
        </w:tc>
        <w:tc>
          <w:tcPr>
            <w:tcW w:w="709" w:type="pct"/>
            <w:vMerge/>
          </w:tcPr>
          <w:p w14:paraId="083C40F1" w14:textId="77777777" w:rsidR="00DC0BBA" w:rsidRPr="00C14DD0" w:rsidRDefault="00DC0BBA" w:rsidP="004E4639">
            <w:pPr>
              <w:widowControl/>
              <w:ind w:firstLineChars="0" w:firstLine="0"/>
              <w:jc w:val="center"/>
              <w:rPr>
                <w:rFonts w:eastAsia="等线"/>
                <w:color w:val="000000"/>
                <w:kern w:val="0"/>
                <w:sz w:val="22"/>
              </w:rPr>
            </w:pPr>
          </w:p>
        </w:tc>
      </w:tr>
    </w:tbl>
    <w:p w14:paraId="7D4DEA5F" w14:textId="77777777" w:rsidR="00524AFC" w:rsidRDefault="00524AFC" w:rsidP="00BD70E2">
      <w:pPr>
        <w:ind w:firstLine="420"/>
      </w:pPr>
    </w:p>
    <w:p w14:paraId="4F9E2B6B" w14:textId="49A5D032" w:rsidR="00524AFC" w:rsidRDefault="00E93F0D" w:rsidP="001504D9">
      <w:pPr>
        <w:pStyle w:val="1"/>
      </w:pPr>
      <w:r>
        <w:rPr>
          <w:rFonts w:hint="eastAsia"/>
        </w:rPr>
        <w:t xml:space="preserve">Part S3 </w:t>
      </w:r>
      <w:r w:rsidR="00D945F8">
        <w:rPr>
          <w:rFonts w:hint="eastAsia"/>
        </w:rPr>
        <w:t>Estimation</w:t>
      </w:r>
      <w:r w:rsidR="00D945F8">
        <w:t xml:space="preserve"> of RNE based on remote sensing inversion </w:t>
      </w:r>
    </w:p>
    <w:p w14:paraId="526C0E48" w14:textId="0353BF95" w:rsidR="00D945F8" w:rsidRDefault="00D945F8" w:rsidP="00D945F8">
      <w:pPr>
        <w:ind w:firstLine="420"/>
      </w:pPr>
      <w:r>
        <w:t xml:space="preserve">For the monthly </w:t>
      </w:r>
      <w:r w:rsidR="004D7028">
        <w:rPr>
          <w:rFonts w:hint="eastAsia"/>
        </w:rPr>
        <w:t>TN</w:t>
      </w:r>
      <w:r w:rsidR="004D7028">
        <w:t xml:space="preserve"> </w:t>
      </w:r>
      <w:r>
        <w:t xml:space="preserve">concentration measurements from 2020 to 2024 at the </w:t>
      </w:r>
      <w:proofErr w:type="spellStart"/>
      <w:r>
        <w:t>Dongjiang</w:t>
      </w:r>
      <w:proofErr w:type="spellEnd"/>
      <w:r>
        <w:t xml:space="preserve"> water quality monitoring stations, these values were used as the observed data. Landsat 5 TM and 8 OLI Level-2, Collection 2, Tier 1 imagery data from 1987 to 2024 were obtained via Google Earth Engine. The median value within a 3×</w:t>
      </w:r>
      <w:proofErr w:type="gramStart"/>
      <w:r>
        <w:t>3 pixel</w:t>
      </w:r>
      <w:proofErr w:type="gramEnd"/>
      <w:r>
        <w:t xml:space="preserve"> range was extracted from the corresponding raster data of the remote sensing images as the band reflectance for the station. Six band </w:t>
      </w:r>
      <w:proofErr w:type="spellStart"/>
      <w:r>
        <w:t>reflectances</w:t>
      </w:r>
      <w:proofErr w:type="spellEnd"/>
      <w:r>
        <w:t xml:space="preserve"> were extracted: blue, green, red, near-infrared, shortwave infrared 1, and shortwave infrared 2.</w:t>
      </w:r>
      <w:r>
        <w:rPr>
          <w:rFonts w:hint="eastAsia"/>
        </w:rPr>
        <w:t xml:space="preserve"> </w:t>
      </w:r>
      <w:r>
        <w:t>The time difference between the measured data and the image acquisition was controlled within ±5 days. Cloud removal techniques were applied to eliminate cloud cover effects. Both the TM and OLI sensors have a spatial resolution of 30 meters (excluding the panchromatic band), with an image swath of 185×185 km. In total, 126 spectral data points matched with in-situ measurements were obtained.</w:t>
      </w:r>
      <w:r>
        <w:rPr>
          <w:rFonts w:hint="eastAsia"/>
        </w:rPr>
        <w:t xml:space="preserve"> </w:t>
      </w:r>
      <w:r>
        <w:t xml:space="preserve">For this study, we consider the </w:t>
      </w:r>
      <w:proofErr w:type="spellStart"/>
      <w:r>
        <w:t>Boluo</w:t>
      </w:r>
      <w:proofErr w:type="spellEnd"/>
      <w:r>
        <w:t xml:space="preserve"> Station in the lower </w:t>
      </w:r>
      <w:proofErr w:type="spellStart"/>
      <w:r>
        <w:t>Dongjiang</w:t>
      </w:r>
      <w:proofErr w:type="spellEnd"/>
      <w:r>
        <w:t xml:space="preserve"> River as a representative site for the entire </w:t>
      </w:r>
      <w:proofErr w:type="spellStart"/>
      <w:r>
        <w:t>Dongjiang</w:t>
      </w:r>
      <w:proofErr w:type="spellEnd"/>
      <w:r>
        <w:t xml:space="preserve"> Basin's RNE. The RNE was calculated as the product of the monthly mean concentration and the annual runoff, with the specific calculation formula shown in Equation (S10):</w:t>
      </w:r>
    </w:p>
    <w:p w14:paraId="3B89F009" w14:textId="77777777" w:rsidR="00D945F8" w:rsidRDefault="00000000" w:rsidP="00EA66FA">
      <w:pPr>
        <w:ind w:firstLineChars="0" w:firstLine="0"/>
      </w:pPr>
      <m:oMathPara>
        <m:oMath>
          <m:eqArr>
            <m:eqArrPr>
              <m:maxDist m:val="1"/>
              <m:ctrlPr>
                <w:rPr>
                  <w:rFonts w:ascii="Cambria Math" w:hAnsi="Cambria Math"/>
                  <w:i/>
                </w:rPr>
              </m:ctrlPr>
            </m:eqArrPr>
            <m:e>
              <m:r>
                <w:rPr>
                  <w:rFonts w:ascii="Cambria Math" w:hAnsi="Cambria Math"/>
                </w:rPr>
                <m:t>RNE=</m:t>
              </m:r>
              <m:f>
                <m:fPr>
                  <m:ctrlPr>
                    <w:rPr>
                      <w:rFonts w:ascii="Cambria Math" w:hAnsi="Cambria Math"/>
                      <w:i/>
                    </w:rPr>
                  </m:ctrlPr>
                </m:fPr>
                <m:num>
                  <m:r>
                    <w:rPr>
                      <w:rFonts w:ascii="Cambria Math" w:hAnsi="Cambria Math" w:hint="eastAsia"/>
                    </w:rPr>
                    <m:t>C</m:t>
                  </m:r>
                  <m:r>
                    <w:rPr>
                      <w:rFonts w:ascii="Cambria Math" w:hAnsi="Cambria Math"/>
                    </w:rPr>
                    <m:t>×Q×</m:t>
                  </m:r>
                  <m:sSup>
                    <m:sSupPr>
                      <m:ctrlPr>
                        <w:rPr>
                          <w:rFonts w:ascii="Cambria Math" w:hAnsi="Cambria Math"/>
                          <w:i/>
                        </w:rPr>
                      </m:ctrlPr>
                    </m:sSupPr>
                    <m:e>
                      <m:r>
                        <w:rPr>
                          <w:rFonts w:ascii="Cambria Math" w:hAnsi="Cambria Math"/>
                        </w:rPr>
                        <m:t>10</m:t>
                      </m:r>
                    </m:e>
                    <m:sup>
                      <m:r>
                        <w:rPr>
                          <w:rFonts w:ascii="Cambria Math" w:hAnsi="Cambria Math"/>
                        </w:rPr>
                        <m:t>5</m:t>
                      </m:r>
                    </m:sup>
                  </m:sSup>
                </m:num>
                <m:den>
                  <m:r>
                    <w:rPr>
                      <w:rFonts w:ascii="Cambria Math" w:hAnsi="Cambria Math"/>
                    </w:rPr>
                    <m:t>S</m:t>
                  </m:r>
                </m:den>
              </m:f>
              <m:r>
                <w:rPr>
                  <w:rFonts w:ascii="Cambria Math" w:hAnsi="Cambria Math"/>
                </w:rPr>
                <m:t xml:space="preserve"> #</m:t>
              </m:r>
              <m:d>
                <m:dPr>
                  <m:ctrlPr>
                    <w:rPr>
                      <w:rFonts w:ascii="Cambria Math" w:hAnsi="Cambria Math"/>
                      <w:i/>
                    </w:rPr>
                  </m:ctrlPr>
                </m:dPr>
                <m:e>
                  <m:r>
                    <w:rPr>
                      <w:rFonts w:ascii="Cambria Math" w:hAnsi="Cambria Math"/>
                    </w:rPr>
                    <m:t>S10</m:t>
                  </m:r>
                </m:e>
              </m:d>
            </m:e>
          </m:eqArr>
        </m:oMath>
      </m:oMathPara>
    </w:p>
    <w:p w14:paraId="31402FB9" w14:textId="2EE17410" w:rsidR="00D945F8" w:rsidRDefault="00D945F8" w:rsidP="00EA66FA">
      <w:pPr>
        <w:ind w:firstLineChars="0" w:firstLine="0"/>
      </w:pPr>
      <w:r>
        <w:rPr>
          <w:rFonts w:hint="eastAsia"/>
        </w:rPr>
        <w:t>w</w:t>
      </w:r>
      <w:r w:rsidRPr="00D945F8">
        <w:t xml:space="preserve">here RNE represents the river nitrogen flux, expressed in kg·km⁻²·yr⁻¹, C is the monthly mean concentration of total nitrogen, expressed in mg·L⁻¹, Q is the annual runoff, expressed in 10⁸ m³, and S is the catchment area of the </w:t>
      </w:r>
      <w:proofErr w:type="spellStart"/>
      <w:r w:rsidRPr="00D945F8">
        <w:t>Boluo</w:t>
      </w:r>
      <w:proofErr w:type="spellEnd"/>
      <w:r w:rsidRPr="00D945F8">
        <w:t xml:space="preserve"> Station. Since the </w:t>
      </w:r>
      <w:proofErr w:type="spellStart"/>
      <w:r w:rsidRPr="00D945F8">
        <w:t>Boluo</w:t>
      </w:r>
      <w:proofErr w:type="spellEnd"/>
      <w:r w:rsidRPr="00D945F8">
        <w:t xml:space="preserve"> Station is located in the lower </w:t>
      </w:r>
      <w:proofErr w:type="spellStart"/>
      <w:r w:rsidRPr="00D945F8">
        <w:t>Dongjiang</w:t>
      </w:r>
      <w:proofErr w:type="spellEnd"/>
      <w:r w:rsidRPr="00D945F8">
        <w:t xml:space="preserve"> River, we consider the total area of the </w:t>
      </w:r>
      <w:proofErr w:type="spellStart"/>
      <w:r w:rsidRPr="00D945F8">
        <w:t>Dongjiang</w:t>
      </w:r>
      <w:proofErr w:type="spellEnd"/>
      <w:r w:rsidRPr="00D945F8">
        <w:t xml:space="preserve"> Basin as the catchment area, expressed in km².</w:t>
      </w:r>
    </w:p>
    <w:p w14:paraId="22030EE2" w14:textId="457FF0EF" w:rsidR="00D945F8" w:rsidRDefault="00D945F8" w:rsidP="00D945F8">
      <w:pPr>
        <w:ind w:firstLine="420"/>
      </w:pPr>
      <w:r>
        <w:t>The fitting results between the remote sensing inversion of TN concentration (OCTN) and the actual TN concentration (SCTN) are shown in Fig. S1. SCTN explains 46% of the variation in OCTN, indicating that the remote sensing inversion of TN concentration can explain 46% of the variation in the observed TN. The RMSE is 0.19</w:t>
      </w:r>
      <w:r w:rsidR="00366FAE">
        <w:rPr>
          <w:rFonts w:hint="eastAsia"/>
        </w:rPr>
        <w:t xml:space="preserve"> mg/L</w:t>
      </w:r>
      <w:r>
        <w:t xml:space="preserve">. The temporal variation characteristics of the simulated RNE (SRNE) and observed RNE (ORNE) in the </w:t>
      </w:r>
      <w:proofErr w:type="spellStart"/>
      <w:r>
        <w:t>Dongjiang</w:t>
      </w:r>
      <w:proofErr w:type="spellEnd"/>
      <w:r>
        <w:t xml:space="preserve"> Basin from 1987 to 2021 are shown in Fig. S2. Due to the lack of satellite imagery for 2012, ORNE data for that year are missing, but we believe that the absence of data for one year does not affect the overall RNE trend.</w:t>
      </w:r>
    </w:p>
    <w:p w14:paraId="080043E0" w14:textId="77777777" w:rsidR="000630F8" w:rsidRDefault="000630F8" w:rsidP="000630F8">
      <w:pPr>
        <w:autoSpaceDE w:val="0"/>
        <w:autoSpaceDN w:val="0"/>
        <w:adjustRightInd w:val="0"/>
        <w:ind w:firstLineChars="0" w:firstLine="0"/>
        <w:jc w:val="center"/>
        <w:rPr>
          <w:rFonts w:eastAsiaTheme="minorEastAsia"/>
          <w:kern w:val="0"/>
          <w:sz w:val="24"/>
          <w:szCs w:val="24"/>
          <w14:ligatures w14:val="standardContextual"/>
        </w:rPr>
      </w:pPr>
      <w:r>
        <w:rPr>
          <w:rFonts w:eastAsiaTheme="minorEastAsia"/>
          <w:noProof/>
          <w:kern w:val="0"/>
          <w:sz w:val="24"/>
          <w:szCs w:val="24"/>
          <w14:ligatures w14:val="standardContextual"/>
        </w:rPr>
        <w:lastRenderedPageBreak/>
        <w:drawing>
          <wp:inline distT="0" distB="0" distL="0" distR="0" wp14:anchorId="5094824C" wp14:editId="6C5778F2">
            <wp:extent cx="3033713" cy="2548395"/>
            <wp:effectExtent l="0" t="0" r="0" b="4445"/>
            <wp:docPr id="163619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934" name="图片 16361934"/>
                    <pic:cNvPicPr/>
                  </pic:nvPicPr>
                  <pic:blipFill rotWithShape="1">
                    <a:blip r:embed="rId7">
                      <a:extLst>
                        <a:ext uri="{28A0092B-C50C-407E-A947-70E740481C1C}">
                          <a14:useLocalDpi xmlns:a14="http://schemas.microsoft.com/office/drawing/2010/main" val="0"/>
                        </a:ext>
                      </a:extLst>
                    </a:blip>
                    <a:srcRect l="9173" t="8520" r="11570" b="4500"/>
                    <a:stretch/>
                  </pic:blipFill>
                  <pic:spPr bwMode="auto">
                    <a:xfrm>
                      <a:off x="0" y="0"/>
                      <a:ext cx="3042323" cy="2555628"/>
                    </a:xfrm>
                    <a:prstGeom prst="rect">
                      <a:avLst/>
                    </a:prstGeom>
                    <a:ln>
                      <a:noFill/>
                    </a:ln>
                    <a:extLst>
                      <a:ext uri="{53640926-AAD7-44D8-BBD7-CCE9431645EC}">
                        <a14:shadowObscured xmlns:a14="http://schemas.microsoft.com/office/drawing/2010/main"/>
                      </a:ext>
                    </a:extLst>
                  </pic:spPr>
                </pic:pic>
              </a:graphicData>
            </a:graphic>
          </wp:inline>
        </w:drawing>
      </w:r>
    </w:p>
    <w:p w14:paraId="0D38A166" w14:textId="77777777" w:rsidR="000630F8" w:rsidRDefault="000630F8" w:rsidP="000630F8">
      <w:pPr>
        <w:autoSpaceDE w:val="0"/>
        <w:autoSpaceDN w:val="0"/>
        <w:adjustRightInd w:val="0"/>
        <w:ind w:firstLineChars="0" w:firstLine="0"/>
        <w:jc w:val="center"/>
        <w:rPr>
          <w:rFonts w:eastAsiaTheme="minorEastAsia"/>
          <w:kern w:val="0"/>
          <w:sz w:val="24"/>
          <w:szCs w:val="24"/>
          <w14:ligatures w14:val="standardContextual"/>
        </w:rPr>
      </w:pPr>
      <w:r>
        <w:rPr>
          <w:rFonts w:eastAsiaTheme="minorEastAsia" w:hint="eastAsia"/>
          <w:kern w:val="0"/>
          <w:sz w:val="24"/>
          <w:szCs w:val="24"/>
          <w14:ligatures w14:val="standardContextual"/>
        </w:rPr>
        <w:t>Fig S1. The correlation of simulated and observed TN concentration</w:t>
      </w:r>
    </w:p>
    <w:p w14:paraId="386054F4" w14:textId="77777777" w:rsidR="000630F8" w:rsidRDefault="000630F8" w:rsidP="000630F8">
      <w:pPr>
        <w:autoSpaceDE w:val="0"/>
        <w:autoSpaceDN w:val="0"/>
        <w:adjustRightInd w:val="0"/>
        <w:ind w:firstLineChars="0" w:firstLine="0"/>
        <w:jc w:val="center"/>
        <w:rPr>
          <w:rFonts w:eastAsiaTheme="minorEastAsia"/>
          <w:kern w:val="0"/>
          <w:sz w:val="24"/>
          <w:szCs w:val="24"/>
          <w14:ligatures w14:val="standardContextual"/>
        </w:rPr>
      </w:pPr>
    </w:p>
    <w:p w14:paraId="15505A58" w14:textId="554B13D5" w:rsidR="00EB674F" w:rsidRDefault="00013DB7" w:rsidP="006C7A46">
      <w:pPr>
        <w:ind w:firstLineChars="0" w:firstLine="0"/>
        <w:jc w:val="center"/>
      </w:pPr>
      <w:r>
        <w:rPr>
          <w:noProof/>
          <w14:ligatures w14:val="standardContextual"/>
        </w:rPr>
        <w:drawing>
          <wp:inline distT="0" distB="0" distL="0" distR="0" wp14:anchorId="3C44B955" wp14:editId="23AF1CC5">
            <wp:extent cx="5274310" cy="2863215"/>
            <wp:effectExtent l="0" t="0" r="0" b="0"/>
            <wp:docPr id="62946229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62292" name="图片 62946229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863215"/>
                    </a:xfrm>
                    <a:prstGeom prst="rect">
                      <a:avLst/>
                    </a:prstGeom>
                  </pic:spPr>
                </pic:pic>
              </a:graphicData>
            </a:graphic>
          </wp:inline>
        </w:drawing>
      </w:r>
    </w:p>
    <w:p w14:paraId="712051B7" w14:textId="661C3EC2" w:rsidR="00EB674F" w:rsidRDefault="00EB674F" w:rsidP="00EB674F">
      <w:pPr>
        <w:ind w:firstLineChars="0" w:firstLine="0"/>
        <w:jc w:val="center"/>
      </w:pPr>
      <w:r>
        <w:rPr>
          <w:rFonts w:hint="eastAsia"/>
        </w:rPr>
        <w:t>Fig S</w:t>
      </w:r>
      <w:r w:rsidR="000630F8">
        <w:rPr>
          <w:rFonts w:hint="eastAsia"/>
        </w:rPr>
        <w:t>2</w:t>
      </w:r>
      <w:r w:rsidR="006C7A46">
        <w:rPr>
          <w:rFonts w:hint="eastAsia"/>
        </w:rPr>
        <w:t xml:space="preserve">. </w:t>
      </w:r>
      <w:r>
        <w:rPr>
          <w:rFonts w:hint="eastAsia"/>
        </w:rPr>
        <w:t xml:space="preserve">The comparison of </w:t>
      </w:r>
      <w:r w:rsidR="00396BA9">
        <w:rPr>
          <w:rFonts w:hint="eastAsia"/>
        </w:rPr>
        <w:t>o</w:t>
      </w:r>
      <w:r>
        <w:rPr>
          <w:rFonts w:hint="eastAsia"/>
        </w:rPr>
        <w:t>bserv</w:t>
      </w:r>
      <w:r w:rsidR="00396BA9">
        <w:rPr>
          <w:rFonts w:hint="eastAsia"/>
        </w:rPr>
        <w:t>ed</w:t>
      </w:r>
      <w:r>
        <w:rPr>
          <w:rFonts w:hint="eastAsia"/>
        </w:rPr>
        <w:t xml:space="preserve"> </w:t>
      </w:r>
      <w:r w:rsidR="00396BA9">
        <w:rPr>
          <w:rFonts w:hint="eastAsia"/>
        </w:rPr>
        <w:t xml:space="preserve">and simulated RNE in the </w:t>
      </w:r>
      <w:proofErr w:type="spellStart"/>
      <w:r w:rsidR="00396BA9">
        <w:rPr>
          <w:rFonts w:hint="eastAsia"/>
        </w:rPr>
        <w:t>Dongjiang</w:t>
      </w:r>
      <w:proofErr w:type="spellEnd"/>
      <w:r w:rsidR="00396BA9">
        <w:rPr>
          <w:rFonts w:hint="eastAsia"/>
        </w:rPr>
        <w:t xml:space="preserve"> watershed during 198</w:t>
      </w:r>
      <w:r w:rsidR="00811A62">
        <w:rPr>
          <w:rFonts w:hint="eastAsia"/>
        </w:rPr>
        <w:t>7</w:t>
      </w:r>
      <w:r w:rsidR="00396BA9">
        <w:rPr>
          <w:rFonts w:hint="eastAsia"/>
        </w:rPr>
        <w:t xml:space="preserve"> to 2021 (without 2012)</w:t>
      </w:r>
    </w:p>
    <w:p w14:paraId="1629094A" w14:textId="5068F444" w:rsidR="00DD5285" w:rsidRDefault="00DD5285" w:rsidP="00EB674F">
      <w:pPr>
        <w:ind w:firstLineChars="0" w:firstLine="0"/>
        <w:jc w:val="center"/>
      </w:pPr>
      <w:r>
        <w:rPr>
          <w:noProof/>
          <w14:ligatures w14:val="standardContextual"/>
        </w:rPr>
        <w:drawing>
          <wp:inline distT="0" distB="0" distL="0" distR="0" wp14:anchorId="656FB56F" wp14:editId="0E9C1CC9">
            <wp:extent cx="5879087" cy="2560374"/>
            <wp:effectExtent l="0" t="0" r="7620" b="0"/>
            <wp:docPr id="12325241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524103" name="图片 1232524103"/>
                    <pic:cNvPicPr/>
                  </pic:nvPicPr>
                  <pic:blipFill>
                    <a:blip r:embed="rId9">
                      <a:extLst>
                        <a:ext uri="{28A0092B-C50C-407E-A947-70E740481C1C}">
                          <a14:useLocalDpi xmlns:a14="http://schemas.microsoft.com/office/drawing/2010/main" val="0"/>
                        </a:ext>
                      </a:extLst>
                    </a:blip>
                    <a:stretch>
                      <a:fillRect/>
                    </a:stretch>
                  </pic:blipFill>
                  <pic:spPr>
                    <a:xfrm>
                      <a:off x="0" y="0"/>
                      <a:ext cx="5884052" cy="2562536"/>
                    </a:xfrm>
                    <a:prstGeom prst="rect">
                      <a:avLst/>
                    </a:prstGeom>
                  </pic:spPr>
                </pic:pic>
              </a:graphicData>
            </a:graphic>
          </wp:inline>
        </w:drawing>
      </w:r>
    </w:p>
    <w:p w14:paraId="6328CDCC" w14:textId="7F137914" w:rsidR="00DD5285" w:rsidRPr="00DD5285" w:rsidRDefault="00DD5285" w:rsidP="00EB674F">
      <w:pPr>
        <w:ind w:firstLineChars="0" w:firstLine="0"/>
        <w:jc w:val="center"/>
      </w:pPr>
      <w:r>
        <w:rPr>
          <w:rFonts w:hint="eastAsia"/>
        </w:rPr>
        <w:t xml:space="preserve">Fig. S3 </w:t>
      </w:r>
      <w:r w:rsidRPr="00DD5285">
        <w:t xml:space="preserve">Comparison of NANI </w:t>
      </w:r>
      <w:r>
        <w:rPr>
          <w:rFonts w:hint="eastAsia"/>
        </w:rPr>
        <w:t>t</w:t>
      </w:r>
      <w:r w:rsidRPr="00DD5285">
        <w:t>rends: (a) With Outliers</w:t>
      </w:r>
      <w:r>
        <w:rPr>
          <w:rFonts w:hint="eastAsia"/>
        </w:rPr>
        <w:t>,</w:t>
      </w:r>
      <w:r w:rsidRPr="00DD5285">
        <w:t xml:space="preserve"> (b) Outliers Removed</w:t>
      </w:r>
    </w:p>
    <w:p w14:paraId="3DF21154" w14:textId="77777777" w:rsidR="00113FE3" w:rsidRDefault="00282934" w:rsidP="00807086">
      <w:pPr>
        <w:autoSpaceDE w:val="0"/>
        <w:autoSpaceDN w:val="0"/>
        <w:adjustRightInd w:val="0"/>
        <w:ind w:firstLineChars="0" w:firstLine="0"/>
        <w:rPr>
          <w:rFonts w:eastAsiaTheme="minorEastAsia"/>
          <w:kern w:val="0"/>
          <w:sz w:val="24"/>
          <w:szCs w:val="24"/>
          <w14:ligatures w14:val="standardContextual"/>
        </w:rPr>
      </w:pPr>
      <w:r>
        <w:fldChar w:fldCharType="begin"/>
      </w:r>
      <w:r>
        <w:instrText xml:space="preserve"> ADDIN NE.Bib</w:instrText>
      </w:r>
      <w:r>
        <w:fldChar w:fldCharType="separate"/>
      </w:r>
    </w:p>
    <w:p w14:paraId="0A8F9185" w14:textId="77777777" w:rsidR="00113FE3" w:rsidRDefault="00113FE3" w:rsidP="00113FE3">
      <w:pPr>
        <w:autoSpaceDE w:val="0"/>
        <w:autoSpaceDN w:val="0"/>
        <w:adjustRightInd w:val="0"/>
        <w:ind w:firstLineChars="0" w:firstLine="0"/>
        <w:jc w:val="center"/>
        <w:rPr>
          <w:rFonts w:eastAsiaTheme="minorEastAsia"/>
          <w:kern w:val="0"/>
          <w:sz w:val="24"/>
          <w:szCs w:val="24"/>
          <w14:ligatures w14:val="standardContextual"/>
        </w:rPr>
      </w:pPr>
      <w:r>
        <w:rPr>
          <w:rFonts w:eastAsiaTheme="minorEastAsia"/>
          <w:b/>
          <w:bCs/>
          <w:color w:val="000000"/>
          <w:kern w:val="0"/>
          <w:sz w:val="40"/>
          <w:szCs w:val="40"/>
          <w14:ligatures w14:val="standardContextual"/>
        </w:rPr>
        <w:lastRenderedPageBreak/>
        <w:t>References:</w:t>
      </w:r>
    </w:p>
    <w:p w14:paraId="40CE522A" w14:textId="77777777" w:rsidR="00113FE3" w:rsidRDefault="00113FE3" w:rsidP="00113FE3">
      <w:pPr>
        <w:autoSpaceDE w:val="0"/>
        <w:autoSpaceDN w:val="0"/>
        <w:adjustRightInd w:val="0"/>
        <w:spacing w:line="360" w:lineRule="auto"/>
        <w:ind w:left="220" w:firstLineChars="0" w:hanging="220"/>
        <w:rPr>
          <w:rFonts w:eastAsiaTheme="minorEastAsia"/>
          <w:kern w:val="0"/>
          <w:sz w:val="24"/>
          <w:szCs w:val="24"/>
          <w14:ligatures w14:val="standardContextual"/>
        </w:rPr>
      </w:pPr>
      <w:r>
        <w:rPr>
          <w:rFonts w:eastAsiaTheme="minorEastAsia"/>
          <w:color w:val="000000"/>
          <w:kern w:val="0"/>
          <w:sz w:val="20"/>
          <w:szCs w:val="20"/>
          <w14:ligatures w14:val="standardContextual"/>
        </w:rPr>
        <w:t xml:space="preserve"> 1. </w:t>
      </w:r>
      <w:bookmarkStart w:id="1" w:name="_neb0B0EB60F_4D5B_4B08_AF44_3EB724282D9E"/>
      <w:r>
        <w:rPr>
          <w:rFonts w:eastAsiaTheme="minorEastAsia"/>
          <w:color w:val="000000"/>
          <w:kern w:val="0"/>
          <w:sz w:val="20"/>
          <w:szCs w:val="20"/>
          <w14:ligatures w14:val="standardContextual"/>
        </w:rPr>
        <w:t>W. Gao, H. Bai, C. Yan &amp; Y. Chen. Spatiotemporal evolution of natural and anthropogenic nitrogen inputs to Yangtze River Economic Belt from 1952 to 2016. Acta Scientiae Circumstantiae. 39, 3134-3143 (2019).(In Chinese With English Abstract).</w:t>
      </w:r>
      <w:bookmarkEnd w:id="1"/>
    </w:p>
    <w:p w14:paraId="4632ED99" w14:textId="77777777" w:rsidR="00113FE3" w:rsidRDefault="00113FE3" w:rsidP="00113FE3">
      <w:pPr>
        <w:autoSpaceDE w:val="0"/>
        <w:autoSpaceDN w:val="0"/>
        <w:adjustRightInd w:val="0"/>
        <w:spacing w:line="360" w:lineRule="auto"/>
        <w:ind w:left="220" w:firstLineChars="0" w:hanging="220"/>
        <w:rPr>
          <w:rFonts w:eastAsiaTheme="minorEastAsia"/>
          <w:kern w:val="0"/>
          <w:sz w:val="24"/>
          <w:szCs w:val="24"/>
          <w14:ligatures w14:val="standardContextual"/>
        </w:rPr>
      </w:pPr>
      <w:r>
        <w:rPr>
          <w:rFonts w:eastAsiaTheme="minorEastAsia"/>
          <w:color w:val="000000"/>
          <w:kern w:val="0"/>
          <w:sz w:val="20"/>
          <w:szCs w:val="20"/>
          <w14:ligatures w14:val="standardContextual"/>
        </w:rPr>
        <w:t xml:space="preserve"> 2. </w:t>
      </w:r>
      <w:bookmarkStart w:id="2" w:name="_neb33653913_A87D_4A20_9EEE_E56E955662E9"/>
      <w:r>
        <w:rPr>
          <w:rFonts w:eastAsiaTheme="minorEastAsia"/>
          <w:color w:val="000000"/>
          <w:kern w:val="0"/>
          <w:sz w:val="20"/>
          <w:szCs w:val="20"/>
          <w14:ligatures w14:val="standardContextual"/>
        </w:rPr>
        <w:t>W. S. Zhang, J. J. Su, X. Z. Du &amp; X. Y. Li. Net anthropogenic nitrogen inputs to Huaihe River Basin, China during 1990 - 2010. 26, 1831-1839 (2015).(In Chinese With English Abstract).</w:t>
      </w:r>
      <w:bookmarkEnd w:id="2"/>
    </w:p>
    <w:p w14:paraId="2AD1E658" w14:textId="77777777" w:rsidR="00113FE3" w:rsidRDefault="00113FE3" w:rsidP="00113FE3">
      <w:pPr>
        <w:autoSpaceDE w:val="0"/>
        <w:autoSpaceDN w:val="0"/>
        <w:adjustRightInd w:val="0"/>
        <w:spacing w:line="360" w:lineRule="auto"/>
        <w:ind w:left="220" w:firstLineChars="0" w:hanging="220"/>
        <w:rPr>
          <w:rFonts w:eastAsiaTheme="minorEastAsia"/>
          <w:kern w:val="0"/>
          <w:sz w:val="24"/>
          <w:szCs w:val="24"/>
          <w14:ligatures w14:val="standardContextual"/>
        </w:rPr>
      </w:pPr>
      <w:r>
        <w:rPr>
          <w:rFonts w:eastAsiaTheme="minorEastAsia"/>
          <w:color w:val="000000"/>
          <w:kern w:val="0"/>
          <w:sz w:val="20"/>
          <w:szCs w:val="20"/>
          <w14:ligatures w14:val="standardContextual"/>
        </w:rPr>
        <w:t xml:space="preserve"> 3. </w:t>
      </w:r>
      <w:bookmarkStart w:id="3" w:name="_nebF2528A88_D0F7_4C60_A367_EA1F8DFF719C"/>
      <w:r>
        <w:rPr>
          <w:rFonts w:eastAsiaTheme="minorEastAsia"/>
          <w:color w:val="000000"/>
          <w:kern w:val="0"/>
          <w:sz w:val="20"/>
          <w:szCs w:val="20"/>
          <w14:ligatures w14:val="standardContextual"/>
        </w:rPr>
        <w:t xml:space="preserve">Hong, B., Swaney, D. P. &amp; Howarth, R. W. A Toolbox for Calculating Net Anthropogenic Nitrogen Inputs (NANI). </w:t>
      </w:r>
      <w:r>
        <w:rPr>
          <w:rFonts w:eastAsiaTheme="minorEastAsia"/>
          <w:i/>
          <w:iCs/>
          <w:color w:val="000000"/>
          <w:kern w:val="0"/>
          <w:sz w:val="20"/>
          <w:szCs w:val="20"/>
          <w14:ligatures w14:val="standardContextual"/>
        </w:rPr>
        <w:t>Environ Modell Softw</w:t>
      </w:r>
      <w:r>
        <w:rPr>
          <w:rFonts w:eastAsiaTheme="minorEastAsia"/>
          <w:color w:val="000000"/>
          <w:kern w:val="0"/>
          <w:sz w:val="20"/>
          <w:szCs w:val="20"/>
          <w14:ligatures w14:val="standardContextual"/>
        </w:rPr>
        <w:t>. 26, 623-633 (2011).</w:t>
      </w:r>
      <w:bookmarkEnd w:id="3"/>
    </w:p>
    <w:p w14:paraId="517E76B0" w14:textId="77777777" w:rsidR="00113FE3" w:rsidRDefault="00113FE3" w:rsidP="00113FE3">
      <w:pPr>
        <w:autoSpaceDE w:val="0"/>
        <w:autoSpaceDN w:val="0"/>
        <w:adjustRightInd w:val="0"/>
        <w:spacing w:line="360" w:lineRule="auto"/>
        <w:ind w:left="220" w:firstLineChars="0" w:hanging="220"/>
        <w:rPr>
          <w:rFonts w:eastAsiaTheme="minorEastAsia"/>
          <w:kern w:val="0"/>
          <w:sz w:val="24"/>
          <w:szCs w:val="24"/>
          <w14:ligatures w14:val="standardContextual"/>
        </w:rPr>
      </w:pPr>
      <w:r>
        <w:rPr>
          <w:rFonts w:eastAsiaTheme="minorEastAsia"/>
          <w:color w:val="000000"/>
          <w:kern w:val="0"/>
          <w:sz w:val="20"/>
          <w:szCs w:val="20"/>
          <w14:ligatures w14:val="standardContextual"/>
        </w:rPr>
        <w:t xml:space="preserve"> 4. </w:t>
      </w:r>
      <w:bookmarkStart w:id="4" w:name="_nebD5F81BB4_6694_4F59_9D40_B66332FE28F3"/>
      <w:r>
        <w:rPr>
          <w:rFonts w:eastAsiaTheme="minorEastAsia"/>
          <w:color w:val="000000"/>
          <w:kern w:val="0"/>
          <w:sz w:val="20"/>
          <w:szCs w:val="20"/>
          <w14:ligatures w14:val="standardContextual"/>
        </w:rPr>
        <w:t xml:space="preserve">Hong, B., Swaney, D. P. &amp; Howarth, R. W. Estimating Net Anthropogenic Nitrogen Inputs to U.S. Watersheds: Comparison of  Methodologies. </w:t>
      </w:r>
      <w:r>
        <w:rPr>
          <w:rFonts w:eastAsiaTheme="minorEastAsia"/>
          <w:i/>
          <w:iCs/>
          <w:color w:val="000000"/>
          <w:kern w:val="0"/>
          <w:sz w:val="20"/>
          <w:szCs w:val="20"/>
          <w14:ligatures w14:val="standardContextual"/>
        </w:rPr>
        <w:t>Environ Sci Technol</w:t>
      </w:r>
      <w:r>
        <w:rPr>
          <w:rFonts w:eastAsiaTheme="minorEastAsia"/>
          <w:color w:val="000000"/>
          <w:kern w:val="0"/>
          <w:sz w:val="20"/>
          <w:szCs w:val="20"/>
          <w14:ligatures w14:val="standardContextual"/>
        </w:rPr>
        <w:t>. 47, 5199-5207 (2013).</w:t>
      </w:r>
      <w:bookmarkEnd w:id="4"/>
    </w:p>
    <w:p w14:paraId="7B9C2B08" w14:textId="77777777" w:rsidR="00113FE3" w:rsidRDefault="00113FE3" w:rsidP="00113FE3">
      <w:pPr>
        <w:autoSpaceDE w:val="0"/>
        <w:autoSpaceDN w:val="0"/>
        <w:adjustRightInd w:val="0"/>
        <w:spacing w:line="360" w:lineRule="auto"/>
        <w:ind w:left="220" w:firstLineChars="0" w:hanging="220"/>
        <w:rPr>
          <w:rFonts w:eastAsiaTheme="minorEastAsia"/>
          <w:kern w:val="0"/>
          <w:sz w:val="24"/>
          <w:szCs w:val="24"/>
          <w14:ligatures w14:val="standardContextual"/>
        </w:rPr>
      </w:pPr>
      <w:r>
        <w:rPr>
          <w:rFonts w:eastAsiaTheme="minorEastAsia"/>
          <w:color w:val="000000"/>
          <w:kern w:val="0"/>
          <w:sz w:val="20"/>
          <w:szCs w:val="20"/>
          <w14:ligatures w14:val="standardContextual"/>
        </w:rPr>
        <w:t xml:space="preserve"> 5. </w:t>
      </w:r>
      <w:bookmarkStart w:id="5" w:name="_neb3ECF59F0_ADAB_4AF2_937F_C1ADE85CFAAB"/>
      <w:r>
        <w:rPr>
          <w:rFonts w:eastAsiaTheme="minorEastAsia"/>
          <w:color w:val="000000"/>
          <w:kern w:val="0"/>
          <w:sz w:val="20"/>
          <w:szCs w:val="20"/>
          <w14:ligatures w14:val="standardContextual"/>
        </w:rPr>
        <w:t>W. Gao, B. Gao, Z. Yan &amp; Y. Liu. Evolution of anthropogenic nitrogen and phosphorus inputs to Lake Poyang Basin and its' effect on water quality of lake. Acta Scientiae Circumstantiae. 36, 3137-3145 (2016).(In Chinese With English Abstract).</w:t>
      </w:r>
      <w:bookmarkEnd w:id="5"/>
    </w:p>
    <w:p w14:paraId="312BBDBB" w14:textId="77777777" w:rsidR="00113FE3" w:rsidRDefault="00113FE3" w:rsidP="00113FE3">
      <w:pPr>
        <w:autoSpaceDE w:val="0"/>
        <w:autoSpaceDN w:val="0"/>
        <w:adjustRightInd w:val="0"/>
        <w:spacing w:line="360" w:lineRule="auto"/>
        <w:ind w:left="220" w:firstLineChars="0" w:hanging="220"/>
        <w:rPr>
          <w:rFonts w:eastAsiaTheme="minorEastAsia"/>
          <w:kern w:val="0"/>
          <w:sz w:val="24"/>
          <w:szCs w:val="24"/>
          <w14:ligatures w14:val="standardContextual"/>
        </w:rPr>
      </w:pPr>
      <w:r>
        <w:rPr>
          <w:rFonts w:eastAsiaTheme="minorEastAsia"/>
          <w:color w:val="000000"/>
          <w:kern w:val="0"/>
          <w:sz w:val="20"/>
          <w:szCs w:val="20"/>
          <w14:ligatures w14:val="standardContextual"/>
        </w:rPr>
        <w:t xml:space="preserve"> 6. </w:t>
      </w:r>
      <w:bookmarkStart w:id="6" w:name="_nebBCF34FC7_799F_4414_899D_C67D8C7D2650"/>
      <w:r>
        <w:rPr>
          <w:rFonts w:eastAsiaTheme="minorEastAsia"/>
          <w:color w:val="000000"/>
          <w:kern w:val="0"/>
          <w:sz w:val="20"/>
          <w:szCs w:val="20"/>
          <w14:ligatures w14:val="standardContextual"/>
        </w:rPr>
        <w:t>F. H. Wang et al. The estimation of the production amount of animal manure and its environmental effect in China. 614-617 (2006).(In Chinese With English Abstract).</w:t>
      </w:r>
      <w:bookmarkEnd w:id="6"/>
    </w:p>
    <w:p w14:paraId="761A7118" w14:textId="77777777" w:rsidR="00113FE3" w:rsidRDefault="00113FE3" w:rsidP="00113FE3">
      <w:pPr>
        <w:autoSpaceDE w:val="0"/>
        <w:autoSpaceDN w:val="0"/>
        <w:adjustRightInd w:val="0"/>
        <w:spacing w:line="360" w:lineRule="auto"/>
        <w:ind w:left="220" w:firstLineChars="0" w:hanging="220"/>
        <w:rPr>
          <w:rFonts w:eastAsiaTheme="minorEastAsia"/>
          <w:kern w:val="0"/>
          <w:sz w:val="24"/>
          <w:szCs w:val="24"/>
          <w14:ligatures w14:val="standardContextual"/>
        </w:rPr>
      </w:pPr>
      <w:r>
        <w:rPr>
          <w:rFonts w:eastAsiaTheme="minorEastAsia"/>
          <w:color w:val="000000"/>
          <w:kern w:val="0"/>
          <w:sz w:val="20"/>
          <w:szCs w:val="20"/>
          <w14:ligatures w14:val="standardContextual"/>
        </w:rPr>
        <w:t xml:space="preserve"> 7. </w:t>
      </w:r>
      <w:bookmarkStart w:id="7" w:name="_neb77C07441_8376_40C9_893C_F1C36A9B3F3C"/>
      <w:r>
        <w:rPr>
          <w:rFonts w:eastAsiaTheme="minorEastAsia"/>
          <w:color w:val="000000"/>
          <w:kern w:val="0"/>
          <w:sz w:val="20"/>
          <w:szCs w:val="20"/>
          <w14:ligatures w14:val="standardContextual"/>
        </w:rPr>
        <w:t xml:space="preserve">Zhai, F. Y. et al. The Status and Trends of Dietary Nutrients Intake of Chinese Population. </w:t>
      </w:r>
      <w:r>
        <w:rPr>
          <w:rFonts w:eastAsiaTheme="minorEastAsia"/>
          <w:i/>
          <w:iCs/>
          <w:color w:val="000000"/>
          <w:kern w:val="0"/>
          <w:sz w:val="20"/>
          <w:szCs w:val="20"/>
          <w14:ligatures w14:val="standardContextual"/>
        </w:rPr>
        <w:t>Acta Nutrimenta Sinica</w:t>
      </w:r>
      <w:r>
        <w:rPr>
          <w:rFonts w:eastAsiaTheme="minorEastAsia"/>
          <w:color w:val="000000"/>
          <w:kern w:val="0"/>
          <w:sz w:val="20"/>
          <w:szCs w:val="20"/>
          <w14:ligatures w14:val="standardContextual"/>
        </w:rPr>
        <w:t>. 27, 181-184 (2004).</w:t>
      </w:r>
      <w:bookmarkEnd w:id="7"/>
    </w:p>
    <w:p w14:paraId="6F718E77" w14:textId="77777777" w:rsidR="00113FE3" w:rsidRDefault="00113FE3" w:rsidP="00113FE3">
      <w:pPr>
        <w:autoSpaceDE w:val="0"/>
        <w:autoSpaceDN w:val="0"/>
        <w:adjustRightInd w:val="0"/>
        <w:spacing w:line="360" w:lineRule="auto"/>
        <w:ind w:left="220" w:firstLineChars="0" w:hanging="220"/>
        <w:rPr>
          <w:rFonts w:eastAsiaTheme="minorEastAsia"/>
          <w:kern w:val="0"/>
          <w:sz w:val="24"/>
          <w:szCs w:val="24"/>
          <w14:ligatures w14:val="standardContextual"/>
        </w:rPr>
      </w:pPr>
      <w:r>
        <w:rPr>
          <w:rFonts w:eastAsiaTheme="minorEastAsia"/>
          <w:color w:val="000000"/>
          <w:kern w:val="0"/>
          <w:sz w:val="20"/>
          <w:szCs w:val="20"/>
          <w14:ligatures w14:val="standardContextual"/>
        </w:rPr>
        <w:t xml:space="preserve"> 8. </w:t>
      </w:r>
      <w:bookmarkStart w:id="8" w:name="_neb0C09EBE0_AC6E_4B6E_B873_FCBB0F232817"/>
      <w:r>
        <w:rPr>
          <w:rFonts w:eastAsiaTheme="minorEastAsia"/>
          <w:color w:val="000000"/>
          <w:kern w:val="0"/>
          <w:sz w:val="20"/>
          <w:szCs w:val="20"/>
          <w14:ligatures w14:val="standardContextual"/>
        </w:rPr>
        <w:t>M. Cao et al. Estimating net anthropogenic nitrogen inputs and riverine export in a subtropical watershed</w:t>
      </w:r>
      <w:r>
        <w:rPr>
          <w:rFonts w:ascii="宋体" w:cs="宋体" w:hint="eastAsia"/>
          <w:color w:val="000000"/>
          <w:kern w:val="0"/>
          <w:sz w:val="20"/>
          <w:szCs w:val="20"/>
          <w14:ligatures w14:val="standardContextual"/>
        </w:rPr>
        <w:t>：</w:t>
      </w:r>
      <w:r>
        <w:rPr>
          <w:rFonts w:eastAsiaTheme="minorEastAsia"/>
          <w:color w:val="000000"/>
          <w:kern w:val="0"/>
          <w:sz w:val="20"/>
          <w:szCs w:val="20"/>
          <w14:ligatures w14:val="standardContextual"/>
        </w:rPr>
        <w:t xml:space="preserve"> A case study of Dongjiang River. 43, 428-439 (2023).(In Chinese With English Abstract).</w:t>
      </w:r>
      <w:bookmarkEnd w:id="8"/>
    </w:p>
    <w:p w14:paraId="72736908" w14:textId="77777777" w:rsidR="00113FE3" w:rsidRDefault="00113FE3" w:rsidP="00113FE3">
      <w:pPr>
        <w:autoSpaceDE w:val="0"/>
        <w:autoSpaceDN w:val="0"/>
        <w:adjustRightInd w:val="0"/>
        <w:spacing w:line="360" w:lineRule="auto"/>
        <w:ind w:left="220" w:firstLineChars="0" w:hanging="220"/>
        <w:rPr>
          <w:rFonts w:eastAsiaTheme="minorEastAsia"/>
          <w:kern w:val="0"/>
          <w:sz w:val="24"/>
          <w:szCs w:val="24"/>
          <w14:ligatures w14:val="standardContextual"/>
        </w:rPr>
      </w:pPr>
      <w:r>
        <w:rPr>
          <w:rFonts w:eastAsiaTheme="minorEastAsia"/>
          <w:color w:val="000000"/>
          <w:kern w:val="0"/>
          <w:sz w:val="20"/>
          <w:szCs w:val="20"/>
          <w14:ligatures w14:val="standardContextual"/>
        </w:rPr>
        <w:t xml:space="preserve"> 9. </w:t>
      </w:r>
      <w:bookmarkStart w:id="9" w:name="_neb23683034_2D07_45FF_8993_A7B12584ECAD"/>
      <w:r>
        <w:rPr>
          <w:rFonts w:eastAsiaTheme="minorEastAsia"/>
          <w:color w:val="000000"/>
          <w:kern w:val="0"/>
          <w:sz w:val="20"/>
          <w:szCs w:val="20"/>
          <w14:ligatures w14:val="standardContextual"/>
        </w:rPr>
        <w:t>W. Gao, H. C. Guo &amp; X. K. Hou. Evaluating City-Scale Net Anthropogenic Nitrogen Input (NANI) in Mainland China. 50, 951-959 (2014).(In Chinese With English Abstract).</w:t>
      </w:r>
      <w:bookmarkEnd w:id="9"/>
    </w:p>
    <w:p w14:paraId="50915735" w14:textId="77777777" w:rsidR="00113FE3" w:rsidRDefault="00113FE3" w:rsidP="00113FE3">
      <w:pPr>
        <w:autoSpaceDE w:val="0"/>
        <w:autoSpaceDN w:val="0"/>
        <w:adjustRightInd w:val="0"/>
        <w:spacing w:line="360" w:lineRule="auto"/>
        <w:ind w:left="220" w:firstLineChars="0" w:hanging="220"/>
        <w:rPr>
          <w:rFonts w:eastAsiaTheme="minorEastAsia"/>
          <w:kern w:val="0"/>
          <w:sz w:val="24"/>
          <w:szCs w:val="24"/>
          <w14:ligatures w14:val="standardContextual"/>
        </w:rPr>
      </w:pPr>
      <w:r>
        <w:rPr>
          <w:rFonts w:eastAsiaTheme="minorEastAsia"/>
          <w:color w:val="000000"/>
          <w:kern w:val="0"/>
          <w:sz w:val="20"/>
          <w:szCs w:val="20"/>
          <w14:ligatures w14:val="standardContextual"/>
        </w:rPr>
        <w:t xml:space="preserve">10. </w:t>
      </w:r>
      <w:bookmarkStart w:id="10" w:name="_neb3A6ABAC0_AF61_464C_9EC0_C6F6345AB607"/>
      <w:r>
        <w:rPr>
          <w:rFonts w:eastAsiaTheme="minorEastAsia"/>
          <w:color w:val="000000"/>
          <w:kern w:val="0"/>
          <w:sz w:val="20"/>
          <w:szCs w:val="20"/>
          <w14:ligatures w14:val="standardContextual"/>
        </w:rPr>
        <w:t xml:space="preserve">Lu, C. &amp; Tian, H. Half-Century Nitrogen Deposition Increase Across China: A Gridded Time-Series Data Set for Regional Environmental Assessments. </w:t>
      </w:r>
      <w:r>
        <w:rPr>
          <w:rFonts w:eastAsiaTheme="minorEastAsia"/>
          <w:i/>
          <w:iCs/>
          <w:color w:val="000000"/>
          <w:kern w:val="0"/>
          <w:sz w:val="20"/>
          <w:szCs w:val="20"/>
          <w14:ligatures w14:val="standardContextual"/>
        </w:rPr>
        <w:t>Atmos Environ</w:t>
      </w:r>
      <w:r>
        <w:rPr>
          <w:rFonts w:eastAsiaTheme="minorEastAsia"/>
          <w:color w:val="000000"/>
          <w:kern w:val="0"/>
          <w:sz w:val="20"/>
          <w:szCs w:val="20"/>
          <w14:ligatures w14:val="standardContextual"/>
        </w:rPr>
        <w:t>. 97, 68-74 (2014).</w:t>
      </w:r>
      <w:bookmarkEnd w:id="10"/>
    </w:p>
    <w:p w14:paraId="72CB7D78" w14:textId="77777777" w:rsidR="00113FE3" w:rsidRDefault="00113FE3" w:rsidP="00113FE3">
      <w:pPr>
        <w:autoSpaceDE w:val="0"/>
        <w:autoSpaceDN w:val="0"/>
        <w:adjustRightInd w:val="0"/>
        <w:spacing w:line="360" w:lineRule="auto"/>
        <w:ind w:left="220" w:firstLineChars="0" w:hanging="220"/>
        <w:rPr>
          <w:rFonts w:eastAsiaTheme="minorEastAsia"/>
          <w:kern w:val="0"/>
          <w:sz w:val="24"/>
          <w:szCs w:val="24"/>
          <w14:ligatures w14:val="standardContextual"/>
        </w:rPr>
      </w:pPr>
      <w:r>
        <w:rPr>
          <w:rFonts w:eastAsiaTheme="minorEastAsia"/>
          <w:color w:val="000000"/>
          <w:kern w:val="0"/>
          <w:sz w:val="20"/>
          <w:szCs w:val="20"/>
          <w14:ligatures w14:val="standardContextual"/>
        </w:rPr>
        <w:t xml:space="preserve">11. </w:t>
      </w:r>
      <w:bookmarkStart w:id="11" w:name="_neb60486BCB_96BB_41FE_BD2C_66125C3C4555"/>
      <w:r>
        <w:rPr>
          <w:rFonts w:eastAsiaTheme="minorEastAsia"/>
          <w:color w:val="000000"/>
          <w:kern w:val="0"/>
          <w:sz w:val="20"/>
          <w:szCs w:val="20"/>
          <w14:ligatures w14:val="standardContextual"/>
        </w:rPr>
        <w:t xml:space="preserve">Howarth, R. W. et al. The Influence of Climate On Average Nitrogen Export From Large Watersheds in the Northeastern United States. </w:t>
      </w:r>
      <w:r>
        <w:rPr>
          <w:rFonts w:eastAsiaTheme="minorEastAsia"/>
          <w:i/>
          <w:iCs/>
          <w:color w:val="000000"/>
          <w:kern w:val="0"/>
          <w:sz w:val="20"/>
          <w:szCs w:val="20"/>
          <w14:ligatures w14:val="standardContextual"/>
        </w:rPr>
        <w:t>Biogeochemistry</w:t>
      </w:r>
      <w:r>
        <w:rPr>
          <w:rFonts w:eastAsiaTheme="minorEastAsia"/>
          <w:color w:val="000000"/>
          <w:kern w:val="0"/>
          <w:sz w:val="20"/>
          <w:szCs w:val="20"/>
          <w14:ligatures w14:val="standardContextual"/>
        </w:rPr>
        <w:t>. 79, 163-186 (2006).</w:t>
      </w:r>
      <w:bookmarkEnd w:id="11"/>
    </w:p>
    <w:p w14:paraId="0399500C" w14:textId="77777777" w:rsidR="00113FE3" w:rsidRDefault="00113FE3" w:rsidP="00113FE3">
      <w:pPr>
        <w:autoSpaceDE w:val="0"/>
        <w:autoSpaceDN w:val="0"/>
        <w:adjustRightInd w:val="0"/>
        <w:spacing w:line="360" w:lineRule="auto"/>
        <w:ind w:left="220" w:firstLineChars="0" w:hanging="220"/>
        <w:rPr>
          <w:rFonts w:eastAsiaTheme="minorEastAsia"/>
          <w:kern w:val="0"/>
          <w:sz w:val="24"/>
          <w:szCs w:val="24"/>
          <w14:ligatures w14:val="standardContextual"/>
        </w:rPr>
      </w:pPr>
      <w:r>
        <w:rPr>
          <w:rFonts w:eastAsiaTheme="minorEastAsia"/>
          <w:color w:val="000000"/>
          <w:kern w:val="0"/>
          <w:sz w:val="20"/>
          <w:szCs w:val="20"/>
          <w14:ligatures w14:val="standardContextual"/>
        </w:rPr>
        <w:t xml:space="preserve">12. </w:t>
      </w:r>
      <w:bookmarkStart w:id="12" w:name="_neb053F3D64_D182_477C_8B1B_3BF14123AF7A"/>
      <w:r>
        <w:rPr>
          <w:rFonts w:eastAsiaTheme="minorEastAsia"/>
          <w:color w:val="000000"/>
          <w:kern w:val="0"/>
          <w:sz w:val="20"/>
          <w:szCs w:val="20"/>
          <w14:ligatures w14:val="standardContextual"/>
        </w:rPr>
        <w:t>T. Gou et al. Analysis of nitrogen and phosphorus emissions from agricultural non-point sources in the source area of Dongjiang River based on output coefficient model. 1-13.(In Chinese With English Abstract).</w:t>
      </w:r>
      <w:bookmarkEnd w:id="12"/>
    </w:p>
    <w:p w14:paraId="2BA07BC2" w14:textId="77777777" w:rsidR="00113FE3" w:rsidRDefault="00113FE3" w:rsidP="00113FE3">
      <w:pPr>
        <w:autoSpaceDE w:val="0"/>
        <w:autoSpaceDN w:val="0"/>
        <w:adjustRightInd w:val="0"/>
        <w:spacing w:line="360" w:lineRule="auto"/>
        <w:ind w:left="220" w:firstLineChars="0" w:hanging="220"/>
        <w:rPr>
          <w:rFonts w:eastAsiaTheme="minorEastAsia"/>
          <w:kern w:val="0"/>
          <w:sz w:val="24"/>
          <w:szCs w:val="24"/>
          <w14:ligatures w14:val="standardContextual"/>
        </w:rPr>
      </w:pPr>
      <w:r>
        <w:rPr>
          <w:rFonts w:eastAsiaTheme="minorEastAsia"/>
          <w:color w:val="000000"/>
          <w:kern w:val="0"/>
          <w:sz w:val="20"/>
          <w:szCs w:val="20"/>
          <w14:ligatures w14:val="standardContextual"/>
        </w:rPr>
        <w:t xml:space="preserve">13. </w:t>
      </w:r>
      <w:bookmarkStart w:id="13" w:name="_neb4CD6EAE5_319D_4812_986F_B8372C9CEBBC"/>
      <w:r>
        <w:rPr>
          <w:rFonts w:eastAsiaTheme="minorEastAsia"/>
          <w:color w:val="000000"/>
          <w:kern w:val="0"/>
          <w:sz w:val="20"/>
          <w:szCs w:val="20"/>
          <w14:ligatures w14:val="standardContextual"/>
        </w:rPr>
        <w:t>Chen, Y. Spatiotemporal Analysis of Agricultural Non-Point Source Pollution in Jiangxi Province Based On Improved Output Coefficient Model. (2023).</w:t>
      </w:r>
      <w:bookmarkEnd w:id="13"/>
    </w:p>
    <w:p w14:paraId="36BCDD68" w14:textId="5DA75F84" w:rsidR="00A24AF2" w:rsidRDefault="00282934" w:rsidP="00282934">
      <w:pPr>
        <w:ind w:firstLine="420"/>
        <w:jc w:val="center"/>
      </w:pPr>
      <w:r>
        <w:fldChar w:fldCharType="end"/>
      </w:r>
    </w:p>
    <w:sectPr w:rsidR="00A24AF2" w:rsidSect="004B09A0">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7BF53" w14:textId="77777777" w:rsidR="0068628C" w:rsidRDefault="0068628C" w:rsidP="00E621AE">
      <w:pPr>
        <w:ind w:firstLine="420"/>
      </w:pPr>
      <w:r>
        <w:separator/>
      </w:r>
    </w:p>
  </w:endnote>
  <w:endnote w:type="continuationSeparator" w:id="0">
    <w:p w14:paraId="726B56A5" w14:textId="77777777" w:rsidR="0068628C" w:rsidRDefault="0068628C" w:rsidP="00E621AE">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F832" w14:textId="77777777" w:rsidR="00EB674F" w:rsidRDefault="00EB674F">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410D4" w14:textId="77777777" w:rsidR="00EB674F" w:rsidRDefault="00EB674F">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093C" w14:textId="77777777" w:rsidR="00EB674F" w:rsidRDefault="00EB674F">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442CE" w14:textId="77777777" w:rsidR="0068628C" w:rsidRDefault="0068628C" w:rsidP="00E621AE">
      <w:pPr>
        <w:ind w:firstLine="420"/>
      </w:pPr>
      <w:r>
        <w:separator/>
      </w:r>
    </w:p>
  </w:footnote>
  <w:footnote w:type="continuationSeparator" w:id="0">
    <w:p w14:paraId="38A2F7BA" w14:textId="77777777" w:rsidR="0068628C" w:rsidRDefault="0068628C" w:rsidP="00E621AE">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33B5" w14:textId="77777777" w:rsidR="00EB674F" w:rsidRDefault="00EB674F">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4898" w14:textId="77777777" w:rsidR="00EB674F" w:rsidRPr="004B09A0" w:rsidRDefault="00EB674F" w:rsidP="004B09A0">
    <w:pPr>
      <w:pStyle w:val="a3"/>
      <w:ind w:firstLineChars="0" w:firstLine="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91FD" w14:textId="77777777" w:rsidR="00EB674F" w:rsidRDefault="00EB674F">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trackRevisions/>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332DEA5-2BB3-46D7-9C34-A191ACF1202D}" w:val=" ADDIN NE.Ref.{0332DEA5-2BB3-46D7-9C34-A191ACF1202D}&lt;Citation&gt;&lt;Group&gt;&lt;References&gt;&lt;Item&gt;&lt;ID&gt;573&lt;/ID&gt;&lt;UID&gt;{D87CC00A-2F4B-40BB-829A-318804BB1793}&lt;/UID&gt;&lt;Title&gt;1952—2016年长江经济带天然与人为氮输入时空演变趋势&lt;/Title&gt;&lt;Template&gt;Journal Article&lt;/Template&gt;&lt;Star&gt;0&lt;/Star&gt;&lt;Tag&gt;0&lt;/Tag&gt;&lt;Author&gt;高伟; 白辉; 严长安; 陈岩&lt;/Author&gt;&lt;Year&gt;2019&lt;/Year&gt;&lt;Details&gt;&lt;_author_adr&gt;云南大学生态学与环境学院;环境保护部环境规划院长江经济带生态环境联合研究中心;昆明市环境科学研究院;&lt;/_author_adr&gt;&lt;_cited_count&gt;20&lt;/_cited_count&gt;&lt;_collection_scope&gt;PKU;CSCD&lt;/_collection_scope&gt;&lt;_created&gt;65672391&lt;/_created&gt;&lt;_db_provider&gt;CNKI&lt;/_db_provider&gt;&lt;_db_updated&gt;CNKI - Reference&lt;/_db_updated&gt;&lt;_doi&gt;10.13671/j.hjkxxb.2019.0143&lt;/_doi&gt;&lt;_isbn&gt;0253-2468&lt;/_isbn&gt;&lt;_issue&gt;09&lt;/_issue&gt;&lt;_journal&gt;环境科学学报&lt;/_journal&gt;&lt;_keywords&gt;人类活动净氮输入;天然固氮;长江经济带;营养盐;EKC曲线;活性氮&lt;/_keywords&gt;&lt;_modified&gt;65672392&lt;/_modified&gt;&lt;_pages&gt;3134-3143&lt;/_pages&gt;&lt;_url&gt;https://link.cnki.net/doi/10.13671/j.hjkxxb.2019.0143&lt;/_url&gt;&lt;_volume&gt;39&lt;/_volume&gt;&lt;_translated_author&gt;Gao, Wei;Bai, Hui;Yan, Zhang&amp;apos;an;Chen, Yan&lt;/_translated_author&gt;&lt;_language&gt;Chinese&lt;/_language&gt;&lt;/Details&gt;&lt;Extra&gt;&lt;DBUID&gt;{03752FAB-B361-4F66-989B-C711D9502F78}&lt;/DBUID&gt;&lt;/Extra&gt;&lt;/Item&gt;&lt;/References&gt;&lt;/Group&gt;&lt;/Citation&gt;_x000a_"/>
    <w:docVar w:name="NE.Ref{0451A96B-4A59-4461-83C0-F54A0570ADBB}" w:val=" ADDIN NE.Ref.{0451A96B-4A59-4461-83C0-F54A0570ADBB}&lt;Citation&gt;&lt;Group&gt;&lt;References&gt;&lt;Item&gt;&lt;ID&gt;631&lt;/ID&gt;&lt;UID&gt;{2904DC00-991C-4A24-8346-588468B64F73}&lt;/UID&gt;&lt;Title&gt;1990—2010年淮河流域人类活动净氮输入&lt;/Title&gt;&lt;Template&gt;Journal Article&lt;/Template&gt;&lt;Star&gt;0&lt;/Star&gt;&lt;Tag&gt;0&lt;/Tag&gt;&lt;Author&gt;张汪寿; 苏静君; 杜新忠; 李叙勇&lt;/Author&gt;&lt;Year&gt;2015&lt;/Year&gt;&lt;Details&gt;&lt;_author_adr&gt;中国科学院生态环境研究中心/城市与区域生态国家重点实验室;中国科学院大学;&lt;/_author_adr&gt;&lt;_cited_count&gt;37&lt;/_cited_count&gt;&lt;_collection_scope&gt;PKU;CSCD&lt;/_collection_scope&gt;&lt;_created&gt;65742591&lt;/_created&gt;&lt;_db_provider&gt;CNKI&lt;/_db_provider&gt;&lt;_db_updated&gt;CNKI - Reference&lt;/_db_updated&gt;&lt;_doi&gt;10.13287/j.1001-9332.20150331.012&lt;/_doi&gt;&lt;_isbn&gt;1001-9332&lt;/_isbn&gt;&lt;_issue&gt;06&lt;/_issue&gt;&lt;_journal&gt;应用生态学报&lt;/_journal&gt;&lt;_keywords&gt;人类活动净氮输入(NANI);淮河流域;氮污染;氮收支平衡&lt;/_keywords&gt;&lt;_modified&gt;65742591&lt;/_modified&gt;&lt;_pages&gt;1831-1839&lt;/_pages&gt;&lt;_url&gt;https://link.cnki.net/doi/10.13287/j.1001-9332.20150331.012&lt;/_url&gt;&lt;_volume&gt;26&lt;/_volume&gt;&lt;_translated_author&gt;Zhang, Wang shou;Su, Jing jun;Du, Xin zhong;Li, Xu yong&lt;/_translated_author&gt;&lt;/Details&gt;&lt;Extra&gt;&lt;DBUID&gt;{03752FAB-B361-4F66-989B-C711D9502F78}&lt;/DBUID&gt;&lt;/Extra&gt;&lt;/Item&gt;&lt;/References&gt;&lt;/Group&gt;&lt;/Citation&gt;_x000a_"/>
    <w:docVar w:name="NE.Ref{1F92B645-3708-4BA5-A1AB-071FD6C5A1F6}" w:val=" ADDIN NE.Ref.{1F92B645-3708-4BA5-A1AB-071FD6C5A1F6}&lt;Citation&gt;&lt;Group&gt;&lt;References&gt;&lt;Item&gt;&lt;ID&gt;552&lt;/ID&gt;&lt;UID&gt;{121919A5-6C73-46EB-8094-DCA8372D4964}&lt;/UID&gt;&lt;Title&gt;亚热带流域人类活动净氮输入与河流输出响应——以东江为例&lt;/Title&gt;&lt;Template&gt;Journal Article&lt;/Template&gt;&lt;Star&gt;0&lt;/Star&gt;&lt;Tag&gt;0&lt;/Tag&gt;&lt;Author&gt;曹敏; 吴东少; 段仲昭; 陈岩; 张远; 高伟&lt;/Author&gt;&lt;Year&gt;2023&lt;/Year&gt;&lt;Details&gt;&lt;_author_adr&gt;广东工业大学生态环境与资源学院,大湾区城市环境安全与绿色发展教育部重点实验室;云南大学生态学与环境学院,云南省高原山地生态与退化环境修复重点实验室;生态环境部环境规划院,国家环境保护环境规划与政策模拟重点实验室;&lt;/_author_adr&gt;&lt;_cited_count&gt;1&lt;/_cited_count&gt;&lt;_db_provider&gt;CNKI&lt;/_db_provider&gt;&lt;_doi&gt;10.13671/j.hjkxxb.2023.0032&lt;/_doi&gt;&lt;_isbn&gt;0253-2468&lt;/_isbn&gt;&lt;_issue&gt;08&lt;/_issue&gt;&lt;_journal&gt;环境科学学报&lt;/_journal&gt;&lt;_keywords&gt;人类活动净氮输入;河流通量;非点源;东江;营养盐&lt;/_keywords&gt;&lt;_pages&gt;428-439&lt;/_pages&gt;&lt;_url&gt;https://link.cnki.net/doi/10.13671/j.hjkxxb.2023.0032&lt;/_url&gt;&lt;_volume&gt;43&lt;/_volume&gt;&lt;_created&gt;65647727&lt;/_created&gt;&lt;_modified&gt;65647727&lt;/_modified&gt;&lt;_db_updated&gt;CNKI - Reference&lt;/_db_updated&gt;&lt;_collection_scope&gt;PKU;CSCD&lt;/_collection_scope&gt;&lt;_translated_author&gt;Cao, Min;Wu, Dong shao;Duan, Zhong zhao;Chen, Yan;Zhang, Yuan;Gao, Wei&lt;/_translated_author&gt;&lt;/Details&gt;&lt;Extra&gt;&lt;DBUID&gt;{03752FAB-B361-4F66-989B-C711D9502F78}&lt;/DBUID&gt;&lt;/Extra&gt;&lt;/Item&gt;&lt;/References&gt;&lt;/Group&gt;&lt;/Citation&gt;_x000a_"/>
    <w:docVar w:name="NE.Ref{29967E86-90C6-4F3B-972E-6A2556560F24}" w:val=" ADDIN NE.Ref.{29967E86-90C6-4F3B-972E-6A2556560F24}&lt;Citation&gt;&lt;Group&gt;&lt;References&gt;&lt;Item&gt;&lt;ID&gt;821&lt;/ID&gt;&lt;UID&gt;{77C07441-8376-40C9-893C-F1C36A9B3F3C}&lt;/UID&gt;&lt;Title&gt;The status and trends of dietary nutrients intake of Chinese population&lt;/Title&gt;&lt;Template&gt;Journal Article&lt;/Template&gt;&lt;Star&gt;0&lt;/Star&gt;&lt;Tag&gt;0&lt;/Tag&gt;&lt;Author&gt;Zhai, F Y; He, Y N; Wang, Zhihong; Yu, W T; Hu, Yisong; Yang, X G&lt;/Author&gt;&lt;Year&gt;2004&lt;/Year&gt;&lt;Details&gt;&lt;_alternate_title&gt;Acta Nutrimenta Sinica&lt;/_alternate_title&gt;&lt;_date_display&gt;2004/01/01&lt;/_date_display&gt;&lt;_date&gt;2004-01-01&lt;/_date&gt;&lt;_journal&gt;Acta Nutrimenta Sinica&lt;/_journal&gt;&lt;_pages&gt;181-184&lt;/_pages&gt;&lt;_volume&gt;27&lt;/_volume&gt;&lt;_created&gt;65890753&lt;/_created&gt;&lt;_modified&gt;65890753&lt;/_modified&gt;&lt;/Details&gt;&lt;Extra&gt;&lt;DBUID&gt;{03752FAB-B361-4F66-989B-C711D9502F78}&lt;/DBUID&gt;&lt;/Extra&gt;&lt;/Item&gt;&lt;/References&gt;&lt;/Group&gt;&lt;/Citation&gt;_x000a_"/>
    <w:docVar w:name="NE.Ref{2A22ACD8-05E2-4E4C-9F9C-84F9E86820C7}" w:val=" ADDIN NE.Ref.{2A22ACD8-05E2-4E4C-9F9C-84F9E86820C7}&lt;Citation&gt;&lt;Group&gt;&lt;References&gt;&lt;Item&gt;&lt;ID&gt;550&lt;/ID&gt;&lt;UID&gt;{F5B7FB2A-CCEF-49DB-92D6-FB720B47CF23}&lt;/UID&gt;&lt;Title&gt;鄱阳湖流域人为氮磷输入演变及湖泊水环境响应&lt;/Title&gt;&lt;Template&gt;Journal Article&lt;/Template&gt;&lt;Star&gt;0&lt;/Star&gt;&lt;Tag&gt;0&lt;/Tag&gt;&lt;Author&gt;高伟; 高波; 严长安; 刘永&lt;/Author&gt;&lt;Year&gt;2016&lt;/Year&gt;&lt;Details&gt;&lt;_author_adr&gt;云南大学生态学与环境学院;华中农业大学植物科学技术学院;昆明市环境科学研究院;北京大学环境科学与工程学院;&lt;/_author_adr&gt;&lt;_cited_count&gt;85&lt;/_cited_count&gt;&lt;_db_provider&gt;CNKI&lt;/_db_provider&gt;&lt;_doi&gt;10.13671/j.hjkxxb.2015.0779&lt;/_doi&gt;&lt;_isbn&gt;0253-2468&lt;/_isbn&gt;&lt;_issue&gt;09&lt;/_issue&gt;&lt;_journal&gt;环境科学学报&lt;/_journal&gt;&lt;_keywords&gt;营养盐;人类活动净氮输入;人类活动净磷输入;非点源;富营养;鄱阳湖&lt;/_keywords&gt;&lt;_pages&gt;3137-3145&lt;/_pages&gt;&lt;_url&gt;https://link.cnki.net/doi/10.13671/j.hjkxxb.2015.0779&lt;/_url&gt;&lt;_volume&gt;36&lt;/_volume&gt;&lt;_created&gt;65647724&lt;/_created&gt;&lt;_modified&gt;65647725&lt;/_modified&gt;&lt;_db_updated&gt;CNKI - Reference&lt;/_db_updated&gt;&lt;_collection_scope&gt;PKU;CSCD&lt;/_collection_scope&gt;&lt;_translated_author&gt;Gao, Wei;Gao, Bo;Yan, Zhang&amp;apos;an;Liu, Yong&lt;/_translated_author&gt;&lt;/Details&gt;&lt;Extra&gt;&lt;DBUID&gt;{03752FAB-B361-4F66-989B-C711D9502F78}&lt;/DBUID&gt;&lt;/Extra&gt;&lt;/Item&gt;&lt;/References&gt;&lt;/Group&gt;&lt;/Citation&gt;_x000a_"/>
    <w:docVar w:name="NE.Ref{3570657B-8FAD-409F-BC29-47002A09C855}" w:val=" ADDIN NE.Ref.{3570657B-8FAD-409F-BC29-47002A09C855}&lt;Citation&gt;&lt;Group&gt;&lt;References&gt;&lt;Item&gt;&lt;ID&gt;546&lt;/ID&gt;&lt;UID&gt;{9DBD5C8D-CD38-464B-BF4C-078F54049291}&lt;/UID&gt;&lt;Title&gt;我国复合肥发展现状及存在的问题&lt;/Title&gt;&lt;Template&gt;Journal Article&lt;/Template&gt;&lt;Star&gt;0&lt;/Star&gt;&lt;Tag&gt;0&lt;/Tag&gt;&lt;Author&gt;张卫峰; 李亮科; 陈新平; 张福锁&lt;/Author&gt;&lt;Year&gt;2009&lt;/Year&gt;&lt;Details&gt;&lt;_author_adr&gt;中国农业大学资源与环境学院中化化肥农大研发中心;&lt;/_author_adr&gt;&lt;_cited_count&gt;94&lt;/_cited_count&gt;&lt;_db_provider&gt;CNKI&lt;/_db_provider&gt;&lt;_isbn&gt;1007-6220&lt;/_isbn&gt;&lt;_issue&gt;02&lt;/_issue&gt;&lt;_journal&gt;磷肥与复肥&lt;/_journal&gt;&lt;_keywords&gt;中国;复合肥;氮磷钾比例&lt;/_keywords&gt;&lt;_pages&gt;14-16&lt;/_pages&gt;&lt;_url&gt;https://kns.cnki.net/kcms2/article/abstract?v=64ENavj7QCAnIFHmsyvRFDVkO8kunG6d6DVNjoYdPN2QOwtox737zMDXoUpzmq0r3X8zfXrzbvICQHCjMZBpyyaSv2zpSDo2mSRFFkRvykbyh22fJzjsWGkrrPfSqHGcz3EDsmciGl9cPhL2HTB1XWkjF3dYhVVG5MN8bGzElV02OM6AlIuno4Nk-A5YNXXZbvGjFSyhRJk=&amp;amp;uniplatform=NZKPT&amp;amp;language=CHS&lt;/_url&gt;&lt;_volume&gt;24&lt;/_volume&gt;&lt;_created&gt;65647718&lt;/_created&gt;&lt;_modified&gt;65647718&lt;/_modified&gt;&lt;_db_updated&gt;CNKI - Reference&lt;/_db_updated&gt;&lt;_translated_author&gt;Zhang, Wei feng;Li, Liang ke;Chen, Xin ping;Zhang, Fu suo&lt;/_translated_author&gt;&lt;/Details&gt;&lt;Extra&gt;&lt;DBUID&gt;{03752FAB-B361-4F66-989B-C711D9502F78}&lt;/DBUID&gt;&lt;/Extra&gt;&lt;/Item&gt;&lt;/References&gt;&lt;/Group&gt;&lt;/Citation&gt;_x000a_"/>
    <w:docVar w:name="NE.Ref{4013F15F-654E-4547-88CD-A599B3D3CC35}" w:val=" ADDIN NE.Ref.{4013F15F-654E-4547-88CD-A599B3D3CC35}&lt;Citation&gt;&lt;Group&gt;&lt;References&gt;&lt;Item&gt;&lt;ID&gt;695&lt;/ID&gt;&lt;UID&gt;{F053A39A-B835-4E79-9DA3-BCBFB553E219}&lt;/UID&gt;&lt;Title&gt;A toolbox for calculating net anthropogenic nitrogen inputs (NANI)&lt;/Title&gt;&lt;Template&gt;Journal Article&lt;/Template&gt;&lt;Star&gt;0&lt;/Star&gt;&lt;Tag&gt;0&lt;/Tag&gt;&lt;Author&gt;Hong, Bongghi; Swaney, Dennis P; Howarth, Robert W&lt;/Author&gt;&lt;Year&gt;2011&lt;/Year&gt;&lt;Details&gt;&lt;_alternate_title&gt;Environmental Modelling &amp;amp; Software&lt;/_alternate_title&gt;&lt;_collection_scope&gt;SCIE;EI&lt;/_collection_scope&gt;&lt;_created&gt;65859396&lt;/_created&gt;&lt;_date&gt;2011-01-01&lt;/_date&gt;&lt;_date_display&gt;2011&lt;/_date_display&gt;&lt;_doi&gt;https://doi.org/10.1016/j.envsoft.2010.11.012&lt;/_doi&gt;&lt;_impact_factor&gt;   4.800&lt;/_impact_factor&gt;&lt;_isbn&gt;1364-8152&lt;/_isbn&gt;&lt;_issue&gt;5&lt;/_issue&gt;&lt;_journal&gt;Environmental Modelling &amp;amp; Software&lt;/_journal&gt;&lt;_keywords&gt;Nitrogen; Anthropogenic; Watershed; Toolbox; Synthesis&lt;/_keywords&gt;&lt;_modified&gt;65859396&lt;/_modified&gt;&lt;_pages&gt;623-633&lt;/_pages&gt;&lt;_social_category&gt;计算机：跨学科应用(3) &amp;amp; 工程：环境(2) &amp;amp; 环境科学(2) &amp;amp; 水资源(2)&lt;/_social_category&gt;&lt;_url&gt;https://www.sciencedirect.com/science/article/pii/S1364815210003166&lt;/_url&gt;&lt;_volume&gt;26&lt;/_volume&gt;&lt;/Details&gt;&lt;Extra&gt;&lt;DBUID&gt;{03752FAB-B361-4F66-989B-C711D9502F78}&lt;/DBUID&gt;&lt;/Extra&gt;&lt;/Item&gt;&lt;/References&gt;&lt;/Group&gt;&lt;/Citation&gt;_x000a_"/>
    <w:docVar w:name="NE.Ref{40EDCD86-07FD-4122-BDB9-B0EAC6D2B8A1}" w:val=" ADDIN NE.Ref.{40EDCD86-07FD-4122-BDB9-B0EAC6D2B8A1}&lt;Citation&gt;&lt;Group&gt;&lt;References&gt;&lt;Item&gt;&lt;ID&gt;554&lt;/ID&gt;&lt;UID&gt;{95A7A40D-D347-4BB3-B8B8-D91C6E09C526}&lt;/UID&gt;&lt;Title&gt;基于输出系数模型的东江源头区农业面源氮磷排放特征分析&lt;/Title&gt;&lt;Template&gt;Journal Article&lt;/Template&gt;&lt;Star&gt;0&lt;/Star&gt;&lt;Tag&gt;0&lt;/Tag&gt;&lt;Author&gt;苟婷; 裴德富; 梁荣昌; 佘磊; 杨珺; 马千里; 赵学敏; 赵瑞; 姚玲爱&lt;/Author&gt;&lt;Year&gt;0&lt;/Year&gt;&lt;Details&gt;&lt;_author_adr&gt;生态环境部华南环境科学研究所(生态环境部生态环境应急研究所);沈阳建筑大学市政与环境工程学院;太原师范学院经济与管理学院;&lt;/_author_adr&gt;&lt;_db_provider&gt;CNKI&lt;/_db_provider&gt;&lt;_doi&gt;10.19674/j.cnki.issn1000-6923.20230802.012&lt;/_doi&gt;&lt;_isbn&gt;1000-6923&lt;/_isbn&gt;&lt;_journal&gt;中国环境科学&lt;/_journal&gt;&lt;_keywords&gt;改进输出系数法;农业面源污染负荷;畜禽养殖源;农村生活源;农业种植源&lt;/_keywords&gt;&lt;_pages&gt;1-13&lt;/_pages&gt;&lt;_url&gt;https://link.cnki.net/doi/10.19674/j.cnki.issn1000-6923.20230802.012&lt;/_url&gt;&lt;_created&gt;65647729&lt;/_created&gt;&lt;_modified&gt;65647729&lt;/_modified&gt;&lt;_db_updated&gt;CNKI - Reference&lt;/_db_updated&gt;&lt;_translated_author&gt;Gou, Ting;Pei, De fu;Liang, Rong chang;She, Lei;Yang, Jun;Ma, Qian li;Zhao, Xue min;Zhao, Rui;Yao, Ling&amp;apos;ai&lt;/_translated_author&gt;&lt;/Details&gt;&lt;Extra&gt;&lt;DBUID&gt;{03752FAB-B361-4F66-989B-C711D9502F78}&lt;/DBUID&gt;&lt;/Extra&gt;&lt;/Item&gt;&lt;/References&gt;&lt;/Group&gt;&lt;/Citation&gt;_x000a_"/>
    <w:docVar w:name="NE.Ref{55E97453-4B6B-4C14-BDD2-FBF07D107EF3}" w:val=" ADDIN NE.Ref.{55E97453-4B6B-4C14-BDD2-FBF07D107EF3}&lt;Citation&gt;&lt;Group&gt;&lt;References&gt;&lt;Item&gt;&lt;ID&gt;551&lt;/ID&gt;&lt;UID&gt;{6C72B7B3-87A2-4CAF-9A52-939283FAA723}&lt;/UID&gt;&lt;Title&gt;中国城乡居民膳食营养素摄入状况及变化趋势&lt;/Title&gt;&lt;Template&gt;Journal Article&lt;/Template&gt;&lt;Star&gt;0&lt;/Star&gt;&lt;Tag&gt;0&lt;/Tag&gt;&lt;Author&gt;翟凤英何宇娜王志宏于文涛胡以松&lt;/Author&gt;&lt;Year&gt;2005&lt;/Year&gt;&lt;Details&gt;&lt;_author_adr&gt;中国疾病预防控制中心营养与食品安全所,中国疾病预防控制中心营养与食品安全所,中国疾病预防控制中心营养与食品安全所,中国疾病预防控制中心营养与食品安全所,中国疾病预防控制中心营养与食品安全所,中国疾病预防控制中心营养与食品安全所 北京100050_x000d__x000a_,北京100050_x000d__x000a_,北京100050_x000d__x000a_,北京100050_x000d__x000a_,北京100050_x000d__x000a_,北京100050&lt;/_author_adr&gt;&lt;_cited_count&gt;174&lt;/_cited_count&gt;&lt;_db_provider&gt;CNKI&lt;/_db_provider&gt;&lt;_isbn&gt;0512-7955&lt;/_isbn&gt;&lt;_issue&gt;03&lt;/_issue&gt;&lt;_journal&gt;营养学报&lt;/_journal&gt;&lt;_keywords&gt;中国;营养调查;膳食;营养素&lt;/_keywords&gt;&lt;_pages&gt;181-184&lt;/_pages&gt;&lt;_url&gt;https://kns.cnki.net/kcms2/article/abstract?v=64ENavj7QCAGS6FlmY8kijfozUAwP4ARgCvGJrDDK7u1Ep_b8XjHU3YVo8fvgJ9nQBBNh-nHoaW9d7-geu30tpzQ5BK1tWdQsonKv4cDvtP3n_TuCFU-6Xw6BZrkWCwmGzwHgBnpq2uC2P0TFOP3KEH4SoLYJr4MgDEIQ37UVK8crqMk3x6jk_QLzfo_Rx7vn89DGhymPKo=&amp;amp;uniplatform=NZKPT&amp;amp;language=CHS&lt;/_url&gt;&lt;_created&gt;65647726&lt;/_created&gt;&lt;_modified&gt;65647726&lt;/_modified&gt;&lt;_db_updated&gt;CNKI - Reference&lt;/_db_updated&gt;&lt;_collection_scope&gt;PKU;CSCD&lt;/_collection_scope&gt;&lt;_translated_author&gt;Zhai, Feng ying he yu&lt;/_translated_author&gt;&lt;/Details&gt;&lt;Extra&gt;&lt;DBUID&gt;{03752FAB-B361-4F66-989B-C711D9502F78}&lt;/DBUID&gt;&lt;/Extra&gt;&lt;/Item&gt;&lt;/References&gt;&lt;/Group&gt;&lt;/Citation&gt;_x000a_"/>
    <w:docVar w:name="NE.Ref{5D95BDA9-F605-427D-BC69-15C158C75D24}" w:val=" ADDIN NE.Ref.{5D95BDA9-F605-427D-BC69-15C158C75D24}&lt;Citation&gt;&lt;Group&gt;&lt;References&gt;&lt;Item&gt;&lt;ID&gt;818&lt;/ID&gt;&lt;UID&gt;{3ECF59F0-ADAB-4AF2-937F-C1ADE85CFAAB}&lt;/UID&gt;&lt;Title&gt;鄱阳湖流域人为氮磷输入演变及湖泊水环境响应&lt;/Title&gt;&lt;Template&gt;Journal Article&lt;/Template&gt;&lt;Star&gt;0&lt;/Star&gt;&lt;Tag&gt;0&lt;/Tag&gt;&lt;Author&gt;高伟; 高波; 严长安; 刘永&lt;/Author&gt;&lt;Year&gt;2016&lt;/Year&gt;&lt;Details&gt;&lt;_author_adr&gt;云南大学生态学与环境学院;华中农业大学植物科学技术学院;昆明市环境科学研究院;北京大学环境科学与工程学院;&lt;/_author_adr&gt;&lt;_db_provider&gt;CNKI&lt;/_db_provider&gt;&lt;_doi&gt;10.13671/j.hjkxxb.2015.0779&lt;/_doi&gt;&lt;_isbn&gt;0253-2468&lt;/_isbn&gt;&lt;_issue&gt;09&lt;/_issue&gt;&lt;_journal&gt;环境科学学报&lt;/_journal&gt;&lt;_keywords&gt;营养盐;人类活动净氮输入;人类活动净磷输入;非点源;富营养;鄱阳湖&lt;/_keywords&gt;&lt;_pages&gt;3137-3145&lt;/_pages&gt;&lt;_url&gt;https://link.cnki.net/doi/10.13671/j.hjkxxb.2015.0779&lt;/_url&gt;&lt;_volume&gt;36&lt;/_volume&gt;&lt;_created&gt;65890742&lt;/_created&gt;&lt;_modified&gt;65890746&lt;/_modified&gt;&lt;_collection_scope&gt;PKU;CSCD&lt;/_collection_scope&gt;&lt;_accessed&gt;65890744&lt;/_accessed&gt;&lt;_translated_title&gt;Evolution of anthropogenic nitrogen and phosphorus inputs to Lake Poyang Basin and its&amp;apos; effect on water quality of lake&lt;/_translated_title&gt;&lt;_tertiary_title&gt;Acta Scientiae Circumstantiae&lt;/_tertiary_title&gt;&lt;_translated_author&gt;Gao, Wei;Gao, Bo;Yan, Zhang&amp;apos;an;Liu, Yong&lt;/_translated_author&gt;&lt;/Details&gt;&lt;Extra&gt;&lt;DBUID&gt;{03752FAB-B361-4F66-989B-C711D9502F78}&lt;/DBUID&gt;&lt;/Extra&gt;&lt;/Item&gt;&lt;/References&gt;&lt;/Group&gt;&lt;/Citation&gt;_x000a_"/>
    <w:docVar w:name="NE.Ref{833F42E9-A450-43EF-B7F3-EB2B5394E15F}" w:val=" ADDIN NE.Ref.{833F42E9-A450-43EF-B7F3-EB2B5394E15F}&lt;Citation&gt;&lt;Group&gt;&lt;References&gt;&lt;Item&gt;&lt;ID&gt;553&lt;/ID&gt;&lt;UID&gt;{03D08192-79FB-497D-9005-5886DC8A7C81}&lt;/UID&gt;&lt;Title&gt;中国大陆市域人类活动净氮输入量(NANI)评估&lt;/Title&gt;&lt;Template&gt;Journal Article&lt;/Template&gt;&lt;Star&gt;0&lt;/Star&gt;&lt;Tag&gt;0&lt;/Tag&gt;&lt;Author&gt;高伟; 郭怀成; 后希康&lt;/Author&gt;&lt;Year&gt;2014&lt;/Year&gt;&lt;Details&gt;&lt;_author_adr&gt;北京大学环境科学与工程学院;安徽师范大学国土资源与旅游学院;&lt;/_author_adr&gt;&lt;_cited_count&gt;53&lt;/_cited_count&gt;&lt;_db_provider&gt;CNKI&lt;/_db_provider&gt;&lt;_doi&gt;10.13209/j.0479-8023.2014.129&lt;/_doi&gt;&lt;_isbn&gt;0479-8023&lt;/_isbn&gt;&lt;_issue&gt;05&lt;/_issue&gt;&lt;_journal&gt;北京大学学报(自然科学版)&lt;/_journal&gt;&lt;_keywords&gt;氮;营养物;人类活动;氮循环;NANI&lt;/_keywords&gt;&lt;_pages&gt;951-959&lt;/_pages&gt;&lt;_url&gt;https://link.cnki.net/doi/10.13209/j.0479-8023.2014.129&lt;/_url&gt;&lt;_volume&gt;50&lt;/_volume&gt;&lt;_created&gt;65647728&lt;/_created&gt;&lt;_modified&gt;65647728&lt;/_modified&gt;&lt;_db_updated&gt;CNKI - Reference&lt;/_db_updated&gt;&lt;_translated_author&gt;Gao, Wei;Guo, Huai cheng;Hou, Xi kang&lt;/_translated_author&gt;&lt;_language&gt;Chinese&lt;/_language&gt;&lt;/Details&gt;&lt;Extra&gt;&lt;DBUID&gt;{03752FAB-B361-4F66-989B-C711D9502F78}&lt;/DBUID&gt;&lt;/Extra&gt;&lt;/Item&gt;&lt;/References&gt;&lt;/Group&gt;&lt;/Citation&gt;_x000a_"/>
    <w:docVar w:name="NE.Ref{898010F8-DF16-4F3F-B674-C6BA9B342992}" w:val=" ADDIN NE.Ref.{898010F8-DF16-4F3F-B674-C6BA9B342992}&lt;Citation&gt;&lt;Group&gt;&lt;References&gt;&lt;Item&gt;&lt;ID&gt;752&lt;/ID&gt;&lt;UID&gt;{0B0EB60F-4D5B-4B08-AF44-3EB724282D9E}&lt;/UID&gt;&lt;Title&gt;1952—2016年长江经济带天然与人为氮输入时空演变趋势&lt;/Title&gt;&lt;Template&gt;Journal Article&lt;/Template&gt;&lt;Star&gt;0&lt;/Star&gt;&lt;Tag&gt;0&lt;/Tag&gt;&lt;Author&gt;高伟; 白辉; 严长安; 陈岩&lt;/Author&gt;&lt;Year&gt;2019&lt;/Year&gt;&lt;Details&gt;&lt;_accessed&gt;65888422&lt;/_accessed&gt;&lt;_author_adr&gt;云南大学生态学与环境学院;环境保护部环境规划院长江经济带生态环境联合研究中心;昆明市环境科学研究院;&lt;/_author_adr&gt;&lt;_cited_count&gt;21&lt;/_cited_count&gt;&lt;_collection_scope&gt;PKU;CSCD&lt;/_collection_scope&gt;&lt;_created&gt;65888415&lt;/_created&gt;&lt;_db_provider&gt;CNKI&lt;/_db_provider&gt;&lt;_db_updated&gt;CNKI - Reference&lt;/_db_updated&gt;&lt;_doi&gt;10.13671/j.hjkxxb.2019.0143&lt;/_doi&gt;&lt;_isbn&gt;0253-2468&lt;/_isbn&gt;&lt;_issue&gt;09&lt;/_issue&gt;&lt;_journal&gt;环境科学学报&lt;/_journal&gt;&lt;_keywords&gt;人类活动净氮输入;天然固氮;长江经济带;营养盐;EKC曲线;活性氮&lt;/_keywords&gt;&lt;_modified&gt;65888423&lt;/_modified&gt;&lt;_pages&gt;3134-3143&lt;/_pages&gt;&lt;_tertiary_title&gt;Acta Scientiae Circumstantiae&lt;/_tertiary_title&gt;&lt;_translated_author&gt;Gao, Wei; Bai, Hui; Yan, Changan; Chen, Yan&lt;/_translated_author&gt;&lt;_translated_title&gt;Spatiotemporal evolution of natural and anthropogenic nitrogen inputs to Yangtze River Economic Belt from 1952 to 2016&lt;/_translated_title&gt;&lt;_url&gt;https://link.cnki.net/doi/10.13671/j.hjkxxb.2019.0143&lt;/_url&gt;&lt;_volume&gt;39&lt;/_volume&gt;&lt;/Details&gt;&lt;Extra&gt;&lt;DBUID&gt;{03752FAB-B361-4F66-989B-C711D9502F78}&lt;/DBUID&gt;&lt;/Extra&gt;&lt;/Item&gt;&lt;/References&gt;&lt;/Group&gt;&lt;/Citation&gt;_x000a_"/>
    <w:docVar w:name="NE.Ref{A163061D-5845-46AE-BAC0-C23FF933FC7A}" w:val=" ADDIN NE.Ref.{A163061D-5845-46AE-BAC0-C23FF933FC7A}&lt;Citation&gt;&lt;Group&gt;&lt;References&gt;&lt;Item&gt;&lt;ID&gt;823&lt;/ID&gt;&lt;UID&gt;{3A6ABAC0-AF61-464C-9EC0-C6F6345AB607}&lt;/UID&gt;&lt;Title&gt;Half-century nitrogen deposition increase across China: A gridded time-series data set for regional environmental assessments&lt;/Title&gt;&lt;Template&gt;Journal Article&lt;/Template&gt;&lt;Star&gt;0&lt;/Star&gt;&lt;Tag&gt;0&lt;/Tag&gt;&lt;Author&gt;Lu, Chaoqun; Tian, Hanqin&lt;/Author&gt;&lt;Year&gt;2014&lt;/Year&gt;&lt;Details&gt;&lt;_alternate_title&gt;Atmospheric Environment&lt;/_alternate_title&gt;&lt;_date_display&gt;2014&lt;/_date_display&gt;&lt;_date&gt;2014-01-01&lt;/_date&gt;&lt;_doi&gt;https://doi.org/10.1016/j.atmosenv.2014.07.061&lt;/_doi&gt;&lt;_isbn&gt;1352-2310&lt;/_isbn&gt;&lt;_journal&gt;Atmospheric Environment&lt;/_journal&gt;&lt;_keywords&gt;Nitrogen deposition; China; Increase trend; Spatial distribution&lt;/_keywords&gt;&lt;_pages&gt;68-74&lt;/_pages&gt;&lt;_url&gt;https://www.sciencedirect.com/science/article/pii/S1352231014005913&lt;/_url&gt;&lt;_volume&gt;97&lt;/_volume&gt;&lt;_created&gt;65890768&lt;/_created&gt;&lt;_modified&gt;65890768&lt;/_modified&gt;&lt;_impact_factor&gt;   4.200&lt;/_impact_factor&gt;&lt;_social_category&gt;环境科学(3) &amp;amp; 气象与大气科学(3)&lt;/_social_category&gt;&lt;_collection_scope&gt;SCIE;EI&lt;/_collection_scope&gt;&lt;/Details&gt;&lt;Extra&gt;&lt;DBUID&gt;{03752FAB-B361-4F66-989B-C711D9502F78}&lt;/DBUID&gt;&lt;/Extra&gt;&lt;/Item&gt;&lt;/References&gt;&lt;/Group&gt;&lt;/Citation&gt;_x000a_"/>
    <w:docVar w:name="NE.Ref{A1DC47E5-FBDC-460F-A979-92FEA3159F21}" w:val=" ADDIN NE.Ref.{A1DC47E5-FBDC-460F-A979-92FEA3159F21}&lt;Citation&gt;&lt;Group&gt;&lt;References&gt;&lt;Item&gt;&lt;ID&gt;815&lt;/ID&gt;&lt;UID&gt;{F2528A88-D0F7-4C60-A367-EA1F8DFF719C}&lt;/UID&gt;&lt;Title&gt;A toolbox for calculating net anthropogenic nitrogen inputs (NANI)&lt;/Title&gt;&lt;Template&gt;Journal Article&lt;/Template&gt;&lt;Star&gt;0&lt;/Star&gt;&lt;Tag&gt;0&lt;/Tag&gt;&lt;Author&gt;Hong, Bongghi; Swaney, Dennis P; Howarth, Robert W&lt;/Author&gt;&lt;Year&gt;2011&lt;/Year&gt;&lt;Details&gt;&lt;_alternate_title&gt;Environmental Modelling &amp;amp; Software&lt;/_alternate_title&gt;&lt;_date_display&gt;2011&lt;/_date_display&gt;&lt;_date&gt;2011-01-01&lt;/_date&gt;&lt;_doi&gt;https://doi.org/10.1016/j.envsoft.2010.11.012&lt;/_doi&gt;&lt;_isbn&gt;1364-8152&lt;/_isbn&gt;&lt;_issue&gt;5&lt;/_issue&gt;&lt;_journal&gt;Environmental Modelling &amp;amp; Software&lt;/_journal&gt;&lt;_keywords&gt;Nitrogen; Anthropogenic; Watershed; Toolbox; Synthesis&lt;/_keywords&gt;&lt;_pages&gt;623-633&lt;/_pages&gt;&lt;_url&gt;https://www.sciencedirect.com/science/article/pii/S1364815210003166&lt;/_url&gt;&lt;_volume&gt;26&lt;/_volume&gt;&lt;_created&gt;65890737&lt;/_created&gt;&lt;_modified&gt;65890737&lt;/_modified&gt;&lt;_impact_factor&gt;   4.800&lt;/_impact_factor&gt;&lt;_social_category&gt;计算机：跨学科应用(3) &amp;amp; 工程：环境(2) &amp;amp; 环境科学(2) &amp;amp; 水资源(2)&lt;/_social_category&gt;&lt;_collection_scope&gt;SCIE;EI&lt;/_collection_scope&gt;&lt;/Details&gt;&lt;Extra&gt;&lt;DBUID&gt;{03752FAB-B361-4F66-989B-C711D9502F78}&lt;/DBUID&gt;&lt;/Extra&gt;&lt;/Item&gt;&lt;/References&gt;&lt;/Group&gt;&lt;/Citation&gt;_x000a_"/>
    <w:docVar w:name="NE.Ref{A6B5FD73-D448-41B5-BF7D-BD3F71F8E722}" w:val=" ADDIN NE.Ref.{A6B5FD73-D448-41B5-BF7D-BD3F71F8E722}&lt;Citation&gt;&lt;Group&gt;&lt;References&gt;&lt;Item&gt;&lt;ID&gt;797&lt;/ID&gt;&lt;UID&gt;{33653913-A87D-4A20-9EEE-E56E955662E9}&lt;/UID&gt;&lt;Title&gt;1990—2010年淮河流域人类活动净氮输入&lt;/Title&gt;&lt;Template&gt;Journal Article&lt;/Template&gt;&lt;Star&gt;0&lt;/Star&gt;&lt;Tag&gt;0&lt;/Tag&gt;&lt;Author&gt;张汪寿; 苏静君; 杜新忠; 李叙勇&lt;/Author&gt;&lt;Year&gt;2015&lt;/Year&gt;&lt;Details&gt;&lt;_author_adr&gt;中国科学院生态环境研究中心/城市与区域生态国家重点实验室;中国科学院大学;&lt;/_author_adr&gt;&lt;_db_provider&gt;CNKI&lt;/_db_provider&gt;&lt;_doi&gt;10.13287/j.1001-9332.20150331.012&lt;/_doi&gt;&lt;_isbn&gt;1001-9332&lt;/_isbn&gt;&lt;_issue&gt;06&lt;/_issue&gt;&lt;_journal&gt;应用生态学报&lt;/_journal&gt;&lt;_keywords&gt;人类活动净氮输入(NANI);淮河流域;氮污染;氮收支平衡&lt;/_keywords&gt;&lt;_pages&gt;1831-1839&lt;/_pages&gt;&lt;_url&gt;https://link.cnki.net/doi/10.13287/j.1001-9332.20150331.012&lt;/_url&gt;&lt;_volume&gt;26&lt;/_volume&gt;&lt;_created&gt;65889303&lt;/_created&gt;&lt;_modified&gt;65889305&lt;/_modified&gt;&lt;_collection_scope&gt;PKU;CSCD&lt;/_collection_scope&gt;&lt;_accessed&gt;65889303&lt;/_accessed&gt;&lt;_translated_title&gt;Net anthropogenic nitrogen inputs to Huaihe River Basin, China during 1990 - 2010&lt;/_translated_title&gt;&lt;_impact_factor&gt;Chinese Journal of Applied Ecology&lt;/_impact_factor&gt;&lt;_translated_author&gt;Zhang, Wang shou;Su, Jing jun;Du, Xin zhong;Li, Xu yong&lt;/_translated_author&gt;&lt;/Details&gt;&lt;Extra&gt;&lt;DBUID&gt;{03752FAB-B361-4F66-989B-C711D9502F78}&lt;/DBUID&gt;&lt;/Extra&gt;&lt;/Item&gt;&lt;/References&gt;&lt;/Group&gt;&lt;/Citation&gt;_x000a_"/>
    <w:docVar w:name="NE.Ref{A86A5417-A16F-46B9-B301-8A37CCB4711F}" w:val=" ADDIN NE.Ref.{A86A5417-A16F-46B9-B301-8A37CCB4711F}&lt;Citation&gt;&lt;Group&gt;&lt;References&gt;&lt;Item&gt;&lt;ID&gt;548&lt;/ID&gt;&lt;UID&gt;{76D7B060-6D4B-47CA-A6A4-C952C3D74035}&lt;/UID&gt;&lt;Title&gt;A toolbox for calculating net anthropogenic nitrogen inputs (NANI)&lt;/Title&gt;&lt;Template&gt;Journal Article&lt;/Template&gt;&lt;Star&gt;0&lt;/Star&gt;&lt;Tag&gt;0&lt;/Tag&gt;&lt;Author&gt;Hong, Bongghi; Swaney, Dennis P; Howarth, Robert W&lt;/Author&gt;&lt;Year&gt;2011&lt;/Year&gt;&lt;Details&gt;&lt;_author_adr&gt;[Bongghi Hong]Cornell Univ, Dept Ecol &amp;amp; Evolutionary Biol, Ithaca, NY 14853 USA;[Dennis P. Swaney]Cornell Univ, Dept Ecol &amp;amp; Evolutionary Biol, Ithaca, NY 14853 USA;[Robert W. Howarth]Cornell Univ, Dept Ecol &amp;amp; Evolutionary Biol, Ithaca, NY 14853 USA;&lt;/_author_adr&gt;&lt;_author_aff&gt;Cornell Univ;Cornell University;Cornell University College of Arts and Sciences;Cornell University Department of Ecology and Evolutionary Biology;&lt;/_author_aff&gt;&lt;_cate&gt;Computer Science, Interdisciplinary Applications;Engineering, Environmental;Environmental Sciences;Water Resources;&lt;/_cate&gt;&lt;_cited_count&gt;82&lt;/_cited_count&gt;&lt;_date&gt;2011-01-01&lt;/_date&gt;&lt;_doi&gt;10.1016/j.envsoft.2010.11.012&lt;/_doi&gt;&lt;_isbn&gt;1364-8152&lt;/_isbn&gt;&lt;_issue&gt;5&lt;/_issue&gt;&lt;_journal&gt;ENVIRONMENTAL MODELLING &amp;amp; SOFTWARE&lt;/_journal&gt;&lt;_keywords&gt;Nitrogen;Anthropogenic;Watershed;Toolbox;Synthesis;&lt;/_keywords&gt;&lt;_ori_publication&gt;ELSEVIER SCI LTD&lt;/_ori_publication&gt;&lt;_pages&gt;623-633&lt;/_pages&gt;&lt;_place_published&gt;THE BOULEVARD, LANGFORD LANE, KIDLINGTON, OXFORD OX5 1GB, OXON, ENGLAND&lt;/_place_published&gt;&lt;_ref_count&gt;48&lt;/_ref_count&gt;&lt;_url&gt;https://www.webofscience.com/wos/alldb/full-record/WOS:000287437100008&lt;/_url&gt;&lt;_volume&gt;26&lt;/_volume&gt;&lt;_created&gt;65647722&lt;/_created&gt;&lt;_modified&gt;65647722&lt;/_modified&gt;&lt;_db_updated&gt;Web of Science-Core&lt;/_db_updated&gt;&lt;_impact_factor&gt;   4.800&lt;/_impact_factor&gt;&lt;_social_category&gt;计算机：跨学科应用(3) &amp;amp; 工程：环境(2) &amp;amp; 环境科学(2) &amp;amp; 水资源(2)&lt;/_social_category&gt;&lt;_collection_scope&gt;SCIE;EI&lt;/_collection_scope&gt;&lt;/Details&gt;&lt;Extra&gt;&lt;DBUID&gt;{03752FAB-B361-4F66-989B-C711D9502F78}&lt;/DBUID&gt;&lt;/Extra&gt;&lt;/Item&gt;&lt;/References&gt;&lt;/Group&gt;&lt;/Citation&gt;_x000a_"/>
    <w:docVar w:name="NE.Ref{AF18412F-022E-4CD3-B2B2-BDB12AD2F747}" w:val=" ADDIN NE.Ref.{AF18412F-022E-4CD3-B2B2-BDB12AD2F747}&lt;Citation&gt;&lt;Group&gt;&lt;References&gt;&lt;Item&gt;&lt;ID&gt;796&lt;/ID&gt;&lt;UID&gt;{0C09EBE0-AC6E-4B6E-B873-FCBB0F232817}&lt;/UID&gt;&lt;Title&gt;亚热带流域人类活动净氮输入与河流输出响应——以东江为例&lt;/Title&gt;&lt;Template&gt;Journal Article&lt;/Template&gt;&lt;Star&gt;0&lt;/Star&gt;&lt;Tag&gt;0&lt;/Tag&gt;&lt;Author&gt;曹敏; 吴东少; 段仲昭; 陈岩; 张远; 高伟&lt;/Author&gt;&lt;Year&gt;2023&lt;/Year&gt;&lt;Details&gt;&lt;_author_adr&gt;广东工业大学生态环境与资源学院,大湾区城市环境安全与绿色发展教育部重点实验室;云南大学生态学与环境学院,云南省高原山地生态与退化环境修复重点实验室;生态环境部环境规划院,国家环境保护环境规划与政策模拟重点实验室;&lt;/_author_adr&gt;&lt;_db_provider&gt;CNKI&lt;/_db_provider&gt;&lt;_doi&gt;10.13671/j.hjkxxb.2023.0032&lt;/_doi&gt;&lt;_isbn&gt;0253-2468&lt;/_isbn&gt;&lt;_issue&gt;08&lt;/_issue&gt;&lt;_journal&gt;环境科学学报&lt;/_journal&gt;&lt;_keywords&gt;人类活动净氮输入;河流通量;非点源;东江;营养盐&lt;/_keywords&gt;&lt;_pages&gt;428-439&lt;/_pages&gt;&lt;_url&gt;https://link.cnki.net/doi/10.13671/j.hjkxxb.2023.0032&lt;/_url&gt;&lt;_volume&gt;43&lt;/_volume&gt;&lt;_created&gt;65889303&lt;/_created&gt;&lt;_modified&gt;65890761&lt;/_modified&gt;&lt;_collection_scope&gt;PKU;CSCD&lt;/_collection_scope&gt;&lt;_accessed&gt;65890754&lt;/_accessed&gt;&lt;_translated_title&gt;Estimating net anthropogenic nitrogen inputs and riverine export in a subtropical watershed： A case study of Dongjiang River&lt;/_translated_title&gt;&lt;_impact_factor&gt;Acta Scientiae Circumstantiae&lt;/_impact_factor&gt;&lt;_translated_author&gt;Cao, Min;Wu, Dong shao;Duan, Zhong zhao;Chen, Yan;Zhang, Yuan;Gao, Wei&lt;/_translated_author&gt;&lt;_language&gt;Chinese&lt;/_language&gt;&lt;/Details&gt;&lt;Extra&gt;&lt;DBUID&gt;{03752FAB-B361-4F66-989B-C711D9502F78}&lt;/DBUID&gt;&lt;/Extra&gt;&lt;/Item&gt;&lt;/References&gt;&lt;/Group&gt;&lt;/Citation&gt;_x000a_"/>
    <w:docVar w:name="NE.Ref{C18FCD5C-216F-4B06-A293-AC716AD662ED}" w:val=" ADDIN NE.Ref.{C18FCD5C-216F-4B06-A293-AC716AD662ED}&lt;Citation&gt;&lt;Group&gt;&lt;References&gt;&lt;Item&gt;&lt;ID&gt;555&lt;/ID&gt;&lt;UID&gt;{D0137F62-68EC-4C3F-8F90-42324F2CE76D}&lt;/UID&gt;&lt;Title&gt;基于改进输出系数模型的江西省农业面源污染时空分析&lt;/Title&gt;&lt;Template&gt;Thesis&lt;/Template&gt;&lt;Star&gt;0&lt;/Star&gt;&lt;Tag&gt;0&lt;/Tag&gt;&lt;Author&gt;陈毓迪&lt;/Author&gt;&lt;Year&gt;2023&lt;/Year&gt;&lt;Details&gt;&lt;_db_provider&gt;CNKI&lt;/_db_provider&gt;&lt;_doi&gt;10.27232/d.cnki.gnchu.2023.003616&lt;/_doi&gt;&lt;_keywords&gt;改进输出系数模型;江西省;氮磷面源污染;关键污染源;主要污染区域&lt;/_keywords&gt;&lt;_publisher&gt;南昌大学&lt;/_publisher&gt;&lt;_tertiary_author&gt;傅春; 刘杰平&lt;/_tertiary_author&gt;&lt;_type_work&gt;硕士&lt;/_type_work&gt;&lt;_url&gt;https://link.cnki.net/doi/10.27232/d.cnki.gnchu.2023.003616&lt;/_url&gt;&lt;_created&gt;65647730&lt;/_created&gt;&lt;_modified&gt;65647730&lt;/_modified&gt;&lt;_db_updated&gt;CNKI - Reference&lt;/_db_updated&gt;&lt;_translated_author&gt;Chen, Yu di&lt;/_translated_author&gt;&lt;_translated_tertiary_author&gt;Fu, Chun;Liu, Jie ping&lt;/_translated_tertiary_author&gt;&lt;/Details&gt;&lt;Extra&gt;&lt;DBUID&gt;{03752FAB-B361-4F66-989B-C711D9502F78}&lt;/DBUID&gt;&lt;/Extra&gt;&lt;/Item&gt;&lt;/References&gt;&lt;/Group&gt;&lt;/Citation&gt;_x000a_"/>
    <w:docVar w:name="NE.Ref{C344F1FD-0C81-4664-B870-9CCE7435EA91}" w:val=" ADDIN NE.Ref.{C344F1FD-0C81-4664-B870-9CCE7435EA91}&lt;Citation&gt;&lt;Group&gt;&lt;References&gt;&lt;Item&gt;&lt;ID&gt;820&lt;/ID&gt;&lt;UID&gt;{BCF34FC7-799F-4414-899D-C67D8C7D2650}&lt;/UID&gt;&lt;Title&gt;中国畜禽粪便产生量估算及环境效应&lt;/Title&gt;&lt;Template&gt;Journal Article&lt;/Template&gt;&lt;Star&gt;0&lt;/Star&gt;&lt;Tag&gt;0&lt;/Tag&gt;&lt;Author&gt;王方浩; 马文奇; 窦争霞; 马林; 刘小利; 许俊香; 张福锁&lt;/Author&gt;&lt;Year&gt;2006&lt;/Year&gt;&lt;Details&gt;&lt;_author_adr&gt;中国农业大学植物营养系,河北农业大学资源与环境学院,宾西法尼亚大学动物健康和生产力研究中心,河北农业大学资源与环境学院,河北农业大学资源与环境学院,河北农业大学资源与环境学院,中国农业大学植物营养系 北京100094,河北保定071001,美国费城19384,河北保定071001,河北保定071001,河北保定071001,北京100094&lt;/_author_adr&gt;&lt;_cited_count&gt;1069&lt;/_cited_count&gt;&lt;_db_provider&gt;CNKI&lt;/_db_provider&gt;&lt;_isbn&gt;1000-6923&lt;/_isbn&gt;&lt;_issue&gt;05&lt;/_issue&gt;&lt;_journal&gt;中国环境科学&lt;/_journal&gt;&lt;_keywords&gt;畜禽粪便;排泄参数;氮磷耕地负荷&lt;/_keywords&gt;&lt;_pages&gt;614-617&lt;/_pages&gt;&lt;_url&gt;https://kns.cnki.net/kcms2/article/abstract?v=O_n6o0K2eioDMx5Wy-6Te0apWHcrTrjGenCZ4FikY2JALpyTA9iv48Mb2st3DxEv2q7ACyYK-0gAENORqtfRfI0n4x21mlr63rjOEdHKzKtZGQBUCFh-pHUdrbJN5I57S1TwGIS2m7JWppm-Zc-qsmoE7RBHktflCQ8IXx501knI38kvRrhFjizGddX5XMsQDQkWg9murH4=&amp;amp;uniplatform=NZKPT&amp;amp;language=CHS&lt;/_url&gt;&lt;_created&gt;65890748&lt;/_created&gt;&lt;_modified&gt;65890751&lt;/_modified&gt;&lt;_db_updated&gt;CNKI - Reference&lt;/_db_updated&gt;&lt;_accessed&gt;65890750&lt;/_accessed&gt;&lt;_impact_factor&gt;China Environmental Science&lt;/_impact_factor&gt;&lt;_translated_title&gt;The estimation of the production amount of animal manure and its environmental effect in China.&lt;/_translated_title&gt;&lt;_translated_author&gt;Wang, Fang hao;Ma, Wen qi;Dou, Zheng xia;Ma, Lin;Liu, Xiao li;Xu, Jun xiang;Zhang, Fu suo&lt;/_translated_author&gt;&lt;/Details&gt;&lt;Extra&gt;&lt;DBUID&gt;{03752FAB-B361-4F66-989B-C711D9502F78}&lt;/DBUID&gt;&lt;/Extra&gt;&lt;/Item&gt;&lt;/References&gt;&lt;/Group&gt;&lt;/Citation&gt;_x000a_"/>
    <w:docVar w:name="NE.Ref{C42EF216-45DA-46B4-93C1-E8E5ADDFAB6E}" w:val=" ADDIN NE.Ref.{C42EF216-45DA-46B4-93C1-E8E5ADDFAB6E}&lt;Citation&gt;&lt;Group&gt;&lt;References&gt;&lt;Item&gt;&lt;ID&gt;825&lt;/ID&gt;&lt;UID&gt;{053F3D64-D182-477C-8B1B-3BF14123AF7A}&lt;/UID&gt;&lt;Title&gt;基于输出系数模型的东江源头区农业面源氮磷排放特征分析&lt;/Title&gt;&lt;Template&gt;Journal Article&lt;/Template&gt;&lt;Star&gt;0&lt;/Star&gt;&lt;Tag&gt;0&lt;/Tag&gt;&lt;Author&gt;苟婷; 裴德富; 梁荣昌; 佘磊; 杨珺; 马千里; 赵学敏; 赵瑞; 姚玲爱&lt;/Author&gt;&lt;Year&gt;0&lt;/Year&gt;&lt;Details&gt;&lt;_author_adr&gt;生态环境部华南环境科学研究所(生态环境部生态环境应急研究所);沈阳建筑大学市政与环境工程学院;太原师范学院经济与管理学院;&lt;/_author_adr&gt;&lt;_db_provider&gt;CNKI&lt;/_db_provider&gt;&lt;_doi&gt;10.19674/j.cnki.issn1000-6923.20230802.012&lt;/_doi&gt;&lt;_isbn&gt;1000-6923&lt;/_isbn&gt;&lt;_journal&gt;中国环境科学&lt;/_journal&gt;&lt;_keywords&gt;改进输出系数法;农业面源污染负荷;畜禽养殖源;农村生活源;农业种植源&lt;/_keywords&gt;&lt;_pages&gt;1-13&lt;/_pages&gt;&lt;_url&gt;https://link.cnki.net/doi/10.19674/j.cnki.issn1000-6923.20230802.012&lt;/_url&gt;&lt;_created&gt;65890771&lt;/_created&gt;&lt;_modified&gt;65890771&lt;/_modified&gt;&lt;_db_updated&gt;CNKI - Reference&lt;/_db_updated&gt;&lt;_accessed&gt;65890771&lt;/_accessed&gt;&lt;_translated_title&gt;Analysis of nitrogen and phosphorus emissions from agricultural non-point sources in the source area of Dongjiang River based on output coefficient model&lt;/_translated_title&gt;&lt;_impact_factor&gt;China Environ. Sci.&lt;/_impact_factor&gt;&lt;_translated_author&gt;Gou, Ting;Pei, De fu;Liang, Rong chang;She, Lei;Yang, Jun;Ma, Qian li;Zhao, Xue min;Zhao, Rui;Yao, Ling&amp;apos;ai&lt;/_translated_author&gt;&lt;/Details&gt;&lt;Extra&gt;&lt;DBUID&gt;{03752FAB-B361-4F66-989B-C711D9502F78}&lt;/DBUID&gt;&lt;/Extra&gt;&lt;/Item&gt;&lt;/References&gt;&lt;/Group&gt;&lt;/Citation&gt;_x000a_"/>
    <w:docVar w:name="NE.Ref{C4AA1FC5-1F7D-4C09-918B-EA92B92F1C6E}" w:val=" ADDIN NE.Ref.{C4AA1FC5-1F7D-4C09-918B-EA92B92F1C6E}&lt;Citation&gt;&lt;Group&gt;&lt;References&gt;&lt;Item&gt;&lt;ID&gt;822&lt;/ID&gt;&lt;UID&gt;{23683034-2D07-45FF-8993-A7B12584ECAD}&lt;/UID&gt;&lt;Title&gt;中国大陆市域人类活动净氮输入量(NANI)评估&lt;/Title&gt;&lt;Template&gt;Journal Article&lt;/Template&gt;&lt;Star&gt;0&lt;/Star&gt;&lt;Tag&gt;0&lt;/Tag&gt;&lt;Author&gt;高伟; 郭怀成; 后希康&lt;/Author&gt;&lt;Year&gt;2014&lt;/Year&gt;&lt;Details&gt;&lt;_author_adr&gt;北京大学环境科学与工程学院;安徽师范大学国土资源与旅游学院;&lt;/_author_adr&gt;&lt;_cited_count&gt;57&lt;/_cited_count&gt;&lt;_db_provider&gt;CNKI&lt;/_db_provider&gt;&lt;_doi&gt;10.13209/j.0479-8023.2014.129&lt;/_doi&gt;&lt;_isbn&gt;0479-8023&lt;/_isbn&gt;&lt;_issue&gt;05&lt;/_issue&gt;&lt;_journal&gt;北京大学学报(自然科学版)&lt;/_journal&gt;&lt;_keywords&gt;氮;营养物;人类活动;氮循环;NANI&lt;/_keywords&gt;&lt;_pages&gt;951-959&lt;/_pages&gt;&lt;_url&gt;https://link.cnki.net/doi/10.13209/j.0479-8023.2014.129&lt;/_url&gt;&lt;_volume&gt;50&lt;/_volume&gt;&lt;_created&gt;65890766&lt;/_created&gt;&lt;_modified&gt;65890766&lt;/_modified&gt;&lt;_db_updated&gt;CNKI - Reference&lt;/_db_updated&gt;&lt;_accessed&gt;65890766&lt;/_accessed&gt;&lt;_translated_title&gt;Evaluating City-Scale Net Anthropogenic Nitrogen Input (NANI) in Mainland China&lt;/_translated_title&gt;&lt;_impact_factor&gt;Acta Sci. Nat. Univ. Pekin.&lt;/_impact_factor&gt;&lt;_translated_author&gt;Gao, Wei;Guo, Huai cheng;Hou, Xi kang&lt;/_translated_author&gt;&lt;/Details&gt;&lt;Extra&gt;&lt;DBUID&gt;{03752FAB-B361-4F66-989B-C711D9502F78}&lt;/DBUID&gt;&lt;/Extra&gt;&lt;/Item&gt;&lt;/References&gt;&lt;/Group&gt;&lt;/Citation&gt;_x000a_"/>
    <w:docVar w:name="NE.Ref{C848C0CA-4813-4254-B6DE-10218B3B81E1}" w:val=" ADDIN NE.Ref.{C848C0CA-4813-4254-B6DE-10218B3B81E1}&lt;Citation&gt;&lt;Group&gt;&lt;References&gt;&lt;Item&gt;&lt;ID&gt;826&lt;/ID&gt;&lt;UID&gt;{4CD6EAE5-319D-4812-986F-B8372C9CEBBC}&lt;/UID&gt;&lt;Title&gt;Spatiotemporal analysis of agricultural non-point source pollution in Jiangxi province based on improved output coefficient model&lt;/Title&gt;&lt;Template&gt;Journal Article&lt;/Template&gt;&lt;Star&gt;0&lt;/Star&gt;&lt;Tag&gt;0&lt;/Tag&gt;&lt;Author&gt;Chen, Y&lt;/Author&gt;&lt;Year&gt;2023&lt;/Year&gt;&lt;Details&gt;&lt;_accessed&gt;65890773&lt;/_accessed&gt;&lt;_created&gt;65890773&lt;/_created&gt;&lt;_modified&gt;65890773&lt;/_modified&gt;&lt;/Details&gt;&lt;Extra&gt;&lt;DBUID&gt;{03752FAB-B361-4F66-989B-C711D9502F78}&lt;/DBUID&gt;&lt;/Extra&gt;&lt;/Item&gt;&lt;/References&gt;&lt;/Group&gt;&lt;/Citation&gt;_x000a_"/>
    <w:docVar w:name="NE.Ref{CC0612A9-DCF8-40CA-9FD3-A6C0BA39EF97}" w:val=" ADDIN NE.Ref.{CC0612A9-DCF8-40CA-9FD3-A6C0BA39EF97}&lt;Citation&gt;&lt;Group&gt;&lt;References&gt;&lt;Item&gt;&lt;ID&gt;824&lt;/ID&gt;&lt;UID&gt;{60486BCB-96BB-41FE-BD2C-66125C3C4555}&lt;/UID&gt;&lt;Title&gt;The influence of climate on average nitrogen export from large watersheds in the Northeastern United States&lt;/Title&gt;&lt;Template&gt;Journal Article&lt;/Template&gt;&lt;Star&gt;0&lt;/Star&gt;&lt;Tag&gt;0&lt;/Tag&gt;&lt;Author&gt;Howarth, R W; Swaney, D P; Boyer, E W; Marino, R; Jaworski, N; Goodale, C&lt;/Author&gt;&lt;Year&gt;2006&lt;/Year&gt;&lt;Details&gt;&lt;_alternate_title&gt;Biogeochemistry&lt;/_alternate_title&gt;&lt;_date_display&gt;2006&lt;/_date_display&gt;&lt;_date&gt;2006-01-01&lt;/_date&gt;&lt;_doi&gt;10.1007/s10533-006-9010-1&lt;/_doi&gt;&lt;_isbn&gt;1573-515X&lt;/_isbn&gt;&lt;_issue&gt;1&lt;/_issue&gt;&lt;_journal&gt;Biogeochemistry&lt;/_journal&gt;&lt;_number&gt;Howarth2006&lt;/_number&gt;&lt;_pages&gt;163-186&lt;/_pages&gt;&lt;_url&gt;https://doi.org/10.1007/s10533-006-9010-1&lt;/_url&gt;&lt;_volume&gt;79&lt;/_volume&gt;&lt;_created&gt;65890769&lt;/_created&gt;&lt;_modified&gt;65890769&lt;/_modified&gt;&lt;_impact_factor&gt;   3.900&lt;/_impact_factor&gt;&lt;_social_category&gt;环境科学(3) &amp;amp; 地球科学：综合(3)&lt;/_social_category&gt;&lt;_collection_scope&gt;SCIE&lt;/_collection_scope&gt;&lt;/Details&gt;&lt;Extra&gt;&lt;DBUID&gt;{03752FAB-B361-4F66-989B-C711D9502F78}&lt;/DBUID&gt;&lt;/Extra&gt;&lt;/Item&gt;&lt;/References&gt;&lt;/Group&gt;&lt;/Citation&gt;_x000a_"/>
    <w:docVar w:name="NE.Ref{D5C68ED9-E14F-4D22-BEAC-DC8E6A5C3FFF}" w:val=" ADDIN NE.Ref.{D5C68ED9-E14F-4D22-BEAC-DC8E6A5C3FFF}&lt;Citation&gt;&lt;Group&gt;&lt;References&gt;&lt;Item&gt;&lt;ID&gt;796&lt;/ID&gt;&lt;UID&gt;{0C09EBE0-AC6E-4B6E-B873-FCBB0F232817}&lt;/UID&gt;&lt;Title&gt;亚热带流域人类活动净氮输入与河流输出响应——以东江为例&lt;/Title&gt;&lt;Template&gt;Journal Article&lt;/Template&gt;&lt;Star&gt;0&lt;/Star&gt;&lt;Tag&gt;0&lt;/Tag&gt;&lt;Author&gt;曹敏; 吴东少; 段仲昭; 陈岩; 张远; 高伟&lt;/Author&gt;&lt;Year&gt;2023&lt;/Year&gt;&lt;Details&gt;&lt;_author_adr&gt;广东工业大学生态环境与资源学院,大湾区城市环境安全与绿色发展教育部重点实验室;云南大学生态学与环境学院,云南省高原山地生态与退化环境修复重点实验室;生态环境部环境规划院,国家环境保护环境规划与政策模拟重点实验室;&lt;/_author_adr&gt;&lt;_db_provider&gt;CNKI&lt;/_db_provider&gt;&lt;_doi&gt;10.13671/j.hjkxxb.2023.0032&lt;/_doi&gt;&lt;_isbn&gt;0253-2468&lt;/_isbn&gt;&lt;_issue&gt;08&lt;/_issue&gt;&lt;_journal&gt;环境科学学报&lt;/_journal&gt;&lt;_keywords&gt;人类活动净氮输入;河流通量;非点源;东江;营养盐&lt;/_keywords&gt;&lt;_pages&gt;428-439&lt;/_pages&gt;&lt;_url&gt;https://link.cnki.net/doi/10.13671/j.hjkxxb.2023.0032&lt;/_url&gt;&lt;_volume&gt;43&lt;/_volume&gt;&lt;_created&gt;65889303&lt;/_created&gt;&lt;_modified&gt;65890761&lt;/_modified&gt;&lt;_collection_scope&gt;PKU;CSCD&lt;/_collection_scope&gt;&lt;_accessed&gt;65890754&lt;/_accessed&gt;&lt;_translated_title&gt;Estimating net anthropogenic nitrogen inputs and riverine export in a subtropical watershed： A case study of Dongjiang River&lt;/_translated_title&gt;&lt;_impact_factor&gt;Acta Scientiae Circumstantiae&lt;/_impact_factor&gt;&lt;_translated_author&gt;Cao, Min;Wu, Dong shao;Duan, Zhong zhao;Chen, Yan;Zhang, Yuan;Gao, Wei&lt;/_translated_author&gt;&lt;/Details&gt;&lt;Extra&gt;&lt;DBUID&gt;{03752FAB-B361-4F66-989B-C711D9502F78}&lt;/DBUID&gt;&lt;/Extra&gt;&lt;/Item&gt;&lt;/References&gt;&lt;/Group&gt;&lt;/Citation&gt;_x000a_"/>
    <w:docVar w:name="NE.Ref{D694DF2D-D775-4B45-80EF-50CBCC686548}" w:val=" ADDIN NE.Ref.{D694DF2D-D775-4B45-80EF-50CBCC686548}&lt;Citation&gt;&lt;Group&gt;&lt;References&gt;&lt;Item&gt;&lt;ID&gt;553&lt;/ID&gt;&lt;UID&gt;{03D08192-79FB-497D-9005-5886DC8A7C81}&lt;/UID&gt;&lt;Title&gt;中国大陆市域人类活动净氮输入量(NANI)评估&lt;/Title&gt;&lt;Template&gt;Journal Article&lt;/Template&gt;&lt;Star&gt;0&lt;/Star&gt;&lt;Tag&gt;0&lt;/Tag&gt;&lt;Author&gt;高伟; 郭怀成; 后希康&lt;/Author&gt;&lt;Year&gt;2014&lt;/Year&gt;&lt;Details&gt;&lt;_author_adr&gt;北京大学环境科学与工程学院;安徽师范大学国土资源与旅游学院;&lt;/_author_adr&gt;&lt;_cited_count&gt;53&lt;/_cited_count&gt;&lt;_db_provider&gt;CNKI&lt;/_db_provider&gt;&lt;_doi&gt;10.13209/j.0479-8023.2014.129&lt;/_doi&gt;&lt;_isbn&gt;0479-8023&lt;/_isbn&gt;&lt;_issue&gt;05&lt;/_issue&gt;&lt;_journal&gt;北京大学学报(自然科学版)&lt;/_journal&gt;&lt;_keywords&gt;氮;营养物;人类活动;氮循环;NANI&lt;/_keywords&gt;&lt;_pages&gt;951-959&lt;/_pages&gt;&lt;_url&gt;https://link.cnki.net/doi/10.13209/j.0479-8023.2014.129&lt;/_url&gt;&lt;_volume&gt;50&lt;/_volume&gt;&lt;_created&gt;65647728&lt;/_created&gt;&lt;_modified&gt;65647728&lt;/_modified&gt;&lt;_db_updated&gt;CNKI - Reference&lt;/_db_updated&gt;&lt;_translated_author&gt;Gao, Wei;Guo, Huai cheng;Hou, Xi kang&lt;/_translated_author&gt;&lt;/Details&gt;&lt;Extra&gt;&lt;DBUID&gt;{03752FAB-B361-4F66-989B-C711D9502F78}&lt;/DBUID&gt;&lt;/Extra&gt;&lt;/Item&gt;&lt;/References&gt;&lt;/Group&gt;&lt;/Citation&gt;_x000a_"/>
    <w:docVar w:name="NE.Ref{D96E2BDD-5047-4A8E-BB83-86DDA25AD2B2}" w:val=" ADDIN NE.Ref.{D96E2BDD-5047-4A8E-BB83-86DDA25AD2B2}&lt;Citation&gt;&lt;Group&gt;&lt;References&gt;&lt;Item&gt;&lt;ID&gt;549&lt;/ID&gt;&lt;UID&gt;{D78C2003-6783-4E50-9B6A-15F4FEE35F46}&lt;/UID&gt;&lt;Title&gt;The influence of climate on average nitrogen export from large watersheds in the Northeastern United States&lt;/Title&gt;&lt;Template&gt;Journal Article&lt;/Template&gt;&lt;Star&gt;0&lt;/Star&gt;&lt;Tag&gt;0&lt;/Tag&gt;&lt;Author&gt;Howarth, R W; Swaney, D P; Boyer, E W; Marino, R; Jaworski, N; Goodale, C&lt;/Author&gt;&lt;Year&gt;2006&lt;/Year&gt;&lt;Details&gt;&lt;_author_aff&gt;Cornell Univ;Cornell University;Cornell University College of Arts and Sciences;Cornell University Department of Ecology and Evolutionary Biology;Univ Calif Berkeley;University of California System;University of California Berkeley;University of California Berkeley College of Natural Resources;University of California Berkeley Department of Environmental Science Policy and Management;US EPA;United States Environmental Protection Agency;&lt;/_author_aff&gt;&lt;_cate&gt;Environmental Sciences;Geosciences, Multidisciplinary;&lt;/_cate&gt;&lt;_cited_count&gt;230&lt;/_cited_count&gt;&lt;_date&gt;2006-01-01&lt;/_date&gt;&lt;_doi&gt;10.1007/s10533-006-9010-1&lt;/_doi&gt;&lt;_isbn&gt;0168-2563&lt;/_isbn&gt;&lt;_issue&gt;1-2&lt;/_issue&gt;&lt;_journal&gt;BIOGEOCHEMISTRY&lt;/_journal&gt;&lt;_keywords&gt;nitrogen;nutrients;nitrogen flux;nitrogen pollution;denitrification;climate change;net anthropogenic nitrogen inputs;NANI;watersheds;river;river basin;&lt;/_keywords&gt;&lt;_ori_publication&gt;SPRINGER&lt;/_ori_publication&gt;&lt;_pages&gt;163-186&lt;/_pages&gt;&lt;_place_published&gt;VAN GODEWIJCKSTRAAT 30, 3311 GZ DORDRECHT, NETHERLANDS&lt;/_place_published&gt;&lt;_ref_count&gt;50&lt;/_ref_count&gt;&lt;_url&gt;https://www.webofscience.com/wos/alldb/full-record/WOS:000240033100009&lt;/_url&gt;&lt;_volume&gt;79&lt;/_volume&gt;&lt;_created&gt;65647723&lt;/_created&gt;&lt;_modified&gt;65647724&lt;/_modified&gt;&lt;_db_updated&gt;Web of Science-Core&lt;/_db_updated&gt;&lt;_impact_factor&gt;   3.900&lt;/_impact_factor&gt;&lt;_social_category&gt;环境科学(3) &amp;amp; 地球科学：综合(3)&lt;/_social_category&gt;&lt;_collection_scope&gt;SCIE&lt;/_collection_scope&gt;&lt;/Details&gt;&lt;Extra&gt;&lt;DBUID&gt;{03752FAB-B361-4F66-989B-C711D9502F78}&lt;/DBUID&gt;&lt;/Extra&gt;&lt;/Item&gt;&lt;/References&gt;&lt;/Group&gt;&lt;/Citation&gt;_x000a_"/>
    <w:docVar w:name="NE.Ref{EC4984A5-749E-42B3-880C-9E07DFC3B61A}" w:val=" ADDIN NE.Ref.{EC4984A5-749E-42B3-880C-9E07DFC3B61A}&lt;Citation&gt;&lt;Group&gt;&lt;References&gt;&lt;Item&gt;&lt;ID&gt;816&lt;/ID&gt;&lt;UID&gt;{D5F81BB4-6694-4F59-9D40-B66332FE28F3}&lt;/UID&gt;&lt;Title&gt;Estimating net anthropogenic nitrogen inputs to U.S. watersheds: comparison of  methodologies&lt;/Title&gt;&lt;Template&gt;Journal Article&lt;/Template&gt;&lt;Star&gt;0&lt;/Star&gt;&lt;Tag&gt;0&lt;/Tag&gt;&lt;Author&gt;Hong, B; Swaney, D P; Howarth, R W&lt;/Author&gt;&lt;Year&gt;2013&lt;/Year&gt;&lt;Details&gt;&lt;_accession_num&gt;23631661&lt;/_accession_num&gt;&lt;_author_adr&gt;Department of Ecology and Evolutionary Biology, Cornell University, Ithaca, New  York 14853, United States. bh43@cornell.edu&lt;/_author_adr&gt;&lt;_date_display&gt;2013 May 21&lt;/_date_display&gt;&lt;_date&gt;2013-05-21&lt;/_date&gt;&lt;_doi&gt;10.1021/es303437c&lt;/_doi&gt;&lt;_isbn&gt;1520-5851 (Electronic); 0013-936X (Linking)&lt;/_isbn&gt;&lt;_issue&gt;10&lt;/_issue&gt;&lt;_journal&gt;Environ Sci Technol&lt;/_journal&gt;&lt;_language&gt;eng&lt;/_language&gt;&lt;_pages&gt;5199-207&lt;/_pages&gt;&lt;_subject_headings&gt;Humans; Nitrogen/*chemistry; United States&lt;/_subject_headings&gt;&lt;_tertiary_title&gt;Environmental science &amp;amp; technology&lt;/_tertiary_title&gt;&lt;_type_work&gt;Comparative Study; Journal Article; Research Support, U.S. Gov&amp;apos;t, Non-P.H.S.&lt;/_type_work&gt;&lt;_url&gt;http://www.ncbi.nlm.nih.gov/entrez/query.fcgi?cmd=Retrieve&amp;amp;db=pubmed&amp;amp;dopt=Abstract&amp;amp;list_uids=23631661&amp;amp;query_hl=1&lt;/_url&gt;&lt;_volume&gt;47&lt;/_volume&gt;&lt;_created&gt;65890740&lt;/_created&gt;&lt;_modified&gt;65890740&lt;/_modified&gt;&lt;_impact_factor&gt;  10.800&lt;/_impact_factor&gt;&lt;_social_category&gt;工程：环境(2) &amp;amp; 环境科学(1)&lt;/_social_category&gt;&lt;_collection_scope&gt;SCIE;EI&lt;/_collection_scope&gt;&lt;/Details&gt;&lt;Extra&gt;&lt;DBUID&gt;{03752FAB-B361-4F66-989B-C711D9502F78}&lt;/DBUID&gt;&lt;/Extra&gt;&lt;/Item&gt;&lt;/References&gt;&lt;/Group&gt;&lt;/Citation&gt;_x000a_"/>
    <w:docVar w:name="NE.Ref{F20FF300-C929-43F2-8583-C425A7ED63BD}" w:val=" ADDIN NE.Ref.{F20FF300-C929-43F2-8583-C425A7ED63BD}&lt;Citation&gt;&lt;Group&gt;&lt;References&gt;&lt;Item&gt;&lt;ID&gt;547&lt;/ID&gt;&lt;UID&gt;{37CCC306-8719-44FE-AC44-26ECE89E2676}&lt;/UID&gt;&lt;Title&gt;Anthropogenic point-source and non - point-source nitrogen inputs into Huai River basin and their impacts on riverine ammonia- nitrogen flux&lt;/Title&gt;&lt;Template&gt;Journal Article&lt;/Template&gt;&lt;Star&gt;0&lt;/Star&gt;&lt;Tag&gt;0&lt;/Tag&gt;&lt;Author&gt;Zhang, W S; Swaney, D P; Li, X Y; Hong, B; Howarth, R W; Ding, S H&lt;/Author&gt;&lt;Year&gt;2015&lt;/Year&gt;&lt;Details&gt;&lt;_author_adr&gt;[W. S. Zhang]Cornell Univ, Dept Ecol &amp;amp; Evolutionary Biol, Ithaca, NY USA;[D. P. Swaney]Cornell Univ, Dept Ecol &amp;amp; Evolutionary Biol, Ithaca, NY USA;[X. Y. Li]Chinese Acad Sci, Res Ctr Ecoenvironm Sci, State Key Lab Urban &amp;amp; Reg Ecol, Beijing, Peoples R China;[B. Hong]Cornell Univ, Dept Ecol &amp;amp; Evolutionary Biol, Ithaca, NY USA;[R. W. Howarth]Cornell Univ, Dept Ecol &amp;amp; Evolutionary Biol, Ithaca, NY USA;[S. H. Ding]Minist Water Resources, Huai River Commiss, Bengbu, Anhui, Peoples R China;&lt;/_author_adr&gt;&lt;_author_aff&gt;Chinese Acad Sci;Chinese Academy of Sciences;Research Center for Eco-Environmental Sciences (RCEES);Univ Chinese Acad Sci;Chinese Academy of Sciences;University of Chinese Academy of Sciences, CAS;Cornell Univ;Cornell University;Cornell University College of Arts and Sciences;Cornell University Department of Ecology and Evolutionary Biology;Minist Water Resources;&lt;/_author_aff&gt;&lt;_cate&gt;Ecology;Geosciences, Multidisciplinary;&lt;/_cate&gt;&lt;_cited_count&gt;44&lt;/_cited_count&gt;&lt;_date&gt;2015-01-01&lt;/_date&gt;&lt;_doi&gt;10.5194/bg-12-4275-2015&lt;/_doi&gt;&lt;_isbn&gt;1726-4170&lt;/_isbn&gt;&lt;_issue&gt;14&lt;/_issue&gt;&lt;_journal&gt;BIOGEOSCIENCES&lt;/_journal&gt;&lt;_ori_publication&gt;COPERNICUS GESELLSCHAFT MBH&lt;/_ori_publication&gt;&lt;_pages&gt;4275-4289&lt;/_pages&gt;&lt;_place_published&gt;BAHNHOFSALLEE 1E, GOTTINGEN, 37081, GERMANY&lt;/_place_published&gt;&lt;_ref_count&gt;77&lt;/_ref_count&gt;&lt;_url&gt;https://www.webofscience.com/wos/alldb/full-record/WOS:000358800900007&lt;/_url&gt;&lt;_volume&gt;12&lt;/_volume&gt;&lt;_created&gt;65647721&lt;/_created&gt;&lt;_modified&gt;65647721&lt;/_modified&gt;&lt;_db_updated&gt;Web of Science-Core&lt;/_db_updated&gt;&lt;_impact_factor&gt;   3.900&lt;/_impact_factor&gt;&lt;_social_category&gt;生态学(3) &amp;amp; 地球科学：综合(2)&lt;/_social_category&gt;&lt;_collection_scope&gt;SCIE&lt;/_collection_scope&gt;&lt;/Details&gt;&lt;Extra&gt;&lt;DBUID&gt;{03752FAB-B361-4F66-989B-C711D9502F78}&lt;/DBUID&gt;&lt;/Extra&gt;&lt;/Item&gt;&lt;/References&gt;&lt;/Group&gt;&lt;/Citation&gt;_x000a_"/>
    <w:docVar w:name="NE.Ref{F336C39B-49F1-44AE-B3BF-FB46D5E8331B}" w:val=" ADDIN NE.Ref.{F336C39B-49F1-44AE-B3BF-FB46D5E8331B}&lt;Citation&gt;&lt;Group&gt;&lt;References&gt;&lt;Item&gt;&lt;ID&gt;796&lt;/ID&gt;&lt;UID&gt;{0C09EBE0-AC6E-4B6E-B873-FCBB0F232817}&lt;/UID&gt;&lt;Title&gt;亚热带流域人类活动净氮输入与河流输出响应——以东江为例&lt;/Title&gt;&lt;Template&gt;Journal Article&lt;/Template&gt;&lt;Star&gt;0&lt;/Star&gt;&lt;Tag&gt;0&lt;/Tag&gt;&lt;Author&gt;曹敏; 吴东少; 段仲昭; 陈岩; 张远; 高伟&lt;/Author&gt;&lt;Year&gt;2023&lt;/Year&gt;&lt;Details&gt;&lt;_author_adr&gt;广东工业大学生态环境与资源学院,大湾区城市环境安全与绿色发展教育部重点实验室;云南大学生态学与环境学院,云南省高原山地生态与退化环境修复重点实验室;生态环境部环境规划院,国家环境保护环境规划与政策模拟重点实验室;&lt;/_author_adr&gt;&lt;_db_provider&gt;CNKI&lt;/_db_provider&gt;&lt;_doi&gt;10.13671/j.hjkxxb.2023.0032&lt;/_doi&gt;&lt;_isbn&gt;0253-2468&lt;/_isbn&gt;&lt;_issue&gt;08&lt;/_issue&gt;&lt;_journal&gt;环境科学学报&lt;/_journal&gt;&lt;_keywords&gt;人类活动净氮输入;河流通量;非点源;东江;营养盐&lt;/_keywords&gt;&lt;_pages&gt;428-439&lt;/_pages&gt;&lt;_url&gt;https://link.cnki.net/doi/10.13671/j.hjkxxb.2023.0032&lt;/_url&gt;&lt;_volume&gt;43&lt;/_volume&gt;&lt;_created&gt;65889303&lt;/_created&gt;&lt;_modified&gt;65890761&lt;/_modified&gt;&lt;_collection_scope&gt;PKU;CSCD&lt;/_collection_scope&gt;&lt;_accessed&gt;65890754&lt;/_accessed&gt;&lt;_translated_title&gt;Estimating net anthropogenic nitrogen inputs and riverine export in a subtropical watershed： A case study of Dongjiang River&lt;/_translated_title&gt;&lt;_impact_factor&gt;Acta Scientiae Circumstantiae&lt;/_impact_factor&gt;&lt;_translated_author&gt;Cao, Min;Wu, Dong shao;Duan, Zhong zhao;Chen, Yan;Zhang, Yuan;Gao, Wei&lt;/_translated_author&gt;&lt;_language&gt;Chinese&lt;/_language&gt;&lt;/Details&gt;&lt;Extra&gt;&lt;DBUID&gt;{03752FAB-B361-4F66-989B-C711D9502F78}&lt;/DBUID&gt;&lt;/Extra&gt;&lt;/Item&gt;&lt;/References&gt;&lt;/Group&gt;&lt;/Citation&gt;_x000a_"/>
    <w:docVar w:name="ne_build" w:val="16.0.18623"/>
    <w:docVar w:name="ne_docsoft" w:val="MSWord"/>
    <w:docVar w:name="ne_docversion" w:val="NoteExpress 2.0"/>
    <w:docVar w:name="ne_os" w:val="Mircrosoft"/>
    <w:docVar w:name="ne_platform" w:val="Word"/>
    <w:docVar w:name="ne_stylename" w:val="Scientific Reports新"/>
  </w:docVars>
  <w:rsids>
    <w:rsidRoot w:val="00326E80"/>
    <w:rsid w:val="00000744"/>
    <w:rsid w:val="00003970"/>
    <w:rsid w:val="0001002E"/>
    <w:rsid w:val="00013DB7"/>
    <w:rsid w:val="000302E9"/>
    <w:rsid w:val="000312E4"/>
    <w:rsid w:val="00032268"/>
    <w:rsid w:val="000332FD"/>
    <w:rsid w:val="0003507A"/>
    <w:rsid w:val="00050DED"/>
    <w:rsid w:val="0005636F"/>
    <w:rsid w:val="00060FA1"/>
    <w:rsid w:val="000630F8"/>
    <w:rsid w:val="00071E3B"/>
    <w:rsid w:val="0007657C"/>
    <w:rsid w:val="00081BC5"/>
    <w:rsid w:val="00090FB7"/>
    <w:rsid w:val="00094416"/>
    <w:rsid w:val="000B0D18"/>
    <w:rsid w:val="000B10BB"/>
    <w:rsid w:val="000B14BA"/>
    <w:rsid w:val="000B1B37"/>
    <w:rsid w:val="000C50B2"/>
    <w:rsid w:val="000C6CAF"/>
    <w:rsid w:val="000D1652"/>
    <w:rsid w:val="000E2D8C"/>
    <w:rsid w:val="0010191A"/>
    <w:rsid w:val="00113FE3"/>
    <w:rsid w:val="001221BC"/>
    <w:rsid w:val="001343F8"/>
    <w:rsid w:val="00141C89"/>
    <w:rsid w:val="00141EE2"/>
    <w:rsid w:val="001504D9"/>
    <w:rsid w:val="00152363"/>
    <w:rsid w:val="0015439A"/>
    <w:rsid w:val="001567E7"/>
    <w:rsid w:val="00160366"/>
    <w:rsid w:val="00160AB4"/>
    <w:rsid w:val="00167537"/>
    <w:rsid w:val="001809FC"/>
    <w:rsid w:val="00186948"/>
    <w:rsid w:val="001A2BB4"/>
    <w:rsid w:val="001A3297"/>
    <w:rsid w:val="001A5A32"/>
    <w:rsid w:val="001B5C7E"/>
    <w:rsid w:val="001C7816"/>
    <w:rsid w:val="001D08C2"/>
    <w:rsid w:val="001D6294"/>
    <w:rsid w:val="001E1BA8"/>
    <w:rsid w:val="001E2E2E"/>
    <w:rsid w:val="001F68AB"/>
    <w:rsid w:val="001F7039"/>
    <w:rsid w:val="002164DA"/>
    <w:rsid w:val="00235116"/>
    <w:rsid w:val="0023740D"/>
    <w:rsid w:val="0024563E"/>
    <w:rsid w:val="00271BDF"/>
    <w:rsid w:val="0027671C"/>
    <w:rsid w:val="00282934"/>
    <w:rsid w:val="00284D9C"/>
    <w:rsid w:val="002918A9"/>
    <w:rsid w:val="00292110"/>
    <w:rsid w:val="00292DF4"/>
    <w:rsid w:val="00292E93"/>
    <w:rsid w:val="0029333D"/>
    <w:rsid w:val="00295F27"/>
    <w:rsid w:val="002A0246"/>
    <w:rsid w:val="002A5BB5"/>
    <w:rsid w:val="002C565B"/>
    <w:rsid w:val="002D60E9"/>
    <w:rsid w:val="002E079D"/>
    <w:rsid w:val="002E2185"/>
    <w:rsid w:val="002E2B8C"/>
    <w:rsid w:val="002F0BB9"/>
    <w:rsid w:val="002F2C6E"/>
    <w:rsid w:val="00310AE0"/>
    <w:rsid w:val="00310FEB"/>
    <w:rsid w:val="00313E71"/>
    <w:rsid w:val="00321B46"/>
    <w:rsid w:val="00326E80"/>
    <w:rsid w:val="00334D64"/>
    <w:rsid w:val="00341941"/>
    <w:rsid w:val="00347D62"/>
    <w:rsid w:val="00351E75"/>
    <w:rsid w:val="003576ED"/>
    <w:rsid w:val="00357832"/>
    <w:rsid w:val="00360153"/>
    <w:rsid w:val="00362ACA"/>
    <w:rsid w:val="00366BF8"/>
    <w:rsid w:val="00366FAE"/>
    <w:rsid w:val="00374B7C"/>
    <w:rsid w:val="00392B0A"/>
    <w:rsid w:val="00394169"/>
    <w:rsid w:val="00394FC0"/>
    <w:rsid w:val="00396BA9"/>
    <w:rsid w:val="003A1971"/>
    <w:rsid w:val="003A5C5E"/>
    <w:rsid w:val="003B7B5B"/>
    <w:rsid w:val="003C3E6C"/>
    <w:rsid w:val="003C40D6"/>
    <w:rsid w:val="003D1CBA"/>
    <w:rsid w:val="003D6A86"/>
    <w:rsid w:val="003E3CD3"/>
    <w:rsid w:val="003E7680"/>
    <w:rsid w:val="003F0745"/>
    <w:rsid w:val="003F1FEB"/>
    <w:rsid w:val="003F78C3"/>
    <w:rsid w:val="004061EE"/>
    <w:rsid w:val="00407F87"/>
    <w:rsid w:val="00416CB1"/>
    <w:rsid w:val="0042038F"/>
    <w:rsid w:val="004223D2"/>
    <w:rsid w:val="004234C5"/>
    <w:rsid w:val="00430DCB"/>
    <w:rsid w:val="004312CC"/>
    <w:rsid w:val="00431A04"/>
    <w:rsid w:val="004350B5"/>
    <w:rsid w:val="00445DCA"/>
    <w:rsid w:val="00456F45"/>
    <w:rsid w:val="00461D08"/>
    <w:rsid w:val="00463D1C"/>
    <w:rsid w:val="00482FF9"/>
    <w:rsid w:val="004B09A0"/>
    <w:rsid w:val="004C109E"/>
    <w:rsid w:val="004C6461"/>
    <w:rsid w:val="004D51CE"/>
    <w:rsid w:val="004D7028"/>
    <w:rsid w:val="004E4639"/>
    <w:rsid w:val="004F3DAA"/>
    <w:rsid w:val="00516901"/>
    <w:rsid w:val="005242FF"/>
    <w:rsid w:val="00524AFC"/>
    <w:rsid w:val="00527F84"/>
    <w:rsid w:val="00534DFD"/>
    <w:rsid w:val="00540B64"/>
    <w:rsid w:val="005431F0"/>
    <w:rsid w:val="0054390A"/>
    <w:rsid w:val="00544267"/>
    <w:rsid w:val="00551373"/>
    <w:rsid w:val="0055178B"/>
    <w:rsid w:val="00551F2F"/>
    <w:rsid w:val="00556CF5"/>
    <w:rsid w:val="00557727"/>
    <w:rsid w:val="00560DC3"/>
    <w:rsid w:val="00561935"/>
    <w:rsid w:val="00571752"/>
    <w:rsid w:val="00574BE9"/>
    <w:rsid w:val="00576834"/>
    <w:rsid w:val="00581835"/>
    <w:rsid w:val="005A0999"/>
    <w:rsid w:val="005C2F7B"/>
    <w:rsid w:val="005C5EED"/>
    <w:rsid w:val="005C7E6F"/>
    <w:rsid w:val="005D390F"/>
    <w:rsid w:val="005E336B"/>
    <w:rsid w:val="005F1052"/>
    <w:rsid w:val="005F29A7"/>
    <w:rsid w:val="005F3783"/>
    <w:rsid w:val="005F520E"/>
    <w:rsid w:val="00602FE6"/>
    <w:rsid w:val="00605B2B"/>
    <w:rsid w:val="006133A1"/>
    <w:rsid w:val="00632A61"/>
    <w:rsid w:val="00635D6C"/>
    <w:rsid w:val="006453F6"/>
    <w:rsid w:val="00646D32"/>
    <w:rsid w:val="00650296"/>
    <w:rsid w:val="00650809"/>
    <w:rsid w:val="00653D81"/>
    <w:rsid w:val="00680977"/>
    <w:rsid w:val="00683CAF"/>
    <w:rsid w:val="0068628C"/>
    <w:rsid w:val="006914F3"/>
    <w:rsid w:val="0069307E"/>
    <w:rsid w:val="006B024B"/>
    <w:rsid w:val="006B227E"/>
    <w:rsid w:val="006B6D56"/>
    <w:rsid w:val="006C7A46"/>
    <w:rsid w:val="006D20E7"/>
    <w:rsid w:val="006D48C9"/>
    <w:rsid w:val="006D7C27"/>
    <w:rsid w:val="006E1580"/>
    <w:rsid w:val="006E15B2"/>
    <w:rsid w:val="006F0A7F"/>
    <w:rsid w:val="006F0EF7"/>
    <w:rsid w:val="006F2C3B"/>
    <w:rsid w:val="00702A74"/>
    <w:rsid w:val="00726653"/>
    <w:rsid w:val="00726FC3"/>
    <w:rsid w:val="007340DE"/>
    <w:rsid w:val="00734702"/>
    <w:rsid w:val="00744CB4"/>
    <w:rsid w:val="00744F1A"/>
    <w:rsid w:val="00747E3D"/>
    <w:rsid w:val="007564CC"/>
    <w:rsid w:val="0076380C"/>
    <w:rsid w:val="00770456"/>
    <w:rsid w:val="007837B7"/>
    <w:rsid w:val="00783D96"/>
    <w:rsid w:val="00784B45"/>
    <w:rsid w:val="007A0F9D"/>
    <w:rsid w:val="007A5E3B"/>
    <w:rsid w:val="007B7707"/>
    <w:rsid w:val="007C3176"/>
    <w:rsid w:val="007D207F"/>
    <w:rsid w:val="007D47BE"/>
    <w:rsid w:val="007E617B"/>
    <w:rsid w:val="007E6A4E"/>
    <w:rsid w:val="007F3895"/>
    <w:rsid w:val="008042EE"/>
    <w:rsid w:val="00804EE4"/>
    <w:rsid w:val="00807086"/>
    <w:rsid w:val="00811A62"/>
    <w:rsid w:val="00811CF7"/>
    <w:rsid w:val="008121B6"/>
    <w:rsid w:val="00815A76"/>
    <w:rsid w:val="008247B4"/>
    <w:rsid w:val="00827E95"/>
    <w:rsid w:val="008415D3"/>
    <w:rsid w:val="00844296"/>
    <w:rsid w:val="00844717"/>
    <w:rsid w:val="0086159B"/>
    <w:rsid w:val="00863F23"/>
    <w:rsid w:val="00866CB4"/>
    <w:rsid w:val="00877701"/>
    <w:rsid w:val="0089264C"/>
    <w:rsid w:val="0089723B"/>
    <w:rsid w:val="008C0931"/>
    <w:rsid w:val="008C4D26"/>
    <w:rsid w:val="008D023D"/>
    <w:rsid w:val="008D2A81"/>
    <w:rsid w:val="008D4B5B"/>
    <w:rsid w:val="008E1B53"/>
    <w:rsid w:val="008E6DAC"/>
    <w:rsid w:val="008F7187"/>
    <w:rsid w:val="00903D26"/>
    <w:rsid w:val="00905605"/>
    <w:rsid w:val="009124BD"/>
    <w:rsid w:val="009228FD"/>
    <w:rsid w:val="0093037A"/>
    <w:rsid w:val="0094334E"/>
    <w:rsid w:val="00955B07"/>
    <w:rsid w:val="00971669"/>
    <w:rsid w:val="00977DE7"/>
    <w:rsid w:val="009B3EB0"/>
    <w:rsid w:val="009E78DE"/>
    <w:rsid w:val="009F3DDC"/>
    <w:rsid w:val="00A026CF"/>
    <w:rsid w:val="00A1064E"/>
    <w:rsid w:val="00A106C5"/>
    <w:rsid w:val="00A10ED6"/>
    <w:rsid w:val="00A17E80"/>
    <w:rsid w:val="00A24AF2"/>
    <w:rsid w:val="00A3799E"/>
    <w:rsid w:val="00A43462"/>
    <w:rsid w:val="00A54266"/>
    <w:rsid w:val="00A55800"/>
    <w:rsid w:val="00A67806"/>
    <w:rsid w:val="00A71716"/>
    <w:rsid w:val="00A82590"/>
    <w:rsid w:val="00A90495"/>
    <w:rsid w:val="00A95CE2"/>
    <w:rsid w:val="00AA3369"/>
    <w:rsid w:val="00AC0416"/>
    <w:rsid w:val="00AC572D"/>
    <w:rsid w:val="00AC5B00"/>
    <w:rsid w:val="00B11CA9"/>
    <w:rsid w:val="00B122E1"/>
    <w:rsid w:val="00B65279"/>
    <w:rsid w:val="00B77CDC"/>
    <w:rsid w:val="00B91E4C"/>
    <w:rsid w:val="00B972EE"/>
    <w:rsid w:val="00BA1896"/>
    <w:rsid w:val="00BA4869"/>
    <w:rsid w:val="00BA7C89"/>
    <w:rsid w:val="00BB7B4D"/>
    <w:rsid w:val="00BD0C90"/>
    <w:rsid w:val="00BD3306"/>
    <w:rsid w:val="00BD70E2"/>
    <w:rsid w:val="00BE4DCE"/>
    <w:rsid w:val="00C0039F"/>
    <w:rsid w:val="00C005A1"/>
    <w:rsid w:val="00C14DD0"/>
    <w:rsid w:val="00C204FD"/>
    <w:rsid w:val="00C259F1"/>
    <w:rsid w:val="00C30757"/>
    <w:rsid w:val="00C47737"/>
    <w:rsid w:val="00C570C2"/>
    <w:rsid w:val="00C6461D"/>
    <w:rsid w:val="00C70FCD"/>
    <w:rsid w:val="00C776D1"/>
    <w:rsid w:val="00C80332"/>
    <w:rsid w:val="00C8157F"/>
    <w:rsid w:val="00C81AD6"/>
    <w:rsid w:val="00C93581"/>
    <w:rsid w:val="00C95259"/>
    <w:rsid w:val="00C96CBD"/>
    <w:rsid w:val="00CA0CEA"/>
    <w:rsid w:val="00CA170A"/>
    <w:rsid w:val="00CA64E5"/>
    <w:rsid w:val="00CB0A09"/>
    <w:rsid w:val="00CB6273"/>
    <w:rsid w:val="00CB6559"/>
    <w:rsid w:val="00CC312F"/>
    <w:rsid w:val="00CC414C"/>
    <w:rsid w:val="00CC4E2B"/>
    <w:rsid w:val="00CC5839"/>
    <w:rsid w:val="00CC750F"/>
    <w:rsid w:val="00CD736B"/>
    <w:rsid w:val="00CE19D8"/>
    <w:rsid w:val="00CF253A"/>
    <w:rsid w:val="00CF7DAC"/>
    <w:rsid w:val="00D067AD"/>
    <w:rsid w:val="00D10029"/>
    <w:rsid w:val="00D25115"/>
    <w:rsid w:val="00D303C3"/>
    <w:rsid w:val="00D3239B"/>
    <w:rsid w:val="00D3460A"/>
    <w:rsid w:val="00D43914"/>
    <w:rsid w:val="00D44171"/>
    <w:rsid w:val="00D45F60"/>
    <w:rsid w:val="00D5254E"/>
    <w:rsid w:val="00D739DD"/>
    <w:rsid w:val="00D74C0D"/>
    <w:rsid w:val="00D757C8"/>
    <w:rsid w:val="00D76114"/>
    <w:rsid w:val="00D77071"/>
    <w:rsid w:val="00D847C8"/>
    <w:rsid w:val="00D90F25"/>
    <w:rsid w:val="00D945F8"/>
    <w:rsid w:val="00D9738E"/>
    <w:rsid w:val="00DA0B69"/>
    <w:rsid w:val="00DB1321"/>
    <w:rsid w:val="00DB7A8B"/>
    <w:rsid w:val="00DC0BBA"/>
    <w:rsid w:val="00DC5417"/>
    <w:rsid w:val="00DC7C98"/>
    <w:rsid w:val="00DD5285"/>
    <w:rsid w:val="00DD7E1B"/>
    <w:rsid w:val="00DE0AB6"/>
    <w:rsid w:val="00DE1C2E"/>
    <w:rsid w:val="00DE7F77"/>
    <w:rsid w:val="00DF087F"/>
    <w:rsid w:val="00DF2C39"/>
    <w:rsid w:val="00DF2F1A"/>
    <w:rsid w:val="00DF5405"/>
    <w:rsid w:val="00E11021"/>
    <w:rsid w:val="00E16F93"/>
    <w:rsid w:val="00E34E58"/>
    <w:rsid w:val="00E403CF"/>
    <w:rsid w:val="00E42877"/>
    <w:rsid w:val="00E4350C"/>
    <w:rsid w:val="00E5678C"/>
    <w:rsid w:val="00E621AE"/>
    <w:rsid w:val="00E93F0D"/>
    <w:rsid w:val="00E95412"/>
    <w:rsid w:val="00EA2357"/>
    <w:rsid w:val="00EA274E"/>
    <w:rsid w:val="00EA66FA"/>
    <w:rsid w:val="00EB27A4"/>
    <w:rsid w:val="00EB27B7"/>
    <w:rsid w:val="00EB674F"/>
    <w:rsid w:val="00EC3B00"/>
    <w:rsid w:val="00EC52D5"/>
    <w:rsid w:val="00ED0A6B"/>
    <w:rsid w:val="00F166BF"/>
    <w:rsid w:val="00F31484"/>
    <w:rsid w:val="00F3330E"/>
    <w:rsid w:val="00F34591"/>
    <w:rsid w:val="00F852E0"/>
    <w:rsid w:val="00FC3EBB"/>
    <w:rsid w:val="00FC4933"/>
    <w:rsid w:val="00FD4545"/>
    <w:rsid w:val="00FE1C0E"/>
    <w:rsid w:val="00FF13E5"/>
    <w:rsid w:val="00FF1714"/>
    <w:rsid w:val="00FF2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9BB19"/>
  <w14:defaultImageDpi w14:val="32767"/>
  <w15:chartTrackingRefBased/>
  <w15:docId w15:val="{991A629B-4236-4A3F-8EAC-28A6125C6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3D96"/>
    <w:pPr>
      <w:widowControl w:val="0"/>
      <w:ind w:firstLineChars="200" w:firstLine="200"/>
      <w:jc w:val="both"/>
    </w:pPr>
    <w:rPr>
      <w:rFonts w:ascii="Times New Roman" w:eastAsia="宋体" w:hAnsi="Times New Roman" w:cs="Times New Roman"/>
      <w14:ligatures w14:val="none"/>
    </w:rPr>
  </w:style>
  <w:style w:type="paragraph" w:styleId="1">
    <w:name w:val="heading 1"/>
    <w:basedOn w:val="a"/>
    <w:next w:val="a"/>
    <w:link w:val="10"/>
    <w:uiPriority w:val="9"/>
    <w:qFormat/>
    <w:rsid w:val="00CE19D8"/>
    <w:pPr>
      <w:keepNext/>
      <w:keepLines/>
      <w:ind w:firstLineChars="0" w:firstLine="0"/>
      <w:outlineLvl w:val="0"/>
    </w:pPr>
    <w:rPr>
      <w:b/>
      <w:bCs/>
      <w:kern w:val="44"/>
      <w:szCs w:val="44"/>
    </w:rPr>
  </w:style>
  <w:style w:type="paragraph" w:styleId="2">
    <w:name w:val="heading 2"/>
    <w:basedOn w:val="a"/>
    <w:next w:val="a"/>
    <w:link w:val="20"/>
    <w:uiPriority w:val="9"/>
    <w:unhideWhenUsed/>
    <w:qFormat/>
    <w:rsid w:val="00E621AE"/>
    <w:pPr>
      <w:keepNext/>
      <w:keepLines/>
      <w:ind w:firstLineChars="0" w:firstLine="0"/>
      <w:outlineLvl w:val="1"/>
    </w:pPr>
    <w:rPr>
      <w:rFonts w:cstheme="majorBidi"/>
      <w:b/>
      <w:bCs/>
      <w:szCs w:val="32"/>
    </w:rPr>
  </w:style>
  <w:style w:type="paragraph" w:styleId="3">
    <w:name w:val="heading 3"/>
    <w:basedOn w:val="a"/>
    <w:next w:val="a"/>
    <w:link w:val="30"/>
    <w:uiPriority w:val="9"/>
    <w:unhideWhenUsed/>
    <w:qFormat/>
    <w:rsid w:val="00561935"/>
    <w:pPr>
      <w:keepNext/>
      <w:keepLines/>
      <w:ind w:firstLineChars="0" w:firstLine="0"/>
      <w:outlineLvl w:val="2"/>
    </w:pPr>
    <w:rPr>
      <w:b/>
      <w:bCs/>
      <w:szCs w:val="32"/>
    </w:rPr>
  </w:style>
  <w:style w:type="paragraph" w:styleId="4">
    <w:name w:val="heading 4"/>
    <w:basedOn w:val="a"/>
    <w:next w:val="a"/>
    <w:link w:val="40"/>
    <w:uiPriority w:val="9"/>
    <w:unhideWhenUsed/>
    <w:qFormat/>
    <w:rsid w:val="00E93F0D"/>
    <w:pPr>
      <w:keepNext/>
      <w:keepLines/>
      <w:ind w:firstLineChars="0" w:firstLine="0"/>
      <w:outlineLvl w:val="3"/>
    </w:pPr>
    <w:rPr>
      <w:rFonts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21AE"/>
    <w:pPr>
      <w:tabs>
        <w:tab w:val="center" w:pos="4153"/>
        <w:tab w:val="right" w:pos="8306"/>
      </w:tabs>
      <w:snapToGrid w:val="0"/>
      <w:jc w:val="center"/>
    </w:pPr>
    <w:rPr>
      <w:sz w:val="18"/>
      <w:szCs w:val="18"/>
    </w:rPr>
  </w:style>
  <w:style w:type="character" w:customStyle="1" w:styleId="a4">
    <w:name w:val="页眉 字符"/>
    <w:basedOn w:val="a0"/>
    <w:link w:val="a3"/>
    <w:uiPriority w:val="99"/>
    <w:rsid w:val="00E621AE"/>
    <w:rPr>
      <w:sz w:val="18"/>
      <w:szCs w:val="18"/>
    </w:rPr>
  </w:style>
  <w:style w:type="paragraph" w:styleId="a5">
    <w:name w:val="footer"/>
    <w:basedOn w:val="a"/>
    <w:link w:val="a6"/>
    <w:uiPriority w:val="99"/>
    <w:unhideWhenUsed/>
    <w:rsid w:val="00E621AE"/>
    <w:pPr>
      <w:tabs>
        <w:tab w:val="center" w:pos="4153"/>
        <w:tab w:val="right" w:pos="8306"/>
      </w:tabs>
      <w:snapToGrid w:val="0"/>
      <w:jc w:val="left"/>
    </w:pPr>
    <w:rPr>
      <w:sz w:val="18"/>
      <w:szCs w:val="18"/>
    </w:rPr>
  </w:style>
  <w:style w:type="character" w:customStyle="1" w:styleId="a6">
    <w:name w:val="页脚 字符"/>
    <w:basedOn w:val="a0"/>
    <w:link w:val="a5"/>
    <w:uiPriority w:val="99"/>
    <w:rsid w:val="00E621AE"/>
    <w:rPr>
      <w:sz w:val="18"/>
      <w:szCs w:val="18"/>
    </w:rPr>
  </w:style>
  <w:style w:type="character" w:customStyle="1" w:styleId="10">
    <w:name w:val="标题 1 字符"/>
    <w:basedOn w:val="a0"/>
    <w:link w:val="1"/>
    <w:uiPriority w:val="9"/>
    <w:rsid w:val="00CE19D8"/>
    <w:rPr>
      <w:rFonts w:ascii="Times New Roman" w:eastAsia="宋体" w:hAnsi="Times New Roman"/>
      <w:b/>
      <w:bCs/>
      <w:kern w:val="44"/>
      <w:szCs w:val="44"/>
    </w:rPr>
  </w:style>
  <w:style w:type="character" w:customStyle="1" w:styleId="20">
    <w:name w:val="标题 2 字符"/>
    <w:basedOn w:val="a0"/>
    <w:link w:val="2"/>
    <w:uiPriority w:val="9"/>
    <w:rsid w:val="00E621AE"/>
    <w:rPr>
      <w:rFonts w:ascii="Times New Roman" w:eastAsia="宋体" w:hAnsi="Times New Roman" w:cstheme="majorBidi"/>
      <w:b/>
      <w:bCs/>
      <w:szCs w:val="32"/>
    </w:rPr>
  </w:style>
  <w:style w:type="table" w:styleId="a7">
    <w:name w:val="Table Grid"/>
    <w:basedOn w:val="a1"/>
    <w:uiPriority w:val="39"/>
    <w:rsid w:val="00E62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E621AE"/>
    <w:rPr>
      <w:sz w:val="21"/>
      <w:szCs w:val="21"/>
    </w:rPr>
  </w:style>
  <w:style w:type="paragraph" w:styleId="a9">
    <w:name w:val="annotation text"/>
    <w:basedOn w:val="a"/>
    <w:link w:val="aa"/>
    <w:uiPriority w:val="99"/>
    <w:unhideWhenUsed/>
    <w:rsid w:val="00E621AE"/>
    <w:pPr>
      <w:jc w:val="left"/>
    </w:pPr>
  </w:style>
  <w:style w:type="character" w:customStyle="1" w:styleId="aa">
    <w:name w:val="批注文字 字符"/>
    <w:basedOn w:val="a0"/>
    <w:link w:val="a9"/>
    <w:uiPriority w:val="99"/>
    <w:rsid w:val="00E621AE"/>
    <w:rPr>
      <w:rFonts w:ascii="Times New Roman" w:eastAsia="宋体" w:hAnsi="Times New Roman"/>
    </w:rPr>
  </w:style>
  <w:style w:type="paragraph" w:styleId="ab">
    <w:name w:val="annotation subject"/>
    <w:basedOn w:val="a9"/>
    <w:next w:val="a9"/>
    <w:link w:val="ac"/>
    <w:uiPriority w:val="99"/>
    <w:semiHidden/>
    <w:unhideWhenUsed/>
    <w:rsid w:val="00E621AE"/>
    <w:rPr>
      <w:b/>
      <w:bCs/>
    </w:rPr>
  </w:style>
  <w:style w:type="character" w:customStyle="1" w:styleId="ac">
    <w:name w:val="批注主题 字符"/>
    <w:basedOn w:val="aa"/>
    <w:link w:val="ab"/>
    <w:uiPriority w:val="99"/>
    <w:semiHidden/>
    <w:rsid w:val="00E621AE"/>
    <w:rPr>
      <w:rFonts w:ascii="Times New Roman" w:eastAsia="宋体" w:hAnsi="Times New Roman"/>
      <w:b/>
      <w:bCs/>
    </w:rPr>
  </w:style>
  <w:style w:type="character" w:styleId="ad">
    <w:name w:val="Placeholder Text"/>
    <w:basedOn w:val="a0"/>
    <w:uiPriority w:val="99"/>
    <w:semiHidden/>
    <w:rsid w:val="008C0931"/>
    <w:rPr>
      <w:color w:val="666666"/>
    </w:rPr>
  </w:style>
  <w:style w:type="character" w:customStyle="1" w:styleId="30">
    <w:name w:val="标题 3 字符"/>
    <w:basedOn w:val="a0"/>
    <w:link w:val="3"/>
    <w:uiPriority w:val="9"/>
    <w:rsid w:val="00561935"/>
    <w:rPr>
      <w:rFonts w:ascii="Times New Roman" w:eastAsia="宋体" w:hAnsi="Times New Roman"/>
      <w:b/>
      <w:bCs/>
      <w:szCs w:val="32"/>
    </w:rPr>
  </w:style>
  <w:style w:type="table" w:customStyle="1" w:styleId="11">
    <w:name w:val="网格型1"/>
    <w:basedOn w:val="a1"/>
    <w:next w:val="a7"/>
    <w:uiPriority w:val="39"/>
    <w:rsid w:val="00090FB7"/>
    <w:rPr>
      <w:rFonts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标题 4 字符"/>
    <w:basedOn w:val="a0"/>
    <w:link w:val="4"/>
    <w:uiPriority w:val="9"/>
    <w:rsid w:val="00E93F0D"/>
    <w:rPr>
      <w:rFonts w:ascii="Times New Roman" w:eastAsia="宋体" w:hAnsi="Times New Roman" w:cstheme="majorBidi"/>
      <w:b/>
      <w:bCs/>
      <w:szCs w:val="28"/>
      <w14:ligatures w14:val="none"/>
    </w:rPr>
  </w:style>
  <w:style w:type="character" w:styleId="ae">
    <w:name w:val="Hyperlink"/>
    <w:basedOn w:val="a0"/>
    <w:uiPriority w:val="99"/>
    <w:unhideWhenUsed/>
    <w:rsid w:val="00EC52D5"/>
    <w:rPr>
      <w:color w:val="0563C1" w:themeColor="hyperlink"/>
      <w:u w:val="single"/>
    </w:rPr>
  </w:style>
  <w:style w:type="character" w:styleId="af">
    <w:name w:val="Unresolved Mention"/>
    <w:basedOn w:val="a0"/>
    <w:uiPriority w:val="99"/>
    <w:semiHidden/>
    <w:unhideWhenUsed/>
    <w:rsid w:val="00EC52D5"/>
    <w:rPr>
      <w:color w:val="605E5C"/>
      <w:shd w:val="clear" w:color="auto" w:fill="E1DFDD"/>
    </w:rPr>
  </w:style>
  <w:style w:type="character" w:styleId="af0">
    <w:name w:val="FollowedHyperlink"/>
    <w:basedOn w:val="a0"/>
    <w:uiPriority w:val="99"/>
    <w:semiHidden/>
    <w:unhideWhenUsed/>
    <w:rsid w:val="00784B45"/>
    <w:rPr>
      <w:color w:val="954F72" w:themeColor="followedHyperlink"/>
      <w:u w:val="single"/>
    </w:rPr>
  </w:style>
  <w:style w:type="character" w:styleId="af1">
    <w:name w:val="line number"/>
    <w:basedOn w:val="a0"/>
    <w:uiPriority w:val="99"/>
    <w:semiHidden/>
    <w:unhideWhenUsed/>
    <w:rsid w:val="004B09A0"/>
  </w:style>
  <w:style w:type="paragraph" w:styleId="af2">
    <w:name w:val="Revision"/>
    <w:hidden/>
    <w:uiPriority w:val="99"/>
    <w:semiHidden/>
    <w:rsid w:val="004D51CE"/>
    <w:rPr>
      <w:rFonts w:ascii="Times New Roman" w:eastAsia="宋体" w:hAnsi="Times New Roman"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16900">
      <w:bodyDiv w:val="1"/>
      <w:marLeft w:val="0"/>
      <w:marRight w:val="0"/>
      <w:marTop w:val="0"/>
      <w:marBottom w:val="0"/>
      <w:divBdr>
        <w:top w:val="none" w:sz="0" w:space="0" w:color="auto"/>
        <w:left w:val="none" w:sz="0" w:space="0" w:color="auto"/>
        <w:bottom w:val="none" w:sz="0" w:space="0" w:color="auto"/>
        <w:right w:val="none" w:sz="0" w:space="0" w:color="auto"/>
      </w:divBdr>
    </w:div>
    <w:div w:id="184589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C8ABF-B859-469A-B6E2-DFFF80155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Pages>
  <Words>2045</Words>
  <Characters>11658</Characters>
  <Application>Microsoft Office Word</Application>
  <DocSecurity>0</DocSecurity>
  <Lines>97</Lines>
  <Paragraphs>27</Paragraphs>
  <ScaleCrop>false</ScaleCrop>
  <Company/>
  <LinksUpToDate>false</LinksUpToDate>
  <CharactersWithSpaces>13676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敏 曹</dc:creator>
  <cp:keywords/>
  <dc:description>NE.Ref</dc:description>
  <cp:lastModifiedBy>敏 曹</cp:lastModifiedBy>
  <cp:revision>8</cp:revision>
  <dcterms:created xsi:type="dcterms:W3CDTF">2025-03-23T11:36:00Z</dcterms:created>
  <dcterms:modified xsi:type="dcterms:W3CDTF">2025-04-12T10:08:00Z</dcterms:modified>
</cp:coreProperties>
</file>