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56A4F2" w14:textId="77777777" w:rsidR="00041BBC" w:rsidRPr="0036705A" w:rsidRDefault="00041BBC" w:rsidP="00041BBC">
      <w:pPr>
        <w:snapToGrid w:val="0"/>
        <w:spacing w:line="360" w:lineRule="auto"/>
        <w:rPr>
          <w:rFonts w:ascii="Times New Roman" w:hAnsi="Times New Roman"/>
          <w:color w:val="000000"/>
          <w:sz w:val="20"/>
          <w:lang w:bidi="en-US"/>
        </w:rPr>
      </w:pPr>
      <w:r w:rsidRPr="0036705A">
        <w:rPr>
          <w:rFonts w:ascii="Times New Roman" w:hAnsi="Times New Roman"/>
          <w:color w:val="000000"/>
          <w:sz w:val="20"/>
          <w:lang w:bidi="en-US"/>
        </w:rPr>
        <w:t>Appendix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75"/>
        <w:gridCol w:w="2468"/>
        <w:gridCol w:w="1560"/>
        <w:gridCol w:w="1545"/>
        <w:gridCol w:w="1446"/>
      </w:tblGrid>
      <w:tr w:rsidR="00041BBC" w14:paraId="029EE8AD" w14:textId="77777777" w:rsidTr="00A51280">
        <w:tc>
          <w:tcPr>
            <w:tcW w:w="1527" w:type="dxa"/>
            <w:shd w:val="clear" w:color="auto" w:fill="auto"/>
          </w:tcPr>
          <w:p w14:paraId="3302C69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Indicator Reference Number</w:t>
            </w:r>
          </w:p>
        </w:tc>
        <w:tc>
          <w:tcPr>
            <w:tcW w:w="2497" w:type="dxa"/>
            <w:shd w:val="clear" w:color="auto" w:fill="auto"/>
          </w:tcPr>
          <w:p w14:paraId="0C8926D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Name of clinical indicator</w:t>
            </w:r>
          </w:p>
        </w:tc>
        <w:tc>
          <w:tcPr>
            <w:tcW w:w="1615" w:type="dxa"/>
            <w:shd w:val="clear" w:color="auto" w:fill="auto"/>
          </w:tcPr>
          <w:p w14:paraId="04A3980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Structures, outcomes, and processes</w:t>
            </w:r>
          </w:p>
        </w:tc>
        <w:tc>
          <w:tcPr>
            <w:tcW w:w="1589" w:type="dxa"/>
            <w:shd w:val="clear" w:color="auto" w:fill="auto"/>
          </w:tcPr>
          <w:p w14:paraId="130B94B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Indicators proposed by the Japan Municipal Hospital Association in their program</w:t>
            </w:r>
          </w:p>
        </w:tc>
        <w:tc>
          <w:tcPr>
            <w:tcW w:w="1492" w:type="dxa"/>
            <w:shd w:val="clear" w:color="auto" w:fill="auto"/>
          </w:tcPr>
          <w:p w14:paraId="3E55F4D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Number of hospitals measuring (%)</w:t>
            </w:r>
          </w:p>
        </w:tc>
      </w:tr>
      <w:tr w:rsidR="00041BBC" w14:paraId="2A8919DD" w14:textId="77777777" w:rsidTr="00A51280">
        <w:tc>
          <w:tcPr>
            <w:tcW w:w="8720" w:type="dxa"/>
            <w:gridSpan w:val="5"/>
            <w:shd w:val="clear" w:color="auto" w:fill="auto"/>
          </w:tcPr>
          <w:p w14:paraId="2550DF0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A Hospital-wide initiatives and Individual disease-related</w:t>
            </w:r>
          </w:p>
        </w:tc>
      </w:tr>
      <w:tr w:rsidR="00041BBC" w14:paraId="4CCF5307" w14:textId="77777777" w:rsidTr="00A51280">
        <w:tc>
          <w:tcPr>
            <w:tcW w:w="1527" w:type="dxa"/>
            <w:shd w:val="clear" w:color="auto" w:fill="auto"/>
          </w:tcPr>
          <w:p w14:paraId="68B2099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A-1</w:t>
            </w:r>
          </w:p>
        </w:tc>
        <w:tc>
          <w:tcPr>
            <w:tcW w:w="2497" w:type="dxa"/>
            <w:shd w:val="clear" w:color="auto" w:fill="auto"/>
          </w:tcPr>
          <w:p w14:paraId="11273C6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Average length of hospitalization and rate of hospital bed utilization</w:t>
            </w:r>
          </w:p>
        </w:tc>
        <w:tc>
          <w:tcPr>
            <w:tcW w:w="1615" w:type="dxa"/>
            <w:shd w:val="clear" w:color="auto" w:fill="auto"/>
          </w:tcPr>
          <w:p w14:paraId="29440A2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3245C3B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39715B7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52 (68.4%)</w:t>
            </w:r>
          </w:p>
        </w:tc>
      </w:tr>
      <w:tr w:rsidR="00041BBC" w14:paraId="0AF34B03" w14:textId="77777777" w:rsidTr="00A51280">
        <w:tc>
          <w:tcPr>
            <w:tcW w:w="1527" w:type="dxa"/>
            <w:shd w:val="clear" w:color="auto" w:fill="auto"/>
          </w:tcPr>
          <w:p w14:paraId="48B1091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A-2</w:t>
            </w:r>
          </w:p>
        </w:tc>
        <w:tc>
          <w:tcPr>
            <w:tcW w:w="2497" w:type="dxa"/>
            <w:shd w:val="clear" w:color="auto" w:fill="auto"/>
          </w:tcPr>
          <w:p w14:paraId="4AB761A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Completion rate of in-take summary</w:t>
            </w:r>
          </w:p>
        </w:tc>
        <w:tc>
          <w:tcPr>
            <w:tcW w:w="1615" w:type="dxa"/>
            <w:shd w:val="clear" w:color="auto" w:fill="auto"/>
          </w:tcPr>
          <w:p w14:paraId="7829D50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77DF32F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8B2B5B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11 (14.5%)</w:t>
            </w:r>
          </w:p>
        </w:tc>
      </w:tr>
      <w:tr w:rsidR="00041BBC" w14:paraId="072CFA83" w14:textId="77777777" w:rsidTr="00A51280">
        <w:tc>
          <w:tcPr>
            <w:tcW w:w="1527" w:type="dxa"/>
            <w:shd w:val="clear" w:color="auto" w:fill="auto"/>
          </w:tcPr>
          <w:p w14:paraId="329177C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A-3</w:t>
            </w:r>
          </w:p>
        </w:tc>
        <w:tc>
          <w:tcPr>
            <w:tcW w:w="2497" w:type="dxa"/>
            <w:shd w:val="clear" w:color="auto" w:fill="auto"/>
          </w:tcPr>
          <w:p w14:paraId="11ACBDE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Rate of unscheduled and emergency readmissions within 7 days of discharge</w:t>
            </w:r>
          </w:p>
        </w:tc>
        <w:tc>
          <w:tcPr>
            <w:tcW w:w="1615" w:type="dxa"/>
            <w:shd w:val="clear" w:color="auto" w:fill="auto"/>
          </w:tcPr>
          <w:p w14:paraId="2AFEDC2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0E50A0B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631FFB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14 (18.4%)</w:t>
            </w:r>
          </w:p>
        </w:tc>
      </w:tr>
      <w:tr w:rsidR="00041BBC" w14:paraId="0DD22468" w14:textId="77777777" w:rsidTr="00A51280">
        <w:tc>
          <w:tcPr>
            <w:tcW w:w="1527" w:type="dxa"/>
            <w:shd w:val="clear" w:color="auto" w:fill="auto"/>
          </w:tcPr>
          <w:p w14:paraId="639328F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A-4</w:t>
            </w:r>
          </w:p>
        </w:tc>
        <w:tc>
          <w:tcPr>
            <w:tcW w:w="2497" w:type="dxa"/>
            <w:shd w:val="clear" w:color="auto" w:fill="auto"/>
          </w:tcPr>
          <w:p w14:paraId="1F96659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Unscheduled readmission rate within 30 days of discharge</w:t>
            </w:r>
          </w:p>
        </w:tc>
        <w:tc>
          <w:tcPr>
            <w:tcW w:w="1615" w:type="dxa"/>
            <w:shd w:val="clear" w:color="auto" w:fill="auto"/>
          </w:tcPr>
          <w:p w14:paraId="67C51D7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10091C0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88412C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18 (23.7%)</w:t>
            </w:r>
          </w:p>
        </w:tc>
      </w:tr>
      <w:tr w:rsidR="00041BBC" w14:paraId="1EA9DCE4" w14:textId="77777777" w:rsidTr="00A51280">
        <w:tc>
          <w:tcPr>
            <w:tcW w:w="1527" w:type="dxa"/>
            <w:shd w:val="clear" w:color="auto" w:fill="auto"/>
          </w:tcPr>
          <w:p w14:paraId="51CB6CC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A-5</w:t>
            </w:r>
          </w:p>
        </w:tc>
        <w:tc>
          <w:tcPr>
            <w:tcW w:w="2497" w:type="dxa"/>
            <w:shd w:val="clear" w:color="auto" w:fill="auto"/>
          </w:tcPr>
          <w:p w14:paraId="041883E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Critical illness, medical, and nursing care needs in general wards</w:t>
            </w:r>
          </w:p>
        </w:tc>
        <w:tc>
          <w:tcPr>
            <w:tcW w:w="1615" w:type="dxa"/>
            <w:shd w:val="clear" w:color="auto" w:fill="auto"/>
          </w:tcPr>
          <w:p w14:paraId="3B881F1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701C77D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0F2F24F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18 (23.7%)</w:t>
            </w:r>
          </w:p>
        </w:tc>
      </w:tr>
      <w:tr w:rsidR="00041BBC" w14:paraId="68796513" w14:textId="77777777" w:rsidTr="00A51280">
        <w:tc>
          <w:tcPr>
            <w:tcW w:w="1527" w:type="dxa"/>
            <w:shd w:val="clear" w:color="auto" w:fill="auto"/>
          </w:tcPr>
          <w:p w14:paraId="758BE36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A-6</w:t>
            </w:r>
          </w:p>
        </w:tc>
        <w:tc>
          <w:tcPr>
            <w:tcW w:w="2497" w:type="dxa"/>
            <w:shd w:val="clear" w:color="auto" w:fill="auto"/>
          </w:tcPr>
          <w:p w14:paraId="129FD8B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Discharge summary completion rate within 14 days of discharge</w:t>
            </w:r>
          </w:p>
        </w:tc>
        <w:tc>
          <w:tcPr>
            <w:tcW w:w="1615" w:type="dxa"/>
            <w:shd w:val="clear" w:color="auto" w:fill="auto"/>
          </w:tcPr>
          <w:p w14:paraId="19488B9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0F1EF2E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315A18E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23 (30.3%)</w:t>
            </w:r>
          </w:p>
        </w:tc>
      </w:tr>
      <w:tr w:rsidR="00041BBC" w14:paraId="081CB021" w14:textId="77777777" w:rsidTr="00A51280">
        <w:tc>
          <w:tcPr>
            <w:tcW w:w="1527" w:type="dxa"/>
            <w:shd w:val="clear" w:color="auto" w:fill="auto"/>
          </w:tcPr>
          <w:p w14:paraId="142774F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A-7</w:t>
            </w:r>
          </w:p>
        </w:tc>
        <w:tc>
          <w:tcPr>
            <w:tcW w:w="2497" w:type="dxa"/>
            <w:shd w:val="clear" w:color="auto" w:fill="auto"/>
          </w:tcPr>
          <w:p w14:paraId="48BF63F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Rate of patients on clinical (critical) paths among inpatients</w:t>
            </w:r>
          </w:p>
        </w:tc>
        <w:tc>
          <w:tcPr>
            <w:tcW w:w="1615" w:type="dxa"/>
            <w:shd w:val="clear" w:color="auto" w:fill="auto"/>
          </w:tcPr>
          <w:p w14:paraId="716A45E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1508ACF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X</w:t>
            </w:r>
          </w:p>
        </w:tc>
        <w:tc>
          <w:tcPr>
            <w:tcW w:w="1492" w:type="dxa"/>
            <w:shd w:val="clear" w:color="auto" w:fill="auto"/>
          </w:tcPr>
          <w:p w14:paraId="08DFADD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40 (52.6%)</w:t>
            </w:r>
          </w:p>
        </w:tc>
      </w:tr>
      <w:tr w:rsidR="00041BBC" w14:paraId="60ECAA64" w14:textId="77777777" w:rsidTr="00A51280">
        <w:tc>
          <w:tcPr>
            <w:tcW w:w="1527" w:type="dxa"/>
            <w:shd w:val="clear" w:color="auto" w:fill="auto"/>
          </w:tcPr>
          <w:p w14:paraId="4F9D9D1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A-8</w:t>
            </w:r>
          </w:p>
        </w:tc>
        <w:tc>
          <w:tcPr>
            <w:tcW w:w="2497" w:type="dxa"/>
            <w:shd w:val="clear" w:color="auto" w:fill="auto"/>
          </w:tcPr>
          <w:p w14:paraId="6CA0FAB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Average length of hospital stays for cerebral infarction patients</w:t>
            </w:r>
          </w:p>
        </w:tc>
        <w:tc>
          <w:tcPr>
            <w:tcW w:w="1615" w:type="dxa"/>
            <w:shd w:val="clear" w:color="auto" w:fill="auto"/>
          </w:tcPr>
          <w:p w14:paraId="76BEF32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168313A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3D96E56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11 (14.5%)</w:t>
            </w:r>
          </w:p>
        </w:tc>
      </w:tr>
      <w:tr w:rsidR="00041BBC" w14:paraId="14744BA3" w14:textId="77777777" w:rsidTr="00A51280">
        <w:tc>
          <w:tcPr>
            <w:tcW w:w="1527" w:type="dxa"/>
            <w:shd w:val="clear" w:color="auto" w:fill="auto"/>
          </w:tcPr>
          <w:p w14:paraId="72519AB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A-9</w:t>
            </w:r>
          </w:p>
        </w:tc>
        <w:tc>
          <w:tcPr>
            <w:tcW w:w="2497" w:type="dxa"/>
            <w:shd w:val="clear" w:color="auto" w:fill="auto"/>
          </w:tcPr>
          <w:p w14:paraId="3FA936E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Average length of hospital stays for patients with acute myocardial infarction</w:t>
            </w:r>
          </w:p>
        </w:tc>
        <w:tc>
          <w:tcPr>
            <w:tcW w:w="1615" w:type="dxa"/>
            <w:shd w:val="clear" w:color="auto" w:fill="auto"/>
          </w:tcPr>
          <w:p w14:paraId="59ABD5E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303A735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D67715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3 (3.9%)</w:t>
            </w:r>
          </w:p>
        </w:tc>
      </w:tr>
      <w:tr w:rsidR="00041BBC" w14:paraId="3F619F6E" w14:textId="77777777" w:rsidTr="00A51280">
        <w:tc>
          <w:tcPr>
            <w:tcW w:w="1527" w:type="dxa"/>
            <w:shd w:val="clear" w:color="auto" w:fill="auto"/>
          </w:tcPr>
          <w:p w14:paraId="4C8659B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A-10</w:t>
            </w:r>
          </w:p>
        </w:tc>
        <w:tc>
          <w:tcPr>
            <w:tcW w:w="2497" w:type="dxa"/>
            <w:shd w:val="clear" w:color="auto" w:fill="auto"/>
          </w:tcPr>
          <w:p w14:paraId="592BE55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 xml:space="preserve">Diabetes: HbA1c improvement rate and the number of referrals and </w:t>
            </w:r>
            <w:r w:rsidRPr="0036705A">
              <w:rPr>
                <w:rFonts w:ascii="Times New Roman" w:hAnsi="Times New Roman"/>
                <w:sz w:val="20"/>
              </w:rPr>
              <w:lastRenderedPageBreak/>
              <w:t>reverse referrals of patients with diabetes</w:t>
            </w:r>
          </w:p>
        </w:tc>
        <w:tc>
          <w:tcPr>
            <w:tcW w:w="1615" w:type="dxa"/>
            <w:shd w:val="clear" w:color="auto" w:fill="auto"/>
          </w:tcPr>
          <w:p w14:paraId="0409449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729951D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7EE557A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 (1.3%)</w:t>
            </w:r>
          </w:p>
        </w:tc>
      </w:tr>
      <w:tr w:rsidR="00041BBC" w14:paraId="6F5554AF" w14:textId="77777777" w:rsidTr="00A51280">
        <w:tc>
          <w:tcPr>
            <w:tcW w:w="1527" w:type="dxa"/>
            <w:shd w:val="clear" w:color="auto" w:fill="auto"/>
          </w:tcPr>
          <w:p w14:paraId="1F2E041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A-11</w:t>
            </w:r>
          </w:p>
        </w:tc>
        <w:tc>
          <w:tcPr>
            <w:tcW w:w="2497" w:type="dxa"/>
            <w:shd w:val="clear" w:color="auto" w:fill="auto"/>
          </w:tcPr>
          <w:p w14:paraId="4360E5D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Pneumonia: Average length of stay and success rate of initial treatment</w:t>
            </w:r>
          </w:p>
        </w:tc>
        <w:tc>
          <w:tcPr>
            <w:tcW w:w="1615" w:type="dxa"/>
            <w:shd w:val="clear" w:color="auto" w:fill="auto"/>
          </w:tcPr>
          <w:p w14:paraId="775E350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742467A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33A8D73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 (1.3%)</w:t>
            </w:r>
          </w:p>
        </w:tc>
      </w:tr>
      <w:tr w:rsidR="00041BBC" w14:paraId="616E934E" w14:textId="77777777" w:rsidTr="00A51280">
        <w:tc>
          <w:tcPr>
            <w:tcW w:w="1527" w:type="dxa"/>
            <w:shd w:val="clear" w:color="auto" w:fill="auto"/>
          </w:tcPr>
          <w:p w14:paraId="379EB98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A-12</w:t>
            </w:r>
          </w:p>
        </w:tc>
        <w:tc>
          <w:tcPr>
            <w:tcW w:w="2497" w:type="dxa"/>
            <w:shd w:val="clear" w:color="auto" w:fill="auto"/>
          </w:tcPr>
          <w:p w14:paraId="5F3F747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Number of ambulances received and refused (rate)</w:t>
            </w:r>
          </w:p>
        </w:tc>
        <w:tc>
          <w:tcPr>
            <w:tcW w:w="1615" w:type="dxa"/>
            <w:shd w:val="clear" w:color="auto" w:fill="auto"/>
          </w:tcPr>
          <w:p w14:paraId="2064A51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501E60B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3870FB8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31 (40.8%)</w:t>
            </w:r>
          </w:p>
        </w:tc>
      </w:tr>
      <w:tr w:rsidR="00041BBC" w14:paraId="4514ED0A" w14:textId="77777777" w:rsidTr="00A51280">
        <w:tc>
          <w:tcPr>
            <w:tcW w:w="1527" w:type="dxa"/>
            <w:shd w:val="clear" w:color="auto" w:fill="auto"/>
          </w:tcPr>
          <w:p w14:paraId="6A15FDB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A-13</w:t>
            </w:r>
          </w:p>
        </w:tc>
        <w:tc>
          <w:tcPr>
            <w:tcW w:w="2497" w:type="dxa"/>
            <w:shd w:val="clear" w:color="auto" w:fill="auto"/>
          </w:tcPr>
          <w:p w14:paraId="68B2276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Transport of pregnant females: Number of admissions and refusals (rate)</w:t>
            </w:r>
          </w:p>
        </w:tc>
        <w:tc>
          <w:tcPr>
            <w:tcW w:w="1615" w:type="dxa"/>
            <w:shd w:val="clear" w:color="auto" w:fill="auto"/>
          </w:tcPr>
          <w:p w14:paraId="159F35F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17E56B5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5753CE0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5 (6.6%)</w:t>
            </w:r>
          </w:p>
        </w:tc>
      </w:tr>
      <w:tr w:rsidR="00041BBC" w14:paraId="4A4E01D7" w14:textId="77777777" w:rsidTr="00A51280">
        <w:tc>
          <w:tcPr>
            <w:tcW w:w="1527" w:type="dxa"/>
            <w:shd w:val="clear" w:color="auto" w:fill="auto"/>
          </w:tcPr>
          <w:p w14:paraId="4ED67F6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A-14</w:t>
            </w:r>
          </w:p>
        </w:tc>
        <w:tc>
          <w:tcPr>
            <w:tcW w:w="2497" w:type="dxa"/>
            <w:shd w:val="clear" w:color="auto" w:fill="auto"/>
          </w:tcPr>
          <w:p w14:paraId="15E3A74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Rehabilitation: Early recommendation rate for rehabilitation within 2 days after hospitalization</w:t>
            </w:r>
          </w:p>
        </w:tc>
        <w:tc>
          <w:tcPr>
            <w:tcW w:w="1615" w:type="dxa"/>
            <w:shd w:val="clear" w:color="auto" w:fill="auto"/>
          </w:tcPr>
          <w:p w14:paraId="599451F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2A19330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23C7FD5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5 (6.6%)</w:t>
            </w:r>
          </w:p>
        </w:tc>
      </w:tr>
      <w:tr w:rsidR="00041BBC" w14:paraId="55F2C407" w14:textId="77777777" w:rsidTr="00A51280">
        <w:tc>
          <w:tcPr>
            <w:tcW w:w="8720" w:type="dxa"/>
            <w:gridSpan w:val="5"/>
            <w:shd w:val="clear" w:color="auto" w:fill="auto"/>
          </w:tcPr>
          <w:p w14:paraId="2DA960C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B: Medical safety</w:t>
            </w:r>
          </w:p>
        </w:tc>
      </w:tr>
      <w:tr w:rsidR="00041BBC" w14:paraId="0F0D1EBA" w14:textId="77777777" w:rsidTr="00A51280">
        <w:tc>
          <w:tcPr>
            <w:tcW w:w="1527" w:type="dxa"/>
            <w:shd w:val="clear" w:color="auto" w:fill="auto"/>
          </w:tcPr>
          <w:p w14:paraId="5D57258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B-1</w:t>
            </w:r>
          </w:p>
        </w:tc>
        <w:tc>
          <w:tcPr>
            <w:tcW w:w="2497" w:type="dxa"/>
            <w:shd w:val="clear" w:color="auto" w:fill="auto"/>
          </w:tcPr>
          <w:p w14:paraId="7348400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Falls and falls incidence in hospitalized patients</w:t>
            </w:r>
          </w:p>
        </w:tc>
        <w:tc>
          <w:tcPr>
            <w:tcW w:w="1615" w:type="dxa"/>
            <w:shd w:val="clear" w:color="auto" w:fill="auto"/>
          </w:tcPr>
          <w:p w14:paraId="35CC3F8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77ADFDE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X</w:t>
            </w:r>
          </w:p>
        </w:tc>
        <w:tc>
          <w:tcPr>
            <w:tcW w:w="1492" w:type="dxa"/>
            <w:shd w:val="clear" w:color="auto" w:fill="auto"/>
          </w:tcPr>
          <w:p w14:paraId="68F1606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63 (82.9%)</w:t>
            </w:r>
          </w:p>
        </w:tc>
      </w:tr>
      <w:tr w:rsidR="00041BBC" w14:paraId="1A608991" w14:textId="77777777" w:rsidTr="00A51280">
        <w:tc>
          <w:tcPr>
            <w:tcW w:w="1527" w:type="dxa"/>
            <w:shd w:val="clear" w:color="auto" w:fill="auto"/>
          </w:tcPr>
          <w:p w14:paraId="056072F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B-2</w:t>
            </w:r>
          </w:p>
        </w:tc>
        <w:tc>
          <w:tcPr>
            <w:tcW w:w="2497" w:type="dxa"/>
            <w:shd w:val="clear" w:color="auto" w:fill="auto"/>
          </w:tcPr>
          <w:p w14:paraId="6027BD8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Falls and falls incidence in inpatients aged ≥65 years</w:t>
            </w:r>
          </w:p>
        </w:tc>
        <w:tc>
          <w:tcPr>
            <w:tcW w:w="1615" w:type="dxa"/>
            <w:shd w:val="clear" w:color="auto" w:fill="auto"/>
          </w:tcPr>
          <w:p w14:paraId="6F9DF22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195F986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X</w:t>
            </w:r>
          </w:p>
        </w:tc>
        <w:tc>
          <w:tcPr>
            <w:tcW w:w="1492" w:type="dxa"/>
            <w:shd w:val="clear" w:color="auto" w:fill="auto"/>
          </w:tcPr>
          <w:p w14:paraId="0366D0A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24 (31.6%)</w:t>
            </w:r>
          </w:p>
        </w:tc>
      </w:tr>
      <w:tr w:rsidR="00041BBC" w14:paraId="4324284F" w14:textId="77777777" w:rsidTr="00A51280">
        <w:tc>
          <w:tcPr>
            <w:tcW w:w="1527" w:type="dxa"/>
            <w:shd w:val="clear" w:color="auto" w:fill="auto"/>
          </w:tcPr>
          <w:p w14:paraId="048A37C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B-3</w:t>
            </w:r>
          </w:p>
        </w:tc>
        <w:tc>
          <w:tcPr>
            <w:tcW w:w="2497" w:type="dxa"/>
            <w:shd w:val="clear" w:color="auto" w:fill="auto"/>
          </w:tcPr>
          <w:p w14:paraId="458B68D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incident and accident reports</w:t>
            </w:r>
          </w:p>
        </w:tc>
        <w:tc>
          <w:tcPr>
            <w:tcW w:w="1615" w:type="dxa"/>
            <w:shd w:val="clear" w:color="auto" w:fill="auto"/>
          </w:tcPr>
          <w:p w14:paraId="104126B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2E771FE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2B10EB6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45 (59.2%)</w:t>
            </w:r>
          </w:p>
        </w:tc>
      </w:tr>
      <w:tr w:rsidR="00041BBC" w14:paraId="5ED4DEA8" w14:textId="77777777" w:rsidTr="00A51280">
        <w:tc>
          <w:tcPr>
            <w:tcW w:w="1527" w:type="dxa"/>
            <w:shd w:val="clear" w:color="auto" w:fill="auto"/>
          </w:tcPr>
          <w:p w14:paraId="5D2B40A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B-4</w:t>
            </w:r>
          </w:p>
        </w:tc>
        <w:tc>
          <w:tcPr>
            <w:tcW w:w="2497" w:type="dxa"/>
            <w:shd w:val="clear" w:color="auto" w:fill="auto"/>
          </w:tcPr>
          <w:p w14:paraId="5F5B49D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Percentage of all reports made by physicians</w:t>
            </w:r>
          </w:p>
        </w:tc>
        <w:tc>
          <w:tcPr>
            <w:tcW w:w="1615" w:type="dxa"/>
            <w:shd w:val="clear" w:color="auto" w:fill="auto"/>
          </w:tcPr>
          <w:p w14:paraId="4C2C7F6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6220FC3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2677D93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29 (38.2%)</w:t>
            </w:r>
          </w:p>
        </w:tc>
      </w:tr>
      <w:tr w:rsidR="00041BBC" w14:paraId="71D0EB8F" w14:textId="77777777" w:rsidTr="00A51280">
        <w:tc>
          <w:tcPr>
            <w:tcW w:w="1527" w:type="dxa"/>
            <w:shd w:val="clear" w:color="auto" w:fill="auto"/>
          </w:tcPr>
          <w:p w14:paraId="276EBE6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B-5</w:t>
            </w:r>
          </w:p>
        </w:tc>
        <w:tc>
          <w:tcPr>
            <w:tcW w:w="2497" w:type="dxa"/>
            <w:shd w:val="clear" w:color="auto" w:fill="auto"/>
          </w:tcPr>
          <w:p w14:paraId="5E8B5A6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Rate of drug administration guidance (inpatients)</w:t>
            </w:r>
          </w:p>
        </w:tc>
        <w:tc>
          <w:tcPr>
            <w:tcW w:w="1615" w:type="dxa"/>
            <w:shd w:val="clear" w:color="auto" w:fill="auto"/>
          </w:tcPr>
          <w:p w14:paraId="2318B56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05F3236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X</w:t>
            </w:r>
          </w:p>
        </w:tc>
        <w:tc>
          <w:tcPr>
            <w:tcW w:w="1492" w:type="dxa"/>
            <w:shd w:val="clear" w:color="auto" w:fill="auto"/>
          </w:tcPr>
          <w:p w14:paraId="5BA2061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28 (36.8%)</w:t>
            </w:r>
          </w:p>
        </w:tc>
      </w:tr>
      <w:tr w:rsidR="00041BBC" w14:paraId="7A2A4F8F" w14:textId="77777777" w:rsidTr="00A51280">
        <w:tc>
          <w:tcPr>
            <w:tcW w:w="1527" w:type="dxa"/>
            <w:shd w:val="clear" w:color="auto" w:fill="auto"/>
          </w:tcPr>
          <w:p w14:paraId="76E9BE2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B-6</w:t>
            </w:r>
          </w:p>
        </w:tc>
        <w:tc>
          <w:tcPr>
            <w:tcW w:w="2497" w:type="dxa"/>
            <w:shd w:val="clear" w:color="auto" w:fill="auto"/>
          </w:tcPr>
          <w:p w14:paraId="00313CC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drug-related incident events in hospital wards</w:t>
            </w:r>
          </w:p>
        </w:tc>
        <w:tc>
          <w:tcPr>
            <w:tcW w:w="1615" w:type="dxa"/>
            <w:shd w:val="clear" w:color="auto" w:fill="auto"/>
          </w:tcPr>
          <w:p w14:paraId="7BF5914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16D4569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6B0A033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9 (11.8%)</w:t>
            </w:r>
          </w:p>
        </w:tc>
      </w:tr>
      <w:tr w:rsidR="00041BBC" w14:paraId="2C651C0E" w14:textId="77777777" w:rsidTr="00A51280">
        <w:tc>
          <w:tcPr>
            <w:tcW w:w="8720" w:type="dxa"/>
            <w:gridSpan w:val="5"/>
            <w:shd w:val="clear" w:color="auto" w:fill="auto"/>
          </w:tcPr>
          <w:p w14:paraId="443B277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C: Infection control</w:t>
            </w:r>
          </w:p>
        </w:tc>
      </w:tr>
      <w:tr w:rsidR="00041BBC" w14:paraId="20BE6C4D" w14:textId="77777777" w:rsidTr="00A51280">
        <w:tc>
          <w:tcPr>
            <w:tcW w:w="1527" w:type="dxa"/>
            <w:shd w:val="clear" w:color="auto" w:fill="auto"/>
          </w:tcPr>
          <w:p w14:paraId="3DF1FE2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C-1</w:t>
            </w:r>
          </w:p>
        </w:tc>
        <w:tc>
          <w:tcPr>
            <w:tcW w:w="2497" w:type="dxa"/>
            <w:shd w:val="clear" w:color="auto" w:fill="auto"/>
          </w:tcPr>
          <w:p w14:paraId="07B1144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Incidence of methicillin-resistant Staphylococcus aureus (MRSA) infection and carriage</w:t>
            </w:r>
          </w:p>
        </w:tc>
        <w:tc>
          <w:tcPr>
            <w:tcW w:w="1615" w:type="dxa"/>
            <w:shd w:val="clear" w:color="auto" w:fill="auto"/>
          </w:tcPr>
          <w:p w14:paraId="2F640BB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2C23159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590144E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22 (28.9%)</w:t>
            </w:r>
          </w:p>
        </w:tc>
      </w:tr>
      <w:tr w:rsidR="00041BBC" w14:paraId="0EF3D6BE" w14:textId="77777777" w:rsidTr="00A51280">
        <w:tc>
          <w:tcPr>
            <w:tcW w:w="1527" w:type="dxa"/>
            <w:shd w:val="clear" w:color="auto" w:fill="auto"/>
          </w:tcPr>
          <w:p w14:paraId="444D99E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C-2</w:t>
            </w:r>
          </w:p>
        </w:tc>
        <w:tc>
          <w:tcPr>
            <w:tcW w:w="2497" w:type="dxa"/>
            <w:shd w:val="clear" w:color="auto" w:fill="auto"/>
          </w:tcPr>
          <w:p w14:paraId="7015AA7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Incidence of patients positive for Clostridium difficile toxin</w:t>
            </w:r>
          </w:p>
        </w:tc>
        <w:tc>
          <w:tcPr>
            <w:tcW w:w="1615" w:type="dxa"/>
            <w:shd w:val="clear" w:color="auto" w:fill="auto"/>
          </w:tcPr>
          <w:p w14:paraId="0A38E9D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446F1AC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7563C11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14 (18.4%)</w:t>
            </w:r>
          </w:p>
        </w:tc>
      </w:tr>
      <w:tr w:rsidR="00041BBC" w14:paraId="16F292DB" w14:textId="77777777" w:rsidTr="00A51280">
        <w:tc>
          <w:tcPr>
            <w:tcW w:w="1527" w:type="dxa"/>
            <w:shd w:val="clear" w:color="auto" w:fill="auto"/>
          </w:tcPr>
          <w:p w14:paraId="3B81F7D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lastRenderedPageBreak/>
              <w:t>C-3</w:t>
            </w:r>
          </w:p>
        </w:tc>
        <w:tc>
          <w:tcPr>
            <w:tcW w:w="2497" w:type="dxa"/>
            <w:shd w:val="clear" w:color="auto" w:fill="auto"/>
          </w:tcPr>
          <w:p w14:paraId="040DAB2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Incidence of SSI (surgical site infection)</w:t>
            </w:r>
          </w:p>
        </w:tc>
        <w:tc>
          <w:tcPr>
            <w:tcW w:w="1615" w:type="dxa"/>
            <w:shd w:val="clear" w:color="auto" w:fill="auto"/>
          </w:tcPr>
          <w:p w14:paraId="1B6BCBE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117A943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269400E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11 (14.5%)</w:t>
            </w:r>
          </w:p>
        </w:tc>
      </w:tr>
      <w:tr w:rsidR="00041BBC" w14:paraId="44AEA279" w14:textId="77777777" w:rsidTr="00A51280">
        <w:tc>
          <w:tcPr>
            <w:tcW w:w="1527" w:type="dxa"/>
            <w:shd w:val="clear" w:color="auto" w:fill="auto"/>
          </w:tcPr>
          <w:p w14:paraId="72F88A3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C-4</w:t>
            </w:r>
          </w:p>
        </w:tc>
        <w:tc>
          <w:tcPr>
            <w:tcW w:w="2497" w:type="dxa"/>
            <w:shd w:val="clear" w:color="auto" w:fill="auto"/>
          </w:tcPr>
          <w:p w14:paraId="43DC263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Amount of rubbing hand alcohol used (wards)</w:t>
            </w:r>
          </w:p>
        </w:tc>
        <w:tc>
          <w:tcPr>
            <w:tcW w:w="1615" w:type="dxa"/>
            <w:shd w:val="clear" w:color="auto" w:fill="auto"/>
          </w:tcPr>
          <w:p w14:paraId="6FB3071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4223C18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70C4B05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20 (26.3%)</w:t>
            </w:r>
          </w:p>
        </w:tc>
      </w:tr>
      <w:tr w:rsidR="00041BBC" w14:paraId="4F2E5F5C" w14:textId="77777777" w:rsidTr="00A51280">
        <w:tc>
          <w:tcPr>
            <w:tcW w:w="1527" w:type="dxa"/>
            <w:shd w:val="clear" w:color="auto" w:fill="auto"/>
          </w:tcPr>
          <w:p w14:paraId="7A9BC8E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C-5</w:t>
            </w:r>
          </w:p>
        </w:tc>
        <w:tc>
          <w:tcPr>
            <w:tcW w:w="2497" w:type="dxa"/>
            <w:shd w:val="clear" w:color="auto" w:fill="auto"/>
          </w:tcPr>
          <w:p w14:paraId="45775B0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Blood culture rates when broad-spectrum antimicrobials are used</w:t>
            </w:r>
          </w:p>
        </w:tc>
        <w:tc>
          <w:tcPr>
            <w:tcW w:w="1615" w:type="dxa"/>
            <w:shd w:val="clear" w:color="auto" w:fill="auto"/>
          </w:tcPr>
          <w:p w14:paraId="0EEBE10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0A23A57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148F0E9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24 (31.6%)</w:t>
            </w:r>
          </w:p>
        </w:tc>
      </w:tr>
      <w:tr w:rsidR="00041BBC" w14:paraId="33F7022E" w14:textId="77777777" w:rsidTr="00A51280">
        <w:tc>
          <w:tcPr>
            <w:tcW w:w="8720" w:type="dxa"/>
            <w:gridSpan w:val="5"/>
            <w:shd w:val="clear" w:color="auto" w:fill="auto"/>
          </w:tcPr>
          <w:p w14:paraId="410D3D5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D: Cancer care</w:t>
            </w:r>
          </w:p>
        </w:tc>
      </w:tr>
      <w:tr w:rsidR="00041BBC" w14:paraId="6A2F0A37" w14:textId="77777777" w:rsidTr="00A51280">
        <w:tc>
          <w:tcPr>
            <w:tcW w:w="1527" w:type="dxa"/>
            <w:shd w:val="clear" w:color="auto" w:fill="auto"/>
          </w:tcPr>
          <w:p w14:paraId="261B74C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D-1</w:t>
            </w:r>
          </w:p>
        </w:tc>
        <w:tc>
          <w:tcPr>
            <w:tcW w:w="2497" w:type="dxa"/>
            <w:shd w:val="clear" w:color="auto" w:fill="auto"/>
          </w:tcPr>
          <w:p w14:paraId="065CD15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Five-year survival rate after cancer surgery</w:t>
            </w:r>
          </w:p>
        </w:tc>
        <w:tc>
          <w:tcPr>
            <w:tcW w:w="1615" w:type="dxa"/>
            <w:shd w:val="clear" w:color="auto" w:fill="auto"/>
          </w:tcPr>
          <w:p w14:paraId="31D89E0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5E34143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0EF8645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4 (5.3%)</w:t>
            </w:r>
          </w:p>
        </w:tc>
      </w:tr>
      <w:tr w:rsidR="00041BBC" w14:paraId="30A084DE" w14:textId="77777777" w:rsidTr="00A51280">
        <w:tc>
          <w:tcPr>
            <w:tcW w:w="1527" w:type="dxa"/>
            <w:shd w:val="clear" w:color="auto" w:fill="auto"/>
          </w:tcPr>
          <w:p w14:paraId="29A7D64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D-2</w:t>
            </w:r>
          </w:p>
        </w:tc>
        <w:tc>
          <w:tcPr>
            <w:tcW w:w="2497" w:type="dxa"/>
            <w:shd w:val="clear" w:color="auto" w:fill="auto"/>
          </w:tcPr>
          <w:p w14:paraId="26D4CDD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Post-operative hospital stays for patients with gastrointestinal cancer</w:t>
            </w:r>
          </w:p>
        </w:tc>
        <w:tc>
          <w:tcPr>
            <w:tcW w:w="1615" w:type="dxa"/>
            <w:shd w:val="clear" w:color="auto" w:fill="auto"/>
          </w:tcPr>
          <w:p w14:paraId="4CE8AB3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14FCF9C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806315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 (1.3%)</w:t>
            </w:r>
          </w:p>
        </w:tc>
      </w:tr>
      <w:tr w:rsidR="00041BBC" w14:paraId="2314434F" w14:textId="77777777" w:rsidTr="00A51280">
        <w:tc>
          <w:tcPr>
            <w:tcW w:w="1527" w:type="dxa"/>
            <w:shd w:val="clear" w:color="auto" w:fill="auto"/>
          </w:tcPr>
          <w:p w14:paraId="1916087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D-3</w:t>
            </w:r>
          </w:p>
        </w:tc>
        <w:tc>
          <w:tcPr>
            <w:tcW w:w="2497" w:type="dxa"/>
            <w:shd w:val="clear" w:color="auto" w:fill="auto"/>
          </w:tcPr>
          <w:p w14:paraId="7D4EE86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Post-operative hospital stays for patients with lung cancer</w:t>
            </w:r>
          </w:p>
        </w:tc>
        <w:tc>
          <w:tcPr>
            <w:tcW w:w="1615" w:type="dxa"/>
            <w:shd w:val="clear" w:color="auto" w:fill="auto"/>
          </w:tcPr>
          <w:p w14:paraId="5736ECA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712244F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ABBD62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 (2.6%)</w:t>
            </w:r>
          </w:p>
        </w:tc>
      </w:tr>
      <w:tr w:rsidR="00041BBC" w14:paraId="7D5C2BE1" w14:textId="77777777" w:rsidTr="00A51280">
        <w:tc>
          <w:tcPr>
            <w:tcW w:w="1527" w:type="dxa"/>
            <w:shd w:val="clear" w:color="auto" w:fill="auto"/>
          </w:tcPr>
          <w:p w14:paraId="5B66E1B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D-4</w:t>
            </w:r>
          </w:p>
        </w:tc>
        <w:tc>
          <w:tcPr>
            <w:tcW w:w="2497" w:type="dxa"/>
            <w:shd w:val="clear" w:color="auto" w:fill="auto"/>
          </w:tcPr>
          <w:p w14:paraId="14ED6C1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postoperative hospital deaths</w:t>
            </w:r>
          </w:p>
        </w:tc>
        <w:tc>
          <w:tcPr>
            <w:tcW w:w="1615" w:type="dxa"/>
            <w:shd w:val="clear" w:color="auto" w:fill="auto"/>
          </w:tcPr>
          <w:p w14:paraId="7359777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4A47FAE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671231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 (2.6%)</w:t>
            </w:r>
          </w:p>
        </w:tc>
      </w:tr>
      <w:tr w:rsidR="00041BBC" w14:paraId="4506635E" w14:textId="77777777" w:rsidTr="00A51280">
        <w:tc>
          <w:tcPr>
            <w:tcW w:w="1527" w:type="dxa"/>
            <w:shd w:val="clear" w:color="auto" w:fill="auto"/>
          </w:tcPr>
          <w:p w14:paraId="540C409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D-5</w:t>
            </w:r>
          </w:p>
        </w:tc>
        <w:tc>
          <w:tcPr>
            <w:tcW w:w="2497" w:type="dxa"/>
            <w:shd w:val="clear" w:color="auto" w:fill="auto"/>
          </w:tcPr>
          <w:p w14:paraId="751793D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Percentage of emergency reoperation within 48 hours after surgery in hospitalized surgical patients</w:t>
            </w:r>
          </w:p>
        </w:tc>
        <w:tc>
          <w:tcPr>
            <w:tcW w:w="1615" w:type="dxa"/>
            <w:shd w:val="clear" w:color="auto" w:fill="auto"/>
          </w:tcPr>
          <w:p w14:paraId="248F598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2A6B43C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7013DCB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5 (6.6%)</w:t>
            </w:r>
          </w:p>
        </w:tc>
      </w:tr>
      <w:tr w:rsidR="00041BBC" w14:paraId="3A20031E" w14:textId="77777777" w:rsidTr="00A51280">
        <w:tc>
          <w:tcPr>
            <w:tcW w:w="8720" w:type="dxa"/>
            <w:gridSpan w:val="5"/>
            <w:shd w:val="clear" w:color="auto" w:fill="auto"/>
          </w:tcPr>
          <w:p w14:paraId="211EEAB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E: Radiology/examination</w:t>
            </w:r>
          </w:p>
        </w:tc>
      </w:tr>
      <w:tr w:rsidR="00041BBC" w14:paraId="4DEF5976" w14:textId="77777777" w:rsidTr="00A51280">
        <w:tc>
          <w:tcPr>
            <w:tcW w:w="1527" w:type="dxa"/>
            <w:shd w:val="clear" w:color="auto" w:fill="auto"/>
          </w:tcPr>
          <w:p w14:paraId="7924610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E-1</w:t>
            </w:r>
          </w:p>
        </w:tc>
        <w:tc>
          <w:tcPr>
            <w:tcW w:w="2497" w:type="dxa"/>
            <w:shd w:val="clear" w:color="auto" w:fill="auto"/>
          </w:tcPr>
          <w:p w14:paraId="03AC10A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Percentage of radiologists completing CT and MRI reading reports by the next business day</w:t>
            </w:r>
          </w:p>
        </w:tc>
        <w:tc>
          <w:tcPr>
            <w:tcW w:w="1615" w:type="dxa"/>
            <w:shd w:val="clear" w:color="auto" w:fill="auto"/>
          </w:tcPr>
          <w:p w14:paraId="7B08BED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198E6A4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0790829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6 (7.9%)</w:t>
            </w:r>
          </w:p>
        </w:tc>
      </w:tr>
      <w:tr w:rsidR="00041BBC" w14:paraId="32B1A106" w14:textId="77777777" w:rsidTr="00A51280">
        <w:tc>
          <w:tcPr>
            <w:tcW w:w="1527" w:type="dxa"/>
            <w:shd w:val="clear" w:color="auto" w:fill="auto"/>
          </w:tcPr>
          <w:p w14:paraId="7247E5F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E-2</w:t>
            </w:r>
          </w:p>
        </w:tc>
        <w:tc>
          <w:tcPr>
            <w:tcW w:w="2497" w:type="dxa"/>
            <w:shd w:val="clear" w:color="auto" w:fill="auto"/>
          </w:tcPr>
          <w:p w14:paraId="4B4D6C3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Percentage of reading reports completed</w:t>
            </w:r>
          </w:p>
        </w:tc>
        <w:tc>
          <w:tcPr>
            <w:tcW w:w="1615" w:type="dxa"/>
            <w:shd w:val="clear" w:color="auto" w:fill="auto"/>
          </w:tcPr>
          <w:p w14:paraId="743CC0F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59C36E7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3970AD3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 xml:space="preserve">9(11.8%) </w:t>
            </w:r>
          </w:p>
        </w:tc>
      </w:tr>
      <w:tr w:rsidR="00041BBC" w14:paraId="1EAA8800" w14:textId="77777777" w:rsidTr="00A51280">
        <w:tc>
          <w:tcPr>
            <w:tcW w:w="1527" w:type="dxa"/>
            <w:shd w:val="clear" w:color="auto" w:fill="auto"/>
          </w:tcPr>
          <w:p w14:paraId="637B23B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E-3</w:t>
            </w:r>
          </w:p>
        </w:tc>
        <w:tc>
          <w:tcPr>
            <w:tcW w:w="2497" w:type="dxa"/>
            <w:shd w:val="clear" w:color="auto" w:fill="auto"/>
          </w:tcPr>
          <w:p w14:paraId="0615263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histopathological diagnoses</w:t>
            </w:r>
          </w:p>
        </w:tc>
        <w:tc>
          <w:tcPr>
            <w:tcW w:w="1615" w:type="dxa"/>
            <w:shd w:val="clear" w:color="auto" w:fill="auto"/>
          </w:tcPr>
          <w:p w14:paraId="746757C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3B9E702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841C83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14 (18.7%)</w:t>
            </w:r>
          </w:p>
        </w:tc>
      </w:tr>
      <w:tr w:rsidR="00041BBC" w14:paraId="46470A36" w14:textId="77777777" w:rsidTr="00A51280">
        <w:tc>
          <w:tcPr>
            <w:tcW w:w="8720" w:type="dxa"/>
            <w:gridSpan w:val="5"/>
            <w:shd w:val="clear" w:color="auto" w:fill="auto"/>
          </w:tcPr>
          <w:p w14:paraId="0F302D5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F: Multidisciplinary team</w:t>
            </w:r>
          </w:p>
        </w:tc>
      </w:tr>
      <w:tr w:rsidR="00041BBC" w14:paraId="00EFD81E" w14:textId="77777777" w:rsidTr="00A51280">
        <w:tc>
          <w:tcPr>
            <w:tcW w:w="1527" w:type="dxa"/>
            <w:shd w:val="clear" w:color="auto" w:fill="auto"/>
          </w:tcPr>
          <w:p w14:paraId="2E5FA3A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F-1</w:t>
            </w:r>
          </w:p>
        </w:tc>
        <w:tc>
          <w:tcPr>
            <w:tcW w:w="2497" w:type="dxa"/>
            <w:shd w:val="clear" w:color="auto" w:fill="auto"/>
          </w:tcPr>
          <w:p w14:paraId="2615A53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patients with cancer instructed by doctors, nurses, etc.</w:t>
            </w:r>
          </w:p>
        </w:tc>
        <w:tc>
          <w:tcPr>
            <w:tcW w:w="1615" w:type="dxa"/>
            <w:shd w:val="clear" w:color="auto" w:fill="auto"/>
          </w:tcPr>
          <w:p w14:paraId="27710D1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371130A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29857BE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6 (7.9%)</w:t>
            </w:r>
          </w:p>
        </w:tc>
      </w:tr>
      <w:tr w:rsidR="00041BBC" w14:paraId="31FDD4C1" w14:textId="77777777" w:rsidTr="00A51280">
        <w:tc>
          <w:tcPr>
            <w:tcW w:w="1527" w:type="dxa"/>
            <w:shd w:val="clear" w:color="auto" w:fill="auto"/>
          </w:tcPr>
          <w:p w14:paraId="0C42A00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F-2</w:t>
            </w:r>
          </w:p>
        </w:tc>
        <w:tc>
          <w:tcPr>
            <w:tcW w:w="2497" w:type="dxa"/>
            <w:shd w:val="clear" w:color="auto" w:fill="auto"/>
          </w:tcPr>
          <w:p w14:paraId="7302486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 xml:space="preserve">Percentage of patients with diabetes and chronic kidney </w:t>
            </w:r>
            <w:r w:rsidRPr="0036705A">
              <w:rPr>
                <w:rFonts w:ascii="Times New Roman" w:eastAsia="MS Mincho" w:hAnsi="Times New Roman"/>
                <w:sz w:val="20"/>
              </w:rPr>
              <w:lastRenderedPageBreak/>
              <w:t>disease receiving nutritional management</w:t>
            </w:r>
          </w:p>
        </w:tc>
        <w:tc>
          <w:tcPr>
            <w:tcW w:w="1615" w:type="dxa"/>
            <w:shd w:val="clear" w:color="auto" w:fill="auto"/>
          </w:tcPr>
          <w:p w14:paraId="39A028D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lastRenderedPageBreak/>
              <w:t>Process</w:t>
            </w:r>
          </w:p>
        </w:tc>
        <w:tc>
          <w:tcPr>
            <w:tcW w:w="1589" w:type="dxa"/>
            <w:shd w:val="clear" w:color="auto" w:fill="auto"/>
          </w:tcPr>
          <w:p w14:paraId="504B8FC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7DD6BC2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18 (23.7%)</w:t>
            </w:r>
          </w:p>
        </w:tc>
      </w:tr>
      <w:tr w:rsidR="00041BBC" w14:paraId="4FEF5DE9" w14:textId="77777777" w:rsidTr="00A51280">
        <w:tc>
          <w:tcPr>
            <w:tcW w:w="1527" w:type="dxa"/>
            <w:shd w:val="clear" w:color="auto" w:fill="auto"/>
          </w:tcPr>
          <w:p w14:paraId="71D7B1D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F-3</w:t>
            </w:r>
          </w:p>
        </w:tc>
        <w:tc>
          <w:tcPr>
            <w:tcW w:w="2497" w:type="dxa"/>
            <w:shd w:val="clear" w:color="auto" w:fill="auto"/>
          </w:tcPr>
          <w:p w14:paraId="7ACDD0F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Rate of care for patients at high risk of delirium</w:t>
            </w:r>
          </w:p>
        </w:tc>
        <w:tc>
          <w:tcPr>
            <w:tcW w:w="1615" w:type="dxa"/>
            <w:shd w:val="clear" w:color="auto" w:fill="auto"/>
          </w:tcPr>
          <w:p w14:paraId="44D610A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6349EC2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X</w:t>
            </w:r>
          </w:p>
        </w:tc>
        <w:tc>
          <w:tcPr>
            <w:tcW w:w="1492" w:type="dxa"/>
            <w:shd w:val="clear" w:color="auto" w:fill="auto"/>
          </w:tcPr>
          <w:p w14:paraId="25F555F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14 (18.4%)</w:t>
            </w:r>
          </w:p>
        </w:tc>
      </w:tr>
      <w:tr w:rsidR="00041BBC" w14:paraId="72DF608C" w14:textId="77777777" w:rsidTr="00A51280">
        <w:tc>
          <w:tcPr>
            <w:tcW w:w="8720" w:type="dxa"/>
            <w:gridSpan w:val="5"/>
            <w:shd w:val="clear" w:color="auto" w:fill="auto"/>
          </w:tcPr>
          <w:p w14:paraId="2CF29F8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G: Nursing</w:t>
            </w:r>
          </w:p>
        </w:tc>
      </w:tr>
      <w:tr w:rsidR="00041BBC" w14:paraId="37CED5FD" w14:textId="77777777" w:rsidTr="00A51280">
        <w:tc>
          <w:tcPr>
            <w:tcW w:w="1527" w:type="dxa"/>
            <w:shd w:val="clear" w:color="auto" w:fill="auto"/>
          </w:tcPr>
          <w:p w14:paraId="7E87DEE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G-1</w:t>
            </w:r>
          </w:p>
        </w:tc>
        <w:tc>
          <w:tcPr>
            <w:tcW w:w="2497" w:type="dxa"/>
            <w:shd w:val="clear" w:color="auto" w:fill="auto"/>
          </w:tcPr>
          <w:p w14:paraId="3D7E600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(%) of bedsore high-risk patients cared</w:t>
            </w:r>
          </w:p>
        </w:tc>
        <w:tc>
          <w:tcPr>
            <w:tcW w:w="1615" w:type="dxa"/>
            <w:shd w:val="clear" w:color="auto" w:fill="auto"/>
          </w:tcPr>
          <w:p w14:paraId="343734A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44ECB0E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74B88E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12 (15.8%)</w:t>
            </w:r>
          </w:p>
        </w:tc>
      </w:tr>
      <w:tr w:rsidR="00041BBC" w14:paraId="727B8838" w14:textId="77777777" w:rsidTr="00A51280">
        <w:tc>
          <w:tcPr>
            <w:tcW w:w="1527" w:type="dxa"/>
            <w:shd w:val="clear" w:color="auto" w:fill="auto"/>
          </w:tcPr>
          <w:p w14:paraId="14F411D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G-2</w:t>
            </w:r>
          </w:p>
        </w:tc>
        <w:tc>
          <w:tcPr>
            <w:tcW w:w="2497" w:type="dxa"/>
            <w:shd w:val="clear" w:color="auto" w:fill="auto"/>
          </w:tcPr>
          <w:p w14:paraId="725E4C0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Pressure ulcer incidence rate</w:t>
            </w:r>
          </w:p>
        </w:tc>
        <w:tc>
          <w:tcPr>
            <w:tcW w:w="1615" w:type="dxa"/>
            <w:shd w:val="clear" w:color="auto" w:fill="auto"/>
          </w:tcPr>
          <w:p w14:paraId="2696EB2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Outcome</w:t>
            </w:r>
          </w:p>
        </w:tc>
        <w:tc>
          <w:tcPr>
            <w:tcW w:w="1589" w:type="dxa"/>
            <w:shd w:val="clear" w:color="auto" w:fill="auto"/>
          </w:tcPr>
          <w:p w14:paraId="06C9005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X</w:t>
            </w:r>
          </w:p>
        </w:tc>
        <w:tc>
          <w:tcPr>
            <w:tcW w:w="1492" w:type="dxa"/>
            <w:shd w:val="clear" w:color="auto" w:fill="auto"/>
          </w:tcPr>
          <w:p w14:paraId="681E6E5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61 (80.3%)</w:t>
            </w:r>
          </w:p>
        </w:tc>
      </w:tr>
      <w:tr w:rsidR="00041BBC" w14:paraId="2C81100E" w14:textId="77777777" w:rsidTr="00A51280">
        <w:tc>
          <w:tcPr>
            <w:tcW w:w="8720" w:type="dxa"/>
            <w:gridSpan w:val="5"/>
            <w:shd w:val="clear" w:color="auto" w:fill="auto"/>
          </w:tcPr>
          <w:p w14:paraId="0825C84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H: Community Medical Cooperation</w:t>
            </w:r>
          </w:p>
        </w:tc>
      </w:tr>
      <w:tr w:rsidR="00041BBC" w14:paraId="2421844A" w14:textId="77777777" w:rsidTr="00A51280">
        <w:tc>
          <w:tcPr>
            <w:tcW w:w="1527" w:type="dxa"/>
            <w:shd w:val="clear" w:color="auto" w:fill="auto"/>
          </w:tcPr>
          <w:p w14:paraId="6E51AEC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H-1</w:t>
            </w:r>
          </w:p>
        </w:tc>
        <w:tc>
          <w:tcPr>
            <w:tcW w:w="2497" w:type="dxa"/>
            <w:shd w:val="clear" w:color="auto" w:fill="auto"/>
          </w:tcPr>
          <w:p w14:paraId="4EAA928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cases of use of regional medical cooperation pass (five major cancers)</w:t>
            </w:r>
          </w:p>
        </w:tc>
        <w:tc>
          <w:tcPr>
            <w:tcW w:w="1615" w:type="dxa"/>
            <w:shd w:val="clear" w:color="auto" w:fill="auto"/>
          </w:tcPr>
          <w:p w14:paraId="00C54D7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2C38CB8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19E5E8D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3 (3.9%)</w:t>
            </w:r>
          </w:p>
        </w:tc>
      </w:tr>
      <w:tr w:rsidR="00041BBC" w14:paraId="3958A882" w14:textId="77777777" w:rsidTr="00A51280">
        <w:tc>
          <w:tcPr>
            <w:tcW w:w="1527" w:type="dxa"/>
            <w:shd w:val="clear" w:color="auto" w:fill="auto"/>
          </w:tcPr>
          <w:p w14:paraId="34DCCB5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H-2</w:t>
            </w:r>
          </w:p>
        </w:tc>
        <w:tc>
          <w:tcPr>
            <w:tcW w:w="2497" w:type="dxa"/>
            <w:shd w:val="clear" w:color="auto" w:fill="auto"/>
          </w:tcPr>
          <w:p w14:paraId="15725AA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Rate of hospitalization/discharge support</w:t>
            </w:r>
          </w:p>
        </w:tc>
        <w:tc>
          <w:tcPr>
            <w:tcW w:w="1615" w:type="dxa"/>
            <w:shd w:val="clear" w:color="auto" w:fill="auto"/>
          </w:tcPr>
          <w:p w14:paraId="5F0CB32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05412E9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30A4B24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13 (17.3%)</w:t>
            </w:r>
          </w:p>
        </w:tc>
      </w:tr>
      <w:tr w:rsidR="00041BBC" w14:paraId="1643B903" w14:textId="77777777" w:rsidTr="00A51280">
        <w:tc>
          <w:tcPr>
            <w:tcW w:w="8720" w:type="dxa"/>
            <w:gridSpan w:val="5"/>
            <w:shd w:val="clear" w:color="auto" w:fill="auto"/>
          </w:tcPr>
          <w:p w14:paraId="1945651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I: Patient support (human rights protection)</w:t>
            </w:r>
          </w:p>
        </w:tc>
      </w:tr>
      <w:tr w:rsidR="00041BBC" w14:paraId="75665592" w14:textId="77777777" w:rsidTr="00A51280">
        <w:tc>
          <w:tcPr>
            <w:tcW w:w="1527" w:type="dxa"/>
            <w:shd w:val="clear" w:color="auto" w:fill="auto"/>
          </w:tcPr>
          <w:p w14:paraId="3F1D6E8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I-1</w:t>
            </w:r>
          </w:p>
        </w:tc>
        <w:tc>
          <w:tcPr>
            <w:tcW w:w="2497" w:type="dxa"/>
            <w:shd w:val="clear" w:color="auto" w:fill="auto"/>
          </w:tcPr>
          <w:p w14:paraId="6725DAA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Rate of physical restraint of persons aged ≥20 years</w:t>
            </w:r>
          </w:p>
        </w:tc>
        <w:tc>
          <w:tcPr>
            <w:tcW w:w="1615" w:type="dxa"/>
            <w:shd w:val="clear" w:color="auto" w:fill="auto"/>
          </w:tcPr>
          <w:p w14:paraId="3241250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083790B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56B83F6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15 (19.7%)</w:t>
            </w:r>
          </w:p>
        </w:tc>
      </w:tr>
      <w:tr w:rsidR="00041BBC" w14:paraId="3F245E85" w14:textId="77777777" w:rsidTr="00A51280">
        <w:tc>
          <w:tcPr>
            <w:tcW w:w="1527" w:type="dxa"/>
            <w:shd w:val="clear" w:color="auto" w:fill="auto"/>
          </w:tcPr>
          <w:p w14:paraId="71EDB07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I-2</w:t>
            </w:r>
          </w:p>
        </w:tc>
        <w:tc>
          <w:tcPr>
            <w:tcW w:w="2497" w:type="dxa"/>
            <w:shd w:val="clear" w:color="auto" w:fill="auto"/>
          </w:tcPr>
          <w:p w14:paraId="469854F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reports to and consultations with clinical ethics committees</w:t>
            </w:r>
          </w:p>
        </w:tc>
        <w:tc>
          <w:tcPr>
            <w:tcW w:w="1615" w:type="dxa"/>
            <w:shd w:val="clear" w:color="auto" w:fill="auto"/>
          </w:tcPr>
          <w:p w14:paraId="5D018D4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1F95EA6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554E7D2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5 (6.6%)</w:t>
            </w:r>
          </w:p>
        </w:tc>
      </w:tr>
      <w:tr w:rsidR="00041BBC" w14:paraId="02F63704" w14:textId="77777777" w:rsidTr="00A51280">
        <w:tc>
          <w:tcPr>
            <w:tcW w:w="1527" w:type="dxa"/>
            <w:shd w:val="clear" w:color="auto" w:fill="auto"/>
          </w:tcPr>
          <w:p w14:paraId="714AD8E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I-3</w:t>
            </w:r>
          </w:p>
        </w:tc>
        <w:tc>
          <w:tcPr>
            <w:tcW w:w="2497" w:type="dxa"/>
            <w:shd w:val="clear" w:color="auto" w:fill="auto"/>
          </w:tcPr>
          <w:p w14:paraId="5F6EEAE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medical record disclosures (procedural disclosures)</w:t>
            </w:r>
          </w:p>
        </w:tc>
        <w:tc>
          <w:tcPr>
            <w:tcW w:w="1615" w:type="dxa"/>
            <w:shd w:val="clear" w:color="auto" w:fill="auto"/>
          </w:tcPr>
          <w:p w14:paraId="3D37997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1907E88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5F70BC5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12 (15.8%)</w:t>
            </w:r>
          </w:p>
        </w:tc>
      </w:tr>
      <w:tr w:rsidR="00041BBC" w14:paraId="7E5B2818" w14:textId="77777777" w:rsidTr="00A51280">
        <w:tc>
          <w:tcPr>
            <w:tcW w:w="1527" w:type="dxa"/>
            <w:shd w:val="clear" w:color="auto" w:fill="auto"/>
          </w:tcPr>
          <w:p w14:paraId="3AA94D0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I-4</w:t>
            </w:r>
          </w:p>
        </w:tc>
        <w:tc>
          <w:tcPr>
            <w:tcW w:w="2497" w:type="dxa"/>
            <w:shd w:val="clear" w:color="auto" w:fill="auto"/>
          </w:tcPr>
          <w:p w14:paraId="0BFCBE5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Number of consultations with patients, families, etc.</w:t>
            </w:r>
          </w:p>
        </w:tc>
        <w:tc>
          <w:tcPr>
            <w:tcW w:w="1615" w:type="dxa"/>
            <w:shd w:val="clear" w:color="auto" w:fill="auto"/>
          </w:tcPr>
          <w:p w14:paraId="7A1EF44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108F595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6662FB9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13 (17.1%)</w:t>
            </w:r>
          </w:p>
        </w:tc>
      </w:tr>
      <w:tr w:rsidR="00041BBC" w14:paraId="4A675691" w14:textId="77777777" w:rsidTr="00A51280">
        <w:tc>
          <w:tcPr>
            <w:tcW w:w="1527" w:type="dxa"/>
            <w:shd w:val="clear" w:color="auto" w:fill="auto"/>
          </w:tcPr>
          <w:p w14:paraId="0A1E292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I-5</w:t>
            </w:r>
          </w:p>
        </w:tc>
        <w:tc>
          <w:tcPr>
            <w:tcW w:w="2497" w:type="dxa"/>
            <w:shd w:val="clear" w:color="auto" w:fill="auto"/>
          </w:tcPr>
          <w:p w14:paraId="421E014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SCC homepage: Number of patient support/consultation visits</w:t>
            </w:r>
          </w:p>
        </w:tc>
        <w:tc>
          <w:tcPr>
            <w:tcW w:w="1615" w:type="dxa"/>
            <w:shd w:val="clear" w:color="auto" w:fill="auto"/>
          </w:tcPr>
          <w:p w14:paraId="1423020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1E11206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1214FE2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 (1.3%)</w:t>
            </w:r>
          </w:p>
        </w:tc>
      </w:tr>
      <w:tr w:rsidR="00041BBC" w14:paraId="3C4DBD55" w14:textId="77777777" w:rsidTr="00A51280">
        <w:tc>
          <w:tcPr>
            <w:tcW w:w="1527" w:type="dxa"/>
            <w:shd w:val="clear" w:color="auto" w:fill="auto"/>
          </w:tcPr>
          <w:p w14:paraId="7970D33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I-6</w:t>
            </w:r>
          </w:p>
        </w:tc>
        <w:tc>
          <w:tcPr>
            <w:tcW w:w="2497" w:type="dxa"/>
            <w:shd w:val="clear" w:color="auto" w:fill="auto"/>
          </w:tcPr>
          <w:p w14:paraId="7862C27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Medical social workers: Rates of MSW intervention for patients transferred to other hospitals and institutions</w:t>
            </w:r>
          </w:p>
        </w:tc>
        <w:tc>
          <w:tcPr>
            <w:tcW w:w="1615" w:type="dxa"/>
            <w:shd w:val="clear" w:color="auto" w:fill="auto"/>
          </w:tcPr>
          <w:p w14:paraId="7FCB039A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2A5629F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4694249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4 (5.3%)</w:t>
            </w:r>
          </w:p>
        </w:tc>
      </w:tr>
      <w:tr w:rsidR="00041BBC" w14:paraId="7D08AD04" w14:textId="77777777" w:rsidTr="00A51280">
        <w:tc>
          <w:tcPr>
            <w:tcW w:w="8720" w:type="dxa"/>
            <w:gridSpan w:val="5"/>
            <w:shd w:val="clear" w:color="auto" w:fill="auto"/>
          </w:tcPr>
          <w:p w14:paraId="0D6529F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J: Patient Convenience</w:t>
            </w:r>
          </w:p>
        </w:tc>
      </w:tr>
      <w:tr w:rsidR="00041BBC" w14:paraId="04C7232C" w14:textId="77777777" w:rsidTr="00A51280">
        <w:tc>
          <w:tcPr>
            <w:tcW w:w="1527" w:type="dxa"/>
            <w:shd w:val="clear" w:color="auto" w:fill="auto"/>
          </w:tcPr>
          <w:p w14:paraId="50E2780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lastRenderedPageBreak/>
              <w:t>J-1</w:t>
            </w:r>
          </w:p>
        </w:tc>
        <w:tc>
          <w:tcPr>
            <w:tcW w:w="2497" w:type="dxa"/>
            <w:shd w:val="clear" w:color="auto" w:fill="auto"/>
          </w:tcPr>
          <w:p w14:paraId="1B245F7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Percentage of respondents who would recommend the hospital to their friends in a patient survey</w:t>
            </w:r>
          </w:p>
        </w:tc>
        <w:tc>
          <w:tcPr>
            <w:tcW w:w="1615" w:type="dxa"/>
            <w:shd w:val="clear" w:color="auto" w:fill="auto"/>
          </w:tcPr>
          <w:p w14:paraId="5D6F42C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1061B16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0EDE64A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17 (22.4%)</w:t>
            </w:r>
          </w:p>
        </w:tc>
      </w:tr>
      <w:tr w:rsidR="00041BBC" w14:paraId="45E1957B" w14:textId="77777777" w:rsidTr="00A51280">
        <w:tc>
          <w:tcPr>
            <w:tcW w:w="1527" w:type="dxa"/>
            <w:shd w:val="clear" w:color="auto" w:fill="auto"/>
          </w:tcPr>
          <w:p w14:paraId="669D08A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J-2</w:t>
            </w:r>
          </w:p>
        </w:tc>
        <w:tc>
          <w:tcPr>
            <w:tcW w:w="2497" w:type="dxa"/>
            <w:shd w:val="clear" w:color="auto" w:fill="auto"/>
          </w:tcPr>
          <w:p w14:paraId="3162CFC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hAnsi="Times New Roman"/>
                <w:sz w:val="20"/>
              </w:rPr>
              <w:t>Percentage of ambulant patients waiting for at least 1 hour before seeing a doctor</w:t>
            </w:r>
          </w:p>
        </w:tc>
        <w:tc>
          <w:tcPr>
            <w:tcW w:w="1615" w:type="dxa"/>
            <w:shd w:val="clear" w:color="auto" w:fill="auto"/>
          </w:tcPr>
          <w:p w14:paraId="36CAEE7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589" w:type="dxa"/>
            <w:shd w:val="clear" w:color="auto" w:fill="auto"/>
          </w:tcPr>
          <w:p w14:paraId="222A78B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52669EA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8 (10.5%)</w:t>
            </w:r>
          </w:p>
        </w:tc>
      </w:tr>
      <w:tr w:rsidR="00041BBC" w14:paraId="0467BDB0" w14:textId="77777777" w:rsidTr="00A51280">
        <w:tc>
          <w:tcPr>
            <w:tcW w:w="1527" w:type="dxa"/>
            <w:shd w:val="clear" w:color="auto" w:fill="auto"/>
          </w:tcPr>
          <w:p w14:paraId="7A30729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J-3</w:t>
            </w:r>
          </w:p>
        </w:tc>
        <w:tc>
          <w:tcPr>
            <w:tcW w:w="2497" w:type="dxa"/>
            <w:shd w:val="clear" w:color="auto" w:fill="auto"/>
          </w:tcPr>
          <w:p w14:paraId="2FA8DBB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Average outpatient waiting time</w:t>
            </w:r>
          </w:p>
        </w:tc>
        <w:tc>
          <w:tcPr>
            <w:tcW w:w="1615" w:type="dxa"/>
            <w:shd w:val="clear" w:color="auto" w:fill="auto"/>
          </w:tcPr>
          <w:p w14:paraId="7C0161E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5C16C39F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705B94C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14 (18.4%)</w:t>
            </w:r>
          </w:p>
        </w:tc>
      </w:tr>
      <w:tr w:rsidR="00041BBC" w14:paraId="2C640151" w14:textId="77777777" w:rsidTr="00A51280">
        <w:tc>
          <w:tcPr>
            <w:tcW w:w="1527" w:type="dxa"/>
            <w:shd w:val="clear" w:color="auto" w:fill="auto"/>
          </w:tcPr>
          <w:p w14:paraId="1AE4B45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J-4</w:t>
            </w:r>
          </w:p>
        </w:tc>
        <w:tc>
          <w:tcPr>
            <w:tcW w:w="2497" w:type="dxa"/>
            <w:shd w:val="clear" w:color="auto" w:fill="auto"/>
          </w:tcPr>
          <w:p w14:paraId="52E68E2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sz w:val="20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Waiting time for medicine</w:t>
            </w:r>
          </w:p>
        </w:tc>
        <w:tc>
          <w:tcPr>
            <w:tcW w:w="1615" w:type="dxa"/>
            <w:shd w:val="clear" w:color="auto" w:fill="auto"/>
          </w:tcPr>
          <w:p w14:paraId="71E811E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6F03E3C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0345EB6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0 (0.0%)</w:t>
            </w:r>
          </w:p>
        </w:tc>
      </w:tr>
      <w:tr w:rsidR="00041BBC" w14:paraId="1781E54D" w14:textId="77777777" w:rsidTr="00A51280">
        <w:tc>
          <w:tcPr>
            <w:tcW w:w="8720" w:type="dxa"/>
            <w:gridSpan w:val="5"/>
            <w:shd w:val="clear" w:color="auto" w:fill="auto"/>
          </w:tcPr>
          <w:p w14:paraId="13935DC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K: Preventive medicine</w:t>
            </w:r>
          </w:p>
        </w:tc>
      </w:tr>
      <w:tr w:rsidR="00041BBC" w14:paraId="5C3D6031" w14:textId="77777777" w:rsidTr="00A51280">
        <w:tc>
          <w:tcPr>
            <w:tcW w:w="1527" w:type="dxa"/>
            <w:shd w:val="clear" w:color="auto" w:fill="auto"/>
          </w:tcPr>
          <w:p w14:paraId="6D46896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K-1</w:t>
            </w:r>
          </w:p>
        </w:tc>
        <w:tc>
          <w:tcPr>
            <w:tcW w:w="2497" w:type="dxa"/>
            <w:shd w:val="clear" w:color="auto" w:fill="auto"/>
          </w:tcPr>
          <w:p w14:paraId="4612D4E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Influenza vaccine immunization coverage among employees</w:t>
            </w:r>
          </w:p>
        </w:tc>
        <w:tc>
          <w:tcPr>
            <w:tcW w:w="1615" w:type="dxa"/>
            <w:shd w:val="clear" w:color="auto" w:fill="auto"/>
          </w:tcPr>
          <w:p w14:paraId="5B7E14F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0EF6C49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2BE07035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25 (32.9%)</w:t>
            </w:r>
          </w:p>
        </w:tc>
      </w:tr>
      <w:tr w:rsidR="00041BBC" w14:paraId="1B361624" w14:textId="77777777" w:rsidTr="00A51280">
        <w:tc>
          <w:tcPr>
            <w:tcW w:w="1527" w:type="dxa"/>
            <w:shd w:val="clear" w:color="auto" w:fill="auto"/>
          </w:tcPr>
          <w:p w14:paraId="39A027D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K-2</w:t>
            </w:r>
          </w:p>
        </w:tc>
        <w:tc>
          <w:tcPr>
            <w:tcW w:w="2497" w:type="dxa"/>
            <w:shd w:val="clear" w:color="auto" w:fill="auto"/>
          </w:tcPr>
          <w:p w14:paraId="50246BF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Nonsmoking rate among employees</w:t>
            </w:r>
          </w:p>
        </w:tc>
        <w:tc>
          <w:tcPr>
            <w:tcW w:w="1615" w:type="dxa"/>
            <w:shd w:val="clear" w:color="auto" w:fill="auto"/>
          </w:tcPr>
          <w:p w14:paraId="204EEA4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Process</w:t>
            </w:r>
          </w:p>
        </w:tc>
        <w:tc>
          <w:tcPr>
            <w:tcW w:w="1589" w:type="dxa"/>
            <w:shd w:val="clear" w:color="auto" w:fill="auto"/>
          </w:tcPr>
          <w:p w14:paraId="0E7E6FD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2394B6D0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4 (5.3%)</w:t>
            </w:r>
          </w:p>
        </w:tc>
      </w:tr>
      <w:tr w:rsidR="00041BBC" w14:paraId="59A32D19" w14:textId="77777777" w:rsidTr="00A51280">
        <w:tc>
          <w:tcPr>
            <w:tcW w:w="8720" w:type="dxa"/>
            <w:gridSpan w:val="5"/>
            <w:shd w:val="clear" w:color="auto" w:fill="auto"/>
          </w:tcPr>
          <w:p w14:paraId="04FC2EF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L: Human resource development</w:t>
            </w:r>
          </w:p>
        </w:tc>
      </w:tr>
      <w:tr w:rsidR="00041BBC" w14:paraId="288A0DFD" w14:textId="77777777" w:rsidTr="00A51280">
        <w:tc>
          <w:tcPr>
            <w:tcW w:w="1527" w:type="dxa"/>
            <w:shd w:val="clear" w:color="auto" w:fill="auto"/>
          </w:tcPr>
          <w:p w14:paraId="6405F0B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L-1</w:t>
            </w:r>
          </w:p>
        </w:tc>
        <w:tc>
          <w:tcPr>
            <w:tcW w:w="2497" w:type="dxa"/>
            <w:shd w:val="clear" w:color="auto" w:fill="auto"/>
          </w:tcPr>
          <w:p w14:paraId="52F0BE7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sz w:val="20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Specialty/certified nurses per 100 nurses and those who have completed specific training</w:t>
            </w:r>
          </w:p>
        </w:tc>
        <w:tc>
          <w:tcPr>
            <w:tcW w:w="1615" w:type="dxa"/>
            <w:shd w:val="clear" w:color="auto" w:fill="auto"/>
          </w:tcPr>
          <w:p w14:paraId="78C81CEB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Structure</w:t>
            </w:r>
          </w:p>
        </w:tc>
        <w:tc>
          <w:tcPr>
            <w:tcW w:w="1589" w:type="dxa"/>
            <w:shd w:val="clear" w:color="auto" w:fill="auto"/>
          </w:tcPr>
          <w:p w14:paraId="300A51F7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16F74E7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10 (13.2%)</w:t>
            </w:r>
          </w:p>
        </w:tc>
      </w:tr>
      <w:tr w:rsidR="00041BBC" w14:paraId="64B1FA47" w14:textId="77777777" w:rsidTr="00A51280">
        <w:tc>
          <w:tcPr>
            <w:tcW w:w="1527" w:type="dxa"/>
            <w:shd w:val="clear" w:color="auto" w:fill="auto"/>
          </w:tcPr>
          <w:p w14:paraId="534765D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L-2</w:t>
            </w:r>
          </w:p>
        </w:tc>
        <w:tc>
          <w:tcPr>
            <w:tcW w:w="2497" w:type="dxa"/>
            <w:shd w:val="clear" w:color="auto" w:fill="auto"/>
          </w:tcPr>
          <w:p w14:paraId="751A0AFE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sz w:val="20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Specialty/certified pharmacists per 100 pharmacists</w:t>
            </w:r>
          </w:p>
        </w:tc>
        <w:tc>
          <w:tcPr>
            <w:tcW w:w="1615" w:type="dxa"/>
            <w:shd w:val="clear" w:color="auto" w:fill="auto"/>
          </w:tcPr>
          <w:p w14:paraId="0324AD16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Structure</w:t>
            </w:r>
          </w:p>
        </w:tc>
        <w:tc>
          <w:tcPr>
            <w:tcW w:w="1589" w:type="dxa"/>
            <w:shd w:val="clear" w:color="auto" w:fill="auto"/>
          </w:tcPr>
          <w:p w14:paraId="3110CD6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6CA3D86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6 (7.9%)</w:t>
            </w:r>
          </w:p>
        </w:tc>
      </w:tr>
      <w:tr w:rsidR="00041BBC" w14:paraId="4E2DBD3B" w14:textId="77777777" w:rsidTr="00A51280">
        <w:tc>
          <w:tcPr>
            <w:tcW w:w="1527" w:type="dxa"/>
            <w:shd w:val="clear" w:color="auto" w:fill="auto"/>
          </w:tcPr>
          <w:p w14:paraId="1ADB503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L-3</w:t>
            </w:r>
          </w:p>
        </w:tc>
        <w:tc>
          <w:tcPr>
            <w:tcW w:w="2497" w:type="dxa"/>
            <w:shd w:val="clear" w:color="auto" w:fill="auto"/>
          </w:tcPr>
          <w:p w14:paraId="6AA1CA7D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sz w:val="20"/>
              </w:rPr>
            </w:pPr>
            <w:r w:rsidRPr="0036705A">
              <w:rPr>
                <w:rFonts w:ascii="Times New Roman" w:eastAsia="MS Mincho" w:hAnsi="Times New Roman"/>
                <w:sz w:val="20"/>
              </w:rPr>
              <w:t>Specialty/certified medical advisors per 100 physicians</w:t>
            </w:r>
          </w:p>
        </w:tc>
        <w:tc>
          <w:tcPr>
            <w:tcW w:w="1615" w:type="dxa"/>
            <w:shd w:val="clear" w:color="auto" w:fill="auto"/>
          </w:tcPr>
          <w:p w14:paraId="5BE1FC3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Structure</w:t>
            </w:r>
          </w:p>
        </w:tc>
        <w:tc>
          <w:tcPr>
            <w:tcW w:w="1589" w:type="dxa"/>
            <w:shd w:val="clear" w:color="auto" w:fill="auto"/>
          </w:tcPr>
          <w:p w14:paraId="0794DB64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74B13AE8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6 (7.9%)</w:t>
            </w:r>
          </w:p>
        </w:tc>
      </w:tr>
      <w:tr w:rsidR="00041BBC" w14:paraId="55794C1D" w14:textId="77777777" w:rsidTr="00A51280">
        <w:tc>
          <w:tcPr>
            <w:tcW w:w="1527" w:type="dxa"/>
            <w:shd w:val="clear" w:color="auto" w:fill="auto"/>
          </w:tcPr>
          <w:p w14:paraId="4BC17073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L-4</w:t>
            </w:r>
          </w:p>
        </w:tc>
        <w:tc>
          <w:tcPr>
            <w:tcW w:w="2497" w:type="dxa"/>
            <w:shd w:val="clear" w:color="auto" w:fill="auto"/>
          </w:tcPr>
          <w:p w14:paraId="5703DAD2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sz w:val="20"/>
              </w:rPr>
            </w:pPr>
            <w:r w:rsidRPr="0036705A">
              <w:rPr>
                <w:rFonts w:ascii="Times New Roman" w:hAnsi="Times New Roman"/>
                <w:sz w:val="20"/>
              </w:rPr>
              <w:t>Number of supervisors per resident doctor</w:t>
            </w:r>
          </w:p>
        </w:tc>
        <w:tc>
          <w:tcPr>
            <w:tcW w:w="1615" w:type="dxa"/>
            <w:shd w:val="clear" w:color="auto" w:fill="auto"/>
          </w:tcPr>
          <w:p w14:paraId="49EE8B79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Structure</w:t>
            </w:r>
          </w:p>
        </w:tc>
        <w:tc>
          <w:tcPr>
            <w:tcW w:w="1589" w:type="dxa"/>
            <w:shd w:val="clear" w:color="auto" w:fill="auto"/>
          </w:tcPr>
          <w:p w14:paraId="5F696AFC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</w:p>
        </w:tc>
        <w:tc>
          <w:tcPr>
            <w:tcW w:w="1492" w:type="dxa"/>
            <w:shd w:val="clear" w:color="auto" w:fill="auto"/>
          </w:tcPr>
          <w:p w14:paraId="6A3A3111" w14:textId="77777777" w:rsidR="00041BBC" w:rsidRPr="0036705A" w:rsidRDefault="00041BBC" w:rsidP="00A51280">
            <w:pPr>
              <w:snapToGrid w:val="0"/>
              <w:spacing w:line="360" w:lineRule="auto"/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</w:pPr>
            <w:r w:rsidRPr="0036705A">
              <w:rPr>
                <w:rFonts w:ascii="Times New Roman" w:eastAsia="MS Mincho" w:hAnsi="Times New Roman"/>
                <w:color w:val="000000"/>
                <w:sz w:val="20"/>
                <w:lang w:bidi="en-US"/>
              </w:rPr>
              <w:t>6 (7.9%)</w:t>
            </w:r>
          </w:p>
        </w:tc>
      </w:tr>
    </w:tbl>
    <w:p w14:paraId="2969E6CD" w14:textId="77777777" w:rsidR="00041BBC" w:rsidRPr="0036705A" w:rsidRDefault="00041BBC" w:rsidP="00041BBC">
      <w:pPr>
        <w:snapToGrid w:val="0"/>
        <w:spacing w:line="360" w:lineRule="auto"/>
        <w:rPr>
          <w:rFonts w:ascii="Times New Roman" w:hAnsi="Times New Roman"/>
          <w:color w:val="000000"/>
          <w:sz w:val="20"/>
          <w:lang w:bidi="en-US"/>
        </w:rPr>
      </w:pPr>
    </w:p>
    <w:p w14:paraId="5EC82063" w14:textId="77777777" w:rsidR="00041BBC" w:rsidRDefault="00041BBC" w:rsidP="00041BBC">
      <w:pPr>
        <w:spacing w:line="360" w:lineRule="auto"/>
        <w:rPr>
          <w:rFonts w:ascii="Times New Roman" w:hAnsi="Times New Roman"/>
          <w:color w:val="000000"/>
          <w:sz w:val="20"/>
          <w:lang w:bidi="en-US"/>
        </w:rPr>
      </w:pPr>
    </w:p>
    <w:p w14:paraId="3E8F4E9B" w14:textId="77777777" w:rsidR="00041BBC" w:rsidRPr="0036705A" w:rsidRDefault="00041BBC" w:rsidP="00041BBC">
      <w:pPr>
        <w:spacing w:line="360" w:lineRule="auto"/>
        <w:rPr>
          <w:rFonts w:ascii="Times New Roman" w:hAnsi="Times New Roman"/>
          <w:color w:val="000000"/>
          <w:sz w:val="20"/>
          <w:lang w:bidi="en-US"/>
        </w:rPr>
      </w:pPr>
    </w:p>
    <w:p w14:paraId="2D2434F4" w14:textId="77777777" w:rsidR="00755780" w:rsidRDefault="00755780"/>
    <w:sectPr w:rsidR="00755780" w:rsidSect="00041BBC">
      <w:footerReference w:type="default" r:id="rId4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C76594" w14:textId="77777777" w:rsidR="00000000" w:rsidRPr="0036705A" w:rsidRDefault="00000000">
    <w:pPr>
      <w:pStyle w:val="Footer"/>
      <w:jc w:val="center"/>
      <w:rPr>
        <w:rFonts w:ascii="Times New Roman" w:hAnsi="Times New Roman"/>
        <w:sz w:val="20"/>
        <w:szCs w:val="20"/>
      </w:rPr>
    </w:pPr>
    <w:r w:rsidRPr="0036705A">
      <w:rPr>
        <w:rFonts w:ascii="Times New Roman" w:hAnsi="Times New Roman"/>
        <w:sz w:val="20"/>
        <w:szCs w:val="20"/>
      </w:rPr>
      <w:fldChar w:fldCharType="begin"/>
    </w:r>
    <w:r w:rsidRPr="0036705A">
      <w:rPr>
        <w:rFonts w:ascii="Times New Roman" w:hAnsi="Times New Roman"/>
        <w:sz w:val="20"/>
        <w:szCs w:val="20"/>
      </w:rPr>
      <w:instrText>PAGE   \* MERGEFORMAT</w:instrText>
    </w:r>
    <w:r w:rsidRPr="0036705A">
      <w:rPr>
        <w:rFonts w:ascii="Times New Roman" w:hAnsi="Times New Roman"/>
        <w:sz w:val="20"/>
        <w:szCs w:val="20"/>
      </w:rPr>
      <w:fldChar w:fldCharType="separate"/>
    </w:r>
    <w:r w:rsidRPr="0036705A">
      <w:rPr>
        <w:rFonts w:ascii="Times New Roman" w:hAnsi="Times New Roman"/>
        <w:sz w:val="20"/>
        <w:szCs w:val="20"/>
        <w:lang w:val="ja-JP"/>
      </w:rPr>
      <w:t>2</w:t>
    </w:r>
    <w:r w:rsidRPr="0036705A">
      <w:rPr>
        <w:rFonts w:ascii="Times New Roman" w:hAnsi="Times New Roman"/>
        <w:sz w:val="20"/>
        <w:szCs w:val="20"/>
      </w:rPr>
      <w:fldChar w:fldCharType="end"/>
    </w:r>
  </w:p>
  <w:p w14:paraId="6E90AD5D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BBC"/>
    <w:rsid w:val="00041BBC"/>
    <w:rsid w:val="00331A6B"/>
    <w:rsid w:val="00755780"/>
    <w:rsid w:val="00857596"/>
    <w:rsid w:val="008B4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92EEE8"/>
  <w15:chartTrackingRefBased/>
  <w15:docId w15:val="{3A427AE2-6492-41E2-B621-A7306CB361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BC"/>
    <w:pPr>
      <w:widowControl w:val="0"/>
      <w:spacing w:after="0" w:line="240" w:lineRule="auto"/>
      <w:jc w:val="both"/>
    </w:pPr>
    <w:rPr>
      <w:rFonts w:ascii="Yu Mincho" w:eastAsia="Yu Mincho" w:hAnsi="Yu Mincho" w:cs="Times New Roman"/>
      <w:sz w:val="21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1BBC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1BBC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1BBC"/>
    <w:pPr>
      <w:keepNext/>
      <w:keepLines/>
      <w:widowControl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1BBC"/>
    <w:pPr>
      <w:keepNext/>
      <w:keepLines/>
      <w:widowControl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1BBC"/>
    <w:pPr>
      <w:keepNext/>
      <w:keepLines/>
      <w:widowControl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1BBC"/>
    <w:pPr>
      <w:keepNext/>
      <w:keepLines/>
      <w:widowControl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1BBC"/>
    <w:pPr>
      <w:keepNext/>
      <w:keepLines/>
      <w:widowControl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1BBC"/>
    <w:pPr>
      <w:keepNext/>
      <w:keepLines/>
      <w:widowControl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1BBC"/>
    <w:pPr>
      <w:keepNext/>
      <w:keepLines/>
      <w:widowControl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1B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1B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1BB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1BB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1BB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1B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1B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1B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1B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1BBC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41B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1BBC"/>
    <w:pPr>
      <w:widowControl/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41B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1BBC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41B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1BBC"/>
    <w:pPr>
      <w:widowControl/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41BB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1BB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1BB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1BBC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041BBC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041BBC"/>
    <w:rPr>
      <w:rFonts w:ascii="Yu Mincho" w:eastAsia="Yu Mincho" w:hAnsi="Yu Mincho" w:cs="Times New Roman"/>
      <w:sz w:val="21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782</Words>
  <Characters>4459</Characters>
  <Application>Microsoft Office Word</Application>
  <DocSecurity>0</DocSecurity>
  <Lines>37</Lines>
  <Paragraphs>10</Paragraphs>
  <ScaleCrop>false</ScaleCrop>
  <Company>Springer Nature</Company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2025-01-20T07:21:00Z</dcterms:created>
  <dcterms:modified xsi:type="dcterms:W3CDTF">2025-01-20T07:21:00Z</dcterms:modified>
</cp:coreProperties>
</file>