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3EC3E" w14:textId="1D0EDEEB" w:rsidR="00CA4E74" w:rsidRDefault="00CA4E74" w:rsidP="00CA4E74">
      <w:pPr>
        <w:rPr>
          <w:rFonts w:ascii="Times New Roman" w:hAnsi="Times New Roman" w:cs="Times New Roman"/>
          <w:b/>
          <w:bCs/>
          <w:sz w:val="28"/>
          <w:szCs w:val="28"/>
        </w:rPr>
      </w:pPr>
      <w:r w:rsidRPr="008435BF">
        <w:rPr>
          <w:rFonts w:ascii="Times New Roman" w:hAnsi="Times New Roman" w:cs="Times New Roman"/>
          <w:b/>
          <w:bCs/>
          <w:sz w:val="28"/>
          <w:szCs w:val="28"/>
        </w:rPr>
        <w:t xml:space="preserve">Supplementary Materials </w:t>
      </w:r>
      <w:r w:rsidR="008435BF" w:rsidRPr="008435BF">
        <w:rPr>
          <w:rFonts w:ascii="Times New Roman" w:hAnsi="Times New Roman" w:cs="Times New Roman"/>
          <w:b/>
          <w:bCs/>
          <w:sz w:val="28"/>
          <w:szCs w:val="28"/>
        </w:rPr>
        <w:t>for:</w:t>
      </w:r>
    </w:p>
    <w:p w14:paraId="0AC05DC3" w14:textId="77777777" w:rsidR="008435BF" w:rsidRPr="008435BF" w:rsidRDefault="008435BF" w:rsidP="00CA4E74">
      <w:pPr>
        <w:rPr>
          <w:rFonts w:ascii="Times New Roman" w:hAnsi="Times New Roman" w:cs="Times New Roman"/>
          <w:b/>
          <w:bCs/>
          <w:sz w:val="28"/>
          <w:szCs w:val="28"/>
        </w:rPr>
      </w:pPr>
    </w:p>
    <w:p w14:paraId="0C2D292B" w14:textId="307FA25D" w:rsidR="008435BF" w:rsidRDefault="006B155B" w:rsidP="008435BF">
      <w:pPr>
        <w:pStyle w:val="Authors"/>
        <w:jc w:val="left"/>
        <w:rPr>
          <w:b/>
          <w:bCs/>
          <w:kern w:val="28"/>
          <w:sz w:val="28"/>
          <w:szCs w:val="28"/>
        </w:rPr>
      </w:pPr>
      <w:r w:rsidRPr="006B155B">
        <w:rPr>
          <w:b/>
          <w:bCs/>
          <w:kern w:val="28"/>
          <w:sz w:val="28"/>
          <w:szCs w:val="28"/>
        </w:rPr>
        <w:t>The silver bullet - new evidence for a hypervelocity impact origin for the Silverpit Crater</w:t>
      </w:r>
    </w:p>
    <w:p w14:paraId="0103762A" w14:textId="240B97FD" w:rsidR="008435BF" w:rsidRDefault="008435BF" w:rsidP="008435BF">
      <w:pPr>
        <w:pStyle w:val="Authors"/>
        <w:jc w:val="left"/>
        <w:rPr>
          <w:vertAlign w:val="superscript"/>
        </w:rPr>
      </w:pPr>
      <w:r w:rsidRPr="055ED333">
        <w:rPr>
          <w:b/>
          <w:bCs/>
        </w:rPr>
        <w:t>Authors:</w:t>
      </w:r>
      <w:r>
        <w:t xml:space="preserve"> </w:t>
      </w:r>
      <w:r w:rsidR="00CB7BED">
        <w:t>Uisdean Nicholson</w:t>
      </w:r>
      <w:r w:rsidR="00CB7BED" w:rsidRPr="7C6C8FDA">
        <w:rPr>
          <w:vertAlign w:val="superscript"/>
        </w:rPr>
        <w:t>1</w:t>
      </w:r>
      <w:r w:rsidR="00CB7BED">
        <w:t>*, Iain de Jonge-Anderson</w:t>
      </w:r>
      <w:r w:rsidR="00CB7BED" w:rsidRPr="7C6C8FDA">
        <w:rPr>
          <w:vertAlign w:val="superscript"/>
        </w:rPr>
        <w:t>1</w:t>
      </w:r>
      <w:r w:rsidR="00CB7BED">
        <w:t>, Alex Gillespie</w:t>
      </w:r>
      <w:r w:rsidR="00CB7BED" w:rsidRPr="7C6C8FDA">
        <w:rPr>
          <w:vertAlign w:val="superscript"/>
        </w:rPr>
        <w:t>2</w:t>
      </w:r>
      <w:r w:rsidR="00CB7BED">
        <w:t>, James Frankel</w:t>
      </w:r>
      <w:r w:rsidR="00CB7BED" w:rsidRPr="7C6C8FDA">
        <w:rPr>
          <w:vertAlign w:val="superscript"/>
        </w:rPr>
        <w:t>2</w:t>
      </w:r>
      <w:r w:rsidR="00CB7BED">
        <w:t>, Thomas Kenkmann</w:t>
      </w:r>
      <w:r w:rsidR="00CB7BED" w:rsidRPr="7C6C8FDA">
        <w:rPr>
          <w:vertAlign w:val="superscript"/>
        </w:rPr>
        <w:t>3</w:t>
      </w:r>
      <w:r w:rsidR="00CB7BED">
        <w:t>, Tom Dunkley Jones</w:t>
      </w:r>
      <w:r w:rsidR="00CB7BED" w:rsidRPr="7C6C8FDA">
        <w:rPr>
          <w:vertAlign w:val="superscript"/>
        </w:rPr>
        <w:t>4</w:t>
      </w:r>
      <w:r w:rsidR="00CB7BED">
        <w:t>, Gareth S. Collins</w:t>
      </w:r>
      <w:r w:rsidR="00CB7BED" w:rsidRPr="7C6C8FDA">
        <w:rPr>
          <w:vertAlign w:val="superscript"/>
        </w:rPr>
        <w:t>5</w:t>
      </w:r>
      <w:r w:rsidR="00CB7BED">
        <w:t>, Veronica Bray</w:t>
      </w:r>
      <w:r w:rsidR="00CB7BED" w:rsidRPr="7C6C8FDA">
        <w:rPr>
          <w:vertAlign w:val="superscript"/>
        </w:rPr>
        <w:t>6</w:t>
      </w:r>
      <w:r w:rsidR="00CB7BED">
        <w:t>,</w:t>
      </w:r>
      <w:r w:rsidR="00CB7BED" w:rsidRPr="7C6C8FDA">
        <w:rPr>
          <w:vertAlign w:val="superscript"/>
        </w:rPr>
        <w:t xml:space="preserve"> </w:t>
      </w:r>
      <w:r w:rsidR="00CB7BED">
        <w:t>Sean Gulick</w:t>
      </w:r>
      <w:r w:rsidR="00CB7BED" w:rsidRPr="7C6C8FDA">
        <w:rPr>
          <w:vertAlign w:val="superscript"/>
        </w:rPr>
        <w:t>7,8</w:t>
      </w:r>
      <w:r w:rsidR="00CB7BED">
        <w:t xml:space="preserve">, </w:t>
      </w:r>
      <w:r w:rsidR="00CB7BED" w:rsidRPr="002D6760">
        <w:t>Ronnie Parr</w:t>
      </w:r>
      <w:r w:rsidR="00CB7BED">
        <w:rPr>
          <w:vertAlign w:val="superscript"/>
        </w:rPr>
        <w:t>9</w:t>
      </w:r>
      <w:r w:rsidR="00CB7BED">
        <w:t>,</w:t>
      </w:r>
      <w:r w:rsidR="00CB7BED" w:rsidRPr="006A673A">
        <w:t xml:space="preserve"> </w:t>
      </w:r>
      <w:r w:rsidR="00CB7BED" w:rsidRPr="002D6760">
        <w:t>Falko Langenhorst</w:t>
      </w:r>
      <w:r w:rsidR="00CB7BED">
        <w:rPr>
          <w:vertAlign w:val="superscript"/>
        </w:rPr>
        <w:t>10</w:t>
      </w:r>
    </w:p>
    <w:p w14:paraId="0796FA11" w14:textId="77777777" w:rsidR="008435BF" w:rsidRDefault="008435BF" w:rsidP="008435BF">
      <w:pPr>
        <w:pStyle w:val="Authors"/>
        <w:jc w:val="left"/>
        <w:rPr>
          <w:vertAlign w:val="superscript"/>
        </w:rPr>
      </w:pPr>
    </w:p>
    <w:p w14:paraId="22C1C0E3" w14:textId="77777777" w:rsidR="008435BF" w:rsidRDefault="008435BF" w:rsidP="008435BF">
      <w:pPr>
        <w:pStyle w:val="Authors"/>
        <w:jc w:val="left"/>
        <w:rPr>
          <w:vertAlign w:val="superscript"/>
        </w:rPr>
      </w:pPr>
    </w:p>
    <w:p w14:paraId="043250AD" w14:textId="77777777" w:rsidR="008435BF" w:rsidRDefault="008435BF" w:rsidP="008435BF">
      <w:pPr>
        <w:pStyle w:val="Authors"/>
        <w:jc w:val="left"/>
        <w:rPr>
          <w:vertAlign w:val="superscript"/>
        </w:rPr>
      </w:pPr>
    </w:p>
    <w:p w14:paraId="55862568" w14:textId="77777777" w:rsidR="008435BF" w:rsidRDefault="008435BF" w:rsidP="008435BF">
      <w:pPr>
        <w:pStyle w:val="Authors"/>
        <w:jc w:val="left"/>
        <w:rPr>
          <w:vertAlign w:val="superscript"/>
        </w:rPr>
      </w:pPr>
    </w:p>
    <w:p w14:paraId="7B7998AF" w14:textId="77777777" w:rsidR="008435BF" w:rsidRDefault="008435BF" w:rsidP="008435BF">
      <w:pPr>
        <w:pStyle w:val="Authors"/>
        <w:jc w:val="left"/>
        <w:rPr>
          <w:vertAlign w:val="superscript"/>
        </w:rPr>
      </w:pPr>
    </w:p>
    <w:p w14:paraId="69883CEF" w14:textId="77777777" w:rsidR="008435BF" w:rsidRDefault="008435BF" w:rsidP="008435BF">
      <w:pPr>
        <w:pStyle w:val="Authors"/>
        <w:jc w:val="left"/>
        <w:rPr>
          <w:vertAlign w:val="superscript"/>
        </w:rPr>
      </w:pPr>
    </w:p>
    <w:p w14:paraId="6F609AB9" w14:textId="77777777" w:rsidR="008435BF" w:rsidRDefault="008435BF" w:rsidP="008435BF">
      <w:pPr>
        <w:pStyle w:val="Authors"/>
        <w:jc w:val="left"/>
        <w:rPr>
          <w:vertAlign w:val="superscript"/>
        </w:rPr>
      </w:pPr>
    </w:p>
    <w:p w14:paraId="2E0E36B9" w14:textId="77777777" w:rsidR="008435BF" w:rsidRDefault="008435BF" w:rsidP="008435BF">
      <w:pPr>
        <w:pStyle w:val="Authors"/>
        <w:jc w:val="left"/>
        <w:rPr>
          <w:vertAlign w:val="superscript"/>
        </w:rPr>
      </w:pPr>
    </w:p>
    <w:p w14:paraId="6BD03721" w14:textId="77777777" w:rsidR="008435BF" w:rsidRDefault="008435BF" w:rsidP="008435BF">
      <w:pPr>
        <w:pStyle w:val="Authors"/>
        <w:jc w:val="left"/>
        <w:rPr>
          <w:vertAlign w:val="superscript"/>
        </w:rPr>
      </w:pPr>
    </w:p>
    <w:p w14:paraId="006D9BA4" w14:textId="77777777" w:rsidR="008435BF" w:rsidRDefault="008435BF" w:rsidP="008435BF">
      <w:pPr>
        <w:pStyle w:val="Authors"/>
        <w:jc w:val="left"/>
        <w:rPr>
          <w:vertAlign w:val="superscript"/>
        </w:rPr>
      </w:pPr>
    </w:p>
    <w:p w14:paraId="66AFC81C" w14:textId="77777777" w:rsidR="008435BF" w:rsidRDefault="008435BF" w:rsidP="008435BF">
      <w:pPr>
        <w:pStyle w:val="Authors"/>
        <w:jc w:val="left"/>
        <w:rPr>
          <w:vertAlign w:val="superscript"/>
        </w:rPr>
      </w:pPr>
    </w:p>
    <w:p w14:paraId="1B03E700" w14:textId="77777777" w:rsidR="008435BF" w:rsidRDefault="008435BF" w:rsidP="008435BF">
      <w:pPr>
        <w:pStyle w:val="Authors"/>
        <w:jc w:val="left"/>
        <w:rPr>
          <w:vertAlign w:val="superscript"/>
        </w:rPr>
      </w:pPr>
    </w:p>
    <w:p w14:paraId="4553642E" w14:textId="77777777" w:rsidR="008435BF" w:rsidRDefault="008435BF" w:rsidP="008435BF">
      <w:pPr>
        <w:pStyle w:val="Authors"/>
        <w:jc w:val="left"/>
        <w:rPr>
          <w:vertAlign w:val="superscript"/>
        </w:rPr>
      </w:pPr>
    </w:p>
    <w:p w14:paraId="792BCFC6" w14:textId="77777777" w:rsidR="008435BF" w:rsidRDefault="008435BF" w:rsidP="008435BF">
      <w:pPr>
        <w:pStyle w:val="Authors"/>
        <w:jc w:val="left"/>
        <w:rPr>
          <w:vertAlign w:val="superscript"/>
        </w:rPr>
      </w:pPr>
    </w:p>
    <w:p w14:paraId="397002D3" w14:textId="77777777" w:rsidR="008435BF" w:rsidRDefault="008435BF" w:rsidP="008435BF">
      <w:pPr>
        <w:pStyle w:val="Authors"/>
        <w:jc w:val="left"/>
        <w:rPr>
          <w:vertAlign w:val="superscript"/>
        </w:rPr>
      </w:pPr>
    </w:p>
    <w:p w14:paraId="5DC1EF17" w14:textId="77777777" w:rsidR="008435BF" w:rsidRDefault="008435BF" w:rsidP="008435BF">
      <w:pPr>
        <w:pStyle w:val="Authors"/>
        <w:jc w:val="left"/>
        <w:rPr>
          <w:vertAlign w:val="superscript"/>
        </w:rPr>
      </w:pPr>
    </w:p>
    <w:p w14:paraId="775E6E91" w14:textId="77777777" w:rsidR="008435BF" w:rsidRDefault="008435BF" w:rsidP="008435BF">
      <w:pPr>
        <w:pStyle w:val="Authors"/>
        <w:jc w:val="left"/>
        <w:rPr>
          <w:vertAlign w:val="superscript"/>
        </w:rPr>
      </w:pPr>
    </w:p>
    <w:p w14:paraId="72514E74" w14:textId="0EFD1D40" w:rsidR="0048427D" w:rsidRDefault="00CA4E74" w:rsidP="00855858">
      <w:pPr>
        <w:rPr>
          <w:rFonts w:ascii="Times New Roman" w:hAnsi="Times New Roman" w:cs="Times New Roman"/>
        </w:rPr>
      </w:pPr>
      <w:r w:rsidRPr="000574BA">
        <w:rPr>
          <w:rFonts w:ascii="Times New Roman" w:hAnsi="Times New Roman" w:cs="Times New Roman"/>
          <w:b/>
          <w:bCs/>
        </w:rPr>
        <w:lastRenderedPageBreak/>
        <w:t xml:space="preserve">Table </w:t>
      </w:r>
      <w:r w:rsidR="00F65325">
        <w:rPr>
          <w:rFonts w:ascii="Times New Roman" w:hAnsi="Times New Roman" w:cs="Times New Roman"/>
          <w:b/>
          <w:bCs/>
        </w:rPr>
        <w:t>S</w:t>
      </w:r>
      <w:r w:rsidRPr="000574BA">
        <w:rPr>
          <w:rFonts w:ascii="Times New Roman" w:hAnsi="Times New Roman" w:cs="Times New Roman"/>
          <w:b/>
          <w:bCs/>
        </w:rPr>
        <w:t>1</w:t>
      </w:r>
      <w:r w:rsidRPr="000574BA">
        <w:rPr>
          <w:rFonts w:ascii="Times New Roman" w:hAnsi="Times New Roman" w:cs="Times New Roman"/>
        </w:rPr>
        <w:t xml:space="preserve">: Processing workflow for </w:t>
      </w:r>
      <w:r w:rsidR="005A2C16">
        <w:rPr>
          <w:rFonts w:ascii="Times New Roman" w:hAnsi="Times New Roman" w:cs="Times New Roman"/>
        </w:rPr>
        <w:t>NEP 3D seismic</w:t>
      </w:r>
      <w:r w:rsidRPr="000574BA">
        <w:rPr>
          <w:rFonts w:ascii="Times New Roman" w:hAnsi="Times New Roman" w:cs="Times New Roman"/>
        </w:rPr>
        <w:t xml:space="preserve"> data. </w:t>
      </w:r>
    </w:p>
    <w:tbl>
      <w:tblPr>
        <w:tblW w:w="0" w:type="auto"/>
        <w:tblCellMar>
          <w:left w:w="0" w:type="dxa"/>
          <w:right w:w="0" w:type="dxa"/>
        </w:tblCellMar>
        <w:tblLook w:val="04A0" w:firstRow="1" w:lastRow="0" w:firstColumn="1" w:lastColumn="0" w:noHBand="0" w:noVBand="1"/>
      </w:tblPr>
      <w:tblGrid>
        <w:gridCol w:w="1837"/>
        <w:gridCol w:w="5954"/>
      </w:tblGrid>
      <w:tr w:rsidR="005A2C16" w:rsidRPr="005A2C16" w14:paraId="357D68FD" w14:textId="77777777" w:rsidTr="005A2C16">
        <w:tc>
          <w:tcPr>
            <w:tcW w:w="7791"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4BCAE73" w14:textId="77777777" w:rsidR="005A2C16" w:rsidRPr="005A2C16" w:rsidRDefault="005A2C16" w:rsidP="005A2C16">
            <w:pPr>
              <w:rPr>
                <w:rFonts w:ascii="Times New Roman" w:hAnsi="Times New Roman" w:cs="Times New Roman"/>
                <w:b/>
                <w:bCs/>
              </w:rPr>
            </w:pPr>
            <w:r w:rsidRPr="005A2C16">
              <w:rPr>
                <w:rFonts w:ascii="Times New Roman" w:hAnsi="Times New Roman" w:cs="Times New Roman"/>
                <w:b/>
                <w:bCs/>
              </w:rPr>
              <w:t>Acquisition (PGS)</w:t>
            </w:r>
          </w:p>
        </w:tc>
      </w:tr>
      <w:tr w:rsidR="005A2C16" w:rsidRPr="005A2C16" w14:paraId="0CC7F52D" w14:textId="77777777" w:rsidTr="005A2C16">
        <w:tc>
          <w:tcPr>
            <w:tcW w:w="1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318B60"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Vessel</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32BCB712"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Ramform Hyperion</w:t>
            </w:r>
          </w:p>
        </w:tc>
      </w:tr>
      <w:tr w:rsidR="005A2C16" w:rsidRPr="005A2C16" w14:paraId="5B5C075F" w14:textId="77777777" w:rsidTr="005A2C16">
        <w:tc>
          <w:tcPr>
            <w:tcW w:w="1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156555"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Survey type</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45DD719A"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Towed streamer</w:t>
            </w:r>
          </w:p>
        </w:tc>
      </w:tr>
      <w:tr w:rsidR="005A2C16" w:rsidRPr="005A2C16" w14:paraId="44A5CBAA" w14:textId="77777777" w:rsidTr="005A2C16">
        <w:tc>
          <w:tcPr>
            <w:tcW w:w="1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93ACF6"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Source</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605F5752"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4x 400 cu.in. separated by 62.5. Inset 130m into streamer array. 6.25m shot interval (sequenced source 1, 2, 3, 4)</w:t>
            </w:r>
          </w:p>
        </w:tc>
      </w:tr>
      <w:tr w:rsidR="005A2C16" w:rsidRPr="005A2C16" w14:paraId="12E94007" w14:textId="77777777" w:rsidTr="005A2C16">
        <w:tc>
          <w:tcPr>
            <w:tcW w:w="1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8321A9"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Streamer(s)</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6CAF0F42"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9x 3km streamers. 50m separation. 2ms sample rate, 4000ms record length</w:t>
            </w:r>
          </w:p>
        </w:tc>
      </w:tr>
      <w:tr w:rsidR="005A2C16" w:rsidRPr="005A2C16" w14:paraId="6531E4A0" w14:textId="77777777" w:rsidTr="005A2C16">
        <w:tc>
          <w:tcPr>
            <w:tcW w:w="1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A197F"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Sail lines</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4AC0E584"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NW-SE. Nominal fold = 80</w:t>
            </w:r>
          </w:p>
        </w:tc>
      </w:tr>
      <w:tr w:rsidR="005A2C16" w:rsidRPr="005A2C16" w14:paraId="547E5F3D" w14:textId="77777777" w:rsidTr="005A2C16">
        <w:tc>
          <w:tcPr>
            <w:tcW w:w="7791"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61CA8A3" w14:textId="77777777" w:rsidR="005A2C16" w:rsidRPr="005A2C16" w:rsidRDefault="005A2C16" w:rsidP="005A2C16">
            <w:pPr>
              <w:rPr>
                <w:rFonts w:ascii="Times New Roman" w:hAnsi="Times New Roman" w:cs="Times New Roman"/>
                <w:b/>
                <w:bCs/>
              </w:rPr>
            </w:pPr>
            <w:r w:rsidRPr="005A2C16">
              <w:rPr>
                <w:rFonts w:ascii="Times New Roman" w:hAnsi="Times New Roman" w:cs="Times New Roman"/>
                <w:b/>
                <w:bCs/>
              </w:rPr>
              <w:t>Processing (Shearwater)</w:t>
            </w:r>
          </w:p>
        </w:tc>
      </w:tr>
      <w:tr w:rsidR="005A2C16" w:rsidRPr="005A2C16" w14:paraId="435562AC" w14:textId="77777777" w:rsidTr="005A2C16">
        <w:trPr>
          <w:trHeight w:val="506"/>
        </w:trPr>
        <w:tc>
          <w:tcPr>
            <w:tcW w:w="1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881D4"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Processing</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3A394D40" w14:textId="77777777" w:rsidR="005A2C16" w:rsidRPr="005A2C16" w:rsidRDefault="005A2C16" w:rsidP="005A2C16">
            <w:pPr>
              <w:rPr>
                <w:rFonts w:ascii="Times New Roman" w:hAnsi="Times New Roman" w:cs="Times New Roman"/>
              </w:rPr>
            </w:pPr>
            <w:r w:rsidRPr="005A2C16">
              <w:rPr>
                <w:rFonts w:ascii="Times New Roman" w:hAnsi="Times New Roman" w:cs="Times New Roman"/>
              </w:rPr>
              <w:t>Proprietary Pre-Stack Depth Migration (PSDM) sequence on 12.5m x 12.5m bin grid</w:t>
            </w:r>
          </w:p>
        </w:tc>
      </w:tr>
    </w:tbl>
    <w:p w14:paraId="033FA703" w14:textId="77777777" w:rsidR="002E0316" w:rsidRDefault="002E0316" w:rsidP="00855858">
      <w:pPr>
        <w:rPr>
          <w:rFonts w:ascii="Times New Roman" w:hAnsi="Times New Roman" w:cs="Times New Roman"/>
        </w:rPr>
      </w:pPr>
    </w:p>
    <w:p w14:paraId="4570EB2A" w14:textId="77777777" w:rsidR="002E0316" w:rsidRDefault="002E0316" w:rsidP="00855858">
      <w:pPr>
        <w:rPr>
          <w:rFonts w:ascii="Times New Roman" w:hAnsi="Times New Roman" w:cs="Times New Roman"/>
          <w:b/>
          <w:bCs/>
        </w:rPr>
      </w:pPr>
    </w:p>
    <w:p w14:paraId="78847740" w14:textId="06A5A730" w:rsidR="0048427D" w:rsidRPr="000574BA" w:rsidRDefault="0048427D" w:rsidP="0048427D">
      <w:pPr>
        <w:rPr>
          <w:rFonts w:ascii="Times New Roman" w:hAnsi="Times New Roman" w:cs="Times New Roman"/>
        </w:rPr>
      </w:pPr>
      <w:r w:rsidRPr="000574BA">
        <w:rPr>
          <w:rFonts w:ascii="Times New Roman" w:hAnsi="Times New Roman" w:cs="Times New Roman"/>
          <w:b/>
          <w:bCs/>
        </w:rPr>
        <w:t xml:space="preserve">Table </w:t>
      </w:r>
      <w:r>
        <w:rPr>
          <w:rFonts w:ascii="Times New Roman" w:hAnsi="Times New Roman" w:cs="Times New Roman"/>
          <w:b/>
          <w:bCs/>
        </w:rPr>
        <w:t>S2</w:t>
      </w:r>
      <w:r w:rsidRPr="000574BA">
        <w:rPr>
          <w:rFonts w:ascii="Times New Roman" w:hAnsi="Times New Roman" w:cs="Times New Roman"/>
        </w:rPr>
        <w:t xml:space="preserve">: </w:t>
      </w:r>
      <w:r w:rsidR="00A24AB6" w:rsidRPr="00A24AB6">
        <w:rPr>
          <w:rFonts w:ascii="Times New Roman" w:hAnsi="Times New Roman" w:cs="Times New Roman"/>
        </w:rPr>
        <w:t>Numerical model parameters for reconnaissance impact simulation</w:t>
      </w:r>
    </w:p>
    <w:tbl>
      <w:tblPr>
        <w:tblW w:w="78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4365"/>
        <w:gridCol w:w="853"/>
        <w:gridCol w:w="1714"/>
      </w:tblGrid>
      <w:tr w:rsidR="009D3561" w:rsidRPr="002A4039" w14:paraId="1255533E" w14:textId="77777777" w:rsidTr="005D08A2">
        <w:trPr>
          <w:trHeight w:val="412"/>
        </w:trPr>
        <w:tc>
          <w:tcPr>
            <w:tcW w:w="960" w:type="dxa"/>
            <w:tcBorders>
              <w:top w:val="single" w:sz="4" w:space="0" w:color="auto"/>
              <w:left w:val="single" w:sz="4" w:space="0" w:color="auto"/>
              <w:bottom w:val="single" w:sz="4" w:space="0" w:color="auto"/>
              <w:right w:val="single" w:sz="4" w:space="0" w:color="auto"/>
            </w:tcBorders>
            <w:vAlign w:val="center"/>
            <w:hideMark/>
          </w:tcPr>
          <w:p w14:paraId="27173DDC" w14:textId="77777777" w:rsidR="009D3561" w:rsidRPr="002A4039" w:rsidRDefault="009D3561" w:rsidP="004A69AC">
            <w:pPr>
              <w:rPr>
                <w:rFonts w:ascii="Times New Roman" w:eastAsia="Aptos" w:hAnsi="Times New Roman" w:cs="Times New Roman"/>
                <w:b/>
                <w:kern w:val="2"/>
                <w14:ligatures w14:val="standardContextual"/>
              </w:rPr>
            </w:pPr>
            <w:r w:rsidRPr="002A4039">
              <w:rPr>
                <w:rFonts w:ascii="Times New Roman" w:eastAsia="Aptos" w:hAnsi="Times New Roman" w:cs="Times New Roman"/>
                <w:b/>
                <w:kern w:val="2"/>
                <w14:ligatures w14:val="standardContextual"/>
              </w:rPr>
              <w:t>Symbol</w:t>
            </w:r>
          </w:p>
        </w:tc>
        <w:tc>
          <w:tcPr>
            <w:tcW w:w="4365" w:type="dxa"/>
            <w:tcBorders>
              <w:top w:val="single" w:sz="4" w:space="0" w:color="auto"/>
              <w:left w:val="single" w:sz="4" w:space="0" w:color="auto"/>
              <w:bottom w:val="single" w:sz="4" w:space="0" w:color="auto"/>
              <w:right w:val="nil"/>
            </w:tcBorders>
            <w:vAlign w:val="center"/>
            <w:hideMark/>
          </w:tcPr>
          <w:p w14:paraId="41ACEE40" w14:textId="77777777" w:rsidR="009D3561" w:rsidRPr="002A4039" w:rsidRDefault="009D3561" w:rsidP="004A69AC">
            <w:pPr>
              <w:rPr>
                <w:rFonts w:ascii="Times New Roman" w:eastAsia="Aptos" w:hAnsi="Times New Roman" w:cs="Times New Roman"/>
                <w:b/>
                <w:kern w:val="2"/>
                <w14:ligatures w14:val="standardContextual"/>
              </w:rPr>
            </w:pPr>
            <w:r w:rsidRPr="002A4039">
              <w:rPr>
                <w:rFonts w:ascii="Times New Roman" w:eastAsia="Aptos" w:hAnsi="Times New Roman" w:cs="Times New Roman"/>
                <w:b/>
                <w:kern w:val="2"/>
                <w14:ligatures w14:val="standardContextual"/>
              </w:rPr>
              <w:t>Definition</w:t>
            </w:r>
          </w:p>
        </w:tc>
        <w:tc>
          <w:tcPr>
            <w:tcW w:w="2567" w:type="dxa"/>
            <w:gridSpan w:val="2"/>
            <w:tcBorders>
              <w:top w:val="single" w:sz="4" w:space="0" w:color="auto"/>
              <w:left w:val="nil"/>
              <w:bottom w:val="single" w:sz="4" w:space="0" w:color="auto"/>
              <w:right w:val="single" w:sz="4" w:space="0" w:color="auto"/>
            </w:tcBorders>
            <w:vAlign w:val="center"/>
            <w:hideMark/>
          </w:tcPr>
          <w:p w14:paraId="223CD21C" w14:textId="77777777" w:rsidR="009D3561" w:rsidRPr="002A4039" w:rsidRDefault="009D3561" w:rsidP="004A69AC">
            <w:pPr>
              <w:rPr>
                <w:rFonts w:ascii="Times New Roman" w:eastAsia="Aptos" w:hAnsi="Times New Roman" w:cs="Times New Roman"/>
                <w:b/>
                <w:kern w:val="2"/>
                <w14:ligatures w14:val="standardContextual"/>
              </w:rPr>
            </w:pPr>
            <w:r w:rsidRPr="002A4039">
              <w:rPr>
                <w:rFonts w:ascii="Times New Roman" w:eastAsia="Aptos" w:hAnsi="Times New Roman" w:cs="Times New Roman"/>
                <w:b/>
                <w:kern w:val="2"/>
                <w14:ligatures w14:val="standardContextual"/>
              </w:rPr>
              <w:t>Value</w:t>
            </w:r>
          </w:p>
        </w:tc>
      </w:tr>
      <w:tr w:rsidR="009D3561" w:rsidRPr="002A4039" w14:paraId="023B9B80" w14:textId="77777777" w:rsidTr="005D08A2">
        <w:trPr>
          <w:trHeight w:val="337"/>
        </w:trPr>
        <w:tc>
          <w:tcPr>
            <w:tcW w:w="960" w:type="dxa"/>
            <w:tcBorders>
              <w:top w:val="single" w:sz="4" w:space="0" w:color="auto"/>
              <w:left w:val="single" w:sz="4" w:space="0" w:color="auto"/>
              <w:bottom w:val="nil"/>
              <w:right w:val="single" w:sz="4" w:space="0" w:color="auto"/>
            </w:tcBorders>
            <w:vAlign w:val="center"/>
            <w:hideMark/>
          </w:tcPr>
          <w:p w14:paraId="6E67278B" w14:textId="77777777" w:rsidR="009D3561" w:rsidRPr="002A4039" w:rsidRDefault="009D3561" w:rsidP="004A69AC">
            <w:pPr>
              <w:rPr>
                <w:rFonts w:ascii="Times New Roman" w:eastAsia="Aptos" w:hAnsi="Times New Roman" w:cs="Times New Roman"/>
                <w:i/>
                <w:kern w:val="2"/>
                <w14:ligatures w14:val="standardContextual"/>
              </w:rPr>
            </w:pPr>
            <w:r w:rsidRPr="002A4039">
              <w:rPr>
                <w:rFonts w:ascii="Times New Roman" w:eastAsia="Aptos" w:hAnsi="Times New Roman" w:cs="Times New Roman"/>
                <w:i/>
                <w:kern w:val="2"/>
                <w14:ligatures w14:val="standardContextual"/>
              </w:rPr>
              <w:t>L</w:t>
            </w:r>
          </w:p>
        </w:tc>
        <w:tc>
          <w:tcPr>
            <w:tcW w:w="4365" w:type="dxa"/>
            <w:tcBorders>
              <w:top w:val="single" w:sz="4" w:space="0" w:color="auto"/>
              <w:left w:val="single" w:sz="4" w:space="0" w:color="auto"/>
              <w:bottom w:val="nil"/>
              <w:right w:val="nil"/>
            </w:tcBorders>
            <w:vAlign w:val="center"/>
            <w:hideMark/>
          </w:tcPr>
          <w:p w14:paraId="0664FE47"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Impactor diameter (m)</w:t>
            </w:r>
          </w:p>
        </w:tc>
        <w:tc>
          <w:tcPr>
            <w:tcW w:w="2567" w:type="dxa"/>
            <w:gridSpan w:val="2"/>
            <w:tcBorders>
              <w:top w:val="single" w:sz="4" w:space="0" w:color="auto"/>
              <w:left w:val="nil"/>
              <w:bottom w:val="nil"/>
              <w:right w:val="single" w:sz="4" w:space="0" w:color="auto"/>
            </w:tcBorders>
            <w:vAlign w:val="center"/>
            <w:hideMark/>
          </w:tcPr>
          <w:p w14:paraId="6B7BAA27"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160</w:t>
            </w:r>
          </w:p>
        </w:tc>
      </w:tr>
      <w:tr w:rsidR="009D3561" w:rsidRPr="002A4039" w14:paraId="3EF1467F" w14:textId="77777777" w:rsidTr="005D08A2">
        <w:trPr>
          <w:trHeight w:val="344"/>
        </w:trPr>
        <w:tc>
          <w:tcPr>
            <w:tcW w:w="960" w:type="dxa"/>
            <w:tcBorders>
              <w:top w:val="nil"/>
              <w:left w:val="single" w:sz="4" w:space="0" w:color="auto"/>
              <w:bottom w:val="nil"/>
              <w:right w:val="single" w:sz="4" w:space="0" w:color="auto"/>
            </w:tcBorders>
            <w:vAlign w:val="center"/>
            <w:hideMark/>
          </w:tcPr>
          <w:p w14:paraId="43C91E65" w14:textId="77777777" w:rsidR="009D3561" w:rsidRPr="002A4039" w:rsidRDefault="009D3561" w:rsidP="004A69AC">
            <w:pPr>
              <w:rPr>
                <w:rFonts w:ascii="Times New Roman" w:eastAsia="Aptos" w:hAnsi="Times New Roman" w:cs="Times New Roman"/>
                <w:i/>
                <w:kern w:val="2"/>
                <w:vertAlign w:val="subscript"/>
                <w14:ligatures w14:val="standardContextual"/>
              </w:rPr>
            </w:pPr>
            <w:r w:rsidRPr="002A4039">
              <w:rPr>
                <w:rFonts w:ascii="Times New Roman" w:eastAsia="Aptos" w:hAnsi="Times New Roman" w:cs="Times New Roman"/>
                <w:i/>
                <w:kern w:val="2"/>
                <w14:ligatures w14:val="standardContextual"/>
              </w:rPr>
              <w:t>v</w:t>
            </w:r>
            <w:r w:rsidRPr="002A4039">
              <w:rPr>
                <w:rFonts w:ascii="Times New Roman" w:eastAsia="Aptos" w:hAnsi="Times New Roman" w:cs="Times New Roman"/>
                <w:i/>
                <w:kern w:val="2"/>
                <w:vertAlign w:val="subscript"/>
                <w14:ligatures w14:val="standardContextual"/>
              </w:rPr>
              <w:t>i</w:t>
            </w:r>
          </w:p>
        </w:tc>
        <w:tc>
          <w:tcPr>
            <w:tcW w:w="4365" w:type="dxa"/>
            <w:tcBorders>
              <w:top w:val="nil"/>
              <w:left w:val="single" w:sz="4" w:space="0" w:color="auto"/>
              <w:bottom w:val="nil"/>
              <w:right w:val="nil"/>
            </w:tcBorders>
            <w:vAlign w:val="center"/>
            <w:hideMark/>
          </w:tcPr>
          <w:p w14:paraId="159FD892"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Impact velocity (km/s)</w:t>
            </w:r>
          </w:p>
        </w:tc>
        <w:tc>
          <w:tcPr>
            <w:tcW w:w="2567" w:type="dxa"/>
            <w:gridSpan w:val="2"/>
            <w:tcBorders>
              <w:top w:val="nil"/>
              <w:left w:val="nil"/>
              <w:bottom w:val="nil"/>
              <w:right w:val="single" w:sz="4" w:space="0" w:color="auto"/>
            </w:tcBorders>
            <w:vAlign w:val="center"/>
            <w:hideMark/>
          </w:tcPr>
          <w:p w14:paraId="30441548"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15</w:t>
            </w:r>
          </w:p>
        </w:tc>
      </w:tr>
      <w:tr w:rsidR="009D3561" w:rsidRPr="002A4039" w14:paraId="22010F43" w14:textId="77777777" w:rsidTr="005D08A2">
        <w:trPr>
          <w:trHeight w:val="337"/>
        </w:trPr>
        <w:tc>
          <w:tcPr>
            <w:tcW w:w="960" w:type="dxa"/>
            <w:tcBorders>
              <w:top w:val="nil"/>
              <w:left w:val="single" w:sz="4" w:space="0" w:color="auto"/>
              <w:bottom w:val="nil"/>
              <w:right w:val="single" w:sz="4" w:space="0" w:color="auto"/>
            </w:tcBorders>
            <w:vAlign w:val="center"/>
            <w:hideMark/>
          </w:tcPr>
          <w:p w14:paraId="492A39B9" w14:textId="77777777" w:rsidR="009D3561" w:rsidRPr="002A4039" w:rsidRDefault="009D3561" w:rsidP="004A69AC">
            <w:pPr>
              <w:rPr>
                <w:rFonts w:ascii="Times New Roman" w:eastAsia="Aptos" w:hAnsi="Times New Roman" w:cs="Times New Roman"/>
                <w:i/>
                <w:kern w:val="2"/>
                <w:vertAlign w:val="subscript"/>
                <w14:ligatures w14:val="standardContextual"/>
              </w:rPr>
            </w:pPr>
            <w:r w:rsidRPr="002A4039">
              <w:rPr>
                <w:rFonts w:ascii="Times New Roman" w:eastAsia="Aptos" w:hAnsi="Times New Roman" w:cs="Times New Roman"/>
                <w:i/>
                <w:kern w:val="2"/>
                <w14:ligatures w14:val="standardContextual"/>
              </w:rPr>
              <w:t>ρ</w:t>
            </w:r>
            <w:r w:rsidRPr="002A4039">
              <w:rPr>
                <w:rFonts w:ascii="Times New Roman" w:eastAsia="Aptos" w:hAnsi="Times New Roman" w:cs="Times New Roman"/>
                <w:i/>
                <w:kern w:val="2"/>
                <w:vertAlign w:val="subscript"/>
                <w14:ligatures w14:val="standardContextual"/>
              </w:rPr>
              <w:t>i</w:t>
            </w:r>
          </w:p>
        </w:tc>
        <w:tc>
          <w:tcPr>
            <w:tcW w:w="4365" w:type="dxa"/>
            <w:tcBorders>
              <w:top w:val="nil"/>
              <w:left w:val="single" w:sz="4" w:space="0" w:color="auto"/>
              <w:bottom w:val="nil"/>
              <w:right w:val="nil"/>
            </w:tcBorders>
            <w:vAlign w:val="center"/>
            <w:hideMark/>
          </w:tcPr>
          <w:p w14:paraId="73F541E6"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Impactor density (kg/m</w:t>
            </w:r>
            <w:r w:rsidRPr="002A4039">
              <w:rPr>
                <w:rFonts w:ascii="Times New Roman" w:eastAsia="Aptos" w:hAnsi="Times New Roman" w:cs="Times New Roman"/>
                <w:kern w:val="2"/>
                <w:vertAlign w:val="superscript"/>
                <w14:ligatures w14:val="standardContextual"/>
              </w:rPr>
              <w:t>3</w:t>
            </w:r>
            <w:r w:rsidRPr="002A4039">
              <w:rPr>
                <w:rFonts w:ascii="Times New Roman" w:eastAsia="Aptos" w:hAnsi="Times New Roman" w:cs="Times New Roman"/>
                <w:kern w:val="2"/>
                <w14:ligatures w14:val="standardContextual"/>
              </w:rPr>
              <w:t>)</w:t>
            </w:r>
          </w:p>
        </w:tc>
        <w:tc>
          <w:tcPr>
            <w:tcW w:w="2567" w:type="dxa"/>
            <w:gridSpan w:val="2"/>
            <w:tcBorders>
              <w:top w:val="nil"/>
              <w:left w:val="nil"/>
              <w:bottom w:val="nil"/>
              <w:right w:val="single" w:sz="4" w:space="0" w:color="auto"/>
            </w:tcBorders>
            <w:vAlign w:val="center"/>
            <w:hideMark/>
          </w:tcPr>
          <w:p w14:paraId="22EE10A3"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3300</w:t>
            </w:r>
          </w:p>
        </w:tc>
      </w:tr>
      <w:tr w:rsidR="009D3561" w:rsidRPr="002A4039" w14:paraId="5AE744C0" w14:textId="77777777" w:rsidTr="005D08A2">
        <w:trPr>
          <w:trHeight w:val="344"/>
        </w:trPr>
        <w:tc>
          <w:tcPr>
            <w:tcW w:w="960" w:type="dxa"/>
            <w:tcBorders>
              <w:top w:val="nil"/>
              <w:left w:val="single" w:sz="4" w:space="0" w:color="auto"/>
              <w:bottom w:val="nil"/>
              <w:right w:val="single" w:sz="4" w:space="0" w:color="auto"/>
            </w:tcBorders>
            <w:vAlign w:val="center"/>
            <w:hideMark/>
          </w:tcPr>
          <w:p w14:paraId="1DB35336" w14:textId="77777777" w:rsidR="009D3561" w:rsidRPr="002A4039" w:rsidRDefault="009D3561" w:rsidP="004A69AC">
            <w:pPr>
              <w:rPr>
                <w:rFonts w:ascii="Times New Roman" w:eastAsia="Aptos" w:hAnsi="Times New Roman" w:cs="Times New Roman"/>
                <w:i/>
                <w:kern w:val="2"/>
                <w:vertAlign w:val="subscript"/>
                <w14:ligatures w14:val="standardContextual"/>
              </w:rPr>
            </w:pPr>
            <w:r w:rsidRPr="002A4039">
              <w:rPr>
                <w:rFonts w:ascii="Times New Roman" w:eastAsia="Aptos" w:hAnsi="Times New Roman" w:cs="Times New Roman"/>
                <w:i/>
                <w:kern w:val="2"/>
                <w14:ligatures w14:val="standardContextual"/>
              </w:rPr>
              <w:t>T</w:t>
            </w:r>
            <w:r w:rsidRPr="002A4039">
              <w:rPr>
                <w:rFonts w:ascii="Times New Roman" w:eastAsia="Aptos" w:hAnsi="Times New Roman" w:cs="Times New Roman"/>
                <w:i/>
                <w:kern w:val="2"/>
                <w:vertAlign w:val="subscript"/>
                <w14:ligatures w14:val="standardContextual"/>
              </w:rPr>
              <w:t>dec</w:t>
            </w:r>
          </w:p>
        </w:tc>
        <w:tc>
          <w:tcPr>
            <w:tcW w:w="4365" w:type="dxa"/>
            <w:tcBorders>
              <w:top w:val="nil"/>
              <w:left w:val="single" w:sz="4" w:space="0" w:color="auto"/>
              <w:bottom w:val="nil"/>
              <w:right w:val="nil"/>
            </w:tcBorders>
            <w:vAlign w:val="center"/>
            <w:hideMark/>
          </w:tcPr>
          <w:p w14:paraId="038BF83E"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Decay time of acoustic vibrations (s)</w:t>
            </w:r>
          </w:p>
        </w:tc>
        <w:tc>
          <w:tcPr>
            <w:tcW w:w="2567" w:type="dxa"/>
            <w:gridSpan w:val="2"/>
            <w:tcBorders>
              <w:top w:val="nil"/>
              <w:left w:val="nil"/>
              <w:bottom w:val="nil"/>
              <w:right w:val="single" w:sz="4" w:space="0" w:color="auto"/>
            </w:tcBorders>
            <w:vAlign w:val="center"/>
            <w:hideMark/>
          </w:tcPr>
          <w:p w14:paraId="2BBF09CA"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4.8</w:t>
            </w:r>
          </w:p>
        </w:tc>
      </w:tr>
      <w:tr w:rsidR="009D3561" w:rsidRPr="002A4039" w14:paraId="0C519922" w14:textId="77777777" w:rsidTr="005D08A2">
        <w:trPr>
          <w:trHeight w:val="553"/>
        </w:trPr>
        <w:tc>
          <w:tcPr>
            <w:tcW w:w="960" w:type="dxa"/>
            <w:tcBorders>
              <w:top w:val="nil"/>
              <w:left w:val="single" w:sz="4" w:space="0" w:color="auto"/>
              <w:bottom w:val="nil"/>
              <w:right w:val="single" w:sz="4" w:space="0" w:color="auto"/>
            </w:tcBorders>
            <w:vAlign w:val="center"/>
            <w:hideMark/>
          </w:tcPr>
          <w:p w14:paraId="754566B1" w14:textId="77777777" w:rsidR="009D3561" w:rsidRPr="002A4039" w:rsidRDefault="009D3561" w:rsidP="004A69AC">
            <w:pPr>
              <w:rPr>
                <w:rFonts w:ascii="Times New Roman" w:eastAsia="Aptos" w:hAnsi="Times New Roman" w:cs="Times New Roman"/>
                <w:kern w:val="2"/>
                <w:vertAlign w:val="subscript"/>
                <w14:ligatures w14:val="standardContextual"/>
              </w:rPr>
            </w:pPr>
            <w:r w:rsidRPr="002A4039">
              <w:rPr>
                <w:rFonts w:ascii="Times New Roman" w:eastAsia="Aptos" w:hAnsi="Times New Roman" w:cs="Times New Roman"/>
                <w:i/>
                <w:kern w:val="2"/>
                <w14:ligatures w14:val="standardContextual"/>
              </w:rPr>
              <w:t>υ</w:t>
            </w:r>
            <w:r w:rsidRPr="002A4039">
              <w:rPr>
                <w:rFonts w:ascii="Times New Roman" w:eastAsia="Aptos" w:hAnsi="Times New Roman" w:cs="Times New Roman"/>
                <w:kern w:val="2"/>
                <w:vertAlign w:val="subscript"/>
                <w14:ligatures w14:val="standardContextual"/>
              </w:rPr>
              <w:t>lim</w:t>
            </w:r>
          </w:p>
        </w:tc>
        <w:tc>
          <w:tcPr>
            <w:tcW w:w="4365" w:type="dxa"/>
            <w:tcBorders>
              <w:top w:val="nil"/>
              <w:left w:val="single" w:sz="4" w:space="0" w:color="auto"/>
              <w:bottom w:val="nil"/>
              <w:right w:val="nil"/>
            </w:tcBorders>
            <w:vAlign w:val="center"/>
            <w:hideMark/>
          </w:tcPr>
          <w:p w14:paraId="0281988E"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Kinematic viscosity of acoustically fluidized region (m</w:t>
            </w:r>
            <w:r w:rsidRPr="002A4039">
              <w:rPr>
                <w:rFonts w:ascii="Times New Roman" w:eastAsia="Aptos" w:hAnsi="Times New Roman" w:cs="Times New Roman"/>
                <w:kern w:val="2"/>
                <w:vertAlign w:val="superscript"/>
                <w14:ligatures w14:val="standardContextual"/>
              </w:rPr>
              <w:t>2</w:t>
            </w:r>
            <w:r w:rsidRPr="002A4039">
              <w:rPr>
                <w:rFonts w:ascii="Times New Roman" w:eastAsia="Aptos" w:hAnsi="Times New Roman" w:cs="Times New Roman"/>
                <w:kern w:val="2"/>
                <w14:ligatures w14:val="standardContextual"/>
              </w:rPr>
              <w:t>/s)</w:t>
            </w:r>
          </w:p>
        </w:tc>
        <w:tc>
          <w:tcPr>
            <w:tcW w:w="2567" w:type="dxa"/>
            <w:gridSpan w:val="2"/>
            <w:tcBorders>
              <w:top w:val="nil"/>
              <w:left w:val="nil"/>
              <w:bottom w:val="nil"/>
              <w:right w:val="single" w:sz="4" w:space="0" w:color="auto"/>
            </w:tcBorders>
            <w:vAlign w:val="center"/>
            <w:hideMark/>
          </w:tcPr>
          <w:p w14:paraId="40C623A0"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6,000</w:t>
            </w:r>
          </w:p>
        </w:tc>
      </w:tr>
      <w:tr w:rsidR="009D3561" w:rsidRPr="002A4039" w14:paraId="59735257" w14:textId="77777777" w:rsidTr="005D08A2">
        <w:trPr>
          <w:trHeight w:val="344"/>
        </w:trPr>
        <w:tc>
          <w:tcPr>
            <w:tcW w:w="5325" w:type="dxa"/>
            <w:gridSpan w:val="2"/>
            <w:tcBorders>
              <w:top w:val="nil"/>
              <w:left w:val="single" w:sz="4" w:space="0" w:color="auto"/>
              <w:bottom w:val="nil"/>
              <w:right w:val="nil"/>
            </w:tcBorders>
            <w:vAlign w:val="center"/>
          </w:tcPr>
          <w:p w14:paraId="316C55F7" w14:textId="77777777" w:rsidR="009D3561" w:rsidRPr="002A4039" w:rsidRDefault="009D3561" w:rsidP="004A69AC">
            <w:pPr>
              <w:rPr>
                <w:rFonts w:ascii="Times New Roman" w:eastAsia="Aptos" w:hAnsi="Times New Roman" w:cs="Times New Roman"/>
                <w:i/>
                <w:kern w:val="2"/>
                <w14:ligatures w14:val="standardContextual"/>
              </w:rPr>
            </w:pPr>
          </w:p>
        </w:tc>
        <w:tc>
          <w:tcPr>
            <w:tcW w:w="853" w:type="dxa"/>
            <w:tcBorders>
              <w:top w:val="single" w:sz="4" w:space="0" w:color="auto"/>
              <w:left w:val="nil"/>
              <w:bottom w:val="nil"/>
              <w:right w:val="nil"/>
            </w:tcBorders>
            <w:vAlign w:val="center"/>
            <w:hideMark/>
          </w:tcPr>
          <w:p w14:paraId="242AA971"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Chalk</w:t>
            </w:r>
          </w:p>
        </w:tc>
        <w:tc>
          <w:tcPr>
            <w:tcW w:w="1714" w:type="dxa"/>
            <w:tcBorders>
              <w:top w:val="single" w:sz="4" w:space="0" w:color="auto"/>
              <w:left w:val="nil"/>
              <w:bottom w:val="nil"/>
              <w:right w:val="single" w:sz="4" w:space="0" w:color="auto"/>
            </w:tcBorders>
            <w:vAlign w:val="center"/>
            <w:hideMark/>
          </w:tcPr>
          <w:p w14:paraId="13B31D2F"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Clay/mudstone</w:t>
            </w:r>
          </w:p>
        </w:tc>
      </w:tr>
      <w:tr w:rsidR="009D3561" w:rsidRPr="002A4039" w14:paraId="7DFC6110" w14:textId="77777777" w:rsidTr="005D08A2">
        <w:trPr>
          <w:trHeight w:val="337"/>
        </w:trPr>
        <w:tc>
          <w:tcPr>
            <w:tcW w:w="960" w:type="dxa"/>
            <w:tcBorders>
              <w:top w:val="nil"/>
              <w:left w:val="single" w:sz="4" w:space="0" w:color="auto"/>
              <w:bottom w:val="nil"/>
              <w:right w:val="single" w:sz="4" w:space="0" w:color="auto"/>
            </w:tcBorders>
            <w:vAlign w:val="center"/>
            <w:hideMark/>
          </w:tcPr>
          <w:p w14:paraId="382AAB46" w14:textId="77777777" w:rsidR="009D3561" w:rsidRPr="002A4039" w:rsidRDefault="009D3561" w:rsidP="004A69AC">
            <w:pPr>
              <w:rPr>
                <w:rFonts w:ascii="Times New Roman" w:eastAsia="Aptos" w:hAnsi="Times New Roman" w:cs="Times New Roman"/>
                <w:i/>
                <w:kern w:val="2"/>
                <w14:ligatures w14:val="standardContextual"/>
              </w:rPr>
            </w:pPr>
            <w:r w:rsidRPr="002A4039">
              <w:rPr>
                <w:rFonts w:ascii="Times New Roman" w:eastAsia="Aptos" w:hAnsi="Times New Roman" w:cs="Times New Roman"/>
                <w:i/>
                <w:kern w:val="2"/>
                <w14:ligatures w14:val="standardContextual"/>
              </w:rPr>
              <w:t>ρ</w:t>
            </w:r>
          </w:p>
        </w:tc>
        <w:tc>
          <w:tcPr>
            <w:tcW w:w="4365" w:type="dxa"/>
            <w:tcBorders>
              <w:top w:val="nil"/>
              <w:left w:val="single" w:sz="4" w:space="0" w:color="auto"/>
              <w:bottom w:val="nil"/>
              <w:right w:val="nil"/>
            </w:tcBorders>
            <w:vAlign w:val="center"/>
            <w:hideMark/>
          </w:tcPr>
          <w:p w14:paraId="57F963D6"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Reference density (kg/m</w:t>
            </w:r>
            <w:r w:rsidRPr="002A4039">
              <w:rPr>
                <w:rFonts w:ascii="Times New Roman" w:eastAsia="Aptos" w:hAnsi="Times New Roman" w:cs="Times New Roman"/>
                <w:kern w:val="2"/>
                <w:vertAlign w:val="superscript"/>
                <w14:ligatures w14:val="standardContextual"/>
              </w:rPr>
              <w:t>3</w:t>
            </w:r>
            <w:r w:rsidRPr="002A4039">
              <w:rPr>
                <w:rFonts w:ascii="Times New Roman" w:eastAsia="Aptos" w:hAnsi="Times New Roman" w:cs="Times New Roman"/>
                <w:kern w:val="2"/>
                <w14:ligatures w14:val="standardContextual"/>
              </w:rPr>
              <w:t>)</w:t>
            </w:r>
          </w:p>
        </w:tc>
        <w:tc>
          <w:tcPr>
            <w:tcW w:w="853" w:type="dxa"/>
            <w:tcBorders>
              <w:top w:val="single" w:sz="4" w:space="0" w:color="auto"/>
              <w:left w:val="nil"/>
              <w:bottom w:val="nil"/>
              <w:right w:val="nil"/>
            </w:tcBorders>
            <w:vAlign w:val="center"/>
            <w:hideMark/>
          </w:tcPr>
          <w:p w14:paraId="1577E68E"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2600</w:t>
            </w:r>
          </w:p>
        </w:tc>
        <w:tc>
          <w:tcPr>
            <w:tcW w:w="1714" w:type="dxa"/>
            <w:tcBorders>
              <w:top w:val="single" w:sz="4" w:space="0" w:color="auto"/>
              <w:left w:val="nil"/>
              <w:bottom w:val="nil"/>
              <w:right w:val="single" w:sz="4" w:space="0" w:color="auto"/>
            </w:tcBorders>
            <w:vAlign w:val="center"/>
            <w:hideMark/>
          </w:tcPr>
          <w:p w14:paraId="33D498F3"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2650</w:t>
            </w:r>
          </w:p>
        </w:tc>
      </w:tr>
      <w:tr w:rsidR="009D3561" w:rsidRPr="002A4039" w14:paraId="50BCDBC1" w14:textId="77777777" w:rsidTr="005D08A2">
        <w:trPr>
          <w:trHeight w:val="344"/>
        </w:trPr>
        <w:tc>
          <w:tcPr>
            <w:tcW w:w="960" w:type="dxa"/>
            <w:tcBorders>
              <w:top w:val="nil"/>
              <w:left w:val="single" w:sz="4" w:space="0" w:color="auto"/>
              <w:bottom w:val="nil"/>
              <w:right w:val="single" w:sz="4" w:space="0" w:color="auto"/>
            </w:tcBorders>
            <w:vAlign w:val="center"/>
            <w:hideMark/>
          </w:tcPr>
          <w:p w14:paraId="5624AB42" w14:textId="77777777" w:rsidR="009D3561" w:rsidRPr="002A4039" w:rsidRDefault="009D3561" w:rsidP="004A69AC">
            <w:pPr>
              <w:rPr>
                <w:rFonts w:ascii="Times New Roman" w:eastAsia="Aptos" w:hAnsi="Times New Roman" w:cs="Times New Roman"/>
                <w:i/>
                <w:kern w:val="2"/>
                <w:vertAlign w:val="subscript"/>
                <w14:ligatures w14:val="standardContextual"/>
              </w:rPr>
            </w:pPr>
            <w:r w:rsidRPr="002A4039">
              <w:rPr>
                <w:rFonts w:ascii="Times New Roman" w:eastAsia="Aptos" w:hAnsi="Times New Roman" w:cs="Times New Roman"/>
                <w:i/>
                <w:kern w:val="2"/>
                <w14:ligatures w14:val="standardContextual"/>
              </w:rPr>
              <w:t>Y</w:t>
            </w:r>
            <w:r w:rsidRPr="002A4039">
              <w:rPr>
                <w:rFonts w:ascii="Times New Roman" w:eastAsia="Aptos" w:hAnsi="Times New Roman" w:cs="Times New Roman"/>
                <w:i/>
                <w:kern w:val="2"/>
                <w:vertAlign w:val="subscript"/>
                <w14:ligatures w14:val="standardContextual"/>
              </w:rPr>
              <w:t>i0</w:t>
            </w:r>
          </w:p>
        </w:tc>
        <w:tc>
          <w:tcPr>
            <w:tcW w:w="4365" w:type="dxa"/>
            <w:tcBorders>
              <w:top w:val="nil"/>
              <w:left w:val="single" w:sz="4" w:space="0" w:color="auto"/>
              <w:bottom w:val="nil"/>
              <w:right w:val="nil"/>
            </w:tcBorders>
            <w:vAlign w:val="center"/>
            <w:hideMark/>
          </w:tcPr>
          <w:p w14:paraId="57CAD3F9"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Cohesion* (intact; MPa)</w:t>
            </w:r>
          </w:p>
        </w:tc>
        <w:tc>
          <w:tcPr>
            <w:tcW w:w="853" w:type="dxa"/>
            <w:tcBorders>
              <w:top w:val="nil"/>
              <w:left w:val="nil"/>
              <w:bottom w:val="nil"/>
              <w:right w:val="nil"/>
            </w:tcBorders>
            <w:vAlign w:val="center"/>
            <w:hideMark/>
          </w:tcPr>
          <w:p w14:paraId="1B32DEDC"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 xml:space="preserve">10 </w:t>
            </w:r>
          </w:p>
        </w:tc>
        <w:tc>
          <w:tcPr>
            <w:tcW w:w="1714" w:type="dxa"/>
            <w:tcBorders>
              <w:top w:val="nil"/>
              <w:left w:val="nil"/>
              <w:bottom w:val="nil"/>
              <w:right w:val="single" w:sz="4" w:space="0" w:color="auto"/>
            </w:tcBorders>
            <w:vAlign w:val="center"/>
            <w:hideMark/>
          </w:tcPr>
          <w:p w14:paraId="099C6AE0"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 xml:space="preserve">0.1 </w:t>
            </w:r>
          </w:p>
        </w:tc>
      </w:tr>
      <w:tr w:rsidR="009D3561" w:rsidRPr="002A4039" w14:paraId="27C70FB9" w14:textId="77777777" w:rsidTr="005D08A2">
        <w:trPr>
          <w:trHeight w:val="337"/>
        </w:trPr>
        <w:tc>
          <w:tcPr>
            <w:tcW w:w="960" w:type="dxa"/>
            <w:tcBorders>
              <w:top w:val="nil"/>
              <w:left w:val="single" w:sz="4" w:space="0" w:color="auto"/>
              <w:bottom w:val="nil"/>
              <w:right w:val="single" w:sz="4" w:space="0" w:color="auto"/>
            </w:tcBorders>
            <w:vAlign w:val="center"/>
            <w:hideMark/>
          </w:tcPr>
          <w:p w14:paraId="784766C8" w14:textId="77777777" w:rsidR="009D3561" w:rsidRPr="002A4039" w:rsidRDefault="009D3561" w:rsidP="004A69AC">
            <w:pPr>
              <w:rPr>
                <w:rFonts w:ascii="Times New Roman" w:eastAsia="Aptos" w:hAnsi="Times New Roman" w:cs="Times New Roman"/>
                <w:i/>
                <w:kern w:val="2"/>
                <w:vertAlign w:val="subscript"/>
                <w14:ligatures w14:val="standardContextual"/>
              </w:rPr>
            </w:pPr>
            <w:r w:rsidRPr="002A4039">
              <w:rPr>
                <w:rFonts w:ascii="Times New Roman" w:eastAsia="Aptos" w:hAnsi="Times New Roman" w:cs="Times New Roman"/>
                <w:i/>
                <w:kern w:val="2"/>
                <w14:ligatures w14:val="standardContextual"/>
              </w:rPr>
              <w:t>Y</w:t>
            </w:r>
            <w:r w:rsidRPr="002A4039">
              <w:rPr>
                <w:rFonts w:ascii="Times New Roman" w:eastAsia="Aptos" w:hAnsi="Times New Roman" w:cs="Times New Roman"/>
                <w:i/>
                <w:kern w:val="2"/>
                <w:vertAlign w:val="subscript"/>
                <w14:ligatures w14:val="standardContextual"/>
              </w:rPr>
              <w:t>m</w:t>
            </w:r>
          </w:p>
        </w:tc>
        <w:tc>
          <w:tcPr>
            <w:tcW w:w="4365" w:type="dxa"/>
            <w:tcBorders>
              <w:top w:val="nil"/>
              <w:left w:val="single" w:sz="4" w:space="0" w:color="auto"/>
              <w:bottom w:val="nil"/>
              <w:right w:val="nil"/>
            </w:tcBorders>
            <w:vAlign w:val="center"/>
            <w:hideMark/>
          </w:tcPr>
          <w:p w14:paraId="663F0788"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Maximum shear strength (MPa)</w:t>
            </w:r>
          </w:p>
        </w:tc>
        <w:tc>
          <w:tcPr>
            <w:tcW w:w="853" w:type="dxa"/>
            <w:tcBorders>
              <w:top w:val="nil"/>
              <w:left w:val="nil"/>
              <w:bottom w:val="nil"/>
              <w:right w:val="nil"/>
            </w:tcBorders>
            <w:vAlign w:val="center"/>
            <w:hideMark/>
          </w:tcPr>
          <w:p w14:paraId="1B10D66F"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 xml:space="preserve">100 </w:t>
            </w:r>
          </w:p>
        </w:tc>
        <w:tc>
          <w:tcPr>
            <w:tcW w:w="1714" w:type="dxa"/>
            <w:tcBorders>
              <w:top w:val="nil"/>
              <w:left w:val="nil"/>
              <w:bottom w:val="nil"/>
              <w:right w:val="single" w:sz="4" w:space="0" w:color="auto"/>
            </w:tcBorders>
            <w:vAlign w:val="center"/>
            <w:hideMark/>
          </w:tcPr>
          <w:p w14:paraId="6FFF149F"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1</w:t>
            </w:r>
          </w:p>
        </w:tc>
      </w:tr>
      <w:tr w:rsidR="009D3561" w:rsidRPr="002A4039" w14:paraId="51D8A07B" w14:textId="77777777" w:rsidTr="005D08A2">
        <w:trPr>
          <w:trHeight w:val="359"/>
        </w:trPr>
        <w:tc>
          <w:tcPr>
            <w:tcW w:w="960" w:type="dxa"/>
            <w:tcBorders>
              <w:top w:val="nil"/>
              <w:left w:val="single" w:sz="4" w:space="0" w:color="auto"/>
              <w:bottom w:val="nil"/>
              <w:right w:val="single" w:sz="4" w:space="0" w:color="auto"/>
            </w:tcBorders>
            <w:vAlign w:val="center"/>
            <w:hideMark/>
          </w:tcPr>
          <w:p w14:paraId="1AB2FEB5" w14:textId="77777777" w:rsidR="009D3561" w:rsidRPr="002A4039" w:rsidRDefault="009D3561" w:rsidP="004A69AC">
            <w:pPr>
              <w:rPr>
                <w:rFonts w:ascii="Times New Roman" w:eastAsia="Aptos" w:hAnsi="Times New Roman" w:cs="Times New Roman"/>
                <w:i/>
                <w:kern w:val="2"/>
                <w:vertAlign w:val="subscript"/>
                <w14:ligatures w14:val="standardContextual"/>
              </w:rPr>
            </w:pPr>
            <w:r w:rsidRPr="002A4039">
              <w:rPr>
                <w:rFonts w:ascii="Times New Roman" w:eastAsia="Aptos" w:hAnsi="Times New Roman" w:cs="Times New Roman"/>
                <w:i/>
                <w:kern w:val="2"/>
                <w14:ligatures w14:val="standardContextual"/>
              </w:rPr>
              <w:sym w:font="Symbol" w:char="F06D"/>
            </w:r>
            <w:r w:rsidRPr="002A4039">
              <w:rPr>
                <w:rFonts w:ascii="Times New Roman" w:eastAsia="Aptos" w:hAnsi="Times New Roman" w:cs="Times New Roman"/>
                <w:i/>
                <w:kern w:val="2"/>
                <w:vertAlign w:val="subscript"/>
                <w14:ligatures w14:val="standardContextual"/>
              </w:rPr>
              <w:t>i</w:t>
            </w:r>
          </w:p>
        </w:tc>
        <w:tc>
          <w:tcPr>
            <w:tcW w:w="4365" w:type="dxa"/>
            <w:tcBorders>
              <w:top w:val="nil"/>
              <w:left w:val="single" w:sz="4" w:space="0" w:color="auto"/>
              <w:bottom w:val="nil"/>
              <w:right w:val="nil"/>
            </w:tcBorders>
            <w:vAlign w:val="center"/>
            <w:hideMark/>
          </w:tcPr>
          <w:p w14:paraId="5FE218B4"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Coefficient of friction (intact)</w:t>
            </w:r>
          </w:p>
        </w:tc>
        <w:tc>
          <w:tcPr>
            <w:tcW w:w="853" w:type="dxa"/>
            <w:tcBorders>
              <w:top w:val="nil"/>
              <w:left w:val="nil"/>
              <w:bottom w:val="nil"/>
              <w:right w:val="nil"/>
            </w:tcBorders>
            <w:vAlign w:val="center"/>
            <w:hideMark/>
          </w:tcPr>
          <w:p w14:paraId="7FDA9F02"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1.2</w:t>
            </w:r>
          </w:p>
        </w:tc>
        <w:tc>
          <w:tcPr>
            <w:tcW w:w="1714" w:type="dxa"/>
            <w:tcBorders>
              <w:top w:val="nil"/>
              <w:left w:val="nil"/>
              <w:bottom w:val="nil"/>
              <w:right w:val="single" w:sz="4" w:space="0" w:color="auto"/>
            </w:tcBorders>
            <w:vAlign w:val="center"/>
            <w:hideMark/>
          </w:tcPr>
          <w:p w14:paraId="011305F8"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1.0</w:t>
            </w:r>
          </w:p>
        </w:tc>
      </w:tr>
      <w:tr w:rsidR="009D3561" w:rsidRPr="002A4039" w14:paraId="26746A90" w14:textId="77777777" w:rsidTr="005D08A2">
        <w:trPr>
          <w:trHeight w:val="337"/>
        </w:trPr>
        <w:tc>
          <w:tcPr>
            <w:tcW w:w="960" w:type="dxa"/>
            <w:tcBorders>
              <w:top w:val="nil"/>
              <w:left w:val="single" w:sz="4" w:space="0" w:color="auto"/>
              <w:bottom w:val="nil"/>
              <w:right w:val="single" w:sz="4" w:space="0" w:color="auto"/>
            </w:tcBorders>
            <w:vAlign w:val="center"/>
            <w:hideMark/>
          </w:tcPr>
          <w:p w14:paraId="7E918106" w14:textId="77777777" w:rsidR="009D3561" w:rsidRPr="002A4039" w:rsidRDefault="009D3561" w:rsidP="004A69AC">
            <w:pPr>
              <w:rPr>
                <w:rFonts w:ascii="Times New Roman" w:eastAsia="Aptos" w:hAnsi="Times New Roman" w:cs="Times New Roman"/>
                <w:i/>
                <w:kern w:val="2"/>
                <w:vertAlign w:val="subscript"/>
                <w14:ligatures w14:val="standardContextual"/>
              </w:rPr>
            </w:pPr>
            <w:r w:rsidRPr="002A4039">
              <w:rPr>
                <w:rFonts w:ascii="Times New Roman" w:eastAsia="Aptos" w:hAnsi="Times New Roman" w:cs="Times New Roman"/>
                <w:i/>
                <w:kern w:val="2"/>
                <w14:ligatures w14:val="standardContextual"/>
              </w:rPr>
              <w:t>Y</w:t>
            </w:r>
            <w:r w:rsidRPr="002A4039">
              <w:rPr>
                <w:rFonts w:ascii="Times New Roman" w:eastAsia="Aptos" w:hAnsi="Times New Roman" w:cs="Times New Roman"/>
                <w:i/>
                <w:kern w:val="2"/>
                <w:vertAlign w:val="subscript"/>
                <w14:ligatures w14:val="standardContextual"/>
              </w:rPr>
              <w:t>d0</w:t>
            </w:r>
          </w:p>
        </w:tc>
        <w:tc>
          <w:tcPr>
            <w:tcW w:w="4365" w:type="dxa"/>
            <w:tcBorders>
              <w:top w:val="nil"/>
              <w:left w:val="single" w:sz="4" w:space="0" w:color="auto"/>
              <w:bottom w:val="nil"/>
              <w:right w:val="nil"/>
            </w:tcBorders>
            <w:vAlign w:val="center"/>
            <w:hideMark/>
          </w:tcPr>
          <w:p w14:paraId="2F0FAF87"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Cohesion* (damaged; kPa)</w:t>
            </w:r>
          </w:p>
        </w:tc>
        <w:tc>
          <w:tcPr>
            <w:tcW w:w="853" w:type="dxa"/>
            <w:tcBorders>
              <w:top w:val="nil"/>
              <w:left w:val="nil"/>
              <w:bottom w:val="nil"/>
              <w:right w:val="nil"/>
            </w:tcBorders>
            <w:vAlign w:val="center"/>
            <w:hideMark/>
          </w:tcPr>
          <w:p w14:paraId="07CD9AB3"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100</w:t>
            </w:r>
          </w:p>
        </w:tc>
        <w:tc>
          <w:tcPr>
            <w:tcW w:w="1714" w:type="dxa"/>
            <w:tcBorders>
              <w:top w:val="nil"/>
              <w:left w:val="nil"/>
              <w:bottom w:val="nil"/>
              <w:right w:val="single" w:sz="4" w:space="0" w:color="auto"/>
            </w:tcBorders>
            <w:vAlign w:val="center"/>
            <w:hideMark/>
          </w:tcPr>
          <w:p w14:paraId="75B47188"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1</w:t>
            </w:r>
          </w:p>
        </w:tc>
      </w:tr>
      <w:tr w:rsidR="009D3561" w:rsidRPr="002A4039" w14:paraId="0377A5DA" w14:textId="77777777" w:rsidTr="005D08A2">
        <w:trPr>
          <w:trHeight w:val="359"/>
        </w:trPr>
        <w:tc>
          <w:tcPr>
            <w:tcW w:w="960" w:type="dxa"/>
            <w:tcBorders>
              <w:top w:val="nil"/>
              <w:left w:val="single" w:sz="4" w:space="0" w:color="auto"/>
              <w:bottom w:val="nil"/>
              <w:right w:val="single" w:sz="4" w:space="0" w:color="auto"/>
            </w:tcBorders>
            <w:vAlign w:val="center"/>
            <w:hideMark/>
          </w:tcPr>
          <w:p w14:paraId="5B28EF67" w14:textId="77777777" w:rsidR="009D3561" w:rsidRPr="002A4039" w:rsidRDefault="009D3561" w:rsidP="004A69AC">
            <w:pPr>
              <w:rPr>
                <w:rFonts w:ascii="Times New Roman" w:eastAsia="Aptos" w:hAnsi="Times New Roman" w:cs="Times New Roman"/>
                <w:i/>
                <w:kern w:val="2"/>
                <w14:ligatures w14:val="standardContextual"/>
              </w:rPr>
            </w:pPr>
            <w:r w:rsidRPr="002A4039">
              <w:rPr>
                <w:rFonts w:ascii="Times New Roman" w:eastAsia="Aptos" w:hAnsi="Times New Roman" w:cs="Times New Roman"/>
                <w:i/>
                <w:kern w:val="2"/>
                <w14:ligatures w14:val="standardContextual"/>
              </w:rPr>
              <w:sym w:font="Symbol" w:char="F06D"/>
            </w:r>
            <w:r w:rsidRPr="002A4039">
              <w:rPr>
                <w:rFonts w:ascii="Times New Roman" w:eastAsia="Aptos" w:hAnsi="Times New Roman" w:cs="Times New Roman"/>
                <w:i/>
                <w:kern w:val="2"/>
                <w:vertAlign w:val="subscript"/>
                <w14:ligatures w14:val="standardContextual"/>
              </w:rPr>
              <w:t>d</w:t>
            </w:r>
          </w:p>
        </w:tc>
        <w:tc>
          <w:tcPr>
            <w:tcW w:w="4365" w:type="dxa"/>
            <w:tcBorders>
              <w:top w:val="nil"/>
              <w:left w:val="single" w:sz="4" w:space="0" w:color="auto"/>
              <w:bottom w:val="nil"/>
              <w:right w:val="nil"/>
            </w:tcBorders>
            <w:vAlign w:val="center"/>
            <w:hideMark/>
          </w:tcPr>
          <w:p w14:paraId="4C751B22"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Coefficient of friction (damaged)</w:t>
            </w:r>
          </w:p>
        </w:tc>
        <w:tc>
          <w:tcPr>
            <w:tcW w:w="853" w:type="dxa"/>
            <w:tcBorders>
              <w:top w:val="nil"/>
              <w:left w:val="nil"/>
              <w:bottom w:val="nil"/>
              <w:right w:val="nil"/>
            </w:tcBorders>
            <w:vAlign w:val="center"/>
            <w:hideMark/>
          </w:tcPr>
          <w:p w14:paraId="439EC397"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0.4</w:t>
            </w:r>
          </w:p>
        </w:tc>
        <w:tc>
          <w:tcPr>
            <w:tcW w:w="1714" w:type="dxa"/>
            <w:tcBorders>
              <w:top w:val="nil"/>
              <w:left w:val="nil"/>
              <w:bottom w:val="nil"/>
              <w:right w:val="single" w:sz="4" w:space="0" w:color="auto"/>
            </w:tcBorders>
            <w:vAlign w:val="center"/>
            <w:hideMark/>
          </w:tcPr>
          <w:p w14:paraId="3CC24256"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0.4</w:t>
            </w:r>
          </w:p>
        </w:tc>
      </w:tr>
      <w:tr w:rsidR="009D3561" w:rsidRPr="002A4039" w14:paraId="3709C2F7" w14:textId="77777777" w:rsidTr="005D08A2">
        <w:trPr>
          <w:trHeight w:val="337"/>
        </w:trPr>
        <w:tc>
          <w:tcPr>
            <w:tcW w:w="960" w:type="dxa"/>
            <w:tcBorders>
              <w:top w:val="nil"/>
              <w:left w:val="single" w:sz="4" w:space="0" w:color="auto"/>
              <w:bottom w:val="nil"/>
              <w:right w:val="single" w:sz="4" w:space="0" w:color="auto"/>
            </w:tcBorders>
            <w:vAlign w:val="center"/>
            <w:hideMark/>
          </w:tcPr>
          <w:p w14:paraId="2022500C" w14:textId="77777777" w:rsidR="009D3561" w:rsidRPr="002A4039" w:rsidRDefault="009D3561" w:rsidP="004A69AC">
            <w:pPr>
              <w:rPr>
                <w:rFonts w:ascii="Times New Roman" w:eastAsia="Aptos" w:hAnsi="Times New Roman" w:cs="Times New Roman"/>
                <w:i/>
                <w:kern w:val="2"/>
                <w:vertAlign w:val="subscript"/>
                <w14:ligatures w14:val="standardContextual"/>
              </w:rPr>
            </w:pPr>
            <w:r w:rsidRPr="002A4039">
              <w:rPr>
                <w:rFonts w:ascii="Times New Roman" w:eastAsia="Aptos" w:hAnsi="Times New Roman" w:cs="Times New Roman"/>
                <w:i/>
                <w:kern w:val="2"/>
                <w14:ligatures w14:val="standardContextual"/>
              </w:rPr>
              <w:t>Y</w:t>
            </w:r>
            <w:r w:rsidRPr="002A4039">
              <w:rPr>
                <w:rFonts w:ascii="Times New Roman" w:eastAsia="Aptos" w:hAnsi="Times New Roman" w:cs="Times New Roman"/>
                <w:i/>
                <w:kern w:val="2"/>
                <w:vertAlign w:val="subscript"/>
                <w14:ligatures w14:val="standardContextual"/>
              </w:rPr>
              <w:t>T</w:t>
            </w:r>
          </w:p>
        </w:tc>
        <w:tc>
          <w:tcPr>
            <w:tcW w:w="4365" w:type="dxa"/>
            <w:tcBorders>
              <w:top w:val="nil"/>
              <w:left w:val="single" w:sz="4" w:space="0" w:color="auto"/>
              <w:bottom w:val="nil"/>
              <w:right w:val="nil"/>
            </w:tcBorders>
            <w:vAlign w:val="center"/>
            <w:hideMark/>
          </w:tcPr>
          <w:p w14:paraId="5F65AA82"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Tensile strength (MPa)</w:t>
            </w:r>
          </w:p>
        </w:tc>
        <w:tc>
          <w:tcPr>
            <w:tcW w:w="853" w:type="dxa"/>
            <w:tcBorders>
              <w:top w:val="nil"/>
              <w:left w:val="nil"/>
              <w:bottom w:val="nil"/>
              <w:right w:val="nil"/>
            </w:tcBorders>
            <w:vAlign w:val="center"/>
            <w:hideMark/>
          </w:tcPr>
          <w:p w14:paraId="5A4B285F"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10</w:t>
            </w:r>
          </w:p>
        </w:tc>
        <w:tc>
          <w:tcPr>
            <w:tcW w:w="1714" w:type="dxa"/>
            <w:tcBorders>
              <w:top w:val="nil"/>
              <w:left w:val="nil"/>
              <w:bottom w:val="nil"/>
              <w:right w:val="single" w:sz="4" w:space="0" w:color="auto"/>
            </w:tcBorders>
            <w:vAlign w:val="center"/>
            <w:hideMark/>
          </w:tcPr>
          <w:p w14:paraId="1058BAFA"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0.1</w:t>
            </w:r>
          </w:p>
        </w:tc>
      </w:tr>
      <w:tr w:rsidR="009D3561" w:rsidRPr="002A4039" w14:paraId="6ADC5A09" w14:textId="77777777" w:rsidTr="005D08A2">
        <w:trPr>
          <w:trHeight w:val="344"/>
        </w:trPr>
        <w:tc>
          <w:tcPr>
            <w:tcW w:w="960" w:type="dxa"/>
            <w:tcBorders>
              <w:top w:val="nil"/>
              <w:left w:val="single" w:sz="4" w:space="0" w:color="auto"/>
              <w:bottom w:val="nil"/>
              <w:right w:val="single" w:sz="4" w:space="0" w:color="auto"/>
            </w:tcBorders>
            <w:vAlign w:val="center"/>
            <w:hideMark/>
          </w:tcPr>
          <w:p w14:paraId="0C8955C6" w14:textId="77777777" w:rsidR="009D3561" w:rsidRPr="002A4039" w:rsidRDefault="009D3561" w:rsidP="004A69AC">
            <w:pPr>
              <w:rPr>
                <w:rFonts w:ascii="Times New Roman" w:eastAsia="Aptos" w:hAnsi="Times New Roman" w:cs="Times New Roman"/>
                <w:i/>
                <w:kern w:val="2"/>
                <w:vertAlign w:val="subscript"/>
                <w14:ligatures w14:val="standardContextual"/>
              </w:rPr>
            </w:pPr>
            <w:r w:rsidRPr="002A4039">
              <w:rPr>
                <w:rFonts w:ascii="Times New Roman" w:eastAsia="Aptos" w:hAnsi="Times New Roman" w:cs="Times New Roman"/>
                <w:i/>
                <w:kern w:val="2"/>
                <w14:ligatures w14:val="standardContextual"/>
              </w:rPr>
              <w:t>p</w:t>
            </w:r>
            <w:r w:rsidRPr="002A4039">
              <w:rPr>
                <w:rFonts w:ascii="Times New Roman" w:eastAsia="Aptos" w:hAnsi="Times New Roman" w:cs="Times New Roman"/>
                <w:i/>
                <w:kern w:val="2"/>
                <w:vertAlign w:val="subscript"/>
                <w14:ligatures w14:val="standardContextual"/>
              </w:rPr>
              <w:t>bd</w:t>
            </w:r>
          </w:p>
        </w:tc>
        <w:tc>
          <w:tcPr>
            <w:tcW w:w="4365" w:type="dxa"/>
            <w:tcBorders>
              <w:top w:val="nil"/>
              <w:left w:val="single" w:sz="4" w:space="0" w:color="auto"/>
              <w:bottom w:val="nil"/>
              <w:right w:val="nil"/>
            </w:tcBorders>
            <w:vAlign w:val="center"/>
            <w:hideMark/>
          </w:tcPr>
          <w:p w14:paraId="0BAC50D1"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Brittle-ductile transition pressure (MPa)</w:t>
            </w:r>
          </w:p>
        </w:tc>
        <w:tc>
          <w:tcPr>
            <w:tcW w:w="853" w:type="dxa"/>
            <w:tcBorders>
              <w:top w:val="nil"/>
              <w:left w:val="nil"/>
              <w:bottom w:val="nil"/>
              <w:right w:val="nil"/>
            </w:tcBorders>
            <w:vAlign w:val="center"/>
            <w:hideMark/>
          </w:tcPr>
          <w:p w14:paraId="6CA52B21"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 xml:space="preserve">185 </w:t>
            </w:r>
          </w:p>
        </w:tc>
        <w:tc>
          <w:tcPr>
            <w:tcW w:w="1714" w:type="dxa"/>
            <w:tcBorders>
              <w:top w:val="nil"/>
              <w:left w:val="nil"/>
              <w:bottom w:val="nil"/>
              <w:right w:val="single" w:sz="4" w:space="0" w:color="auto"/>
            </w:tcBorders>
            <w:vAlign w:val="center"/>
            <w:hideMark/>
          </w:tcPr>
          <w:p w14:paraId="17747C97"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1.73</w:t>
            </w:r>
          </w:p>
        </w:tc>
      </w:tr>
      <w:tr w:rsidR="009D3561" w:rsidRPr="002A4039" w14:paraId="75F03BF5" w14:textId="77777777" w:rsidTr="005D08A2">
        <w:trPr>
          <w:trHeight w:val="337"/>
        </w:trPr>
        <w:tc>
          <w:tcPr>
            <w:tcW w:w="960" w:type="dxa"/>
            <w:tcBorders>
              <w:top w:val="nil"/>
              <w:left w:val="single" w:sz="4" w:space="0" w:color="auto"/>
              <w:bottom w:val="single" w:sz="4" w:space="0" w:color="auto"/>
              <w:right w:val="single" w:sz="4" w:space="0" w:color="auto"/>
            </w:tcBorders>
            <w:vAlign w:val="center"/>
            <w:hideMark/>
          </w:tcPr>
          <w:p w14:paraId="2276F96B" w14:textId="77777777" w:rsidR="009D3561" w:rsidRPr="002A4039" w:rsidRDefault="009D3561" w:rsidP="004A69AC">
            <w:pPr>
              <w:rPr>
                <w:rFonts w:ascii="Times New Roman" w:eastAsia="Aptos" w:hAnsi="Times New Roman" w:cs="Times New Roman"/>
                <w:i/>
                <w:kern w:val="2"/>
                <w:vertAlign w:val="subscript"/>
                <w14:ligatures w14:val="standardContextual"/>
              </w:rPr>
            </w:pPr>
            <w:r w:rsidRPr="002A4039">
              <w:rPr>
                <w:rFonts w:ascii="Times New Roman" w:eastAsia="Aptos" w:hAnsi="Times New Roman" w:cs="Times New Roman"/>
                <w:i/>
                <w:kern w:val="2"/>
                <w14:ligatures w14:val="standardContextual"/>
              </w:rPr>
              <w:t>p</w:t>
            </w:r>
            <w:r w:rsidRPr="002A4039">
              <w:rPr>
                <w:rFonts w:ascii="Times New Roman" w:eastAsia="Aptos" w:hAnsi="Times New Roman" w:cs="Times New Roman"/>
                <w:i/>
                <w:kern w:val="2"/>
                <w:vertAlign w:val="subscript"/>
                <w14:ligatures w14:val="standardContextual"/>
              </w:rPr>
              <w:t>bp</w:t>
            </w:r>
          </w:p>
        </w:tc>
        <w:tc>
          <w:tcPr>
            <w:tcW w:w="4365" w:type="dxa"/>
            <w:tcBorders>
              <w:top w:val="nil"/>
              <w:left w:val="single" w:sz="4" w:space="0" w:color="auto"/>
              <w:bottom w:val="single" w:sz="4" w:space="0" w:color="auto"/>
              <w:right w:val="nil"/>
            </w:tcBorders>
            <w:vAlign w:val="center"/>
            <w:hideMark/>
          </w:tcPr>
          <w:p w14:paraId="494B31F2"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Brittle-plastic transition pressure (MPa)</w:t>
            </w:r>
          </w:p>
        </w:tc>
        <w:tc>
          <w:tcPr>
            <w:tcW w:w="853" w:type="dxa"/>
            <w:tcBorders>
              <w:top w:val="nil"/>
              <w:left w:val="nil"/>
              <w:bottom w:val="single" w:sz="4" w:space="0" w:color="auto"/>
              <w:right w:val="nil"/>
            </w:tcBorders>
            <w:vAlign w:val="center"/>
            <w:hideMark/>
          </w:tcPr>
          <w:p w14:paraId="64C7F3F8"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 xml:space="preserve">220 </w:t>
            </w:r>
          </w:p>
        </w:tc>
        <w:tc>
          <w:tcPr>
            <w:tcW w:w="1714" w:type="dxa"/>
            <w:tcBorders>
              <w:top w:val="nil"/>
              <w:left w:val="nil"/>
              <w:bottom w:val="single" w:sz="4" w:space="0" w:color="auto"/>
              <w:right w:val="single" w:sz="4" w:space="0" w:color="auto"/>
            </w:tcBorders>
            <w:vAlign w:val="center"/>
            <w:hideMark/>
          </w:tcPr>
          <w:p w14:paraId="65E74FE0" w14:textId="77777777" w:rsidR="009D3561" w:rsidRPr="002A4039" w:rsidRDefault="009D3561" w:rsidP="004A69AC">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2.07</w:t>
            </w:r>
          </w:p>
        </w:tc>
      </w:tr>
    </w:tbl>
    <w:p w14:paraId="1C392250" w14:textId="77777777" w:rsidR="009D3561" w:rsidRPr="002A4039" w:rsidRDefault="009D3561" w:rsidP="009D3561">
      <w:pPr>
        <w:rPr>
          <w:rFonts w:ascii="Times New Roman" w:eastAsia="Aptos" w:hAnsi="Times New Roman" w:cs="Times New Roman"/>
          <w:kern w:val="2"/>
          <w14:ligatures w14:val="standardContextual"/>
        </w:rPr>
      </w:pPr>
      <w:r w:rsidRPr="002A4039">
        <w:rPr>
          <w:rFonts w:ascii="Times New Roman" w:eastAsia="Aptos" w:hAnsi="Times New Roman" w:cs="Times New Roman"/>
          <w:kern w:val="2"/>
          <w14:ligatures w14:val="standardContextual"/>
        </w:rPr>
        <w:t>*Yield strength at zero pressure</w:t>
      </w:r>
    </w:p>
    <w:p w14:paraId="715582B6" w14:textId="77777777" w:rsidR="0048427D" w:rsidRDefault="0048427D" w:rsidP="00855858">
      <w:pPr>
        <w:rPr>
          <w:rFonts w:ascii="Times New Roman" w:hAnsi="Times New Roman" w:cs="Times New Roman"/>
          <w:b/>
          <w:bCs/>
        </w:rPr>
      </w:pPr>
    </w:p>
    <w:p w14:paraId="203763AF" w14:textId="77777777" w:rsidR="0048427D" w:rsidRDefault="0048427D" w:rsidP="00855858">
      <w:pPr>
        <w:rPr>
          <w:rFonts w:ascii="Times New Roman" w:hAnsi="Times New Roman" w:cs="Times New Roman"/>
          <w:b/>
          <w:bCs/>
        </w:rPr>
      </w:pPr>
    </w:p>
    <w:p w14:paraId="2EB24135" w14:textId="443F4E59" w:rsidR="00F65325" w:rsidRDefault="00771FDC">
      <w:pPr>
        <w:rPr>
          <w:rFonts w:ascii="Times New Roman" w:hAnsi="Times New Roman" w:cs="Times New Roman"/>
        </w:rPr>
      </w:pPr>
      <w:r>
        <w:rPr>
          <w:rFonts w:ascii="Times New Roman" w:hAnsi="Times New Roman" w:cs="Times New Roman"/>
          <w:b/>
          <w:bCs/>
        </w:rPr>
        <w:t>Movie</w:t>
      </w:r>
      <w:r w:rsidRPr="000574BA">
        <w:rPr>
          <w:rFonts w:ascii="Times New Roman" w:hAnsi="Times New Roman" w:cs="Times New Roman"/>
          <w:b/>
          <w:bCs/>
        </w:rPr>
        <w:t xml:space="preserve"> </w:t>
      </w:r>
      <w:r>
        <w:rPr>
          <w:rFonts w:ascii="Times New Roman" w:hAnsi="Times New Roman" w:cs="Times New Roman"/>
          <w:b/>
          <w:bCs/>
        </w:rPr>
        <w:t>S</w:t>
      </w:r>
      <w:r w:rsidRPr="000574BA">
        <w:rPr>
          <w:rFonts w:ascii="Times New Roman" w:hAnsi="Times New Roman" w:cs="Times New Roman"/>
          <w:b/>
          <w:bCs/>
        </w:rPr>
        <w:t>1</w:t>
      </w:r>
      <w:r w:rsidRPr="000574BA">
        <w:rPr>
          <w:rFonts w:ascii="Times New Roman" w:hAnsi="Times New Roman" w:cs="Times New Roman"/>
        </w:rPr>
        <w:t>:</w:t>
      </w:r>
      <w:r w:rsidR="007F4A43">
        <w:rPr>
          <w:rFonts w:ascii="Times New Roman" w:hAnsi="Times New Roman" w:cs="Times New Roman"/>
        </w:rPr>
        <w:t xml:space="preserve"> </w:t>
      </w:r>
      <w:r w:rsidR="0071132B">
        <w:rPr>
          <w:rFonts w:ascii="Times New Roman" w:hAnsi="Times New Roman" w:cs="Times New Roman"/>
          <w:b/>
          <w:bCs/>
        </w:rPr>
        <w:t xml:space="preserve">Numerical simulation </w:t>
      </w:r>
      <w:r w:rsidR="00065FCB">
        <w:rPr>
          <w:rFonts w:ascii="Times New Roman" w:hAnsi="Times New Roman" w:cs="Times New Roman"/>
          <w:b/>
          <w:bCs/>
        </w:rPr>
        <w:t xml:space="preserve">of Silverpit impact event. </w:t>
      </w:r>
      <w:r w:rsidR="007F4A43" w:rsidRPr="007F4A43">
        <w:rPr>
          <w:rFonts w:ascii="Times New Roman" w:hAnsi="Times New Roman" w:cs="Times New Roman"/>
        </w:rPr>
        <w:t xml:space="preserve"> </w:t>
      </w:r>
    </w:p>
    <w:p w14:paraId="791CFC05" w14:textId="77777777" w:rsidR="003C1A49" w:rsidRDefault="003C1A49">
      <w:pPr>
        <w:rPr>
          <w:b/>
          <w:bCs/>
          <w:i/>
          <w:iCs/>
        </w:rPr>
      </w:pPr>
    </w:p>
    <w:p w14:paraId="6730BFC6" w14:textId="77777777" w:rsidR="003C1A49" w:rsidRDefault="003C1A49">
      <w:pPr>
        <w:rPr>
          <w:b/>
          <w:bCs/>
          <w:i/>
          <w:iCs/>
        </w:rPr>
      </w:pPr>
    </w:p>
    <w:p w14:paraId="4E138EAF" w14:textId="77777777" w:rsidR="003C1A49" w:rsidRDefault="003C1A49">
      <w:pPr>
        <w:rPr>
          <w:b/>
          <w:bCs/>
          <w:i/>
          <w:iCs/>
        </w:rPr>
      </w:pPr>
    </w:p>
    <w:p w14:paraId="75AFC966" w14:textId="77777777" w:rsidR="003C1A49" w:rsidRDefault="003C1A49">
      <w:pPr>
        <w:rPr>
          <w:b/>
          <w:bCs/>
          <w:i/>
          <w:iCs/>
        </w:rPr>
      </w:pPr>
    </w:p>
    <w:p w14:paraId="4BF0937C" w14:textId="77777777" w:rsidR="003C1A49" w:rsidRDefault="003C1A49">
      <w:pPr>
        <w:rPr>
          <w:b/>
          <w:bCs/>
          <w:i/>
          <w:iCs/>
        </w:rPr>
      </w:pPr>
    </w:p>
    <w:p w14:paraId="0724D07D" w14:textId="77777777" w:rsidR="003C1A49" w:rsidRDefault="003C1A49">
      <w:pPr>
        <w:rPr>
          <w:b/>
          <w:bCs/>
          <w:i/>
          <w:iCs/>
        </w:rPr>
      </w:pPr>
    </w:p>
    <w:p w14:paraId="19A4594B" w14:textId="77777777" w:rsidR="003C1A49" w:rsidRDefault="003C1A49">
      <w:pPr>
        <w:rPr>
          <w:b/>
          <w:bCs/>
          <w:i/>
          <w:iCs/>
        </w:rPr>
      </w:pPr>
    </w:p>
    <w:p w14:paraId="62D1727E" w14:textId="77777777" w:rsidR="003C1A49" w:rsidRDefault="003C1A49">
      <w:pPr>
        <w:rPr>
          <w:b/>
          <w:bCs/>
          <w:i/>
          <w:iCs/>
        </w:rPr>
      </w:pPr>
    </w:p>
    <w:p w14:paraId="74906119" w14:textId="77777777" w:rsidR="003C1A49" w:rsidRDefault="003C1A49">
      <w:pPr>
        <w:rPr>
          <w:b/>
          <w:bCs/>
          <w:i/>
          <w:iCs/>
        </w:rPr>
      </w:pPr>
    </w:p>
    <w:p w14:paraId="643BFF69" w14:textId="77777777" w:rsidR="003C1A49" w:rsidRDefault="003C1A49">
      <w:pPr>
        <w:rPr>
          <w:b/>
          <w:bCs/>
          <w:i/>
          <w:iCs/>
        </w:rPr>
      </w:pPr>
    </w:p>
    <w:p w14:paraId="72028DDD" w14:textId="77777777" w:rsidR="003C1A49" w:rsidRDefault="003C1A49">
      <w:pPr>
        <w:rPr>
          <w:b/>
          <w:bCs/>
          <w:i/>
          <w:iCs/>
        </w:rPr>
      </w:pPr>
    </w:p>
    <w:p w14:paraId="69B68774" w14:textId="77777777" w:rsidR="003C1A49" w:rsidRDefault="003C1A49">
      <w:pPr>
        <w:rPr>
          <w:b/>
          <w:bCs/>
          <w:i/>
          <w:iCs/>
        </w:rPr>
      </w:pPr>
    </w:p>
    <w:p w14:paraId="6DDF31DC" w14:textId="77777777" w:rsidR="003C1A49" w:rsidRDefault="003C1A49">
      <w:pPr>
        <w:rPr>
          <w:b/>
          <w:bCs/>
          <w:i/>
          <w:iCs/>
        </w:rPr>
      </w:pPr>
    </w:p>
    <w:p w14:paraId="672D57E3" w14:textId="77777777" w:rsidR="003C1A49" w:rsidRDefault="003C1A49">
      <w:pPr>
        <w:rPr>
          <w:b/>
          <w:bCs/>
          <w:i/>
          <w:iCs/>
        </w:rPr>
      </w:pPr>
    </w:p>
    <w:p w14:paraId="56040A34" w14:textId="77777777" w:rsidR="003C1A49" w:rsidRDefault="003C1A49">
      <w:pPr>
        <w:rPr>
          <w:b/>
          <w:bCs/>
          <w:i/>
          <w:iCs/>
        </w:rPr>
      </w:pPr>
    </w:p>
    <w:p w14:paraId="7E968E32" w14:textId="77777777" w:rsidR="003C1A49" w:rsidRDefault="003C1A49">
      <w:pPr>
        <w:rPr>
          <w:b/>
          <w:bCs/>
          <w:i/>
          <w:iCs/>
        </w:rPr>
      </w:pPr>
    </w:p>
    <w:p w14:paraId="76B149E5" w14:textId="77777777" w:rsidR="003C1A49" w:rsidRDefault="003C1A49">
      <w:pPr>
        <w:rPr>
          <w:b/>
          <w:bCs/>
          <w:i/>
          <w:iCs/>
        </w:rPr>
      </w:pPr>
    </w:p>
    <w:p w14:paraId="0CF3AC3C" w14:textId="77777777" w:rsidR="003C1A49" w:rsidRDefault="003C1A49">
      <w:pPr>
        <w:rPr>
          <w:b/>
          <w:bCs/>
          <w:i/>
          <w:iCs/>
        </w:rPr>
      </w:pPr>
    </w:p>
    <w:p w14:paraId="0FA0C733" w14:textId="77777777" w:rsidR="003C1A49" w:rsidRDefault="003C1A49">
      <w:pPr>
        <w:rPr>
          <w:b/>
          <w:bCs/>
          <w:i/>
          <w:iCs/>
        </w:rPr>
      </w:pPr>
    </w:p>
    <w:p w14:paraId="6906DF41" w14:textId="77777777" w:rsidR="003C1A49" w:rsidRDefault="003C1A49">
      <w:pPr>
        <w:rPr>
          <w:b/>
          <w:bCs/>
          <w:i/>
          <w:iCs/>
        </w:rPr>
      </w:pPr>
    </w:p>
    <w:p w14:paraId="3BD86B5C" w14:textId="77777777" w:rsidR="003C1A49" w:rsidRDefault="003C1A49">
      <w:pPr>
        <w:rPr>
          <w:b/>
          <w:bCs/>
          <w:i/>
          <w:iCs/>
        </w:rPr>
      </w:pPr>
    </w:p>
    <w:p w14:paraId="7D9F7B83" w14:textId="77777777" w:rsidR="003C1A49" w:rsidRDefault="003C1A49">
      <w:pPr>
        <w:rPr>
          <w:b/>
          <w:bCs/>
          <w:i/>
          <w:iCs/>
        </w:rPr>
      </w:pPr>
    </w:p>
    <w:p w14:paraId="73C1442E" w14:textId="77777777" w:rsidR="003C1A49" w:rsidRDefault="003C1A49">
      <w:pPr>
        <w:rPr>
          <w:b/>
          <w:bCs/>
          <w:i/>
          <w:iCs/>
        </w:rPr>
      </w:pPr>
    </w:p>
    <w:p w14:paraId="2FF56035" w14:textId="77777777" w:rsidR="003C1A49" w:rsidRDefault="003C1A49">
      <w:pPr>
        <w:rPr>
          <w:b/>
          <w:bCs/>
          <w:i/>
          <w:iCs/>
        </w:rPr>
      </w:pPr>
    </w:p>
    <w:p w14:paraId="73D05159" w14:textId="77777777" w:rsidR="003C1A49" w:rsidRDefault="003C1A49">
      <w:pPr>
        <w:rPr>
          <w:b/>
          <w:bCs/>
          <w:i/>
          <w:iCs/>
        </w:rPr>
      </w:pPr>
    </w:p>
    <w:p w14:paraId="28BDFF6A" w14:textId="77777777" w:rsidR="003C1A49" w:rsidRDefault="003C1A49">
      <w:pPr>
        <w:rPr>
          <w:b/>
          <w:bCs/>
          <w:i/>
          <w:iCs/>
        </w:rPr>
      </w:pPr>
    </w:p>
    <w:p w14:paraId="29995ED3" w14:textId="359D8C26" w:rsidR="0011090B" w:rsidRPr="003C1A49" w:rsidRDefault="003C1A49">
      <w:pPr>
        <w:rPr>
          <w:rFonts w:ascii="Times New Roman" w:hAnsi="Times New Roman" w:cs="Times New Roman"/>
          <w:sz w:val="24"/>
          <w:szCs w:val="24"/>
        </w:rPr>
      </w:pPr>
      <w:r w:rsidRPr="003C1A49">
        <w:rPr>
          <w:rFonts w:ascii="Times New Roman" w:hAnsi="Times New Roman" w:cs="Times New Roman"/>
          <w:b/>
          <w:bCs/>
          <w:sz w:val="24"/>
          <w:szCs w:val="24"/>
        </w:rPr>
        <w:t>Figure S1</w:t>
      </w:r>
      <w:r>
        <w:rPr>
          <w:rFonts w:ascii="Times New Roman" w:hAnsi="Times New Roman" w:cs="Times New Roman"/>
          <w:b/>
          <w:bCs/>
          <w:sz w:val="24"/>
          <w:szCs w:val="24"/>
        </w:rPr>
        <w:t xml:space="preserve"> (next page)</w:t>
      </w:r>
      <w:r w:rsidRPr="003C1A49">
        <w:rPr>
          <w:rFonts w:ascii="Times New Roman" w:hAnsi="Times New Roman" w:cs="Times New Roman"/>
          <w:b/>
          <w:bCs/>
          <w:sz w:val="24"/>
          <w:szCs w:val="24"/>
        </w:rPr>
        <w:t xml:space="preserve">: </w:t>
      </w:r>
      <w:r w:rsidRPr="003C1A49">
        <w:rPr>
          <w:rFonts w:ascii="Times New Roman" w:hAnsi="Times New Roman" w:cs="Times New Roman"/>
          <w:sz w:val="24"/>
          <w:szCs w:val="24"/>
        </w:rPr>
        <w:t>Uninterpreted and interpreted version of Figure 2.</w:t>
      </w:r>
    </w:p>
    <w:p w14:paraId="7A21EA33" w14:textId="77777777" w:rsidR="0071132B" w:rsidRDefault="0071132B" w:rsidP="0071132B">
      <w:pPr>
        <w:pStyle w:val="Teaser"/>
        <w:rPr>
          <w:b/>
          <w:bCs/>
          <w:i/>
          <w:iCs/>
        </w:rPr>
      </w:pPr>
      <w:r>
        <w:rPr>
          <w:i/>
          <w:iCs/>
          <w:noProof/>
        </w:rPr>
        <w:lastRenderedPageBreak/>
        <w:drawing>
          <wp:inline distT="0" distB="0" distL="0" distR="0" wp14:anchorId="6D3D3B7B" wp14:editId="611FCFDF">
            <wp:extent cx="5258874" cy="8764438"/>
            <wp:effectExtent l="0" t="0" r="0" b="0"/>
            <wp:docPr id="1638503437" name="Picture 5" descr="A collage of different colored lay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03437" name="Picture 5" descr="A collage of different colored laye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5534" cy="8792204"/>
                    </a:xfrm>
                    <a:prstGeom prst="rect">
                      <a:avLst/>
                    </a:prstGeom>
                    <a:noFill/>
                  </pic:spPr>
                </pic:pic>
              </a:graphicData>
            </a:graphic>
          </wp:inline>
        </w:drawing>
      </w:r>
    </w:p>
    <w:p w14:paraId="13B10F31" w14:textId="77777777" w:rsidR="003C1A49" w:rsidRPr="003C1A49" w:rsidRDefault="003C1A49" w:rsidP="003C1A49">
      <w:pPr>
        <w:pStyle w:val="Teaser"/>
        <w:jc w:val="both"/>
      </w:pPr>
      <w:r w:rsidRPr="003C1A49">
        <w:rPr>
          <w:b/>
          <w:bCs/>
        </w:rPr>
        <w:lastRenderedPageBreak/>
        <w:t xml:space="preserve">Figure S2: </w:t>
      </w:r>
      <w:r w:rsidRPr="003C1A49">
        <w:t xml:space="preserve">Plot of measured depth versus two-way-time for well 43/25-1 illustrating the three different time-depth relationships and their impact on estimated depth to crater floor. The green trend constrained by a synthetic seismogram gives the most confident well-to-seismic tie.  </w:t>
      </w:r>
    </w:p>
    <w:p w14:paraId="397552A9" w14:textId="77777777" w:rsidR="0002643A" w:rsidRDefault="0002643A" w:rsidP="0071132B">
      <w:pPr>
        <w:pStyle w:val="Teaser"/>
        <w:rPr>
          <w:i/>
          <w:iCs/>
        </w:rPr>
      </w:pPr>
    </w:p>
    <w:p w14:paraId="6289A466" w14:textId="77777777" w:rsidR="0002643A" w:rsidRDefault="0002643A" w:rsidP="0002643A">
      <w:pPr>
        <w:pStyle w:val="Teaser"/>
        <w:rPr>
          <w:b/>
          <w:bCs/>
          <w:i/>
          <w:iCs/>
        </w:rPr>
      </w:pPr>
      <w:r>
        <w:rPr>
          <w:b/>
          <w:bCs/>
          <w:i/>
          <w:iCs/>
          <w:noProof/>
        </w:rPr>
        <w:drawing>
          <wp:inline distT="0" distB="0" distL="0" distR="0" wp14:anchorId="36635E25" wp14:editId="1D267A59">
            <wp:extent cx="5229225" cy="6104003"/>
            <wp:effectExtent l="0" t="0" r="0" b="0"/>
            <wp:docPr id="103312265"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2265" name="Picture 1" descr="A diagram of a graph&#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5234050" cy="6109635"/>
                    </a:xfrm>
                    <a:prstGeom prst="rect">
                      <a:avLst/>
                    </a:prstGeom>
                  </pic:spPr>
                </pic:pic>
              </a:graphicData>
            </a:graphic>
          </wp:inline>
        </w:drawing>
      </w:r>
    </w:p>
    <w:p w14:paraId="5574C32E" w14:textId="77777777" w:rsidR="0002643A" w:rsidRDefault="0002643A" w:rsidP="0002643A">
      <w:pPr>
        <w:pStyle w:val="Teaser"/>
        <w:rPr>
          <w:b/>
          <w:bCs/>
          <w:i/>
          <w:iCs/>
        </w:rPr>
      </w:pPr>
    </w:p>
    <w:p w14:paraId="67358E67" w14:textId="77777777" w:rsidR="003C1A49" w:rsidRDefault="003C1A49" w:rsidP="0002643A">
      <w:pPr>
        <w:pStyle w:val="Teaser"/>
        <w:rPr>
          <w:b/>
          <w:bCs/>
          <w:i/>
          <w:iCs/>
        </w:rPr>
      </w:pPr>
    </w:p>
    <w:p w14:paraId="2F011706" w14:textId="77777777" w:rsidR="003C1A49" w:rsidRDefault="003C1A49" w:rsidP="0002643A">
      <w:pPr>
        <w:pStyle w:val="Teaser"/>
        <w:rPr>
          <w:b/>
          <w:bCs/>
          <w:i/>
          <w:iCs/>
        </w:rPr>
      </w:pPr>
    </w:p>
    <w:p w14:paraId="58B89C9B" w14:textId="77777777" w:rsidR="003C1A49" w:rsidRDefault="003C1A49" w:rsidP="0002643A">
      <w:pPr>
        <w:pStyle w:val="Teaser"/>
        <w:rPr>
          <w:b/>
          <w:bCs/>
          <w:i/>
          <w:iCs/>
        </w:rPr>
      </w:pPr>
    </w:p>
    <w:p w14:paraId="2EAB10C8" w14:textId="77777777" w:rsidR="003C1A49" w:rsidRDefault="003C1A49" w:rsidP="0002643A">
      <w:pPr>
        <w:pStyle w:val="Teaser"/>
        <w:rPr>
          <w:b/>
          <w:bCs/>
          <w:i/>
          <w:iCs/>
        </w:rPr>
      </w:pPr>
    </w:p>
    <w:p w14:paraId="33477BD4" w14:textId="77777777" w:rsidR="003C1A49" w:rsidRDefault="003C1A49" w:rsidP="0002643A">
      <w:pPr>
        <w:pStyle w:val="Teaser"/>
        <w:rPr>
          <w:b/>
          <w:bCs/>
          <w:i/>
          <w:iCs/>
        </w:rPr>
      </w:pPr>
    </w:p>
    <w:p w14:paraId="2C760DBF" w14:textId="77777777" w:rsidR="0002643A" w:rsidRDefault="0002643A" w:rsidP="003C1A49">
      <w:pPr>
        <w:pStyle w:val="Teaser"/>
        <w:jc w:val="both"/>
        <w:rPr>
          <w:b/>
        </w:rPr>
      </w:pPr>
    </w:p>
    <w:p w14:paraId="72ABDD6C" w14:textId="77777777" w:rsidR="003C1A49" w:rsidRPr="003C1A49" w:rsidRDefault="003C1A49" w:rsidP="003C1A49">
      <w:pPr>
        <w:pStyle w:val="Teaser"/>
        <w:rPr>
          <w:bCs/>
        </w:rPr>
      </w:pPr>
      <w:r w:rsidRPr="003C1A49">
        <w:rPr>
          <w:b/>
        </w:rPr>
        <w:lastRenderedPageBreak/>
        <w:t xml:space="preserve">Figure S3. </w:t>
      </w:r>
      <w:r w:rsidRPr="003C1A49">
        <w:rPr>
          <w:bCs/>
        </w:rPr>
        <w:t xml:space="preserve">Full well-to-seismic tie for the 43/25-1 well. </w:t>
      </w:r>
    </w:p>
    <w:p w14:paraId="47FA1767" w14:textId="77777777" w:rsidR="0002643A" w:rsidRDefault="0002643A" w:rsidP="0002643A">
      <w:pPr>
        <w:pStyle w:val="Teaser"/>
        <w:rPr>
          <w:b/>
        </w:rPr>
      </w:pPr>
    </w:p>
    <w:p w14:paraId="60609B0A" w14:textId="77777777" w:rsidR="0002643A" w:rsidRDefault="0002643A" w:rsidP="0002643A">
      <w:pPr>
        <w:pStyle w:val="Teaser"/>
        <w:rPr>
          <w:b/>
        </w:rPr>
      </w:pPr>
      <w:r>
        <w:rPr>
          <w:noProof/>
        </w:rPr>
        <w:drawing>
          <wp:inline distT="0" distB="0" distL="0" distR="0" wp14:anchorId="5B4F3BEF" wp14:editId="09BB2C66">
            <wp:extent cx="5855967" cy="8063346"/>
            <wp:effectExtent l="0" t="0" r="0" b="0"/>
            <wp:docPr id="846147626"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47626" name="Picture 1" descr="A close-up of a graph&#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5857762" cy="8065818"/>
                    </a:xfrm>
                    <a:prstGeom prst="rect">
                      <a:avLst/>
                    </a:prstGeom>
                  </pic:spPr>
                </pic:pic>
              </a:graphicData>
            </a:graphic>
          </wp:inline>
        </w:drawing>
      </w:r>
    </w:p>
    <w:p w14:paraId="09B43CB5" w14:textId="77777777" w:rsidR="0002643A" w:rsidRPr="00BA71FE" w:rsidRDefault="0002643A" w:rsidP="0071132B">
      <w:pPr>
        <w:pStyle w:val="Teaser"/>
        <w:rPr>
          <w:i/>
          <w:iCs/>
        </w:rPr>
      </w:pPr>
    </w:p>
    <w:p w14:paraId="1AD87462" w14:textId="77777777" w:rsidR="003C1A49" w:rsidRPr="003C1A49" w:rsidRDefault="003C1A49" w:rsidP="003C1A49">
      <w:pPr>
        <w:pStyle w:val="Teaser"/>
        <w:jc w:val="both"/>
        <w:rPr>
          <w:b/>
          <w:bCs/>
        </w:rPr>
      </w:pPr>
      <w:r w:rsidRPr="003C1A49">
        <w:rPr>
          <w:b/>
          <w:bCs/>
        </w:rPr>
        <w:lastRenderedPageBreak/>
        <w:t xml:space="preserve">Figure S4. </w:t>
      </w:r>
      <w:r w:rsidRPr="003C1A49">
        <w:t>Photomicrographs of smear slides from samples at 500 m MD - characteristic of background middle Eocene samples - and 494 m MD: a-b) XPL images of 500 m showing very good nannofossil preservation with little background abiogenic carbonate; c) PPL image of 500 m showing clay particles, opaque minerals, organic material and diffuse micron-scale (opaque) pyrite; d-e) XPL image of 494 m showing abundant abiogenic, high birefringence carbonate grains; f) PPL image of 494 m showing relative scarcity of organic material, clays and pyrite. Bottom two rows: XPL images of example nannofossil specimens observed in other 3 other cuttings samples from a depth of 494 m; these specimens are also characteristic of the preservation and diversity through other middle Eocene samples studied.</w:t>
      </w:r>
    </w:p>
    <w:p w14:paraId="198A8F6C" w14:textId="0F4543D3" w:rsidR="0069374A" w:rsidRDefault="0069374A" w:rsidP="0069374A">
      <w:pPr>
        <w:pStyle w:val="Teaser"/>
        <w:rPr>
          <w:b/>
          <w:bCs/>
        </w:rPr>
      </w:pPr>
    </w:p>
    <w:p w14:paraId="73EB3F53" w14:textId="77777777" w:rsidR="006537E6" w:rsidRDefault="006537E6" w:rsidP="0069374A">
      <w:pPr>
        <w:pStyle w:val="Teaser"/>
        <w:rPr>
          <w:b/>
          <w:bCs/>
          <w:i/>
          <w:iCs/>
        </w:rPr>
      </w:pPr>
      <w:r>
        <w:rPr>
          <w:noProof/>
          <w14:ligatures w14:val="standardContextual"/>
        </w:rPr>
        <w:drawing>
          <wp:inline distT="0" distB="0" distL="0" distR="0" wp14:anchorId="1C125CFB" wp14:editId="44F79500">
            <wp:extent cx="5731510" cy="5769610"/>
            <wp:effectExtent l="0" t="0" r="2540" b="2540"/>
            <wp:docPr id="191774175" name="Picture 3" descr="A collage of images of different shape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4175" name="Picture 3" descr="A collage of images of different shapes and sizes&#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69610"/>
                    </a:xfrm>
                    <a:prstGeom prst="rect">
                      <a:avLst/>
                    </a:prstGeom>
                  </pic:spPr>
                </pic:pic>
              </a:graphicData>
            </a:graphic>
          </wp:inline>
        </w:drawing>
      </w:r>
    </w:p>
    <w:p w14:paraId="05663111" w14:textId="77777777" w:rsidR="0071132B" w:rsidRDefault="0071132B" w:rsidP="0071132B">
      <w:pPr>
        <w:pStyle w:val="Teaser"/>
        <w:rPr>
          <w:b/>
          <w:bCs/>
          <w:i/>
          <w:iCs/>
        </w:rPr>
      </w:pPr>
    </w:p>
    <w:p w14:paraId="316080E9" w14:textId="77777777" w:rsidR="005237EA" w:rsidRDefault="005237EA" w:rsidP="0071132B">
      <w:pPr>
        <w:pStyle w:val="Teaser"/>
        <w:rPr>
          <w:b/>
          <w:bCs/>
          <w:i/>
          <w:iCs/>
        </w:rPr>
      </w:pPr>
    </w:p>
    <w:p w14:paraId="1CA78B68" w14:textId="413D6FEC" w:rsidR="0071132B" w:rsidRDefault="0071132B" w:rsidP="0071132B">
      <w:pPr>
        <w:pStyle w:val="Teaser"/>
        <w:rPr>
          <w:b/>
          <w:bCs/>
          <w:i/>
          <w:iCs/>
        </w:rPr>
      </w:pPr>
    </w:p>
    <w:p w14:paraId="18EDFF1A" w14:textId="77777777" w:rsidR="0071132B" w:rsidRDefault="0071132B" w:rsidP="0071132B">
      <w:pPr>
        <w:pStyle w:val="Teaser"/>
        <w:rPr>
          <w:bCs/>
          <w:i/>
          <w:iCs/>
        </w:rPr>
      </w:pPr>
    </w:p>
    <w:p w14:paraId="1F6A8D65" w14:textId="2C40E5E9" w:rsidR="0071132B" w:rsidRDefault="003C1A49" w:rsidP="0071132B">
      <w:pPr>
        <w:pStyle w:val="Teaser"/>
        <w:jc w:val="both"/>
        <w:rPr>
          <w:b/>
          <w:bCs/>
        </w:rPr>
      </w:pPr>
      <w:r>
        <w:rPr>
          <w:b/>
          <w:bCs/>
        </w:rPr>
        <w:lastRenderedPageBreak/>
        <w:t>Supplementary text</w:t>
      </w:r>
    </w:p>
    <w:p w14:paraId="56286C7E" w14:textId="77777777" w:rsidR="003C1A49" w:rsidRDefault="003C1A49" w:rsidP="0071132B">
      <w:pPr>
        <w:pStyle w:val="Teaser"/>
        <w:jc w:val="both"/>
      </w:pPr>
    </w:p>
    <w:p w14:paraId="55BF2951" w14:textId="6BD93F80" w:rsidR="0071132B" w:rsidRDefault="0071132B" w:rsidP="0071132B">
      <w:pPr>
        <w:pStyle w:val="Teaser"/>
        <w:jc w:val="both"/>
      </w:pPr>
      <w:r w:rsidRPr="002D6760">
        <w:rPr>
          <w:i/>
          <w:iCs/>
        </w:rPr>
        <w:t>Paleogene microfossil assemblages from 43/25-1 well</w:t>
      </w:r>
      <w:r w:rsidRPr="002D6760">
        <w:t>:</w:t>
      </w:r>
      <w:r w:rsidRPr="002D5CDD">
        <w:t xml:space="preserve"> </w:t>
      </w:r>
      <w:r>
        <w:t xml:space="preserve">The assemblages at 183 m consists mostly of reworked Cretaceous nannofossils. Samples between 219-433 m consist of rare to very rare Cenozoic nannofossils, mostly non-age diagnostic small reticulofenestrids. The assemblage is dominated by reticulofenestrid coccoliths, but includes </w:t>
      </w:r>
      <w:r w:rsidRPr="29F474BA">
        <w:rPr>
          <w:i/>
          <w:iCs/>
        </w:rPr>
        <w:t>Sphenolithus furcatolithoides</w:t>
      </w:r>
      <w:r w:rsidRPr="29F474BA">
        <w:t xml:space="preserve"> and not </w:t>
      </w:r>
      <w:r w:rsidRPr="29F474BA">
        <w:rPr>
          <w:i/>
          <w:iCs/>
        </w:rPr>
        <w:t xml:space="preserve">Reticulofenestra umbilicus, </w:t>
      </w:r>
      <w:r w:rsidRPr="29F474BA">
        <w:t xml:space="preserve">which constrains the age range of these sediments to be between 45.95 (base </w:t>
      </w:r>
      <w:r w:rsidRPr="29F474BA">
        <w:rPr>
          <w:i/>
          <w:iCs/>
        </w:rPr>
        <w:t>S. furcatolithoides</w:t>
      </w:r>
      <w:r w:rsidRPr="29F474BA">
        <w:t>)</w:t>
      </w:r>
      <w:r w:rsidRPr="29F474BA">
        <w:rPr>
          <w:i/>
          <w:iCs/>
        </w:rPr>
        <w:t xml:space="preserve"> </w:t>
      </w:r>
      <w:r w:rsidRPr="29F474BA">
        <w:t xml:space="preserve">and 43.06 Ma (top </w:t>
      </w:r>
      <w:r w:rsidRPr="29F474BA">
        <w:rPr>
          <w:i/>
          <w:iCs/>
        </w:rPr>
        <w:t>R. umbilicus</w:t>
      </w:r>
      <w:r w:rsidRPr="29F474BA">
        <w:t>), equivalent to Zones CNE10-12 (</w:t>
      </w:r>
      <w:r w:rsidRPr="003263B2">
        <w:t xml:space="preserve">Agnini et al. 2024) or NP15-lower NP16 (Martini et al. 1971) The base of </w:t>
      </w:r>
      <w:r w:rsidRPr="003263B2">
        <w:rPr>
          <w:i/>
          <w:iCs/>
        </w:rPr>
        <w:t xml:space="preserve">S. furcatolithoides </w:t>
      </w:r>
      <w:r w:rsidRPr="003263B2">
        <w:t>(45.95 Ma)</w:t>
      </w:r>
      <w:r w:rsidRPr="003263B2">
        <w:rPr>
          <w:i/>
          <w:iCs/>
        </w:rPr>
        <w:t xml:space="preserve"> </w:t>
      </w:r>
      <w:r w:rsidRPr="003263B2">
        <w:t xml:space="preserve">is placed between depths 597 and 603 m. The two samples between 603-610 m depth contain nannofossil assemblages with similar abundance and diversity to the interval above, but without </w:t>
      </w:r>
      <w:r w:rsidRPr="003263B2">
        <w:rPr>
          <w:i/>
          <w:iCs/>
        </w:rPr>
        <w:t xml:space="preserve">S. furcatolithoides. </w:t>
      </w:r>
      <w:r w:rsidRPr="003263B2">
        <w:t>Without</w:t>
      </w:r>
      <w:r w:rsidRPr="003263B2">
        <w:rPr>
          <w:i/>
          <w:iCs/>
        </w:rPr>
        <w:t xml:space="preserve"> </w:t>
      </w:r>
      <w:r w:rsidRPr="003263B2">
        <w:t>distinctive markers they are hard to date precisely, although most likely are still middle Eocene in age. The one sample barren of nannofossils between 439 and 610 m is at depth 494 m, with a smear slide dominated by high-birefringence particles of ~2 to 15 µm diameter, in cross-polarized light (XPL) (Fig</w:t>
      </w:r>
      <w:r w:rsidR="003C1A49" w:rsidRPr="003263B2">
        <w:t>.</w:t>
      </w:r>
      <w:r w:rsidRPr="003263B2">
        <w:t xml:space="preserve"> S4), interpreted to be carbonate. In plain polarized light (PPL) this smear slide differs from the surrounding middle Eocene sediments in having little organic matter or clay particles, and substantially less micron-scale pyrite, which is pervasive in the background of other middle Eocene samples (Fig</w:t>
      </w:r>
      <w:r w:rsidR="003C1A49" w:rsidRPr="003263B2">
        <w:t>.</w:t>
      </w:r>
      <w:r w:rsidRPr="003263B2">
        <w:t xml:space="preserve"> S4). In XPL, silt-grade multi-domain, low birefringence particles were commonly observed that were not present in other samples (Figure S4).</w:t>
      </w:r>
      <w:r>
        <w:t xml:space="preserve"> </w:t>
      </w:r>
    </w:p>
    <w:p w14:paraId="21A0F4A9" w14:textId="77777777" w:rsidR="0071132B" w:rsidRDefault="0071132B" w:rsidP="0071132B">
      <w:pPr>
        <w:pStyle w:val="Teaser"/>
        <w:jc w:val="both"/>
      </w:pPr>
    </w:p>
    <w:p w14:paraId="36D6CCAA" w14:textId="50C0D75D" w:rsidR="0071132B" w:rsidRPr="00DE5A60" w:rsidRDefault="0071132B" w:rsidP="0071132B">
      <w:pPr>
        <w:pStyle w:val="Teaser"/>
        <w:spacing w:line="259" w:lineRule="auto"/>
        <w:jc w:val="both"/>
      </w:pPr>
      <w:r>
        <w:rPr>
          <w:i/>
          <w:iCs/>
        </w:rPr>
        <w:t xml:space="preserve">Petrography of cuttings from </w:t>
      </w:r>
      <w:r w:rsidRPr="00327D00">
        <w:rPr>
          <w:i/>
          <w:iCs/>
        </w:rPr>
        <w:t>43/25-1 well</w:t>
      </w:r>
      <w:r w:rsidRPr="00327D00">
        <w:t>:</w:t>
      </w:r>
      <w:r w:rsidRPr="002D5CDD">
        <w:t xml:space="preserve"> </w:t>
      </w:r>
      <w:r>
        <w:t xml:space="preserve">Rocks are predominantly shales with varying amount of quartz, with transitions to quartz wackes (524-500 m) and mudstones (421-549 m). In the profile, there is a trend of finer grain sizes with depth. The shales are poorly sorted and are dominated by clay to coarse silt grainsize, but coarser quartz and feldspar grains are present as well. Grains are mostly angular. The amount of fine-grained clayey matrix increases with depth but mudstone intervals also exist at higher levels. The presence of iron bearing phases such as limonite and goethite cause a brownish color to the rocks. A shape preferred orientation of grains and phyllosilicates occurs at several depth intervals (451, 561 m). At a depth of 494 m, abundant sub-rounded and elongated, black carbonate pebble aggregates are evident. A turbulent flow regime with eddies is demonstrated at 500 m by the alignment of micas. Below 506 m cuttings show more homogeneous sedimentation without strong variations in lithologies. The main minerals in the rocks are quartz, feldspar, mica, glauconite, clay phases, calcite, iron oxides. Gypsum plates were recorded locally.    </w:t>
      </w:r>
    </w:p>
    <w:p w14:paraId="6976645B" w14:textId="77777777" w:rsidR="0071132B" w:rsidRDefault="0071132B" w:rsidP="0071132B">
      <w:pPr>
        <w:pStyle w:val="Teaser"/>
        <w:jc w:val="both"/>
      </w:pPr>
    </w:p>
    <w:p w14:paraId="7F368555" w14:textId="41C64E4E" w:rsidR="003C1A49" w:rsidRDefault="003C1A49" w:rsidP="003C1A49">
      <w:pPr>
        <w:pStyle w:val="Teaser"/>
        <w:jc w:val="both"/>
        <w:rPr>
          <w:b/>
          <w:bCs/>
        </w:rPr>
      </w:pPr>
      <w:r>
        <w:rPr>
          <w:b/>
          <w:bCs/>
        </w:rPr>
        <w:t xml:space="preserve">Supplementary </w:t>
      </w:r>
      <w:r w:rsidR="00816259">
        <w:rPr>
          <w:b/>
          <w:bCs/>
        </w:rPr>
        <w:t>reference</w:t>
      </w:r>
      <w:r w:rsidR="00E45EE2">
        <w:rPr>
          <w:b/>
          <w:bCs/>
        </w:rPr>
        <w:t xml:space="preserve">s: </w:t>
      </w:r>
    </w:p>
    <w:p w14:paraId="14270917" w14:textId="516C0AFF" w:rsidR="00E45EE2" w:rsidRDefault="00E45EE2" w:rsidP="003C1A49">
      <w:pPr>
        <w:pStyle w:val="Teaser"/>
        <w:jc w:val="both"/>
        <w:rPr>
          <w:lang w:val="en-GB"/>
        </w:rPr>
      </w:pPr>
      <w:r w:rsidRPr="00E45EE2">
        <w:rPr>
          <w:lang w:val="en-GB"/>
        </w:rPr>
        <w:t>Agnini, C., Fornaciari, E., Raffi, I., Catanzariti, R., Pälike, H., Backman, J., Rio, D., 2014. Biozonation and biochronology of Paleogene calcareous nannofossils from low and middle latitudes. Newsletters on Stratigraphy 47, 131–181.</w:t>
      </w:r>
    </w:p>
    <w:p w14:paraId="57F0E5DC" w14:textId="0476588F" w:rsidR="00E45EE2" w:rsidRPr="00E45EE2" w:rsidRDefault="003263B2" w:rsidP="003C1A49">
      <w:pPr>
        <w:pStyle w:val="Teaser"/>
        <w:jc w:val="both"/>
      </w:pPr>
      <w:r w:rsidRPr="003263B2">
        <w:rPr>
          <w:lang w:val="en-GB"/>
        </w:rPr>
        <w:t>Martini, E., 1971. Standard Tertiary and Quaternary calcareous nannoplankton zonation. In: Farinacci, A. (Ed.),</w:t>
      </w:r>
      <w:r>
        <w:rPr>
          <w:lang w:val="en-GB"/>
        </w:rPr>
        <w:t xml:space="preserve"> </w:t>
      </w:r>
      <w:r w:rsidRPr="003263B2">
        <w:rPr>
          <w:lang w:val="en-GB"/>
        </w:rPr>
        <w:t>Proceedings 2nd International Conference Planktonic</w:t>
      </w:r>
      <w:r>
        <w:rPr>
          <w:lang w:val="en-GB"/>
        </w:rPr>
        <w:t xml:space="preserve"> </w:t>
      </w:r>
      <w:r w:rsidRPr="003263B2">
        <w:rPr>
          <w:lang w:val="en-GB"/>
        </w:rPr>
        <w:t>Microfossils Roma: Rome (Ed. Tecnosci.) 2, 739–785.</w:t>
      </w:r>
    </w:p>
    <w:p w14:paraId="7DF4E5A6" w14:textId="77777777" w:rsidR="0071132B" w:rsidRDefault="0071132B" w:rsidP="0071132B">
      <w:pPr>
        <w:pStyle w:val="Teaser"/>
        <w:jc w:val="both"/>
      </w:pPr>
    </w:p>
    <w:sectPr w:rsidR="007113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D3F54"/>
    <w:multiLevelType w:val="hybridMultilevel"/>
    <w:tmpl w:val="1E34F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2355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E74"/>
    <w:rsid w:val="0002643A"/>
    <w:rsid w:val="0005299D"/>
    <w:rsid w:val="000574BA"/>
    <w:rsid w:val="00065FCB"/>
    <w:rsid w:val="000A000D"/>
    <w:rsid w:val="000A56BC"/>
    <w:rsid w:val="000E2F43"/>
    <w:rsid w:val="0011090B"/>
    <w:rsid w:val="00152DF2"/>
    <w:rsid w:val="001B43DE"/>
    <w:rsid w:val="002C1D64"/>
    <w:rsid w:val="002E0316"/>
    <w:rsid w:val="003263B2"/>
    <w:rsid w:val="0035613B"/>
    <w:rsid w:val="00372C59"/>
    <w:rsid w:val="003C1A49"/>
    <w:rsid w:val="003E21DB"/>
    <w:rsid w:val="00463E15"/>
    <w:rsid w:val="00480E6E"/>
    <w:rsid w:val="0048427D"/>
    <w:rsid w:val="00491AE9"/>
    <w:rsid w:val="004C06C5"/>
    <w:rsid w:val="005143F9"/>
    <w:rsid w:val="005237EA"/>
    <w:rsid w:val="00557F60"/>
    <w:rsid w:val="00591BA2"/>
    <w:rsid w:val="00596ACD"/>
    <w:rsid w:val="005A2C16"/>
    <w:rsid w:val="005C494C"/>
    <w:rsid w:val="005C4C34"/>
    <w:rsid w:val="005D08A2"/>
    <w:rsid w:val="005F339F"/>
    <w:rsid w:val="006268A9"/>
    <w:rsid w:val="006537E6"/>
    <w:rsid w:val="0069374A"/>
    <w:rsid w:val="006A673A"/>
    <w:rsid w:val="006B155B"/>
    <w:rsid w:val="0071132B"/>
    <w:rsid w:val="007246C4"/>
    <w:rsid w:val="00771FDC"/>
    <w:rsid w:val="007D6D72"/>
    <w:rsid w:val="007F4A43"/>
    <w:rsid w:val="00816259"/>
    <w:rsid w:val="00835641"/>
    <w:rsid w:val="008435BF"/>
    <w:rsid w:val="00855858"/>
    <w:rsid w:val="008A63C3"/>
    <w:rsid w:val="008B3289"/>
    <w:rsid w:val="008C7FC9"/>
    <w:rsid w:val="00991195"/>
    <w:rsid w:val="009954B3"/>
    <w:rsid w:val="009D3561"/>
    <w:rsid w:val="00A24AB6"/>
    <w:rsid w:val="00A76625"/>
    <w:rsid w:val="00A81321"/>
    <w:rsid w:val="00A843A4"/>
    <w:rsid w:val="00C2147D"/>
    <w:rsid w:val="00C3087B"/>
    <w:rsid w:val="00CA4E74"/>
    <w:rsid w:val="00CB7BED"/>
    <w:rsid w:val="00CE529C"/>
    <w:rsid w:val="00D61B8F"/>
    <w:rsid w:val="00DD36F9"/>
    <w:rsid w:val="00DF78C1"/>
    <w:rsid w:val="00E45EE2"/>
    <w:rsid w:val="00E55683"/>
    <w:rsid w:val="00E84805"/>
    <w:rsid w:val="00F12E1A"/>
    <w:rsid w:val="00F65325"/>
    <w:rsid w:val="00F77A32"/>
    <w:rsid w:val="00FA1B3B"/>
    <w:rsid w:val="00FA3D32"/>
    <w:rsid w:val="00FA7369"/>
    <w:rsid w:val="00FB0433"/>
    <w:rsid w:val="00FB6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99BBC"/>
  <w15:chartTrackingRefBased/>
  <w15:docId w15:val="{DF86F735-0E3B-4651-8F13-5D9DC5E8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E74"/>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E7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
    <w:name w:val="item"/>
    <w:basedOn w:val="Normal"/>
    <w:rsid w:val="00CA4E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hors">
    <w:name w:val="Authors"/>
    <w:basedOn w:val="Normal"/>
    <w:rsid w:val="008435BF"/>
    <w:pPr>
      <w:spacing w:before="120" w:after="360" w:line="240" w:lineRule="auto"/>
      <w:jc w:val="center"/>
    </w:pPr>
    <w:rPr>
      <w:rFonts w:ascii="Times New Roman" w:eastAsia="Times New Roman" w:hAnsi="Times New Roman" w:cs="Times New Roman"/>
      <w:sz w:val="24"/>
      <w:szCs w:val="24"/>
      <w:lang w:val="en-US"/>
    </w:rPr>
  </w:style>
  <w:style w:type="character" w:styleId="CommentReference">
    <w:name w:val="annotation reference"/>
    <w:basedOn w:val="DefaultParagraphFont"/>
    <w:unhideWhenUsed/>
    <w:rsid w:val="008C7FC9"/>
    <w:rPr>
      <w:sz w:val="16"/>
      <w:szCs w:val="16"/>
    </w:rPr>
  </w:style>
  <w:style w:type="paragraph" w:styleId="CommentText">
    <w:name w:val="annotation text"/>
    <w:basedOn w:val="Normal"/>
    <w:link w:val="CommentTextChar"/>
    <w:unhideWhenUsed/>
    <w:rsid w:val="008C7FC9"/>
    <w:pPr>
      <w:spacing w:line="240" w:lineRule="auto"/>
    </w:pPr>
    <w:rPr>
      <w:sz w:val="20"/>
      <w:szCs w:val="20"/>
    </w:rPr>
  </w:style>
  <w:style w:type="character" w:customStyle="1" w:styleId="CommentTextChar">
    <w:name w:val="Comment Text Char"/>
    <w:basedOn w:val="DefaultParagraphFont"/>
    <w:link w:val="CommentText"/>
    <w:rsid w:val="008C7FC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C7FC9"/>
    <w:rPr>
      <w:b/>
      <w:bCs/>
    </w:rPr>
  </w:style>
  <w:style w:type="character" w:customStyle="1" w:styleId="CommentSubjectChar">
    <w:name w:val="Comment Subject Char"/>
    <w:basedOn w:val="CommentTextChar"/>
    <w:link w:val="CommentSubject"/>
    <w:uiPriority w:val="99"/>
    <w:semiHidden/>
    <w:rsid w:val="008C7FC9"/>
    <w:rPr>
      <w:b/>
      <w:bCs/>
      <w:kern w:val="0"/>
      <w:sz w:val="20"/>
      <w:szCs w:val="20"/>
      <w14:ligatures w14:val="none"/>
    </w:rPr>
  </w:style>
  <w:style w:type="character" w:styleId="Hyperlink">
    <w:name w:val="Hyperlink"/>
    <w:basedOn w:val="DefaultParagraphFont"/>
    <w:rsid w:val="0071132B"/>
    <w:rPr>
      <w:color w:val="0000FF"/>
      <w:u w:val="single"/>
    </w:rPr>
  </w:style>
  <w:style w:type="paragraph" w:customStyle="1" w:styleId="Teaser">
    <w:name w:val="Teaser"/>
    <w:basedOn w:val="Normal"/>
    <w:link w:val="TeaserChar"/>
    <w:rsid w:val="0071132B"/>
    <w:pPr>
      <w:spacing w:before="120" w:after="0" w:line="240" w:lineRule="auto"/>
    </w:pPr>
    <w:rPr>
      <w:rFonts w:ascii="Times New Roman" w:eastAsia="Times New Roman" w:hAnsi="Times New Roman" w:cs="Times New Roman"/>
      <w:sz w:val="24"/>
      <w:szCs w:val="24"/>
      <w:lang w:val="en-US"/>
    </w:rPr>
  </w:style>
  <w:style w:type="character" w:customStyle="1" w:styleId="TeaserChar">
    <w:name w:val="Teaser Char"/>
    <w:basedOn w:val="DefaultParagraphFont"/>
    <w:link w:val="Teaser"/>
    <w:rsid w:val="0071132B"/>
    <w:rPr>
      <w:rFonts w:ascii="Times New Roman" w:eastAsia="Times New Roman" w:hAnsi="Times New Roman" w:cs="Times New Roman"/>
      <w:kern w:val="0"/>
      <w:sz w:val="24"/>
      <w:szCs w:val="24"/>
      <w:lang w:val="en-US"/>
      <w14:ligatures w14:val="none"/>
    </w:rPr>
  </w:style>
  <w:style w:type="character" w:styleId="Mention">
    <w:name w:val="Mention"/>
    <w:basedOn w:val="DefaultParagraphFont"/>
    <w:uiPriority w:val="99"/>
    <w:unhideWhenUsed/>
    <w:rsid w:val="0071132B"/>
    <w:rPr>
      <w:color w:val="2B579A"/>
      <w:shd w:val="clear" w:color="auto" w:fill="E1DFDD"/>
    </w:rPr>
  </w:style>
  <w:style w:type="character" w:styleId="UnresolvedMention">
    <w:name w:val="Unresolved Mention"/>
    <w:basedOn w:val="DefaultParagraphFont"/>
    <w:uiPriority w:val="99"/>
    <w:semiHidden/>
    <w:unhideWhenUsed/>
    <w:rsid w:val="003E21DB"/>
    <w:rPr>
      <w:color w:val="605E5C"/>
      <w:shd w:val="clear" w:color="auto" w:fill="E1DFDD"/>
    </w:rPr>
  </w:style>
  <w:style w:type="character" w:styleId="FollowedHyperlink">
    <w:name w:val="FollowedHyperlink"/>
    <w:basedOn w:val="DefaultParagraphFont"/>
    <w:uiPriority w:val="99"/>
    <w:semiHidden/>
    <w:unhideWhenUsed/>
    <w:rsid w:val="008356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55943">
      <w:bodyDiv w:val="1"/>
      <w:marLeft w:val="0"/>
      <w:marRight w:val="0"/>
      <w:marTop w:val="0"/>
      <w:marBottom w:val="0"/>
      <w:divBdr>
        <w:top w:val="none" w:sz="0" w:space="0" w:color="auto"/>
        <w:left w:val="none" w:sz="0" w:space="0" w:color="auto"/>
        <w:bottom w:val="none" w:sz="0" w:space="0" w:color="auto"/>
        <w:right w:val="none" w:sz="0" w:space="0" w:color="auto"/>
      </w:divBdr>
    </w:div>
    <w:div w:id="260728119">
      <w:bodyDiv w:val="1"/>
      <w:marLeft w:val="0"/>
      <w:marRight w:val="0"/>
      <w:marTop w:val="0"/>
      <w:marBottom w:val="0"/>
      <w:divBdr>
        <w:top w:val="none" w:sz="0" w:space="0" w:color="auto"/>
        <w:left w:val="none" w:sz="0" w:space="0" w:color="auto"/>
        <w:bottom w:val="none" w:sz="0" w:space="0" w:color="auto"/>
        <w:right w:val="none" w:sz="0" w:space="0" w:color="auto"/>
      </w:divBdr>
    </w:div>
    <w:div w:id="397821007">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1254243995">
      <w:bodyDiv w:val="1"/>
      <w:marLeft w:val="0"/>
      <w:marRight w:val="0"/>
      <w:marTop w:val="0"/>
      <w:marBottom w:val="0"/>
      <w:divBdr>
        <w:top w:val="none" w:sz="0" w:space="0" w:color="auto"/>
        <w:left w:val="none" w:sz="0" w:space="0" w:color="auto"/>
        <w:bottom w:val="none" w:sz="0" w:space="0" w:color="auto"/>
        <w:right w:val="none" w:sz="0" w:space="0" w:color="auto"/>
      </w:divBdr>
    </w:div>
    <w:div w:id="176391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TotalTime>
  <Pages>8</Pages>
  <Words>963</Words>
  <Characters>5269</Characters>
  <Application>Microsoft Office Word</Application>
  <DocSecurity>0</DocSecurity>
  <Lines>78</Lines>
  <Paragraphs>17</Paragraphs>
  <ScaleCrop>false</ScaleCrop>
  <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Nicholson, Uisdean</dc:creator>
  <cp:keywords/>
  <dc:description/>
  <cp:lastModifiedBy>Nicholson, Uisdean</cp:lastModifiedBy>
  <cp:revision>31</cp:revision>
  <dcterms:created xsi:type="dcterms:W3CDTF">2024-09-19T02:15:00Z</dcterms:created>
  <dcterms:modified xsi:type="dcterms:W3CDTF">2024-12-20T15:15:00Z</dcterms:modified>
</cp:coreProperties>
</file>