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6F9C5" w14:textId="77777777" w:rsidR="002621CC" w:rsidRDefault="002621CC" w:rsidP="002621CC">
      <w:pPr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Table 1</w:t>
      </w:r>
      <w:r w:rsidRPr="008637B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Description of the measured ES and controlling covariates and their statistics.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74"/>
        <w:gridCol w:w="1828"/>
        <w:gridCol w:w="8704"/>
      </w:tblGrid>
      <w:tr w:rsidR="002621CC" w14:paraId="6AE4F59F" w14:textId="77777777" w:rsidTr="00C05D0A">
        <w:tc>
          <w:tcPr>
            <w:tcW w:w="1838" w:type="dxa"/>
          </w:tcPr>
          <w:p w14:paraId="0198C8CC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Variable</w:t>
            </w:r>
          </w:p>
        </w:tc>
        <w:tc>
          <w:tcPr>
            <w:tcW w:w="1574" w:type="dxa"/>
          </w:tcPr>
          <w:p w14:paraId="5D5BDF7F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 Model</w:t>
            </w:r>
          </w:p>
        </w:tc>
        <w:tc>
          <w:tcPr>
            <w:tcW w:w="1828" w:type="dxa"/>
          </w:tcPr>
          <w:p w14:paraId="2899FD7B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Formula term</w:t>
            </w:r>
          </w:p>
        </w:tc>
        <w:tc>
          <w:tcPr>
            <w:tcW w:w="8704" w:type="dxa"/>
          </w:tcPr>
          <w:p w14:paraId="369E1DAB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Description</w:t>
            </w:r>
          </w:p>
        </w:tc>
      </w:tr>
      <w:tr w:rsidR="002621CC" w14:paraId="11EC3F4B" w14:textId="77777777" w:rsidTr="00C05D0A">
        <w:tc>
          <w:tcPr>
            <w:tcW w:w="1838" w:type="dxa"/>
          </w:tcPr>
          <w:p w14:paraId="6CAFC00E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Water infiltration rate</w:t>
            </w:r>
          </w:p>
        </w:tc>
        <w:tc>
          <w:tcPr>
            <w:tcW w:w="1574" w:type="dxa"/>
          </w:tcPr>
          <w:p w14:paraId="2D67DD7C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regulation</w:t>
            </w:r>
          </w:p>
        </w:tc>
        <w:tc>
          <w:tcPr>
            <w:tcW w:w="1828" w:type="dxa"/>
          </w:tcPr>
          <w:p w14:paraId="04A8B664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variable</w:t>
            </w:r>
          </w:p>
        </w:tc>
        <w:tc>
          <w:tcPr>
            <w:tcW w:w="8704" w:type="dxa"/>
          </w:tcPr>
          <w:p w14:paraId="5769D3B9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 numerical response variable that describe the amount of seconds it took for 177ml (10mm) to fully infiltrate the soil. The range of values for this variable is between 12 — 1088 seconds, with an average time of 175 seconds and a standard deviation of 309 seconds.</w:t>
            </w:r>
          </w:p>
        </w:tc>
      </w:tr>
      <w:tr w:rsidR="002621CC" w14:paraId="3BCCD911" w14:textId="77777777" w:rsidTr="00C05D0A">
        <w:tc>
          <w:tcPr>
            <w:tcW w:w="1838" w:type="dxa"/>
          </w:tcPr>
          <w:p w14:paraId="2F44E6FB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Temperature</w:t>
            </w:r>
          </w:p>
        </w:tc>
        <w:tc>
          <w:tcPr>
            <w:tcW w:w="1574" w:type="dxa"/>
          </w:tcPr>
          <w:p w14:paraId="015DF0A5" w14:textId="0C853E8B" w:rsidR="002621CC" w:rsidRDefault="003D1F3A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temperature regulation</w:t>
            </w:r>
          </w:p>
        </w:tc>
        <w:tc>
          <w:tcPr>
            <w:tcW w:w="1828" w:type="dxa"/>
          </w:tcPr>
          <w:p w14:paraId="0BE5AC08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variable</w:t>
            </w:r>
          </w:p>
        </w:tc>
        <w:tc>
          <w:tcPr>
            <w:tcW w:w="8704" w:type="dxa"/>
          </w:tcPr>
          <w:p w14:paraId="05056A54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numerical response variable that describe the average temperature in degree Celsius of five </w:t>
            </w:r>
            <w:proofErr w:type="spellStart"/>
            <w:r>
              <w:rPr>
                <w:sz w:val="20"/>
                <w:szCs w:val="20"/>
              </w:rPr>
              <w:t>Temtop</w:t>
            </w:r>
            <w:proofErr w:type="spellEnd"/>
            <w:r>
              <w:rPr>
                <w:sz w:val="20"/>
                <w:szCs w:val="20"/>
              </w:rPr>
              <w:t xml:space="preserve"> sensor which log the temperature every minute for an hour per sample site. </w:t>
            </w:r>
            <w:r w:rsidRPr="003D1F3A">
              <w:rPr>
                <w:sz w:val="20"/>
                <w:szCs w:val="20"/>
              </w:rPr>
              <w:t>The range of values for this variable is 15.4 — 40.5, with an average value of 24.5 and a standard deviation of 4.91.</w:t>
            </w:r>
          </w:p>
        </w:tc>
      </w:tr>
      <w:tr w:rsidR="002621CC" w14:paraId="5FC21A6D" w14:textId="77777777" w:rsidTr="00C05D0A">
        <w:tc>
          <w:tcPr>
            <w:tcW w:w="1838" w:type="dxa"/>
          </w:tcPr>
          <w:p w14:paraId="3CB03A61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Particulate Matter 2.5 (PM2.5)</w:t>
            </w:r>
          </w:p>
        </w:tc>
        <w:tc>
          <w:tcPr>
            <w:tcW w:w="1574" w:type="dxa"/>
          </w:tcPr>
          <w:p w14:paraId="4FBC6B43" w14:textId="6EA790A8" w:rsidR="002621CC" w:rsidRDefault="003D1F3A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pollution regulation</w:t>
            </w:r>
          </w:p>
        </w:tc>
        <w:tc>
          <w:tcPr>
            <w:tcW w:w="1828" w:type="dxa"/>
          </w:tcPr>
          <w:p w14:paraId="0A6BC2E2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variable</w:t>
            </w:r>
          </w:p>
        </w:tc>
        <w:tc>
          <w:tcPr>
            <w:tcW w:w="8704" w:type="dxa"/>
          </w:tcPr>
          <w:p w14:paraId="63200DE6" w14:textId="77777777" w:rsidR="002621CC" w:rsidRDefault="002621CC" w:rsidP="00C05D0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numerical response variable that describe the average Particulate Matter 2.5 of five </w:t>
            </w:r>
            <w:proofErr w:type="spellStart"/>
            <w:r>
              <w:rPr>
                <w:sz w:val="20"/>
                <w:szCs w:val="20"/>
              </w:rPr>
              <w:t>Temtop</w:t>
            </w:r>
            <w:proofErr w:type="spellEnd"/>
            <w:r>
              <w:rPr>
                <w:sz w:val="20"/>
                <w:szCs w:val="20"/>
              </w:rPr>
              <w:t xml:space="preserve"> sensor which log the data every minute for an hour per sample site. </w:t>
            </w:r>
            <w:r w:rsidRPr="003D1F3A">
              <w:rPr>
                <w:sz w:val="20"/>
                <w:szCs w:val="20"/>
              </w:rPr>
              <w:t>The range of values for this variable is 0.70 — 22.36, with an average value of 4.54 and a standard deviation of 4.07.</w:t>
            </w:r>
          </w:p>
        </w:tc>
      </w:tr>
      <w:tr w:rsidR="002621CC" w14:paraId="5388A85B" w14:textId="77777777" w:rsidTr="00C05D0A">
        <w:tc>
          <w:tcPr>
            <w:tcW w:w="1838" w:type="dxa"/>
          </w:tcPr>
          <w:p w14:paraId="7409BD29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Invertebrate species richness</w:t>
            </w:r>
          </w:p>
        </w:tc>
        <w:tc>
          <w:tcPr>
            <w:tcW w:w="1574" w:type="dxa"/>
          </w:tcPr>
          <w:p w14:paraId="34AAC03C" w14:textId="034D734A" w:rsidR="002621CC" w:rsidRDefault="003D1F3A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Invertebrate species richness</w:t>
            </w:r>
          </w:p>
        </w:tc>
        <w:tc>
          <w:tcPr>
            <w:tcW w:w="1828" w:type="dxa"/>
          </w:tcPr>
          <w:p w14:paraId="159D9ED5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variable</w:t>
            </w:r>
          </w:p>
        </w:tc>
        <w:tc>
          <w:tcPr>
            <w:tcW w:w="8704" w:type="dxa"/>
          </w:tcPr>
          <w:p w14:paraId="5AE30D78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numerical response variable that describe the number of OTUs found in soil eDNA that were identified as invertebrate species. The range of values for this variable is 9 — 86, with an average value of 38 and a standard deviation of 14.9.</w:t>
            </w:r>
          </w:p>
        </w:tc>
      </w:tr>
      <w:tr w:rsidR="002621CC" w14:paraId="5409C365" w14:textId="77777777" w:rsidTr="00C05D0A">
        <w:tc>
          <w:tcPr>
            <w:tcW w:w="1838" w:type="dxa"/>
          </w:tcPr>
          <w:p w14:paraId="3CAF9D40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Vegetation indicators</w:t>
            </w:r>
          </w:p>
        </w:tc>
        <w:tc>
          <w:tcPr>
            <w:tcW w:w="1574" w:type="dxa"/>
          </w:tcPr>
          <w:p w14:paraId="38307332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1828" w:type="dxa"/>
          </w:tcPr>
          <w:p w14:paraId="35C021ED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Predictors of interest</w:t>
            </w:r>
          </w:p>
        </w:tc>
        <w:tc>
          <w:tcPr>
            <w:tcW w:w="8704" w:type="dxa"/>
          </w:tcPr>
          <w:p w14:paraId="26E255FE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numerical predictors and a categorical predictor reflecting the state of vegetation using remote sensing techniques, and aggregated from 10x10m to all other spatial resolutions. Briefly, vegetation density is a proportional indicator from 0 (no vegetation) — 1 (Densest vegetation). Vegetation height is a proportion indicator from 1 (vegetation &lt;1m) — 2 (vegetation &gt;1m). Finally, Land-use and Land-cover describe 4 categories being Natural, Residential, Park and Buffer zones. More details are in Appendix 1.</w:t>
            </w:r>
          </w:p>
        </w:tc>
      </w:tr>
      <w:tr w:rsidR="002621CC" w14:paraId="25275F7E" w14:textId="77777777" w:rsidTr="00C05D0A">
        <w:tc>
          <w:tcPr>
            <w:tcW w:w="1838" w:type="dxa"/>
          </w:tcPr>
          <w:p w14:paraId="1599D688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 bulk density</w:t>
            </w:r>
          </w:p>
        </w:tc>
        <w:tc>
          <w:tcPr>
            <w:tcW w:w="1574" w:type="dxa"/>
          </w:tcPr>
          <w:p w14:paraId="49C7D4E8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</w:t>
            </w:r>
          </w:p>
        </w:tc>
        <w:tc>
          <w:tcPr>
            <w:tcW w:w="1828" w:type="dxa"/>
          </w:tcPr>
          <w:p w14:paraId="123F9649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Covariate</w:t>
            </w:r>
          </w:p>
        </w:tc>
        <w:tc>
          <w:tcPr>
            <w:tcW w:w="8704" w:type="dxa"/>
          </w:tcPr>
          <w:p w14:paraId="2C75255E" w14:textId="77777777" w:rsidR="002621CC" w:rsidRPr="00195B45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numerical predictor that describe the density of the soil. It is calculated by </w:t>
            </w:r>
            <w:r w:rsidRPr="004F63EF">
              <w:rPr>
                <w:sz w:val="20"/>
                <w:szCs w:val="20"/>
              </w:rPr>
              <w:t>using a constant of volume (100cc) of soil divided by the dry weight of the soil after 24h at 105°C in an oven</w:t>
            </w:r>
            <w:r>
              <w:rPr>
                <w:sz w:val="20"/>
                <w:szCs w:val="20"/>
              </w:rPr>
              <w:t>. The range of this variable is 0.41 — 1.55 g/cm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. The average value of bulk density is 1.05 g/cm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</w:tr>
      <w:tr w:rsidR="002621CC" w14:paraId="1D49BAFE" w14:textId="77777777" w:rsidTr="00C05D0A">
        <w:tc>
          <w:tcPr>
            <w:tcW w:w="1838" w:type="dxa"/>
          </w:tcPr>
          <w:p w14:paraId="72871E2A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 moisture</w:t>
            </w:r>
            <w:bookmarkStart w:id="0" w:name="_GoBack"/>
            <w:bookmarkEnd w:id="0"/>
          </w:p>
        </w:tc>
        <w:tc>
          <w:tcPr>
            <w:tcW w:w="1574" w:type="dxa"/>
          </w:tcPr>
          <w:p w14:paraId="449D36B5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regulation</w:t>
            </w:r>
          </w:p>
        </w:tc>
        <w:tc>
          <w:tcPr>
            <w:tcW w:w="1828" w:type="dxa"/>
          </w:tcPr>
          <w:p w14:paraId="5E48848F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Covariate</w:t>
            </w:r>
          </w:p>
        </w:tc>
        <w:tc>
          <w:tcPr>
            <w:tcW w:w="8704" w:type="dxa"/>
          </w:tcPr>
          <w:p w14:paraId="1F1254BE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numerical predictor that describe the water content in the soil. Soil from the field was weighed and dried in an oven for 24 hours at 105°C. It is calculated by </w:t>
            </w:r>
            <w:r w:rsidRPr="004F63EF">
              <w:rPr>
                <w:sz w:val="20"/>
                <w:szCs w:val="20"/>
              </w:rPr>
              <w:t>1 minus the dry soil weight over the wet soil weight</w:t>
            </w:r>
            <w:r>
              <w:rPr>
                <w:sz w:val="20"/>
                <w:szCs w:val="20"/>
              </w:rPr>
              <w:t>. The range of the values are 0.08% — 45.1%, with an average value of 13.1%.</w:t>
            </w:r>
          </w:p>
        </w:tc>
      </w:tr>
      <w:tr w:rsidR="002621CC" w14:paraId="271EF268" w14:textId="77777777" w:rsidTr="00C05D0A">
        <w:tc>
          <w:tcPr>
            <w:tcW w:w="1838" w:type="dxa"/>
          </w:tcPr>
          <w:p w14:paraId="30975E11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temperature stationary</w:t>
            </w:r>
          </w:p>
        </w:tc>
        <w:tc>
          <w:tcPr>
            <w:tcW w:w="1574" w:type="dxa"/>
          </w:tcPr>
          <w:p w14:paraId="3A008A11" w14:textId="17CF6A28" w:rsidR="002621CC" w:rsidRDefault="003D1F3A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temperature regulation</w:t>
            </w:r>
          </w:p>
        </w:tc>
        <w:tc>
          <w:tcPr>
            <w:tcW w:w="1828" w:type="dxa"/>
          </w:tcPr>
          <w:p w14:paraId="41BD8A7D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Covariate</w:t>
            </w:r>
          </w:p>
        </w:tc>
        <w:tc>
          <w:tcPr>
            <w:tcW w:w="8704" w:type="dxa"/>
          </w:tcPr>
          <w:p w14:paraId="1F76AEDC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numerical response variable that describe the average temperature in degree Celsius retrieved from a government sensor in a rural open grassland area. It logs the temperature every hour. The range of values for this variable is14.9 — 28.3, with an average value of 20.9 and a standard deviation of 2.6.</w:t>
            </w:r>
          </w:p>
        </w:tc>
      </w:tr>
      <w:tr w:rsidR="002621CC" w14:paraId="0E7ADC33" w14:textId="77777777" w:rsidTr="00C05D0A">
        <w:tc>
          <w:tcPr>
            <w:tcW w:w="1838" w:type="dxa"/>
          </w:tcPr>
          <w:p w14:paraId="69465A5E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quality stationary </w:t>
            </w:r>
            <w:r>
              <w:rPr>
                <w:sz w:val="20"/>
                <w:szCs w:val="20"/>
              </w:rPr>
              <w:lastRenderedPageBreak/>
              <w:t>Particulate Matter 2.5 (PM2.5)</w:t>
            </w:r>
          </w:p>
        </w:tc>
        <w:tc>
          <w:tcPr>
            <w:tcW w:w="1574" w:type="dxa"/>
          </w:tcPr>
          <w:p w14:paraId="4B05B924" w14:textId="734B6F49" w:rsidR="002621CC" w:rsidRDefault="003D1F3A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Air pollution regulation</w:t>
            </w:r>
          </w:p>
        </w:tc>
        <w:tc>
          <w:tcPr>
            <w:tcW w:w="1828" w:type="dxa"/>
          </w:tcPr>
          <w:p w14:paraId="359C709F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Covariate</w:t>
            </w:r>
          </w:p>
        </w:tc>
        <w:tc>
          <w:tcPr>
            <w:tcW w:w="8704" w:type="dxa"/>
          </w:tcPr>
          <w:p w14:paraId="4D9955BC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numerical predictor variable that describe the average Particulate Matter 2.5 of five </w:t>
            </w:r>
            <w:proofErr w:type="spellStart"/>
            <w:r>
              <w:rPr>
                <w:sz w:val="20"/>
                <w:szCs w:val="20"/>
              </w:rPr>
              <w:t>Temtop</w:t>
            </w:r>
            <w:proofErr w:type="spellEnd"/>
            <w:r>
              <w:rPr>
                <w:sz w:val="20"/>
                <w:szCs w:val="20"/>
              </w:rPr>
              <w:t xml:space="preserve"> sensor which log the data every minute. These sensors were stationed during the full summer on </w:t>
            </w:r>
            <w:r>
              <w:rPr>
                <w:sz w:val="20"/>
                <w:szCs w:val="20"/>
              </w:rPr>
              <w:lastRenderedPageBreak/>
              <w:t>a roof in The Hague. The range of values for this variable is 0.83 — 14.49, with an average value of 3.51 and a standard deviation of 3.02.</w:t>
            </w:r>
          </w:p>
        </w:tc>
      </w:tr>
      <w:tr w:rsidR="002621CC" w14:paraId="5CF18E4B" w14:textId="77777777" w:rsidTr="00C05D0A">
        <w:tc>
          <w:tcPr>
            <w:tcW w:w="1838" w:type="dxa"/>
          </w:tcPr>
          <w:p w14:paraId="38F9741D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bookmarkStart w:id="1" w:name="_heading=h.17dp8vu" w:colFirst="0" w:colLast="0"/>
            <w:bookmarkEnd w:id="1"/>
            <w:r>
              <w:rPr>
                <w:sz w:val="20"/>
                <w:szCs w:val="20"/>
              </w:rPr>
              <w:lastRenderedPageBreak/>
              <w:t>Distance to road</w:t>
            </w:r>
          </w:p>
        </w:tc>
        <w:tc>
          <w:tcPr>
            <w:tcW w:w="1574" w:type="dxa"/>
          </w:tcPr>
          <w:p w14:paraId="54E85181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quality</w:t>
            </w:r>
          </w:p>
        </w:tc>
        <w:tc>
          <w:tcPr>
            <w:tcW w:w="1828" w:type="dxa"/>
          </w:tcPr>
          <w:p w14:paraId="6F8B9AF3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Covariate</w:t>
            </w:r>
          </w:p>
        </w:tc>
        <w:tc>
          <w:tcPr>
            <w:tcW w:w="8704" w:type="dxa"/>
          </w:tcPr>
          <w:p w14:paraId="59C45B5B" w14:textId="77777777" w:rsidR="002621CC" w:rsidRDefault="002621CC" w:rsidP="00C05D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numerical predictor that describe the distance to the nearest road where cars are able to drive over 50km/h. The range of the distances is 0 — 332.8 meters, with an average value of 91.3 meter and a standard deviation of 72.8 meters.</w:t>
            </w:r>
          </w:p>
        </w:tc>
      </w:tr>
    </w:tbl>
    <w:p w14:paraId="02CB5474" w14:textId="77777777" w:rsidR="00534039" w:rsidRDefault="00534039"/>
    <w:sectPr w:rsidR="00534039" w:rsidSect="002621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9C"/>
    <w:rsid w:val="002621CC"/>
    <w:rsid w:val="003D1F3A"/>
    <w:rsid w:val="00534039"/>
    <w:rsid w:val="0072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2FF9"/>
  <w15:chartTrackingRefBased/>
  <w15:docId w15:val="{8E19C28E-60AF-4F5B-B029-D5A81AFB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1CC"/>
    <w:pPr>
      <w:spacing w:after="0" w:line="276" w:lineRule="auto"/>
    </w:pPr>
    <w:rPr>
      <w:rFonts w:ascii="Arial" w:eastAsia="Arial" w:hAnsi="Arial" w:cs="Arial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262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1CC"/>
    <w:rPr>
      <w:rFonts w:ascii="Arial" w:eastAsia="Arial" w:hAnsi="Arial" w:cs="Arial"/>
      <w:sz w:val="20"/>
      <w:szCs w:val="20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2621CC"/>
    <w:rPr>
      <w:sz w:val="16"/>
      <w:szCs w:val="16"/>
    </w:rPr>
  </w:style>
  <w:style w:type="table" w:styleId="TableGrid">
    <w:name w:val="Table Grid"/>
    <w:basedOn w:val="TableNormal"/>
    <w:uiPriority w:val="39"/>
    <w:rsid w:val="002621CC"/>
    <w:pPr>
      <w:spacing w:after="0" w:line="240" w:lineRule="auto"/>
    </w:pPr>
    <w:rPr>
      <w:rFonts w:ascii="Arial" w:eastAsia="Arial" w:hAnsi="Arial" w:cs="Arial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1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CC"/>
    <w:rPr>
      <w:rFonts w:ascii="Segoe UI" w:eastAsia="Arial" w:hAnsi="Segoe UI" w:cs="Segoe UI"/>
      <w:sz w:val="18"/>
      <w:szCs w:val="18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3197</Characters>
  <Application>Microsoft Office Word</Application>
  <DocSecurity>0</DocSecurity>
  <Lines>26</Lines>
  <Paragraphs>7</Paragraphs>
  <ScaleCrop>false</ScaleCrop>
  <Company>Universiteit Leiden ISSC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Morpurgo, J. (Joeri)</dc:creator>
  <cp:keywords/>
  <dc:description/>
  <cp:lastModifiedBy>Morpurgo, J. (Joeri)</cp:lastModifiedBy>
  <cp:revision>3</cp:revision>
  <dcterms:created xsi:type="dcterms:W3CDTF">2024-10-02T11:49:00Z</dcterms:created>
  <dcterms:modified xsi:type="dcterms:W3CDTF">2024-10-18T11:27:00Z</dcterms:modified>
</cp:coreProperties>
</file>