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A90B9">
      <w:pPr>
        <w:spacing w:line="480" w:lineRule="auto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Supplementary table 1.</w:t>
      </w:r>
      <w:bookmarkEnd w:id="0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Prediction of IVIG resistance in this sample by several risk scoring systems</w:t>
      </w:r>
    </w:p>
    <w:tbl>
      <w:tblPr>
        <w:tblStyle w:val="10"/>
        <w:tblpPr w:leftFromText="180" w:rightFromText="180" w:vertAnchor="text" w:horzAnchor="page" w:tblpX="1740" w:tblpY="44"/>
        <w:tblOverlap w:val="never"/>
        <w:tblW w:w="968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2300"/>
        <w:gridCol w:w="2300"/>
        <w:gridCol w:w="1369"/>
        <w:gridCol w:w="1369"/>
      </w:tblGrid>
      <w:tr w14:paraId="4F8555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34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35ECA9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2"/>
              </w:rPr>
              <w:t>Risk scoring-systems</w:t>
            </w:r>
          </w:p>
        </w:tc>
        <w:tc>
          <w:tcPr>
            <w:tcW w:w="230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11BE22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2"/>
              </w:rPr>
              <w:t>Sensitivity</w:t>
            </w:r>
          </w:p>
        </w:tc>
        <w:tc>
          <w:tcPr>
            <w:tcW w:w="230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FA1040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2"/>
              </w:rPr>
              <w:t>Specificity</w:t>
            </w:r>
          </w:p>
        </w:tc>
        <w:tc>
          <w:tcPr>
            <w:tcW w:w="136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769B68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2"/>
              </w:rPr>
              <w:t>PPV</w:t>
            </w:r>
          </w:p>
        </w:tc>
        <w:tc>
          <w:tcPr>
            <w:tcW w:w="136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063749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2"/>
              </w:rPr>
              <w:t>NPV</w:t>
            </w:r>
          </w:p>
        </w:tc>
      </w:tr>
      <w:tr w14:paraId="558DA4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686" w:type="dxa"/>
            <w:gridSpan w:val="5"/>
            <w:tcBorders>
              <w:top w:val="single" w:color="auto" w:sz="4" w:space="0"/>
            </w:tcBorders>
          </w:tcPr>
          <w:p w14:paraId="02B2317C">
            <w:pPr>
              <w:jc w:val="left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Initial IVIG resistance</w:t>
            </w:r>
          </w:p>
        </w:tc>
      </w:tr>
      <w:tr w14:paraId="1F71FC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  <w:tcBorders>
              <w:top w:val="single" w:color="auto" w:sz="4" w:space="0"/>
            </w:tcBorders>
          </w:tcPr>
          <w:p w14:paraId="4E0A46B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Kobayashi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[15]</w:t>
            </w:r>
          </w:p>
        </w:tc>
        <w:tc>
          <w:tcPr>
            <w:tcW w:w="2300" w:type="dxa"/>
            <w:tcBorders>
              <w:top w:val="single" w:color="auto" w:sz="4" w:space="0"/>
            </w:tcBorders>
            <w:vAlign w:val="top"/>
          </w:tcPr>
          <w:p w14:paraId="7CB734CE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65.1%</w:t>
            </w:r>
          </w:p>
        </w:tc>
        <w:tc>
          <w:tcPr>
            <w:tcW w:w="2300" w:type="dxa"/>
            <w:tcBorders>
              <w:top w:val="single" w:color="auto" w:sz="4" w:space="0"/>
            </w:tcBorders>
            <w:vAlign w:val="top"/>
          </w:tcPr>
          <w:p w14:paraId="43E5C14C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62.9%</w:t>
            </w:r>
          </w:p>
        </w:tc>
        <w:tc>
          <w:tcPr>
            <w:tcW w:w="1369" w:type="dxa"/>
            <w:tcBorders>
              <w:top w:val="single" w:color="auto" w:sz="4" w:space="0"/>
            </w:tcBorders>
            <w:vAlign w:val="top"/>
          </w:tcPr>
          <w:p w14:paraId="279D32E7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20.3%</w:t>
            </w:r>
          </w:p>
        </w:tc>
        <w:tc>
          <w:tcPr>
            <w:tcW w:w="1369" w:type="dxa"/>
            <w:tcBorders>
              <w:top w:val="single" w:color="auto" w:sz="4" w:space="0"/>
            </w:tcBorders>
            <w:vAlign w:val="top"/>
          </w:tcPr>
          <w:p w14:paraId="632B09F6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92.5%</w:t>
            </w:r>
          </w:p>
        </w:tc>
      </w:tr>
      <w:tr w14:paraId="58AEBA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</w:tcPr>
          <w:p w14:paraId="69BB5F6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Egami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[16]</w:t>
            </w:r>
          </w:p>
        </w:tc>
        <w:tc>
          <w:tcPr>
            <w:tcW w:w="2300" w:type="dxa"/>
            <w:vAlign w:val="top"/>
          </w:tcPr>
          <w:p w14:paraId="3D28E7A8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63.5%</w:t>
            </w:r>
          </w:p>
        </w:tc>
        <w:tc>
          <w:tcPr>
            <w:tcW w:w="2300" w:type="dxa"/>
            <w:vAlign w:val="top"/>
          </w:tcPr>
          <w:p w14:paraId="23B8F14E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58.5%</w:t>
            </w:r>
          </w:p>
        </w:tc>
        <w:tc>
          <w:tcPr>
            <w:tcW w:w="1369" w:type="dxa"/>
            <w:vAlign w:val="top"/>
          </w:tcPr>
          <w:p w14:paraId="5A045C6D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18.5%</w:t>
            </w:r>
          </w:p>
        </w:tc>
        <w:tc>
          <w:tcPr>
            <w:tcW w:w="1369" w:type="dxa"/>
            <w:vAlign w:val="top"/>
          </w:tcPr>
          <w:p w14:paraId="25F3530F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92.1%</w:t>
            </w:r>
          </w:p>
        </w:tc>
      </w:tr>
      <w:tr w14:paraId="35471D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</w:tcPr>
          <w:p w14:paraId="33B9373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Sano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[17]</w:t>
            </w:r>
          </w:p>
        </w:tc>
        <w:tc>
          <w:tcPr>
            <w:tcW w:w="2300" w:type="dxa"/>
            <w:vAlign w:val="center"/>
          </w:tcPr>
          <w:p w14:paraId="3703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34.2%</w:t>
            </w:r>
          </w:p>
        </w:tc>
        <w:tc>
          <w:tcPr>
            <w:tcW w:w="2300" w:type="dxa"/>
            <w:vAlign w:val="center"/>
          </w:tcPr>
          <w:p w14:paraId="533A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86.9%</w:t>
            </w:r>
          </w:p>
        </w:tc>
        <w:tc>
          <w:tcPr>
            <w:tcW w:w="1369" w:type="dxa"/>
            <w:vAlign w:val="center"/>
          </w:tcPr>
          <w:p w14:paraId="7960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26.5%</w:t>
            </w:r>
          </w:p>
        </w:tc>
        <w:tc>
          <w:tcPr>
            <w:tcW w:w="1369" w:type="dxa"/>
            <w:vAlign w:val="center"/>
          </w:tcPr>
          <w:p w14:paraId="710F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89.8%</w:t>
            </w:r>
          </w:p>
        </w:tc>
      </w:tr>
      <w:tr w14:paraId="6FAB9D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48" w:type="dxa"/>
          </w:tcPr>
          <w:p w14:paraId="3BAEBDB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Ming</w:t>
            </w: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’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s[18]</w:t>
            </w:r>
          </w:p>
        </w:tc>
        <w:tc>
          <w:tcPr>
            <w:tcW w:w="2300" w:type="dxa"/>
            <w:vAlign w:val="center"/>
          </w:tcPr>
          <w:p w14:paraId="360B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39.9%</w:t>
            </w:r>
          </w:p>
        </w:tc>
        <w:tc>
          <w:tcPr>
            <w:tcW w:w="2300" w:type="dxa"/>
            <w:vAlign w:val="center"/>
          </w:tcPr>
          <w:p w14:paraId="5CCB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80.4%</w:t>
            </w:r>
          </w:p>
        </w:tc>
        <w:tc>
          <w:tcPr>
            <w:tcW w:w="1369" w:type="dxa"/>
            <w:vAlign w:val="center"/>
          </w:tcPr>
          <w:p w14:paraId="0B1A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22.6%</w:t>
            </w:r>
          </w:p>
        </w:tc>
        <w:tc>
          <w:tcPr>
            <w:tcW w:w="1369" w:type="dxa"/>
            <w:vAlign w:val="center"/>
          </w:tcPr>
          <w:p w14:paraId="343F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90.3%</w:t>
            </w:r>
          </w:p>
        </w:tc>
      </w:tr>
      <w:tr w14:paraId="4E1200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</w:tcPr>
          <w:p w14:paraId="4DECB57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Yang</w:t>
            </w: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’s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[19]</w:t>
            </w:r>
          </w:p>
        </w:tc>
        <w:tc>
          <w:tcPr>
            <w:tcW w:w="2300" w:type="dxa"/>
            <w:vAlign w:val="center"/>
          </w:tcPr>
          <w:p w14:paraId="0C2F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52.2%</w:t>
            </w:r>
          </w:p>
        </w:tc>
        <w:tc>
          <w:tcPr>
            <w:tcW w:w="2300" w:type="dxa"/>
            <w:vAlign w:val="center"/>
          </w:tcPr>
          <w:p w14:paraId="1788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74.0%</w:t>
            </w:r>
          </w:p>
        </w:tc>
        <w:tc>
          <w:tcPr>
            <w:tcW w:w="1369" w:type="dxa"/>
            <w:vAlign w:val="center"/>
          </w:tcPr>
          <w:p w14:paraId="48F2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22.4%</w:t>
            </w:r>
          </w:p>
        </w:tc>
        <w:tc>
          <w:tcPr>
            <w:tcW w:w="1369" w:type="dxa"/>
            <w:vAlign w:val="center"/>
          </w:tcPr>
          <w:p w14:paraId="0BD6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91.5%</w:t>
            </w:r>
          </w:p>
        </w:tc>
      </w:tr>
      <w:tr w14:paraId="479794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</w:tcPr>
          <w:p w14:paraId="72760B6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Tang</w:t>
            </w: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’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s[20]</w:t>
            </w:r>
          </w:p>
        </w:tc>
        <w:tc>
          <w:tcPr>
            <w:tcW w:w="2300" w:type="dxa"/>
            <w:vAlign w:val="center"/>
          </w:tcPr>
          <w:p w14:paraId="1145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55.4%</w:t>
            </w:r>
          </w:p>
        </w:tc>
        <w:tc>
          <w:tcPr>
            <w:tcW w:w="2300" w:type="dxa"/>
            <w:vAlign w:val="center"/>
          </w:tcPr>
          <w:p w14:paraId="7555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68.9%</w:t>
            </w:r>
          </w:p>
        </w:tc>
        <w:tc>
          <w:tcPr>
            <w:tcW w:w="1369" w:type="dxa"/>
            <w:vAlign w:val="center"/>
          </w:tcPr>
          <w:p w14:paraId="50DA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20.5%</w:t>
            </w:r>
          </w:p>
        </w:tc>
        <w:tc>
          <w:tcPr>
            <w:tcW w:w="1369" w:type="dxa"/>
            <w:vAlign w:val="center"/>
          </w:tcPr>
          <w:p w14:paraId="2C7E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91.4%</w:t>
            </w:r>
          </w:p>
        </w:tc>
      </w:tr>
      <w:tr w14:paraId="1F5DAA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686" w:type="dxa"/>
            <w:gridSpan w:val="5"/>
          </w:tcPr>
          <w:p w14:paraId="5FA02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Repeated IVIG resistence</w:t>
            </w:r>
          </w:p>
        </w:tc>
      </w:tr>
      <w:tr w14:paraId="379480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  <w:vAlign w:val="top"/>
          </w:tcPr>
          <w:p w14:paraId="13B0A91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Kobayashi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[15]</w:t>
            </w:r>
          </w:p>
        </w:tc>
        <w:tc>
          <w:tcPr>
            <w:tcW w:w="2300" w:type="dxa"/>
            <w:vAlign w:val="top"/>
          </w:tcPr>
          <w:p w14:paraId="109F9A00">
            <w:pPr>
              <w:jc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69.9%</w:t>
            </w:r>
          </w:p>
        </w:tc>
        <w:tc>
          <w:tcPr>
            <w:tcW w:w="2300" w:type="dxa"/>
            <w:vAlign w:val="top"/>
          </w:tcPr>
          <w:p w14:paraId="6D8120EB">
            <w:pPr>
              <w:jc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38.7%</w:t>
            </w:r>
          </w:p>
        </w:tc>
        <w:tc>
          <w:tcPr>
            <w:tcW w:w="1369" w:type="dxa"/>
            <w:vAlign w:val="top"/>
          </w:tcPr>
          <w:p w14:paraId="2BFFA274">
            <w:pPr>
              <w:jc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47.2%</w:t>
            </w:r>
          </w:p>
        </w:tc>
        <w:tc>
          <w:tcPr>
            <w:tcW w:w="1369" w:type="dxa"/>
            <w:vAlign w:val="top"/>
          </w:tcPr>
          <w:p w14:paraId="1BA9815E">
            <w:pPr>
              <w:jc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62.1%</w:t>
            </w:r>
          </w:p>
        </w:tc>
      </w:tr>
      <w:tr w14:paraId="0B0BB7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  <w:vAlign w:val="top"/>
          </w:tcPr>
          <w:p w14:paraId="4E767A9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Egami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[16]</w:t>
            </w:r>
          </w:p>
        </w:tc>
        <w:tc>
          <w:tcPr>
            <w:tcW w:w="2300" w:type="dxa"/>
            <w:vAlign w:val="center"/>
          </w:tcPr>
          <w:p w14:paraId="797B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65.9%</w:t>
            </w:r>
          </w:p>
        </w:tc>
        <w:tc>
          <w:tcPr>
            <w:tcW w:w="2300" w:type="dxa"/>
            <w:vAlign w:val="center"/>
          </w:tcPr>
          <w:p w14:paraId="28DF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35.2%</w:t>
            </w:r>
          </w:p>
        </w:tc>
        <w:tc>
          <w:tcPr>
            <w:tcW w:w="1369" w:type="dxa"/>
            <w:vAlign w:val="top"/>
          </w:tcPr>
          <w:p w14:paraId="5CC5077A">
            <w:pPr>
              <w:jc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44.4%</w:t>
            </w:r>
          </w:p>
        </w:tc>
        <w:tc>
          <w:tcPr>
            <w:tcW w:w="1369" w:type="dxa"/>
            <w:vAlign w:val="top"/>
          </w:tcPr>
          <w:p w14:paraId="2F6EA154">
            <w:pPr>
              <w:jc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56.7%</w:t>
            </w:r>
          </w:p>
        </w:tc>
      </w:tr>
      <w:tr w14:paraId="54CA3E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  <w:vAlign w:val="top"/>
          </w:tcPr>
          <w:p w14:paraId="25A39F0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Sano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[17]</w:t>
            </w:r>
          </w:p>
        </w:tc>
        <w:tc>
          <w:tcPr>
            <w:tcW w:w="2300" w:type="dxa"/>
            <w:vAlign w:val="center"/>
          </w:tcPr>
          <w:p w14:paraId="35A2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34.1%</w:t>
            </w:r>
          </w:p>
        </w:tc>
        <w:tc>
          <w:tcPr>
            <w:tcW w:w="2300" w:type="dxa"/>
            <w:vAlign w:val="center"/>
          </w:tcPr>
          <w:p w14:paraId="5E53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68.9%</w:t>
            </w:r>
          </w:p>
        </w:tc>
        <w:tc>
          <w:tcPr>
            <w:tcW w:w="1369" w:type="dxa"/>
            <w:vAlign w:val="center"/>
          </w:tcPr>
          <w:p w14:paraId="71EA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45.9%</w:t>
            </w:r>
          </w:p>
        </w:tc>
        <w:tc>
          <w:tcPr>
            <w:tcW w:w="1369" w:type="dxa"/>
            <w:vAlign w:val="center"/>
          </w:tcPr>
          <w:p w14:paraId="45E3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57.5%</w:t>
            </w:r>
          </w:p>
        </w:tc>
      </w:tr>
      <w:tr w14:paraId="00CE31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  <w:vAlign w:val="top"/>
          </w:tcPr>
          <w:p w14:paraId="7B20012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Ming</w:t>
            </w: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’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s[18]</w:t>
            </w:r>
          </w:p>
        </w:tc>
        <w:tc>
          <w:tcPr>
            <w:tcW w:w="2300" w:type="dxa"/>
            <w:vAlign w:val="center"/>
          </w:tcPr>
          <w:p w14:paraId="685C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52.9%</w:t>
            </w:r>
          </w:p>
        </w:tc>
        <w:tc>
          <w:tcPr>
            <w:tcW w:w="2300" w:type="dxa"/>
            <w:vAlign w:val="center"/>
          </w:tcPr>
          <w:p w14:paraId="41BA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70.4%</w:t>
            </w:r>
          </w:p>
        </w:tc>
        <w:tc>
          <w:tcPr>
            <w:tcW w:w="1369" w:type="dxa"/>
            <w:vAlign w:val="center"/>
          </w:tcPr>
          <w:p w14:paraId="3A8C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58.4%</w:t>
            </w:r>
          </w:p>
        </w:tc>
        <w:tc>
          <w:tcPr>
            <w:tcW w:w="1369" w:type="dxa"/>
            <w:vAlign w:val="center"/>
          </w:tcPr>
          <w:p w14:paraId="6C8B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65.5%</w:t>
            </w:r>
          </w:p>
        </w:tc>
      </w:tr>
      <w:tr w14:paraId="388259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  <w:vAlign w:val="top"/>
          </w:tcPr>
          <w:p w14:paraId="39F0134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Yang</w:t>
            </w: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’s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[19]</w:t>
            </w:r>
          </w:p>
        </w:tc>
        <w:tc>
          <w:tcPr>
            <w:tcW w:w="2300" w:type="dxa"/>
            <w:vAlign w:val="center"/>
          </w:tcPr>
          <w:p w14:paraId="5FFFE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61.4%</w:t>
            </w:r>
          </w:p>
        </w:tc>
        <w:tc>
          <w:tcPr>
            <w:tcW w:w="2300" w:type="dxa"/>
            <w:vAlign w:val="center"/>
          </w:tcPr>
          <w:p w14:paraId="2359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54.9%</w:t>
            </w:r>
          </w:p>
        </w:tc>
        <w:tc>
          <w:tcPr>
            <w:tcW w:w="1369" w:type="dxa"/>
            <w:vAlign w:val="center"/>
          </w:tcPr>
          <w:p w14:paraId="0226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51.4%</w:t>
            </w:r>
          </w:p>
        </w:tc>
        <w:tc>
          <w:tcPr>
            <w:tcW w:w="1369" w:type="dxa"/>
            <w:vAlign w:val="center"/>
          </w:tcPr>
          <w:p w14:paraId="58A8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64.6%</w:t>
            </w:r>
          </w:p>
        </w:tc>
      </w:tr>
      <w:tr w14:paraId="613146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348" w:type="dxa"/>
            <w:vAlign w:val="top"/>
          </w:tcPr>
          <w:p w14:paraId="0AB5B53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Tang</w:t>
            </w:r>
            <w:r>
              <w:rPr>
                <w:rFonts w:hint="default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’</w:t>
            </w: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s[20]</w:t>
            </w:r>
          </w:p>
        </w:tc>
        <w:tc>
          <w:tcPr>
            <w:tcW w:w="2300" w:type="dxa"/>
            <w:vAlign w:val="center"/>
          </w:tcPr>
          <w:p w14:paraId="03A8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69.4%</w:t>
            </w:r>
          </w:p>
        </w:tc>
        <w:tc>
          <w:tcPr>
            <w:tcW w:w="2300" w:type="dxa"/>
            <w:vAlign w:val="center"/>
          </w:tcPr>
          <w:p w14:paraId="5004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55.6%</w:t>
            </w:r>
          </w:p>
        </w:tc>
        <w:tc>
          <w:tcPr>
            <w:tcW w:w="1369" w:type="dxa"/>
            <w:vAlign w:val="center"/>
          </w:tcPr>
          <w:p w14:paraId="5F71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44.0%</w:t>
            </w:r>
          </w:p>
        </w:tc>
        <w:tc>
          <w:tcPr>
            <w:tcW w:w="1369" w:type="dxa"/>
            <w:vAlign w:val="center"/>
          </w:tcPr>
          <w:p w14:paraId="37C5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2"/>
                <w:szCs w:val="24"/>
                <w:lang w:val="en-US" w:eastAsia="zh-CN" w:bidi="ar-SA"/>
              </w:rPr>
              <w:t>69.8%</w:t>
            </w:r>
          </w:p>
        </w:tc>
      </w:tr>
    </w:tbl>
    <w:p w14:paraId="1BC09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6E6A7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Sen: sensitivity; Spe: specificity;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PPV: positive predictive value; NPV: negative predictive value; </w:t>
      </w:r>
    </w:p>
    <w:p w14:paraId="5E9CD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3ZGYxOWY1ZDZhYzc3Mzc4MTA3NzFlMmFhNjhhMTUifQ=="/>
  </w:docVars>
  <w:rsids>
    <w:rsidRoot w:val="009D29A8"/>
    <w:rsid w:val="000311BD"/>
    <w:rsid w:val="000660C4"/>
    <w:rsid w:val="0008447B"/>
    <w:rsid w:val="00093842"/>
    <w:rsid w:val="000E4A86"/>
    <w:rsid w:val="00166CBC"/>
    <w:rsid w:val="001A655F"/>
    <w:rsid w:val="0020183C"/>
    <w:rsid w:val="0024088C"/>
    <w:rsid w:val="002A7012"/>
    <w:rsid w:val="002D3D20"/>
    <w:rsid w:val="00336778"/>
    <w:rsid w:val="0038467F"/>
    <w:rsid w:val="003A51E1"/>
    <w:rsid w:val="003C5099"/>
    <w:rsid w:val="004341BC"/>
    <w:rsid w:val="00453FB3"/>
    <w:rsid w:val="00476CAB"/>
    <w:rsid w:val="00490444"/>
    <w:rsid w:val="004A52B5"/>
    <w:rsid w:val="004D6F3C"/>
    <w:rsid w:val="004E62C4"/>
    <w:rsid w:val="00501A3A"/>
    <w:rsid w:val="00504BE0"/>
    <w:rsid w:val="00596D96"/>
    <w:rsid w:val="005F158B"/>
    <w:rsid w:val="00675F80"/>
    <w:rsid w:val="006C5758"/>
    <w:rsid w:val="007472BA"/>
    <w:rsid w:val="007977A6"/>
    <w:rsid w:val="00820F3C"/>
    <w:rsid w:val="00883D22"/>
    <w:rsid w:val="008A57EC"/>
    <w:rsid w:val="008F34D6"/>
    <w:rsid w:val="009D29A8"/>
    <w:rsid w:val="00A25251"/>
    <w:rsid w:val="00A36D8C"/>
    <w:rsid w:val="00A77974"/>
    <w:rsid w:val="00A96917"/>
    <w:rsid w:val="00AE3E24"/>
    <w:rsid w:val="00B31C9B"/>
    <w:rsid w:val="00B36FA6"/>
    <w:rsid w:val="00B66B69"/>
    <w:rsid w:val="00C12DCC"/>
    <w:rsid w:val="00C2393E"/>
    <w:rsid w:val="00C95B07"/>
    <w:rsid w:val="00CB1EB4"/>
    <w:rsid w:val="00CD5A7D"/>
    <w:rsid w:val="00D5140D"/>
    <w:rsid w:val="00D54FAC"/>
    <w:rsid w:val="00D87AE5"/>
    <w:rsid w:val="00E31A73"/>
    <w:rsid w:val="00E31A7A"/>
    <w:rsid w:val="00E92001"/>
    <w:rsid w:val="00F44554"/>
    <w:rsid w:val="00F75E7C"/>
    <w:rsid w:val="01CD344B"/>
    <w:rsid w:val="02443CCC"/>
    <w:rsid w:val="02CC3234"/>
    <w:rsid w:val="04D479D0"/>
    <w:rsid w:val="052D4EEB"/>
    <w:rsid w:val="082500FC"/>
    <w:rsid w:val="08B35707"/>
    <w:rsid w:val="09577EC7"/>
    <w:rsid w:val="0D480B91"/>
    <w:rsid w:val="0E4D1C6D"/>
    <w:rsid w:val="0E5D0C66"/>
    <w:rsid w:val="0EBB38BF"/>
    <w:rsid w:val="12952C28"/>
    <w:rsid w:val="12B67FD5"/>
    <w:rsid w:val="175A0E81"/>
    <w:rsid w:val="17740758"/>
    <w:rsid w:val="177A2E47"/>
    <w:rsid w:val="177E12DF"/>
    <w:rsid w:val="1A083064"/>
    <w:rsid w:val="1AE45BF4"/>
    <w:rsid w:val="1B207EA5"/>
    <w:rsid w:val="1D4E55A7"/>
    <w:rsid w:val="1D646B79"/>
    <w:rsid w:val="1FCD6C57"/>
    <w:rsid w:val="20987265"/>
    <w:rsid w:val="21780E44"/>
    <w:rsid w:val="22215EFF"/>
    <w:rsid w:val="2664256D"/>
    <w:rsid w:val="267B6896"/>
    <w:rsid w:val="27005B64"/>
    <w:rsid w:val="28626160"/>
    <w:rsid w:val="28C26B9A"/>
    <w:rsid w:val="299802D6"/>
    <w:rsid w:val="2ACA3F3D"/>
    <w:rsid w:val="2CAD346E"/>
    <w:rsid w:val="30550CCF"/>
    <w:rsid w:val="306E7FE2"/>
    <w:rsid w:val="30E92B38"/>
    <w:rsid w:val="31567360"/>
    <w:rsid w:val="35035450"/>
    <w:rsid w:val="358838F4"/>
    <w:rsid w:val="38642E9C"/>
    <w:rsid w:val="3B936B4F"/>
    <w:rsid w:val="3C235CBD"/>
    <w:rsid w:val="3CAF04F7"/>
    <w:rsid w:val="3D6D517E"/>
    <w:rsid w:val="3F836EDA"/>
    <w:rsid w:val="3FF75876"/>
    <w:rsid w:val="41724319"/>
    <w:rsid w:val="41BB7531"/>
    <w:rsid w:val="43325CD8"/>
    <w:rsid w:val="43D7048C"/>
    <w:rsid w:val="44443463"/>
    <w:rsid w:val="47D633D4"/>
    <w:rsid w:val="48E1714C"/>
    <w:rsid w:val="493617F0"/>
    <w:rsid w:val="4A77763C"/>
    <w:rsid w:val="4AFD5D93"/>
    <w:rsid w:val="4B17324F"/>
    <w:rsid w:val="4B6C57CF"/>
    <w:rsid w:val="51BA678C"/>
    <w:rsid w:val="52000BC3"/>
    <w:rsid w:val="536D660D"/>
    <w:rsid w:val="53CF4C12"/>
    <w:rsid w:val="57CB5271"/>
    <w:rsid w:val="5B4D3EFA"/>
    <w:rsid w:val="5C514D27"/>
    <w:rsid w:val="5CDE03CD"/>
    <w:rsid w:val="5CF76AE6"/>
    <w:rsid w:val="5F10773B"/>
    <w:rsid w:val="613953B8"/>
    <w:rsid w:val="61CD6067"/>
    <w:rsid w:val="629253D6"/>
    <w:rsid w:val="63671084"/>
    <w:rsid w:val="660F30F2"/>
    <w:rsid w:val="66A06D5E"/>
    <w:rsid w:val="674D5765"/>
    <w:rsid w:val="691B2F82"/>
    <w:rsid w:val="69A72B7E"/>
    <w:rsid w:val="6C2140CC"/>
    <w:rsid w:val="6C517DAF"/>
    <w:rsid w:val="6F3A1690"/>
    <w:rsid w:val="70101441"/>
    <w:rsid w:val="72082BC5"/>
    <w:rsid w:val="72B60337"/>
    <w:rsid w:val="77455749"/>
    <w:rsid w:val="7A9331AA"/>
    <w:rsid w:val="7B492FBA"/>
    <w:rsid w:val="7D456FA2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table" w:customStyle="1" w:styleId="10">
    <w:name w:val="无格式表格 21"/>
    <w:basedOn w:val="4"/>
    <w:qFormat/>
    <w:uiPriority w:val="42"/>
    <w:rPr>
      <w:rFonts w:ascii="Times New Roman" w:hAnsi="Times New Roman" w:eastAsia="Times New Roman" w:cs="Times New Roman"/>
    </w:rPr>
    <w:tblPr>
      <w:tblBorders>
        <w:top w:val="single" w:color="7E7E7E" w:sz="4" w:space="0"/>
        <w:bottom w:val="single" w:color="7E7E7E" w:sz="4" w:space="0"/>
      </w:tblBorders>
    </w:tblPr>
    <w:tblStylePr w:type="firstRow">
      <w:rPr>
        <w:rFonts w:hint="default" w:ascii="Times New Roman" w:hAnsi="Times New Roman" w:cs="Times New Roman"/>
        <w:b/>
        <w:bCs/>
      </w:rPr>
      <w:tcPr>
        <w:tcBorders>
          <w:bottom w:val="single" w:color="7E7E7E" w:sz="4" w:space="0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7E7E7E" w:sz="4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2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1Horz">
      <w:tcPr>
        <w:tcBorders>
          <w:top w:val="single" w:color="7E7E7E" w:sz="4" w:space="0"/>
          <w:bottom w:val="single" w:color="7E7E7E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610</Characters>
  <Lines>4</Lines>
  <Paragraphs>1</Paragraphs>
  <TotalTime>0</TotalTime>
  <ScaleCrop>false</ScaleCrop>
  <LinksUpToDate>false</LinksUpToDate>
  <CharactersWithSpaces>640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2018-09-12T11:36:00Z</dcterms:created>
  <dc:creator>王 振豪</dc:creator>
  <cp:lastModifiedBy>Yaru Cui</cp:lastModifiedBy>
  <dcterms:modified xsi:type="dcterms:W3CDTF">2024-11-21T03:01:51Z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46C2E3F7F905459ABD617DEFE14610F0</vt:lpwstr>
  </property>
</Properties>
</file>