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3B6D4" w14:textId="77777777" w:rsidR="004C5C28" w:rsidRPr="00217B56" w:rsidRDefault="004C5C28" w:rsidP="004C5C28">
      <w:pPr>
        <w:jc w:val="center"/>
        <w:rPr>
          <w:rFonts w:ascii="Times New Roman" w:hAnsi="Times New Roman" w:cs="Times New Roman"/>
          <w:sz w:val="24"/>
          <w:szCs w:val="24"/>
        </w:rPr>
      </w:pPr>
      <w:r w:rsidRPr="00217B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9B6BBC" wp14:editId="7B6D0215">
            <wp:extent cx="5040000" cy="227607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" t="16500" r="-1" b="1582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27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9E4F2" w14:textId="77777777" w:rsidR="004C5C28" w:rsidRPr="00217B56" w:rsidRDefault="004C5C28" w:rsidP="004C5C28">
      <w:pPr>
        <w:pStyle w:val="EndNoteBibliography"/>
        <w:spacing w:line="0" w:lineRule="atLeast"/>
        <w:rPr>
          <w:rFonts w:ascii="Times New Roman" w:hAnsi="Times New Roman" w:cs="Times New Roman"/>
          <w:bCs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t xml:space="preserve">Extended Data Fig.1 | The mechanism to perform signed vector inner product </w:t>
      </w:r>
      <w:r w:rsidRPr="00217B56">
        <w:rPr>
          <w:rFonts w:ascii="Times New Roman" w:hAnsi="Times New Roman" w:cs="Times New Roman"/>
          <w:b/>
          <w:bCs/>
          <w:i/>
          <w:sz w:val="24"/>
        </w:rPr>
        <w:t>A</w:t>
      </w:r>
      <m:oMath>
        <m:r>
          <m:rPr>
            <m:nor/>
          </m:rPr>
          <w:rPr>
            <w:rFonts w:ascii="Times New Roman" w:hAnsi="Times New Roman" w:cs="Times New Roman"/>
            <w:b/>
            <w:sz w:val="24"/>
          </w:rPr>
          <m:t>∙</m:t>
        </m:r>
      </m:oMath>
      <w:r w:rsidRPr="00217B56">
        <w:rPr>
          <w:rFonts w:ascii="Times New Roman" w:hAnsi="Times New Roman" w:cs="Times New Roman"/>
          <w:b/>
          <w:bCs/>
          <w:i/>
          <w:sz w:val="24"/>
        </w:rPr>
        <w:t>B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 with </w:t>
      </w:r>
      <w:r w:rsidRPr="00217B56">
        <w:rPr>
          <w:rFonts w:ascii="Times New Roman" w:hAnsi="Times New Roman" w:cs="Times New Roman"/>
          <w:b/>
          <w:bCs/>
          <w:i/>
          <w:sz w:val="24"/>
        </w:rPr>
        <w:t>N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 sets of 2×</w:t>
      </w:r>
      <w:r w:rsidRPr="00217B56">
        <w:rPr>
          <w:rFonts w:ascii="Times New Roman" w:hAnsi="Times New Roman" w:cs="Times New Roman"/>
          <w:b/>
          <w:bCs/>
          <w:i/>
          <w:sz w:val="24"/>
        </w:rPr>
        <w:t>M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 BEADs.</w:t>
      </w:r>
    </w:p>
    <w:p w14:paraId="6760D86D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sz w:val="24"/>
        </w:rPr>
        <w:br w:type="page"/>
      </w:r>
    </w:p>
    <w:p w14:paraId="095BB680" w14:textId="77777777" w:rsidR="004C5C28" w:rsidRPr="00217B56" w:rsidRDefault="004C5C28" w:rsidP="004C5C28">
      <w:pPr>
        <w:pStyle w:val="EndNoteBibliography"/>
        <w:ind w:left="720" w:hanging="720"/>
        <w:jc w:val="center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A1987E8" wp14:editId="707FC8D0">
            <wp:extent cx="5040000" cy="1970248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7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50B5E" w14:textId="77777777" w:rsidR="004C5C28" w:rsidRPr="00217B56" w:rsidRDefault="004C5C28" w:rsidP="004C5C28">
      <w:pPr>
        <w:pStyle w:val="EndNoteBibliography"/>
        <w:spacing w:line="0" w:lineRule="atLeast"/>
        <w:rPr>
          <w:rFonts w:ascii="Times New Roman" w:hAnsi="Times New Roman" w:cs="Times New Roman"/>
          <w:b/>
          <w:bCs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t>Extended Data Fig.2 | Schematic fabrication process of MoTe</w:t>
      </w:r>
      <w:r w:rsidRPr="00217B56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 PD array.</w:t>
      </w:r>
    </w:p>
    <w:p w14:paraId="0B41D7D7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sz w:val="24"/>
        </w:rPr>
        <w:br w:type="page"/>
      </w:r>
    </w:p>
    <w:p w14:paraId="7801F98A" w14:textId="77777777" w:rsidR="004C5C28" w:rsidRPr="00217B56" w:rsidRDefault="004C5C28" w:rsidP="004C5C28">
      <w:pPr>
        <w:jc w:val="center"/>
        <w:rPr>
          <w:rFonts w:ascii="Times New Roman" w:hAnsi="Times New Roman" w:cs="Times New Roman"/>
          <w:sz w:val="24"/>
          <w:szCs w:val="24"/>
        </w:rPr>
      </w:pPr>
      <w:r w:rsidRPr="00217B56">
        <w:rPr>
          <w:noProof/>
          <w:sz w:val="24"/>
          <w:szCs w:val="24"/>
        </w:rPr>
        <w:lastRenderedPageBreak/>
        <w:drawing>
          <wp:inline distT="0" distB="0" distL="0" distR="0" wp14:anchorId="7147C53A" wp14:editId="69663109">
            <wp:extent cx="5040000" cy="4062222"/>
            <wp:effectExtent l="0" t="0" r="825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062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CF2A4D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t>Extended Data Fig.3 | Output intensity of each VCSEL.</w:t>
      </w:r>
    </w:p>
    <w:p w14:paraId="6C96BFE2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sz w:val="24"/>
        </w:rPr>
        <w:br w:type="page"/>
      </w:r>
    </w:p>
    <w:p w14:paraId="6E4C414D" w14:textId="77777777" w:rsidR="004C5C28" w:rsidRPr="00217B56" w:rsidRDefault="004C5C28" w:rsidP="004C5C28">
      <w:pPr>
        <w:pStyle w:val="EndNoteBibliography"/>
        <w:jc w:val="center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07426ED" wp14:editId="530600DA">
            <wp:extent cx="5040000" cy="4061247"/>
            <wp:effectExtent l="0" t="0" r="825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061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21F14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t xml:space="preserve">Extended Data Fig.4 | </w:t>
      </w:r>
      <w:r w:rsidRPr="00217B56">
        <w:rPr>
          <w:rFonts w:ascii="Times New Roman" w:hAnsi="Times New Roman" w:cs="Times New Roman"/>
          <w:b/>
          <w:bCs/>
          <w:i/>
          <w:sz w:val="24"/>
        </w:rPr>
        <w:t>I</w:t>
      </w:r>
      <w:r w:rsidRPr="00217B56">
        <w:rPr>
          <w:rFonts w:ascii="Times New Roman" w:hAnsi="Times New Roman" w:cs="Times New Roman"/>
          <w:b/>
          <w:bCs/>
          <w:sz w:val="24"/>
        </w:rPr>
        <w:t>-</w:t>
      </w:r>
      <w:r w:rsidRPr="00217B56">
        <w:rPr>
          <w:rFonts w:ascii="Times New Roman" w:hAnsi="Times New Roman" w:cs="Times New Roman"/>
          <w:b/>
          <w:bCs/>
          <w:i/>
          <w:sz w:val="24"/>
        </w:rPr>
        <w:t>V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 curve of each MoTe</w:t>
      </w:r>
      <w:r w:rsidRPr="00217B56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 PD.</w:t>
      </w:r>
    </w:p>
    <w:p w14:paraId="7B1F490F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sz w:val="24"/>
        </w:rPr>
        <w:br w:type="page"/>
      </w:r>
    </w:p>
    <w:p w14:paraId="7A42BBF5" w14:textId="77777777" w:rsidR="004C5C28" w:rsidRPr="00217B56" w:rsidRDefault="004C5C28" w:rsidP="004C5C28">
      <w:pPr>
        <w:jc w:val="center"/>
        <w:rPr>
          <w:b/>
          <w:sz w:val="24"/>
          <w:szCs w:val="24"/>
        </w:rPr>
      </w:pPr>
      <w:r w:rsidRPr="00217B56">
        <w:rPr>
          <w:b/>
          <w:noProof/>
          <w:sz w:val="24"/>
          <w:szCs w:val="24"/>
        </w:rPr>
        <w:lastRenderedPageBreak/>
        <w:drawing>
          <wp:inline distT="0" distB="0" distL="0" distR="0" wp14:anchorId="285B9239" wp14:editId="5C05652E">
            <wp:extent cx="5040000" cy="3995431"/>
            <wp:effectExtent l="0" t="0" r="825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995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319B6A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t>Extended Data Fig.5 | Photocurrents of each MoTe</w:t>
      </w:r>
      <w:r w:rsidRPr="00217B56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 PD at </w:t>
      </w:r>
      <w:r w:rsidRPr="00217B56">
        <w:rPr>
          <w:rFonts w:ascii="Times New Roman" w:hAnsi="Times New Roman" w:cs="Times New Roman"/>
          <w:b/>
          <w:bCs/>
          <w:i/>
          <w:sz w:val="24"/>
        </w:rPr>
        <w:t>a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=25, 50, 75 and 100. </w:t>
      </w:r>
      <w:r w:rsidRPr="00217B56">
        <w:rPr>
          <w:rFonts w:ascii="Times New Roman" w:hAnsi="Times New Roman" w:cs="Times New Roman"/>
          <w:bCs/>
          <w:sz w:val="24"/>
        </w:rPr>
        <w:t>For each detector, the bias voltage is 2 V. For each VCSEL, the duty ratio of driving current is 25%, 50%, 75% and 100%.</w:t>
      </w:r>
    </w:p>
    <w:p w14:paraId="232423A0" w14:textId="77777777" w:rsidR="004C5C28" w:rsidRPr="00217B56" w:rsidRDefault="004C5C28" w:rsidP="004C5C28">
      <w:pPr>
        <w:widowControl/>
        <w:jc w:val="left"/>
        <w:rPr>
          <w:b/>
          <w:sz w:val="24"/>
          <w:szCs w:val="24"/>
        </w:rPr>
      </w:pPr>
      <w:r w:rsidRPr="00217B56">
        <w:rPr>
          <w:b/>
          <w:sz w:val="24"/>
          <w:szCs w:val="24"/>
        </w:rPr>
        <w:br w:type="page"/>
      </w:r>
    </w:p>
    <w:p w14:paraId="3C777D2E" w14:textId="77777777" w:rsidR="004C5C28" w:rsidRPr="00217B56" w:rsidRDefault="004C5C28" w:rsidP="004C5C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7B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60772B2" wp14:editId="76C80076">
            <wp:extent cx="5040000" cy="6012923"/>
            <wp:effectExtent l="0" t="0" r="825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60129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0A0F33" w14:textId="77777777" w:rsidR="004C5C28" w:rsidRPr="00217B56" w:rsidRDefault="004C5C28" w:rsidP="004C5C28">
      <w:pPr>
        <w:pStyle w:val="EndNoteBibliography"/>
        <w:spacing w:line="0" w:lineRule="atLeast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t>Extended Data Fig.6 | Statistical Uniformity of the VCSEL array and MoTe</w:t>
      </w:r>
      <w:r w:rsidRPr="00217B56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 PD array. a-b, </w:t>
      </w:r>
      <w:r w:rsidRPr="00217B56">
        <w:rPr>
          <w:rFonts w:ascii="Times New Roman" w:hAnsi="Times New Roman" w:cs="Times New Roman"/>
          <w:sz w:val="24"/>
        </w:rPr>
        <w:t>The hold-state current mapping and statistical analysis of 8×8 MoTe</w:t>
      </w:r>
      <w:r w:rsidRPr="00217B56">
        <w:rPr>
          <w:rFonts w:ascii="Times New Roman" w:hAnsi="Times New Roman" w:cs="Times New Roman"/>
          <w:sz w:val="24"/>
          <w:vertAlign w:val="subscript"/>
        </w:rPr>
        <w:t>2</w:t>
      </w:r>
      <w:r w:rsidRPr="00217B56">
        <w:rPr>
          <w:rFonts w:ascii="Times New Roman" w:hAnsi="Times New Roman" w:cs="Times New Roman"/>
          <w:sz w:val="24"/>
        </w:rPr>
        <w:t xml:space="preserve"> PD array without illumination at 2 V bias voltage. 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c-d, </w:t>
      </w:r>
      <w:r w:rsidRPr="00217B56">
        <w:rPr>
          <w:rFonts w:ascii="Times New Roman" w:hAnsi="Times New Roman" w:cs="Times New Roman"/>
          <w:sz w:val="24"/>
        </w:rPr>
        <w:t xml:space="preserve">The hold-state output intensity mapping and statistical analysis of 8×8 VCSEL array at 75% duty ratio driving current. 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e-f, </w:t>
      </w:r>
      <w:r w:rsidRPr="00217B56">
        <w:rPr>
          <w:rFonts w:ascii="Times New Roman" w:hAnsi="Times New Roman" w:cs="Times New Roman"/>
          <w:sz w:val="24"/>
        </w:rPr>
        <w:t>The hold-state responsivity mapping and statistical analysis of 8×8 MoTe</w:t>
      </w:r>
      <w:r w:rsidRPr="00217B56">
        <w:rPr>
          <w:rFonts w:ascii="Times New Roman" w:hAnsi="Times New Roman" w:cs="Times New Roman"/>
          <w:sz w:val="24"/>
          <w:vertAlign w:val="subscript"/>
        </w:rPr>
        <w:t>2</w:t>
      </w:r>
      <w:r w:rsidRPr="00217B56">
        <w:rPr>
          <w:rFonts w:ascii="Times New Roman" w:hAnsi="Times New Roman" w:cs="Times New Roman"/>
          <w:sz w:val="24"/>
        </w:rPr>
        <w:t xml:space="preserve"> PD array at 2 V bias-voltage.</w:t>
      </w:r>
    </w:p>
    <w:p w14:paraId="4FF5E7ED" w14:textId="77777777" w:rsidR="004C5C28" w:rsidRPr="00217B56" w:rsidRDefault="004C5C28" w:rsidP="004C5C28">
      <w:pPr>
        <w:rPr>
          <w:b/>
          <w:sz w:val="24"/>
          <w:szCs w:val="24"/>
        </w:rPr>
      </w:pPr>
      <w:r w:rsidRPr="00217B56">
        <w:rPr>
          <w:b/>
          <w:sz w:val="24"/>
          <w:szCs w:val="24"/>
        </w:rPr>
        <w:br w:type="page"/>
      </w:r>
    </w:p>
    <w:p w14:paraId="27CF451E" w14:textId="77777777" w:rsidR="004C5C28" w:rsidRPr="00217B56" w:rsidRDefault="004C5C28" w:rsidP="004C5C28">
      <w:pPr>
        <w:pStyle w:val="EndNoteBibliography"/>
        <w:jc w:val="center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1C69AFC" wp14:editId="6B34B9F1">
            <wp:extent cx="5040000" cy="2224331"/>
            <wp:effectExtent l="0" t="0" r="0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2243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9B5774" w14:textId="77777777" w:rsidR="004C5C28" w:rsidRPr="00217B56" w:rsidRDefault="004C5C28" w:rsidP="004C5C28">
      <w:pPr>
        <w:pStyle w:val="EndNoteBibliography"/>
        <w:spacing w:line="0" w:lineRule="atLeast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t>Extended Data Fig.7 | The VCSEL array (a) and MoTe</w:t>
      </w:r>
      <w:r w:rsidRPr="00217B56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 PD array (b) are connected to self-designed printed circuit boards using wire-bonding technology.</w:t>
      </w:r>
    </w:p>
    <w:p w14:paraId="4376E8E3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sz w:val="24"/>
        </w:rPr>
        <w:br w:type="page"/>
      </w:r>
    </w:p>
    <w:p w14:paraId="43D12DF2" w14:textId="77777777" w:rsidR="004C5C28" w:rsidRPr="00217B56" w:rsidRDefault="004C5C28" w:rsidP="004C5C28">
      <w:pPr>
        <w:pStyle w:val="EndNoteBibliography"/>
        <w:jc w:val="center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0CE5141" wp14:editId="66100A72">
            <wp:extent cx="5040000" cy="2832852"/>
            <wp:effectExtent l="0" t="0" r="8255" b="57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328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DC82D1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t>Extended Data Fig.8 | Optical image of the experimental setup.</w:t>
      </w:r>
    </w:p>
    <w:p w14:paraId="089366F8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sz w:val="24"/>
        </w:rPr>
        <w:br w:type="page"/>
      </w:r>
    </w:p>
    <w:p w14:paraId="19E1DFCF" w14:textId="77777777" w:rsidR="004C5C28" w:rsidRPr="00217B56" w:rsidRDefault="004C5C28" w:rsidP="004C5C28">
      <w:pPr>
        <w:pStyle w:val="EndNoteBibliography"/>
        <w:jc w:val="center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06D9D78" wp14:editId="583EC734">
            <wp:extent cx="5040000" cy="2149395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149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53C605" w14:textId="77777777" w:rsidR="004C5C28" w:rsidRPr="00217B56" w:rsidRDefault="004C5C28" w:rsidP="004C5C28">
      <w:pPr>
        <w:pStyle w:val="EndNoteBibliography"/>
        <w:spacing w:line="0" w:lineRule="atLeast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t xml:space="preserve">Extended Data Fig.9 | The quantization of ANN. a, </w:t>
      </w:r>
      <w:r w:rsidRPr="00217B56">
        <w:rPr>
          <w:rFonts w:ascii="Times New Roman" w:hAnsi="Times New Roman" w:cs="Times New Roman"/>
          <w:sz w:val="24"/>
        </w:rPr>
        <w:t xml:space="preserve">The classification accuracies of single-layer ANN with various bit precisions. 4-bit precision is utilized in the experiment of single-layer ANN. </w:t>
      </w:r>
      <w:r w:rsidRPr="00217B56">
        <w:rPr>
          <w:rFonts w:ascii="Times New Roman" w:hAnsi="Times New Roman" w:cs="Times New Roman"/>
          <w:b/>
          <w:bCs/>
          <w:sz w:val="24"/>
        </w:rPr>
        <w:t xml:space="preserve">b, </w:t>
      </w:r>
      <w:r w:rsidRPr="00217B56">
        <w:rPr>
          <w:rFonts w:ascii="Times New Roman" w:hAnsi="Times New Roman" w:cs="Times New Roman"/>
          <w:sz w:val="24"/>
        </w:rPr>
        <w:t>The classification accuracies of double-layer ANN with various bit precisions. 6-bit precision is utilized in the experiment of double-layer ANN.</w:t>
      </w:r>
    </w:p>
    <w:p w14:paraId="6DE05BAC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sz w:val="24"/>
        </w:rPr>
        <w:br w:type="page"/>
      </w:r>
    </w:p>
    <w:p w14:paraId="5329B59E" w14:textId="77777777" w:rsidR="004C5C28" w:rsidRPr="00217B56" w:rsidRDefault="004C5C28" w:rsidP="004C5C28">
      <w:pPr>
        <w:pStyle w:val="EndNoteBibliography"/>
        <w:rPr>
          <w:rFonts w:ascii="Times New Roman" w:hAnsi="Times New Roman" w:cs="Times New Roman"/>
          <w:sz w:val="24"/>
        </w:rPr>
      </w:pPr>
      <w:r w:rsidRPr="00217B56">
        <w:rPr>
          <w:rFonts w:ascii="Times New Roman" w:hAnsi="Times New Roman" w:cs="Times New Roman"/>
          <w:b/>
          <w:bCs/>
          <w:sz w:val="24"/>
        </w:rPr>
        <w:lastRenderedPageBreak/>
        <w:t>Extended Data Table1 | The parameters of Ising machine.</w:t>
      </w:r>
    </w:p>
    <w:tbl>
      <w:tblPr>
        <w:tblStyle w:val="TableGrid"/>
        <w:tblW w:w="0" w:type="auto"/>
        <w:jc w:val="center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C5C28" w:rsidRPr="00217B56" w14:paraId="00BF20B8" w14:textId="77777777" w:rsidTr="00FC3680">
        <w:trPr>
          <w:jc w:val="center"/>
        </w:trPr>
        <w:tc>
          <w:tcPr>
            <w:tcW w:w="2074" w:type="dxa"/>
            <w:tcBorders>
              <w:bottom w:val="single" w:sz="8" w:space="0" w:color="auto"/>
            </w:tcBorders>
            <w:vAlign w:val="center"/>
          </w:tcPr>
          <w:p w14:paraId="02294A0A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74" w:type="dxa"/>
            <w:tcBorders>
              <w:bottom w:val="single" w:sz="8" w:space="0" w:color="auto"/>
            </w:tcBorders>
            <w:vAlign w:val="center"/>
          </w:tcPr>
          <w:p w14:paraId="050A1ABB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17B56">
              <w:rPr>
                <w:rFonts w:ascii="Times New Roman" w:hAnsi="Times New Roman" w:cs="Times New Roman"/>
                <w:b/>
                <w:sz w:val="24"/>
              </w:rPr>
              <w:t>Initial temperature</w:t>
            </w:r>
          </w:p>
        </w:tc>
        <w:tc>
          <w:tcPr>
            <w:tcW w:w="2074" w:type="dxa"/>
            <w:tcBorders>
              <w:bottom w:val="single" w:sz="8" w:space="0" w:color="auto"/>
            </w:tcBorders>
            <w:vAlign w:val="center"/>
          </w:tcPr>
          <w:p w14:paraId="6FB03B25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17B56">
              <w:rPr>
                <w:rFonts w:ascii="Times New Roman" w:hAnsi="Times New Roman" w:cs="Times New Roman"/>
                <w:b/>
                <w:sz w:val="24"/>
              </w:rPr>
              <w:t>Annealing rate</w:t>
            </w:r>
          </w:p>
        </w:tc>
        <w:tc>
          <w:tcPr>
            <w:tcW w:w="2074" w:type="dxa"/>
            <w:tcBorders>
              <w:bottom w:val="single" w:sz="8" w:space="0" w:color="auto"/>
            </w:tcBorders>
            <w:vAlign w:val="center"/>
          </w:tcPr>
          <w:p w14:paraId="56D9E8A7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17B56">
              <w:rPr>
                <w:rFonts w:ascii="Times New Roman" w:hAnsi="Times New Roman" w:cs="Times New Roman"/>
                <w:b/>
                <w:sz w:val="24"/>
              </w:rPr>
              <w:t>Iterations</w:t>
            </w:r>
          </w:p>
        </w:tc>
      </w:tr>
      <w:tr w:rsidR="004C5C28" w:rsidRPr="00217B56" w14:paraId="78FA1F5C" w14:textId="77777777" w:rsidTr="00FC3680">
        <w:trPr>
          <w:jc w:val="center"/>
        </w:trPr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56E259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17B56">
              <w:rPr>
                <w:rFonts w:ascii="Times New Roman" w:hAnsi="Times New Roman" w:cs="Times New Roman" w:hint="eastAsia"/>
                <w:b/>
                <w:sz w:val="24"/>
              </w:rPr>
              <w:t>3</w:t>
            </w:r>
            <w:r w:rsidRPr="00217B56">
              <w:rPr>
                <w:rFonts w:ascii="Times New Roman" w:hAnsi="Times New Roman" w:cs="Times New Roman"/>
                <w:b/>
                <w:sz w:val="24"/>
              </w:rPr>
              <w:t>0-dimensional Ising machine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365052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sz w:val="24"/>
              </w:rPr>
            </w:pPr>
            <w:r w:rsidRPr="00217B56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217B56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B40C84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sz w:val="24"/>
              </w:rPr>
            </w:pPr>
            <w:r w:rsidRPr="00217B56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217B56">
              <w:rPr>
                <w:rFonts w:ascii="Times New Roman" w:hAnsi="Times New Roman" w:cs="Times New Roman"/>
                <w:sz w:val="24"/>
              </w:rPr>
              <w:t>.99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50FCAB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sz w:val="24"/>
              </w:rPr>
            </w:pPr>
            <w:r w:rsidRPr="00217B56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217B56">
              <w:rPr>
                <w:rFonts w:ascii="Times New Roman" w:hAnsi="Times New Roman" w:cs="Times New Roman"/>
                <w:sz w:val="24"/>
              </w:rPr>
              <w:t>00</w:t>
            </w:r>
          </w:p>
        </w:tc>
      </w:tr>
      <w:tr w:rsidR="004C5C28" w:rsidRPr="00217B56" w14:paraId="6C60B9F8" w14:textId="77777777" w:rsidTr="00FC3680">
        <w:trPr>
          <w:jc w:val="center"/>
        </w:trPr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2E91F459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17B56">
              <w:rPr>
                <w:rFonts w:ascii="Times New Roman" w:hAnsi="Times New Roman" w:cs="Times New Roman" w:hint="eastAsia"/>
                <w:b/>
                <w:sz w:val="24"/>
              </w:rPr>
              <w:t>1</w:t>
            </w:r>
            <w:r w:rsidRPr="00217B56">
              <w:rPr>
                <w:rFonts w:ascii="Times New Roman" w:hAnsi="Times New Roman" w:cs="Times New Roman"/>
                <w:b/>
                <w:sz w:val="24"/>
              </w:rPr>
              <w:t>024-dimensional Ising machine</w:t>
            </w:r>
          </w:p>
        </w:tc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3057D1C6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sz w:val="24"/>
              </w:rPr>
            </w:pPr>
            <w:r w:rsidRPr="00217B56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217B56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341771CC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sz w:val="24"/>
              </w:rPr>
            </w:pPr>
            <w:r w:rsidRPr="00217B56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217B56">
              <w:rPr>
                <w:rFonts w:ascii="Times New Roman" w:hAnsi="Times New Roman" w:cs="Times New Roman"/>
                <w:sz w:val="24"/>
              </w:rPr>
              <w:t>.995</w:t>
            </w:r>
          </w:p>
        </w:tc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027562EC" w14:textId="77777777" w:rsidR="004C5C28" w:rsidRPr="00217B56" w:rsidRDefault="004C5C28" w:rsidP="00FC3680">
            <w:pPr>
              <w:pStyle w:val="EndNoteBibliography"/>
              <w:jc w:val="center"/>
              <w:rPr>
                <w:rFonts w:ascii="Times New Roman" w:hAnsi="Times New Roman" w:cs="Times New Roman"/>
                <w:sz w:val="24"/>
              </w:rPr>
            </w:pPr>
            <w:r w:rsidRPr="00217B56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217B56">
              <w:rPr>
                <w:rFonts w:ascii="Times New Roman" w:hAnsi="Times New Roman" w:cs="Times New Roman"/>
                <w:sz w:val="24"/>
              </w:rPr>
              <w:t>000</w:t>
            </w:r>
          </w:p>
        </w:tc>
      </w:tr>
    </w:tbl>
    <w:p w14:paraId="55CB4ED0" w14:textId="77777777" w:rsidR="004C5C28" w:rsidRPr="00926ADC" w:rsidRDefault="004C5C28" w:rsidP="004C5C28">
      <w:pPr>
        <w:rPr>
          <w:rFonts w:ascii="Times New Roman" w:hAnsi="Times New Roman" w:cs="Times New Roman"/>
          <w:sz w:val="24"/>
          <w:szCs w:val="24"/>
        </w:rPr>
      </w:pPr>
    </w:p>
    <w:p w14:paraId="2A62FFCB" w14:textId="77777777" w:rsidR="00755780" w:rsidRDefault="00755780"/>
    <w:sectPr w:rsidR="00755780" w:rsidSect="004C5C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C28"/>
    <w:rsid w:val="00331A6B"/>
    <w:rsid w:val="004C5C28"/>
    <w:rsid w:val="005141B4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F0B8E"/>
  <w15:chartTrackingRefBased/>
  <w15:docId w15:val="{447F911A-C013-4342-92FE-2EF6BF101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C2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C28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C28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C28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C28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C28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C28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C28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C28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C28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C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C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C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C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C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C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C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C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C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C2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5C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C28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5C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C28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5C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C28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5C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C2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C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C28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rsid w:val="004C5C28"/>
    <w:rPr>
      <w:rFonts w:ascii="DengXian" w:eastAsia="DengXian" w:hAnsi="DengXian" w:cs="Calibri"/>
      <w:sz w:val="20"/>
      <w:szCs w:val="24"/>
    </w:rPr>
  </w:style>
  <w:style w:type="character" w:customStyle="1" w:styleId="EndNoteBibliography0">
    <w:name w:val="EndNote Bibliography 字符"/>
    <w:basedOn w:val="DefaultParagraphFont"/>
    <w:link w:val="EndNoteBibliography"/>
    <w:rsid w:val="004C5C28"/>
    <w:rPr>
      <w:rFonts w:ascii="DengXian" w:eastAsia="DengXian" w:hAnsi="DengXian" w:cs="Calibri"/>
      <w:sz w:val="20"/>
      <w:szCs w:val="24"/>
      <w:lang w:eastAsia="zh-CN"/>
      <w14:ligatures w14:val="none"/>
    </w:rPr>
  </w:style>
  <w:style w:type="table" w:styleId="TableGrid">
    <w:name w:val="Table Grid"/>
    <w:basedOn w:val="TableNormal"/>
    <w:rsid w:val="004C5C28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255</Words>
  <Characters>1454</Characters>
  <Application>Microsoft Office Word</Application>
  <DocSecurity>0</DocSecurity>
  <Lines>12</Lines>
  <Paragraphs>3</Paragraphs>
  <ScaleCrop>false</ScaleCrop>
  <Company>Springer Nature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2025-02-11T12:39:00Z</dcterms:created>
  <dcterms:modified xsi:type="dcterms:W3CDTF">2025-02-11T12:39:00Z</dcterms:modified>
</cp:coreProperties>
</file>