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0423B" w14:textId="77777777" w:rsidR="00F527F4" w:rsidRDefault="00F527F4" w:rsidP="00F527F4">
      <w:pPr>
        <w:widowControl w:val="0"/>
        <w:autoSpaceDE w:val="0"/>
        <w:autoSpaceDN w:val="0"/>
        <w:adjustRightInd w:val="0"/>
        <w:spacing w:line="480" w:lineRule="auto"/>
        <w:ind w:left="640" w:hanging="640"/>
        <w:rPr>
          <w:rFonts w:ascii="Arial" w:hAnsi="Arial" w:cs="Arial"/>
          <w:b/>
          <w:bCs/>
          <w:sz w:val="22"/>
          <w:szCs w:val="22"/>
        </w:rPr>
      </w:pPr>
      <w:r>
        <w:rPr>
          <w:rFonts w:ascii="Arial" w:hAnsi="Arial" w:cs="Arial"/>
          <w:b/>
          <w:bCs/>
          <w:sz w:val="22"/>
          <w:szCs w:val="22"/>
        </w:rPr>
        <w:t>Extended data</w:t>
      </w:r>
    </w:p>
    <w:p w14:paraId="1C499CF7" w14:textId="77777777" w:rsidR="00F527F4" w:rsidRDefault="00F527F4" w:rsidP="00F527F4">
      <w:pPr>
        <w:jc w:val="both"/>
        <w:rPr>
          <w:rFonts w:ascii="Arial" w:hAnsi="Arial" w:cs="Arial"/>
          <w:sz w:val="22"/>
          <w:szCs w:val="22"/>
        </w:rPr>
      </w:pPr>
    </w:p>
    <w:p w14:paraId="4F1766CD" w14:textId="77777777" w:rsidR="00F527F4" w:rsidRDefault="00F527F4" w:rsidP="00F527F4">
      <w:pPr>
        <w:jc w:val="center"/>
        <w:rPr>
          <w:rFonts w:ascii="Arial" w:hAnsi="Arial" w:cs="Arial"/>
          <w:sz w:val="22"/>
          <w:szCs w:val="22"/>
        </w:rPr>
      </w:pPr>
      <w:r>
        <w:rPr>
          <w:rFonts w:ascii="Arial" w:hAnsi="Arial" w:cs="Arial"/>
          <w:noProof/>
          <w:sz w:val="22"/>
          <w:szCs w:val="22"/>
        </w:rPr>
        <w:drawing>
          <wp:inline distT="0" distB="0" distL="0" distR="0" wp14:anchorId="794CE239" wp14:editId="0C4203D4">
            <wp:extent cx="5384800" cy="3263900"/>
            <wp:effectExtent l="0" t="0" r="0" b="0"/>
            <wp:docPr id="9" name="Picture 9" descr="A diagram of chemical formu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diagram of chemical formulas&#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384800" cy="3263900"/>
                    </a:xfrm>
                    <a:prstGeom prst="rect">
                      <a:avLst/>
                    </a:prstGeom>
                  </pic:spPr>
                </pic:pic>
              </a:graphicData>
            </a:graphic>
          </wp:inline>
        </w:drawing>
      </w:r>
    </w:p>
    <w:p w14:paraId="4FCFB3B8" w14:textId="77777777" w:rsidR="00F527F4" w:rsidRPr="0074355A" w:rsidRDefault="00F527F4" w:rsidP="00F527F4">
      <w:pPr>
        <w:jc w:val="both"/>
        <w:rPr>
          <w:rFonts w:ascii="Arial" w:hAnsi="Arial" w:cs="Arial"/>
          <w:sz w:val="22"/>
          <w:szCs w:val="22"/>
        </w:rPr>
      </w:pPr>
    </w:p>
    <w:p w14:paraId="6E2E6D3D" w14:textId="77777777" w:rsidR="00F527F4" w:rsidRDefault="00F527F4" w:rsidP="00F527F4">
      <w:pPr>
        <w:jc w:val="both"/>
        <w:rPr>
          <w:rFonts w:ascii="Arial" w:hAnsi="Arial" w:cs="Arial"/>
          <w:sz w:val="22"/>
          <w:szCs w:val="22"/>
        </w:rPr>
      </w:pPr>
      <w:r>
        <w:rPr>
          <w:rFonts w:ascii="Arial" w:hAnsi="Arial" w:cs="Arial"/>
          <w:b/>
          <w:bCs/>
          <w:sz w:val="22"/>
          <w:szCs w:val="22"/>
        </w:rPr>
        <w:t>Extended Data Fig. 1. Quantitative structure-activity relationship (QSAR) analysis of RNA binding data. a</w:t>
      </w:r>
      <w:r>
        <w:rPr>
          <w:rFonts w:ascii="Arial" w:hAnsi="Arial" w:cs="Arial"/>
          <w:sz w:val="22"/>
          <w:szCs w:val="22"/>
        </w:rPr>
        <w:t xml:space="preserve">, Schematic representation of the “distance from alkyne”. </w:t>
      </w:r>
      <w:r w:rsidRPr="00301BCA">
        <w:rPr>
          <w:rFonts w:ascii="Arial" w:hAnsi="Arial" w:cs="Arial"/>
          <w:b/>
          <w:bCs/>
          <w:sz w:val="22"/>
          <w:szCs w:val="22"/>
        </w:rPr>
        <w:t>b</w:t>
      </w:r>
      <w:r>
        <w:rPr>
          <w:rFonts w:ascii="Arial" w:hAnsi="Arial" w:cs="Arial"/>
          <w:sz w:val="22"/>
          <w:szCs w:val="22"/>
        </w:rPr>
        <w:t>, Plot of K</w:t>
      </w:r>
      <w:r>
        <w:rPr>
          <w:rFonts w:ascii="Arial" w:hAnsi="Arial" w:cs="Arial"/>
          <w:sz w:val="22"/>
          <w:szCs w:val="22"/>
          <w:vertAlign w:val="subscript"/>
        </w:rPr>
        <w:t>D</w:t>
      </w:r>
      <w:r>
        <w:rPr>
          <w:rFonts w:ascii="Arial" w:hAnsi="Arial" w:cs="Arial"/>
          <w:sz w:val="22"/>
          <w:szCs w:val="22"/>
        </w:rPr>
        <w:t xml:space="preserve"> values and “distance from alkyne” for the phenyl-F (</w:t>
      </w:r>
      <w:r w:rsidRPr="00316CEF">
        <w:rPr>
          <w:rFonts w:ascii="Arial" w:hAnsi="Arial" w:cs="Arial"/>
          <w:b/>
          <w:bCs/>
          <w:sz w:val="22"/>
          <w:szCs w:val="22"/>
        </w:rPr>
        <w:t>9</w:t>
      </w:r>
      <w:r>
        <w:rPr>
          <w:rFonts w:ascii="Arial" w:hAnsi="Arial" w:cs="Arial"/>
          <w:sz w:val="22"/>
          <w:szCs w:val="22"/>
        </w:rPr>
        <w:t>-</w:t>
      </w:r>
      <w:r w:rsidRPr="00316CEF">
        <w:rPr>
          <w:rFonts w:ascii="Arial" w:hAnsi="Arial" w:cs="Arial"/>
          <w:b/>
          <w:bCs/>
          <w:sz w:val="22"/>
          <w:szCs w:val="22"/>
        </w:rPr>
        <w:t>11</w:t>
      </w:r>
      <w:r>
        <w:rPr>
          <w:rFonts w:ascii="Arial" w:hAnsi="Arial" w:cs="Arial"/>
          <w:sz w:val="22"/>
          <w:szCs w:val="22"/>
        </w:rPr>
        <w:t>) and -CH</w:t>
      </w:r>
      <w:r w:rsidRPr="00316CEF">
        <w:rPr>
          <w:rFonts w:ascii="Arial" w:hAnsi="Arial" w:cs="Arial"/>
          <w:sz w:val="22"/>
          <w:szCs w:val="22"/>
          <w:vertAlign w:val="subscript"/>
        </w:rPr>
        <w:t>3</w:t>
      </w:r>
      <w:r>
        <w:rPr>
          <w:rFonts w:ascii="Arial" w:hAnsi="Arial" w:cs="Arial"/>
          <w:sz w:val="22"/>
          <w:szCs w:val="22"/>
        </w:rPr>
        <w:t xml:space="preserve"> (</w:t>
      </w:r>
      <w:r w:rsidRPr="00316CEF">
        <w:rPr>
          <w:rFonts w:ascii="Arial" w:hAnsi="Arial" w:cs="Arial"/>
          <w:b/>
          <w:bCs/>
          <w:sz w:val="22"/>
          <w:szCs w:val="22"/>
        </w:rPr>
        <w:t>12</w:t>
      </w:r>
      <w:r>
        <w:rPr>
          <w:rFonts w:ascii="Arial" w:hAnsi="Arial" w:cs="Arial"/>
          <w:sz w:val="22"/>
          <w:szCs w:val="22"/>
        </w:rPr>
        <w:t>-</w:t>
      </w:r>
      <w:r w:rsidRPr="00316CEF">
        <w:rPr>
          <w:rFonts w:ascii="Arial" w:hAnsi="Arial" w:cs="Arial"/>
          <w:b/>
          <w:bCs/>
          <w:sz w:val="22"/>
          <w:szCs w:val="22"/>
        </w:rPr>
        <w:t>14</w:t>
      </w:r>
      <w:r>
        <w:rPr>
          <w:rFonts w:ascii="Arial" w:hAnsi="Arial" w:cs="Arial"/>
          <w:sz w:val="22"/>
          <w:szCs w:val="22"/>
        </w:rPr>
        <w:t xml:space="preserve">) series. </w:t>
      </w:r>
      <w:r w:rsidRPr="00301BCA">
        <w:rPr>
          <w:rFonts w:ascii="Arial" w:hAnsi="Arial" w:cs="Arial"/>
          <w:b/>
          <w:bCs/>
          <w:sz w:val="22"/>
          <w:szCs w:val="22"/>
        </w:rPr>
        <w:t>c</w:t>
      </w:r>
      <w:r>
        <w:rPr>
          <w:rFonts w:ascii="Arial" w:hAnsi="Arial" w:cs="Arial"/>
          <w:sz w:val="22"/>
          <w:szCs w:val="22"/>
        </w:rPr>
        <w:t xml:space="preserve">, Chemical structures of the </w:t>
      </w:r>
      <w:r w:rsidRPr="00316CEF">
        <w:rPr>
          <w:rFonts w:ascii="Arial" w:hAnsi="Arial" w:cs="Arial"/>
          <w:i/>
          <w:iCs/>
          <w:sz w:val="22"/>
          <w:szCs w:val="22"/>
        </w:rPr>
        <w:t>para</w:t>
      </w:r>
      <w:r>
        <w:rPr>
          <w:rFonts w:ascii="Arial" w:hAnsi="Arial" w:cs="Arial"/>
          <w:sz w:val="22"/>
          <w:szCs w:val="22"/>
        </w:rPr>
        <w:t>-substituted phenyls (</w:t>
      </w:r>
      <w:r w:rsidRPr="007B577A">
        <w:rPr>
          <w:rFonts w:ascii="Arial" w:hAnsi="Arial" w:cs="Arial"/>
          <w:b/>
          <w:bCs/>
          <w:sz w:val="22"/>
          <w:szCs w:val="22"/>
        </w:rPr>
        <w:t>4</w:t>
      </w:r>
      <w:r>
        <w:rPr>
          <w:rFonts w:ascii="Arial" w:hAnsi="Arial" w:cs="Arial"/>
          <w:sz w:val="22"/>
          <w:szCs w:val="22"/>
        </w:rPr>
        <w:t xml:space="preserve">, </w:t>
      </w:r>
      <w:r w:rsidRPr="007B577A">
        <w:rPr>
          <w:rFonts w:ascii="Arial" w:hAnsi="Arial" w:cs="Arial"/>
          <w:b/>
          <w:bCs/>
          <w:sz w:val="22"/>
          <w:szCs w:val="22"/>
        </w:rPr>
        <w:t>5</w:t>
      </w:r>
      <w:r>
        <w:rPr>
          <w:rFonts w:ascii="Arial" w:hAnsi="Arial" w:cs="Arial"/>
          <w:sz w:val="22"/>
          <w:szCs w:val="22"/>
        </w:rPr>
        <w:t xml:space="preserve">, </w:t>
      </w:r>
      <w:r w:rsidRPr="007B577A">
        <w:rPr>
          <w:rFonts w:ascii="Arial" w:hAnsi="Arial" w:cs="Arial"/>
          <w:b/>
          <w:bCs/>
          <w:sz w:val="22"/>
          <w:szCs w:val="22"/>
        </w:rPr>
        <w:t>8</w:t>
      </w:r>
      <w:r>
        <w:rPr>
          <w:rFonts w:ascii="Arial" w:hAnsi="Arial" w:cs="Arial"/>
          <w:sz w:val="22"/>
          <w:szCs w:val="22"/>
        </w:rPr>
        <w:t xml:space="preserve">, </w:t>
      </w:r>
      <w:r w:rsidRPr="007B577A">
        <w:rPr>
          <w:rFonts w:ascii="Arial" w:hAnsi="Arial" w:cs="Arial"/>
          <w:b/>
          <w:bCs/>
          <w:sz w:val="22"/>
          <w:szCs w:val="22"/>
        </w:rPr>
        <w:t>11</w:t>
      </w:r>
      <w:r>
        <w:rPr>
          <w:rFonts w:ascii="Arial" w:hAnsi="Arial" w:cs="Arial"/>
          <w:sz w:val="22"/>
          <w:szCs w:val="22"/>
        </w:rPr>
        <w:t xml:space="preserve">, </w:t>
      </w:r>
      <w:r w:rsidRPr="007B577A">
        <w:rPr>
          <w:rFonts w:ascii="Arial" w:hAnsi="Arial" w:cs="Arial"/>
          <w:b/>
          <w:bCs/>
          <w:sz w:val="22"/>
          <w:szCs w:val="22"/>
        </w:rPr>
        <w:t>14</w:t>
      </w:r>
      <w:r>
        <w:rPr>
          <w:rFonts w:ascii="Arial" w:hAnsi="Arial" w:cs="Arial"/>
          <w:sz w:val="22"/>
          <w:szCs w:val="22"/>
        </w:rPr>
        <w:t xml:space="preserve">, and </w:t>
      </w:r>
      <w:r w:rsidRPr="007B577A">
        <w:rPr>
          <w:rFonts w:ascii="Arial" w:hAnsi="Arial" w:cs="Arial"/>
          <w:b/>
          <w:bCs/>
          <w:sz w:val="22"/>
          <w:szCs w:val="22"/>
        </w:rPr>
        <w:t>17</w:t>
      </w:r>
      <w:r>
        <w:rPr>
          <w:rFonts w:ascii="Arial" w:hAnsi="Arial" w:cs="Arial"/>
          <w:sz w:val="22"/>
          <w:szCs w:val="22"/>
        </w:rPr>
        <w:t>-</w:t>
      </w:r>
      <w:r w:rsidRPr="007B577A">
        <w:rPr>
          <w:rFonts w:ascii="Arial" w:hAnsi="Arial" w:cs="Arial"/>
          <w:b/>
          <w:bCs/>
          <w:sz w:val="22"/>
          <w:szCs w:val="22"/>
        </w:rPr>
        <w:t>20</w:t>
      </w:r>
      <w:r>
        <w:rPr>
          <w:rFonts w:ascii="Arial" w:hAnsi="Arial" w:cs="Arial"/>
          <w:sz w:val="22"/>
          <w:szCs w:val="22"/>
        </w:rPr>
        <w:t>) with their respective Hammett constant (</w:t>
      </w:r>
      <w:r w:rsidRPr="007B577A">
        <w:rPr>
          <w:rFonts w:ascii="Arial" w:hAnsi="Arial" w:cs="Arial"/>
          <w:sz w:val="22"/>
          <w:szCs w:val="22"/>
        </w:rPr>
        <w:t>σ</w:t>
      </w:r>
      <w:r>
        <w:rPr>
          <w:rFonts w:ascii="Arial" w:hAnsi="Arial" w:cs="Arial"/>
          <w:sz w:val="22"/>
          <w:szCs w:val="22"/>
          <w:vertAlign w:val="subscript"/>
        </w:rPr>
        <w:t>p</w:t>
      </w:r>
      <w:r>
        <w:rPr>
          <w:rFonts w:ascii="Arial" w:hAnsi="Arial" w:cs="Arial"/>
          <w:sz w:val="22"/>
          <w:szCs w:val="22"/>
        </w:rPr>
        <w:t xml:space="preserve">) and Van der Waals (VdW) volume values listed. </w:t>
      </w:r>
      <w:r>
        <w:rPr>
          <w:rFonts w:ascii="Arial" w:hAnsi="Arial" w:cs="Arial"/>
          <w:b/>
          <w:bCs/>
          <w:sz w:val="22"/>
          <w:szCs w:val="22"/>
        </w:rPr>
        <w:t>d</w:t>
      </w:r>
      <w:r>
        <w:rPr>
          <w:rFonts w:ascii="Arial" w:hAnsi="Arial" w:cs="Arial"/>
          <w:sz w:val="22"/>
          <w:szCs w:val="22"/>
        </w:rPr>
        <w:t>, Plot of K</w:t>
      </w:r>
      <w:r w:rsidRPr="001F1572">
        <w:rPr>
          <w:rFonts w:ascii="Arial" w:hAnsi="Arial" w:cs="Arial"/>
          <w:sz w:val="22"/>
          <w:szCs w:val="22"/>
          <w:vertAlign w:val="subscript"/>
        </w:rPr>
        <w:t>D</w:t>
      </w:r>
      <w:r>
        <w:rPr>
          <w:rFonts w:ascii="Arial" w:hAnsi="Arial" w:cs="Arial"/>
          <w:sz w:val="22"/>
          <w:szCs w:val="22"/>
        </w:rPr>
        <w:t xml:space="preserve"> values and the </w:t>
      </w:r>
      <w:r w:rsidRPr="007B577A">
        <w:rPr>
          <w:rFonts w:ascii="Arial" w:hAnsi="Arial" w:cs="Arial"/>
          <w:sz w:val="22"/>
          <w:szCs w:val="22"/>
        </w:rPr>
        <w:t>σ</w:t>
      </w:r>
      <w:r>
        <w:rPr>
          <w:rFonts w:ascii="Arial" w:hAnsi="Arial" w:cs="Arial"/>
          <w:sz w:val="22"/>
          <w:szCs w:val="22"/>
          <w:vertAlign w:val="subscript"/>
        </w:rPr>
        <w:t>p</w:t>
      </w:r>
      <w:r>
        <w:rPr>
          <w:rFonts w:ascii="Arial" w:hAnsi="Arial" w:cs="Arial"/>
          <w:sz w:val="22"/>
          <w:szCs w:val="22"/>
        </w:rPr>
        <w:t xml:space="preserve"> of the chemical group in the </w:t>
      </w:r>
      <w:r w:rsidRPr="00316CEF">
        <w:rPr>
          <w:rFonts w:ascii="Arial" w:hAnsi="Arial" w:cs="Arial"/>
          <w:i/>
          <w:iCs/>
          <w:sz w:val="22"/>
          <w:szCs w:val="22"/>
        </w:rPr>
        <w:t>para</w:t>
      </w:r>
      <w:r>
        <w:rPr>
          <w:rFonts w:ascii="Arial" w:hAnsi="Arial" w:cs="Arial"/>
          <w:sz w:val="22"/>
          <w:szCs w:val="22"/>
        </w:rPr>
        <w:t xml:space="preserve">-substituted phenyls. </w:t>
      </w:r>
      <w:r>
        <w:rPr>
          <w:rFonts w:ascii="Arial" w:hAnsi="Arial" w:cs="Arial"/>
          <w:b/>
          <w:bCs/>
          <w:sz w:val="22"/>
          <w:szCs w:val="22"/>
        </w:rPr>
        <w:t>e</w:t>
      </w:r>
      <w:r>
        <w:rPr>
          <w:rFonts w:ascii="Arial" w:hAnsi="Arial" w:cs="Arial"/>
          <w:sz w:val="22"/>
          <w:szCs w:val="22"/>
        </w:rPr>
        <w:t xml:space="preserve">, Same as in </w:t>
      </w:r>
      <w:r>
        <w:rPr>
          <w:rFonts w:ascii="Arial" w:hAnsi="Arial" w:cs="Arial"/>
          <w:b/>
          <w:bCs/>
          <w:sz w:val="22"/>
          <w:szCs w:val="22"/>
        </w:rPr>
        <w:t>d</w:t>
      </w:r>
      <w:r>
        <w:rPr>
          <w:rFonts w:ascii="Arial" w:hAnsi="Arial" w:cs="Arial"/>
          <w:sz w:val="22"/>
          <w:szCs w:val="22"/>
        </w:rPr>
        <w:t xml:space="preserve"> but using the VdW volume of the same chemical groups. </w:t>
      </w:r>
      <w:r>
        <w:rPr>
          <w:rFonts w:ascii="Arial" w:hAnsi="Arial" w:cs="Arial"/>
          <w:b/>
          <w:bCs/>
          <w:sz w:val="22"/>
          <w:szCs w:val="22"/>
        </w:rPr>
        <w:t>f</w:t>
      </w:r>
      <w:r>
        <w:rPr>
          <w:rFonts w:ascii="Arial" w:hAnsi="Arial" w:cs="Arial"/>
          <w:sz w:val="22"/>
          <w:szCs w:val="22"/>
        </w:rPr>
        <w:t>, Plot of K</w:t>
      </w:r>
      <w:r w:rsidRPr="001F1572">
        <w:rPr>
          <w:rFonts w:ascii="Arial" w:hAnsi="Arial" w:cs="Arial"/>
          <w:sz w:val="22"/>
          <w:szCs w:val="22"/>
          <w:vertAlign w:val="subscript"/>
        </w:rPr>
        <w:t>D</w:t>
      </w:r>
      <w:r>
        <w:rPr>
          <w:rFonts w:ascii="Arial" w:hAnsi="Arial" w:cs="Arial"/>
          <w:sz w:val="22"/>
          <w:szCs w:val="22"/>
        </w:rPr>
        <w:t xml:space="preserve"> values for the heterocyclic derivatives (</w:t>
      </w:r>
      <w:r w:rsidRPr="00DE2164">
        <w:rPr>
          <w:rFonts w:ascii="Arial" w:hAnsi="Arial" w:cs="Arial"/>
          <w:b/>
          <w:bCs/>
          <w:sz w:val="22"/>
          <w:szCs w:val="22"/>
        </w:rPr>
        <w:t>21</w:t>
      </w:r>
      <w:r>
        <w:rPr>
          <w:rFonts w:ascii="Arial" w:hAnsi="Arial" w:cs="Arial"/>
          <w:sz w:val="22"/>
          <w:szCs w:val="22"/>
        </w:rPr>
        <w:t>-</w:t>
      </w:r>
      <w:r w:rsidRPr="00DE2164">
        <w:rPr>
          <w:rFonts w:ascii="Arial" w:hAnsi="Arial" w:cs="Arial"/>
          <w:b/>
          <w:bCs/>
          <w:sz w:val="22"/>
          <w:szCs w:val="22"/>
        </w:rPr>
        <w:t>26</w:t>
      </w:r>
      <w:r>
        <w:rPr>
          <w:rFonts w:ascii="Arial" w:hAnsi="Arial" w:cs="Arial"/>
          <w:sz w:val="22"/>
          <w:szCs w:val="22"/>
        </w:rPr>
        <w:t xml:space="preserve">) and </w:t>
      </w:r>
      <w:r w:rsidRPr="001A326A">
        <w:rPr>
          <w:rFonts w:ascii="Arial" w:hAnsi="Arial" w:cs="Arial"/>
          <w:b/>
          <w:bCs/>
          <w:sz w:val="22"/>
          <w:szCs w:val="22"/>
        </w:rPr>
        <w:t>8</w:t>
      </w:r>
      <w:r>
        <w:rPr>
          <w:rFonts w:ascii="Arial" w:hAnsi="Arial" w:cs="Arial"/>
          <w:sz w:val="22"/>
          <w:szCs w:val="22"/>
        </w:rPr>
        <w:t xml:space="preserve"> for comparison. </w:t>
      </w:r>
      <w:r>
        <w:rPr>
          <w:rFonts w:ascii="Arial" w:hAnsi="Arial" w:cs="Arial"/>
          <w:b/>
          <w:bCs/>
          <w:sz w:val="22"/>
          <w:szCs w:val="22"/>
        </w:rPr>
        <w:t>g</w:t>
      </w:r>
      <w:r>
        <w:rPr>
          <w:rFonts w:ascii="Arial" w:hAnsi="Arial" w:cs="Arial"/>
          <w:sz w:val="22"/>
          <w:szCs w:val="22"/>
        </w:rPr>
        <w:t xml:space="preserve">, Same as in </w:t>
      </w:r>
      <w:r>
        <w:rPr>
          <w:rFonts w:ascii="Arial" w:hAnsi="Arial" w:cs="Arial"/>
          <w:b/>
          <w:bCs/>
          <w:sz w:val="22"/>
          <w:szCs w:val="22"/>
        </w:rPr>
        <w:t>f</w:t>
      </w:r>
      <w:r>
        <w:rPr>
          <w:rFonts w:ascii="Arial" w:hAnsi="Arial" w:cs="Arial"/>
          <w:sz w:val="22"/>
          <w:szCs w:val="22"/>
        </w:rPr>
        <w:t xml:space="preserve"> but for the multi-ring derivatives (</w:t>
      </w:r>
      <w:r w:rsidRPr="00DE2164">
        <w:rPr>
          <w:rFonts w:ascii="Arial" w:hAnsi="Arial" w:cs="Arial"/>
          <w:b/>
          <w:bCs/>
          <w:sz w:val="22"/>
          <w:szCs w:val="22"/>
        </w:rPr>
        <w:t>2</w:t>
      </w:r>
      <w:r>
        <w:rPr>
          <w:rFonts w:ascii="Arial" w:hAnsi="Arial" w:cs="Arial"/>
          <w:b/>
          <w:bCs/>
          <w:sz w:val="22"/>
          <w:szCs w:val="22"/>
        </w:rPr>
        <w:t>7</w:t>
      </w:r>
      <w:r>
        <w:rPr>
          <w:rFonts w:ascii="Arial" w:hAnsi="Arial" w:cs="Arial"/>
          <w:sz w:val="22"/>
          <w:szCs w:val="22"/>
        </w:rPr>
        <w:t>-</w:t>
      </w:r>
      <w:r>
        <w:rPr>
          <w:rFonts w:ascii="Arial" w:hAnsi="Arial" w:cs="Arial"/>
          <w:b/>
          <w:bCs/>
          <w:sz w:val="22"/>
          <w:szCs w:val="22"/>
        </w:rPr>
        <w:t>32</w:t>
      </w:r>
      <w:r>
        <w:rPr>
          <w:rFonts w:ascii="Arial" w:hAnsi="Arial" w:cs="Arial"/>
          <w:sz w:val="22"/>
          <w:szCs w:val="22"/>
        </w:rPr>
        <w:t xml:space="preserve">). In </w:t>
      </w:r>
      <w:r>
        <w:rPr>
          <w:rFonts w:ascii="Arial" w:hAnsi="Arial" w:cs="Arial"/>
          <w:b/>
          <w:bCs/>
          <w:sz w:val="22"/>
          <w:szCs w:val="22"/>
        </w:rPr>
        <w:t>f</w:t>
      </w:r>
      <w:r>
        <w:rPr>
          <w:rFonts w:ascii="Arial" w:hAnsi="Arial" w:cs="Arial"/>
          <w:sz w:val="22"/>
          <w:szCs w:val="22"/>
        </w:rPr>
        <w:t xml:space="preserve"> and </w:t>
      </w:r>
      <w:r>
        <w:rPr>
          <w:rFonts w:ascii="Arial" w:hAnsi="Arial" w:cs="Arial"/>
          <w:b/>
          <w:bCs/>
          <w:sz w:val="22"/>
          <w:szCs w:val="22"/>
        </w:rPr>
        <w:t>g</w:t>
      </w:r>
      <w:r>
        <w:rPr>
          <w:rFonts w:ascii="Arial" w:hAnsi="Arial" w:cs="Arial"/>
          <w:sz w:val="22"/>
          <w:szCs w:val="22"/>
        </w:rPr>
        <w:t>, mean and s.d. from independent experiments (</w:t>
      </w:r>
      <w:r w:rsidRPr="009D4A6C">
        <w:rPr>
          <w:rFonts w:ascii="Arial" w:hAnsi="Arial" w:cs="Arial"/>
          <w:i/>
          <w:iCs/>
          <w:sz w:val="22"/>
          <w:szCs w:val="22"/>
        </w:rPr>
        <w:t>n</w:t>
      </w:r>
      <w:r>
        <w:rPr>
          <w:rFonts w:ascii="Arial" w:hAnsi="Arial" w:cs="Arial"/>
          <w:sz w:val="22"/>
          <w:szCs w:val="22"/>
        </w:rPr>
        <w:t xml:space="preserve"> = 3-5) are shown.</w:t>
      </w:r>
    </w:p>
    <w:p w14:paraId="06219D5F" w14:textId="77777777" w:rsidR="00F527F4" w:rsidRDefault="00F527F4" w:rsidP="00F527F4">
      <w:pPr>
        <w:rPr>
          <w:rFonts w:ascii="Arial" w:hAnsi="Arial" w:cs="Arial"/>
          <w:sz w:val="22"/>
          <w:szCs w:val="22"/>
        </w:rPr>
      </w:pPr>
      <w:r>
        <w:rPr>
          <w:rFonts w:ascii="Arial" w:hAnsi="Arial" w:cs="Arial"/>
          <w:sz w:val="22"/>
          <w:szCs w:val="22"/>
        </w:rPr>
        <w:br w:type="page"/>
      </w:r>
    </w:p>
    <w:p w14:paraId="529F01AE" w14:textId="77777777" w:rsidR="00F527F4" w:rsidRDefault="00F527F4" w:rsidP="00F527F4">
      <w:pPr>
        <w:jc w:val="both"/>
        <w:rPr>
          <w:rFonts w:ascii="Arial" w:hAnsi="Arial" w:cs="Arial"/>
          <w:sz w:val="22"/>
          <w:szCs w:val="22"/>
        </w:rPr>
      </w:pPr>
    </w:p>
    <w:p w14:paraId="39104495" w14:textId="77777777" w:rsidR="00F527F4" w:rsidRDefault="00F527F4" w:rsidP="00F527F4">
      <w:pPr>
        <w:jc w:val="center"/>
        <w:rPr>
          <w:rFonts w:ascii="Arial" w:hAnsi="Arial" w:cs="Arial"/>
          <w:sz w:val="22"/>
          <w:szCs w:val="22"/>
        </w:rPr>
      </w:pPr>
      <w:r>
        <w:rPr>
          <w:rFonts w:ascii="Arial" w:hAnsi="Arial" w:cs="Arial"/>
          <w:noProof/>
          <w:sz w:val="22"/>
          <w:szCs w:val="22"/>
        </w:rPr>
        <w:drawing>
          <wp:inline distT="0" distB="0" distL="0" distR="0" wp14:anchorId="436B6852" wp14:editId="0A8DDBAC">
            <wp:extent cx="3434474" cy="234478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5">
                      <a:extLst>
                        <a:ext uri="{28A0092B-C50C-407E-A947-70E740481C1C}">
                          <a14:useLocalDpi xmlns:a14="http://schemas.microsoft.com/office/drawing/2010/main" val="0"/>
                        </a:ext>
                      </a:extLst>
                    </a:blip>
                    <a:srcRect l="20439" t="-1" r="21752" b="61588"/>
                    <a:stretch/>
                  </pic:blipFill>
                  <pic:spPr bwMode="auto">
                    <a:xfrm>
                      <a:off x="0" y="0"/>
                      <a:ext cx="3435926" cy="2345774"/>
                    </a:xfrm>
                    <a:prstGeom prst="rect">
                      <a:avLst/>
                    </a:prstGeom>
                    <a:ln>
                      <a:noFill/>
                    </a:ln>
                    <a:extLst>
                      <a:ext uri="{53640926-AAD7-44D8-BBD7-CCE9431645EC}">
                        <a14:shadowObscured xmlns:a14="http://schemas.microsoft.com/office/drawing/2010/main"/>
                      </a:ext>
                    </a:extLst>
                  </pic:spPr>
                </pic:pic>
              </a:graphicData>
            </a:graphic>
          </wp:inline>
        </w:drawing>
      </w:r>
    </w:p>
    <w:p w14:paraId="4023CFD6" w14:textId="77777777" w:rsidR="00F527F4" w:rsidRPr="0074355A" w:rsidRDefault="00F527F4" w:rsidP="00F527F4">
      <w:pPr>
        <w:jc w:val="both"/>
        <w:rPr>
          <w:rFonts w:ascii="Arial" w:hAnsi="Arial" w:cs="Arial"/>
          <w:sz w:val="22"/>
          <w:szCs w:val="22"/>
        </w:rPr>
      </w:pPr>
    </w:p>
    <w:p w14:paraId="38E91810" w14:textId="77777777" w:rsidR="00F527F4" w:rsidRPr="00553AA2" w:rsidRDefault="00F527F4" w:rsidP="00F527F4">
      <w:pPr>
        <w:jc w:val="both"/>
        <w:rPr>
          <w:rFonts w:ascii="Arial" w:hAnsi="Arial" w:cs="Arial"/>
          <w:b/>
          <w:bCs/>
          <w:sz w:val="22"/>
          <w:szCs w:val="22"/>
        </w:rPr>
      </w:pPr>
      <w:r>
        <w:rPr>
          <w:rFonts w:ascii="Arial" w:hAnsi="Arial" w:cs="Arial"/>
          <w:b/>
          <w:bCs/>
          <w:sz w:val="22"/>
          <w:szCs w:val="22"/>
        </w:rPr>
        <w:t>Extended Data Fig. 2. Linear discriminant analysis (LDA) of RNA binding data. a</w:t>
      </w:r>
      <w:r>
        <w:rPr>
          <w:rFonts w:ascii="Arial" w:hAnsi="Arial" w:cs="Arial"/>
          <w:sz w:val="22"/>
          <w:szCs w:val="22"/>
        </w:rPr>
        <w:t>, Plot of the K</w:t>
      </w:r>
      <w:r w:rsidRPr="001F1572">
        <w:rPr>
          <w:rFonts w:ascii="Arial" w:hAnsi="Arial" w:cs="Arial"/>
          <w:sz w:val="22"/>
          <w:szCs w:val="22"/>
          <w:vertAlign w:val="subscript"/>
        </w:rPr>
        <w:t>D</w:t>
      </w:r>
      <w:r>
        <w:rPr>
          <w:rFonts w:ascii="Arial" w:hAnsi="Arial" w:cs="Arial"/>
          <w:sz w:val="22"/>
          <w:szCs w:val="22"/>
        </w:rPr>
        <w:t xml:space="preserve"> values for Cbls </w:t>
      </w:r>
      <w:r w:rsidRPr="00A45605">
        <w:rPr>
          <w:rFonts w:ascii="Arial" w:hAnsi="Arial" w:cs="Arial"/>
          <w:b/>
          <w:bCs/>
          <w:sz w:val="22"/>
          <w:szCs w:val="22"/>
        </w:rPr>
        <w:t>1</w:t>
      </w:r>
      <w:r>
        <w:rPr>
          <w:rFonts w:ascii="Arial" w:hAnsi="Arial" w:cs="Arial"/>
          <w:sz w:val="22"/>
          <w:szCs w:val="22"/>
        </w:rPr>
        <w:t>-</w:t>
      </w:r>
      <w:r w:rsidRPr="00A45605">
        <w:rPr>
          <w:rFonts w:ascii="Arial" w:hAnsi="Arial" w:cs="Arial"/>
          <w:b/>
          <w:bCs/>
          <w:sz w:val="22"/>
          <w:szCs w:val="22"/>
        </w:rPr>
        <w:t>44</w:t>
      </w:r>
      <w:r>
        <w:rPr>
          <w:rFonts w:ascii="Arial" w:hAnsi="Arial" w:cs="Arial"/>
          <w:sz w:val="22"/>
          <w:szCs w:val="22"/>
        </w:rPr>
        <w:t>, where the data have been normalized to the value for MeCbl. On this basis, we clustered our derivatives into three groups: tight (K</w:t>
      </w:r>
      <w:r>
        <w:rPr>
          <w:rFonts w:ascii="Arial" w:hAnsi="Arial" w:cs="Arial"/>
          <w:sz w:val="22"/>
          <w:szCs w:val="22"/>
          <w:vertAlign w:val="subscript"/>
        </w:rPr>
        <w:t>D,r</w:t>
      </w:r>
      <w:r w:rsidRPr="00D057F7">
        <w:rPr>
          <w:rFonts w:ascii="Arial" w:hAnsi="Arial" w:cs="Arial"/>
          <w:sz w:val="22"/>
          <w:szCs w:val="22"/>
          <w:vertAlign w:val="subscript"/>
        </w:rPr>
        <w:t>el(MeCbl)</w:t>
      </w:r>
      <w:r>
        <w:rPr>
          <w:rFonts w:ascii="Arial" w:hAnsi="Arial" w:cs="Arial"/>
          <w:sz w:val="22"/>
          <w:szCs w:val="22"/>
          <w:vertAlign w:val="subscript"/>
        </w:rPr>
        <w:t xml:space="preserve"> </w:t>
      </w:r>
      <w:r>
        <w:rPr>
          <w:rFonts w:ascii="Arial" w:hAnsi="Arial" w:cs="Arial"/>
          <w:sz w:val="22"/>
          <w:szCs w:val="22"/>
        </w:rPr>
        <w:t>&lt;15), moderate (K</w:t>
      </w:r>
      <w:r>
        <w:rPr>
          <w:rFonts w:ascii="Arial" w:hAnsi="Arial" w:cs="Arial"/>
          <w:sz w:val="22"/>
          <w:szCs w:val="22"/>
          <w:vertAlign w:val="subscript"/>
        </w:rPr>
        <w:t>D,r</w:t>
      </w:r>
      <w:r w:rsidRPr="00D057F7">
        <w:rPr>
          <w:rFonts w:ascii="Arial" w:hAnsi="Arial" w:cs="Arial"/>
          <w:sz w:val="22"/>
          <w:szCs w:val="22"/>
          <w:vertAlign w:val="subscript"/>
        </w:rPr>
        <w:t>el(MeCbl)</w:t>
      </w:r>
      <w:r>
        <w:rPr>
          <w:rFonts w:ascii="Arial" w:hAnsi="Arial" w:cs="Arial"/>
          <w:sz w:val="22"/>
          <w:szCs w:val="22"/>
          <w:vertAlign w:val="subscript"/>
        </w:rPr>
        <w:t xml:space="preserve"> </w:t>
      </w:r>
      <w:r>
        <w:rPr>
          <w:rFonts w:ascii="Arial" w:hAnsi="Arial" w:cs="Arial"/>
          <w:sz w:val="22"/>
          <w:szCs w:val="22"/>
        </w:rPr>
        <w:t>= 15-70), and weak (K</w:t>
      </w:r>
      <w:r>
        <w:rPr>
          <w:rFonts w:ascii="Arial" w:hAnsi="Arial" w:cs="Arial"/>
          <w:sz w:val="22"/>
          <w:szCs w:val="22"/>
          <w:vertAlign w:val="subscript"/>
        </w:rPr>
        <w:t>D,r</w:t>
      </w:r>
      <w:r w:rsidRPr="00D057F7">
        <w:rPr>
          <w:rFonts w:ascii="Arial" w:hAnsi="Arial" w:cs="Arial"/>
          <w:sz w:val="22"/>
          <w:szCs w:val="22"/>
          <w:vertAlign w:val="subscript"/>
        </w:rPr>
        <w:t>el(MeCbl)</w:t>
      </w:r>
      <w:r>
        <w:rPr>
          <w:rFonts w:ascii="Arial" w:hAnsi="Arial" w:cs="Arial"/>
          <w:sz w:val="22"/>
          <w:szCs w:val="22"/>
          <w:vertAlign w:val="subscript"/>
        </w:rPr>
        <w:t xml:space="preserve"> </w:t>
      </w:r>
      <w:r>
        <w:rPr>
          <w:rFonts w:ascii="Arial" w:hAnsi="Arial" w:cs="Arial"/>
          <w:sz w:val="22"/>
          <w:szCs w:val="22"/>
        </w:rPr>
        <w:t xml:space="preserve">&gt;70) binders. Given that standard Cbls </w:t>
      </w:r>
      <w:r w:rsidRPr="00370F63">
        <w:rPr>
          <w:rFonts w:ascii="Arial" w:hAnsi="Arial" w:cs="Arial"/>
          <w:b/>
          <w:bCs/>
          <w:sz w:val="22"/>
          <w:szCs w:val="22"/>
        </w:rPr>
        <w:t>1</w:t>
      </w:r>
      <w:r>
        <w:rPr>
          <w:rFonts w:ascii="Arial" w:hAnsi="Arial" w:cs="Arial"/>
          <w:sz w:val="22"/>
          <w:szCs w:val="22"/>
        </w:rPr>
        <w:t>-</w:t>
      </w:r>
      <w:r w:rsidRPr="00370F63">
        <w:rPr>
          <w:rFonts w:ascii="Arial" w:hAnsi="Arial" w:cs="Arial"/>
          <w:b/>
          <w:bCs/>
          <w:sz w:val="22"/>
          <w:szCs w:val="22"/>
        </w:rPr>
        <w:t>3</w:t>
      </w:r>
      <w:r>
        <w:rPr>
          <w:rFonts w:ascii="Arial" w:hAnsi="Arial" w:cs="Arial"/>
          <w:sz w:val="22"/>
          <w:szCs w:val="22"/>
        </w:rPr>
        <w:t xml:space="preserve"> do not have a chemically diverse</w:t>
      </w:r>
      <w:r w:rsidRPr="008D788F">
        <w:rPr>
          <w:rFonts w:ascii="Arial" w:hAnsi="Arial" w:cs="Arial"/>
          <w:sz w:val="22"/>
          <w:szCs w:val="22"/>
        </w:rPr>
        <w:t xml:space="preserve"> </w:t>
      </w:r>
      <w:r w:rsidRPr="000E02F5">
        <w:rPr>
          <w:rFonts w:ascii="Arial" w:hAnsi="Arial" w:cs="Arial"/>
          <w:sz w:val="22"/>
          <w:szCs w:val="22"/>
        </w:rPr>
        <w:t>β-axial</w:t>
      </w:r>
      <w:r>
        <w:rPr>
          <w:rFonts w:ascii="Arial" w:hAnsi="Arial" w:cs="Arial"/>
          <w:sz w:val="22"/>
          <w:szCs w:val="22"/>
        </w:rPr>
        <w:t xml:space="preserve"> group, they were excluded from the LDA (and downstream QSAR modeling). Cbl </w:t>
      </w:r>
      <w:r w:rsidRPr="008D788F">
        <w:rPr>
          <w:rFonts w:ascii="Arial" w:hAnsi="Arial" w:cs="Arial"/>
          <w:b/>
          <w:bCs/>
          <w:sz w:val="22"/>
          <w:szCs w:val="22"/>
        </w:rPr>
        <w:t xml:space="preserve">6 </w:t>
      </w:r>
      <w:r>
        <w:rPr>
          <w:rFonts w:ascii="Arial" w:hAnsi="Arial" w:cs="Arial"/>
          <w:sz w:val="22"/>
          <w:szCs w:val="22"/>
        </w:rPr>
        <w:t>was also excluded due to its a sp</w:t>
      </w:r>
      <w:r w:rsidRPr="008D788F">
        <w:rPr>
          <w:rFonts w:ascii="Arial" w:hAnsi="Arial" w:cs="Arial"/>
          <w:sz w:val="22"/>
          <w:szCs w:val="22"/>
          <w:vertAlign w:val="superscript"/>
        </w:rPr>
        <w:t>3</w:t>
      </w:r>
      <w:r>
        <w:rPr>
          <w:rFonts w:ascii="Arial" w:hAnsi="Arial" w:cs="Arial"/>
          <w:sz w:val="22"/>
          <w:szCs w:val="22"/>
        </w:rPr>
        <w:t xml:space="preserve"> carbon adjacent to the alkyne, a chemical space that was unique within the library and one that we did not wish to pursue. </w:t>
      </w:r>
      <w:r>
        <w:rPr>
          <w:rFonts w:ascii="Arial" w:hAnsi="Arial" w:cs="Arial"/>
          <w:b/>
          <w:bCs/>
          <w:sz w:val="22"/>
          <w:szCs w:val="22"/>
        </w:rPr>
        <w:t>b</w:t>
      </w:r>
      <w:r>
        <w:rPr>
          <w:rFonts w:ascii="Arial" w:hAnsi="Arial" w:cs="Arial"/>
          <w:sz w:val="22"/>
          <w:szCs w:val="22"/>
        </w:rPr>
        <w:t>, LDA plot for principal components 1 and 2 (PC1 and PC2) depicting the clustering of the three binding groups and their centroids using chemoinformatic parameters (</w:t>
      </w:r>
      <w:r w:rsidRPr="002F590D">
        <w:rPr>
          <w:rFonts w:ascii="Arial" w:hAnsi="Arial" w:cs="Arial"/>
          <w:b/>
          <w:bCs/>
          <w:sz w:val="22"/>
          <w:szCs w:val="22"/>
        </w:rPr>
        <w:t>Supplementary Table 1</w:t>
      </w:r>
      <w:r>
        <w:rPr>
          <w:rFonts w:ascii="Arial" w:hAnsi="Arial" w:cs="Arial"/>
          <w:sz w:val="22"/>
          <w:szCs w:val="22"/>
        </w:rPr>
        <w:t xml:space="preserve">). </w:t>
      </w:r>
      <w:r>
        <w:rPr>
          <w:rFonts w:ascii="Arial" w:hAnsi="Arial" w:cs="Arial"/>
          <w:b/>
          <w:bCs/>
          <w:sz w:val="22"/>
          <w:szCs w:val="22"/>
        </w:rPr>
        <w:t>c</w:t>
      </w:r>
      <w:r>
        <w:rPr>
          <w:rFonts w:ascii="Arial" w:hAnsi="Arial" w:cs="Arial"/>
          <w:sz w:val="22"/>
          <w:szCs w:val="22"/>
        </w:rPr>
        <w:t>, LDA loading plot of the contributions of each chemoinformatic parameter on PC1 and PC2, with the most obvious descriptor colored by the binding cluster that they best explain (e.g., number of aromatic rings, ArRings; number of hydrogen bond donors, HBD; and accessible solvent area, ASA).</w:t>
      </w:r>
    </w:p>
    <w:p w14:paraId="614CF70D" w14:textId="77777777" w:rsidR="00F527F4" w:rsidRDefault="00F527F4" w:rsidP="00F527F4">
      <w:pPr>
        <w:rPr>
          <w:rFonts w:ascii="Arial" w:hAnsi="Arial" w:cs="Arial"/>
          <w:sz w:val="22"/>
          <w:szCs w:val="22"/>
        </w:rPr>
      </w:pPr>
      <w:r>
        <w:rPr>
          <w:rFonts w:ascii="Arial" w:hAnsi="Arial" w:cs="Arial"/>
          <w:sz w:val="22"/>
          <w:szCs w:val="22"/>
        </w:rPr>
        <w:br w:type="page"/>
      </w:r>
    </w:p>
    <w:p w14:paraId="60AE945F" w14:textId="77777777" w:rsidR="00F527F4" w:rsidRDefault="00F527F4" w:rsidP="00F527F4">
      <w:pPr>
        <w:jc w:val="both"/>
        <w:rPr>
          <w:rFonts w:ascii="Arial" w:hAnsi="Arial" w:cs="Arial"/>
          <w:sz w:val="22"/>
          <w:szCs w:val="22"/>
        </w:rPr>
      </w:pPr>
    </w:p>
    <w:p w14:paraId="247EFADF" w14:textId="77777777" w:rsidR="00F527F4" w:rsidRDefault="00F527F4" w:rsidP="00F527F4">
      <w:pPr>
        <w:jc w:val="both"/>
        <w:rPr>
          <w:rFonts w:ascii="Arial" w:hAnsi="Arial" w:cs="Arial"/>
          <w:sz w:val="22"/>
          <w:szCs w:val="22"/>
        </w:rPr>
      </w:pPr>
      <w:r>
        <w:rPr>
          <w:rFonts w:ascii="Arial" w:hAnsi="Arial" w:cs="Arial"/>
          <w:noProof/>
          <w:sz w:val="22"/>
          <w:szCs w:val="22"/>
        </w:rPr>
        <w:drawing>
          <wp:inline distT="0" distB="0" distL="0" distR="0" wp14:anchorId="7F310CB4" wp14:editId="09DD5CE9">
            <wp:extent cx="5651500" cy="3086100"/>
            <wp:effectExtent l="0" t="0" r="0" b="0"/>
            <wp:docPr id="7" name="Picture 7"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51500" cy="3086100"/>
                    </a:xfrm>
                    <a:prstGeom prst="rect">
                      <a:avLst/>
                    </a:prstGeom>
                  </pic:spPr>
                </pic:pic>
              </a:graphicData>
            </a:graphic>
          </wp:inline>
        </w:drawing>
      </w:r>
    </w:p>
    <w:p w14:paraId="366B083E" w14:textId="77777777" w:rsidR="00F527F4" w:rsidRDefault="00F527F4" w:rsidP="00F527F4">
      <w:pPr>
        <w:jc w:val="both"/>
        <w:rPr>
          <w:rFonts w:ascii="Arial" w:hAnsi="Arial" w:cs="Arial"/>
          <w:sz w:val="22"/>
          <w:szCs w:val="22"/>
        </w:rPr>
      </w:pPr>
    </w:p>
    <w:p w14:paraId="4327F416" w14:textId="77777777" w:rsidR="00F527F4" w:rsidRDefault="00F527F4" w:rsidP="00F527F4">
      <w:pPr>
        <w:jc w:val="both"/>
        <w:rPr>
          <w:rFonts w:ascii="Arial" w:hAnsi="Arial" w:cs="Arial"/>
          <w:sz w:val="22"/>
          <w:szCs w:val="22"/>
        </w:rPr>
      </w:pPr>
      <w:r>
        <w:rPr>
          <w:rFonts w:ascii="Arial" w:hAnsi="Arial" w:cs="Arial"/>
          <w:b/>
          <w:bCs/>
          <w:sz w:val="22"/>
          <w:szCs w:val="22"/>
        </w:rPr>
        <w:t xml:space="preserve">Extended Data Fig. 3. </w:t>
      </w:r>
      <w:r w:rsidRPr="007E7A2E">
        <w:rPr>
          <w:rFonts w:ascii="Arial" w:hAnsi="Arial" w:cs="Arial"/>
          <w:b/>
          <w:bCs/>
          <w:sz w:val="22"/>
          <w:szCs w:val="22"/>
        </w:rPr>
        <w:t xml:space="preserve">QSAR modeling framework to predict binding lead compounds. </w:t>
      </w:r>
      <w:r>
        <w:rPr>
          <w:rFonts w:ascii="Arial" w:hAnsi="Arial" w:cs="Arial"/>
          <w:b/>
          <w:bCs/>
          <w:sz w:val="22"/>
          <w:szCs w:val="22"/>
        </w:rPr>
        <w:t>a</w:t>
      </w:r>
      <w:r>
        <w:rPr>
          <w:rFonts w:ascii="Arial" w:hAnsi="Arial" w:cs="Arial"/>
          <w:sz w:val="22"/>
          <w:szCs w:val="22"/>
        </w:rPr>
        <w:t>, Written out multiple linear regression (MLR) baseline, R</w:t>
      </w:r>
      <w:r w:rsidRPr="004C23DE">
        <w:rPr>
          <w:rFonts w:ascii="Arial" w:hAnsi="Arial" w:cs="Arial"/>
          <w:sz w:val="22"/>
          <w:szCs w:val="22"/>
          <w:vertAlign w:val="superscript"/>
        </w:rPr>
        <w:t>2</w:t>
      </w:r>
      <w:r>
        <w:rPr>
          <w:rFonts w:ascii="Arial" w:hAnsi="Arial" w:cs="Arial"/>
          <w:sz w:val="22"/>
          <w:szCs w:val="22"/>
        </w:rPr>
        <w:t>-focused, and Q</w:t>
      </w:r>
      <w:r w:rsidRPr="004C23DE">
        <w:rPr>
          <w:rFonts w:ascii="Arial" w:hAnsi="Arial" w:cs="Arial"/>
          <w:sz w:val="22"/>
          <w:szCs w:val="22"/>
          <w:vertAlign w:val="superscript"/>
        </w:rPr>
        <w:t>2</w:t>
      </w:r>
      <w:r>
        <w:rPr>
          <w:rFonts w:ascii="Arial" w:hAnsi="Arial" w:cs="Arial"/>
          <w:sz w:val="22"/>
          <w:szCs w:val="22"/>
        </w:rPr>
        <w:t xml:space="preserve">-focused models. The physical meaning of each physiochemical descriptor is listed in </w:t>
      </w:r>
      <w:r w:rsidRPr="007254E5">
        <w:rPr>
          <w:rFonts w:ascii="Arial" w:hAnsi="Arial" w:cs="Arial"/>
          <w:b/>
          <w:bCs/>
          <w:sz w:val="22"/>
          <w:szCs w:val="22"/>
        </w:rPr>
        <w:t xml:space="preserve">Supplementary Table </w:t>
      </w:r>
      <w:r>
        <w:rPr>
          <w:rFonts w:ascii="Arial" w:hAnsi="Arial" w:cs="Arial"/>
          <w:b/>
          <w:bCs/>
          <w:sz w:val="22"/>
          <w:szCs w:val="22"/>
        </w:rPr>
        <w:t>2</w:t>
      </w:r>
      <w:r>
        <w:rPr>
          <w:rFonts w:ascii="Arial" w:hAnsi="Arial" w:cs="Arial"/>
          <w:sz w:val="22"/>
          <w:szCs w:val="22"/>
        </w:rPr>
        <w:t xml:space="preserve">. </w:t>
      </w:r>
      <w:r>
        <w:rPr>
          <w:rFonts w:ascii="Arial" w:hAnsi="Arial" w:cs="Arial"/>
          <w:b/>
          <w:bCs/>
          <w:sz w:val="22"/>
          <w:szCs w:val="22"/>
        </w:rPr>
        <w:t>b</w:t>
      </w:r>
      <w:r w:rsidRPr="0040628E">
        <w:rPr>
          <w:rFonts w:ascii="Arial" w:hAnsi="Arial" w:cs="Arial"/>
          <w:sz w:val="22"/>
          <w:szCs w:val="22"/>
        </w:rPr>
        <w:t>,</w:t>
      </w:r>
      <w:r>
        <w:rPr>
          <w:rFonts w:ascii="Arial" w:hAnsi="Arial" w:cs="Arial"/>
          <w:b/>
          <w:bCs/>
          <w:sz w:val="22"/>
          <w:szCs w:val="22"/>
        </w:rPr>
        <w:t xml:space="preserve"> </w:t>
      </w:r>
      <w:r>
        <w:rPr>
          <w:rFonts w:ascii="Arial" w:hAnsi="Arial" w:cs="Arial"/>
          <w:sz w:val="22"/>
          <w:szCs w:val="22"/>
        </w:rPr>
        <w:t>Measured ln [K</w:t>
      </w:r>
      <w:r>
        <w:rPr>
          <w:rFonts w:ascii="Arial" w:hAnsi="Arial" w:cs="Arial"/>
          <w:sz w:val="22"/>
          <w:szCs w:val="22"/>
          <w:vertAlign w:val="subscript"/>
        </w:rPr>
        <w:t>D</w:t>
      </w:r>
      <w:r>
        <w:rPr>
          <w:rFonts w:ascii="Arial" w:hAnsi="Arial" w:cs="Arial"/>
          <w:sz w:val="22"/>
          <w:szCs w:val="22"/>
        </w:rPr>
        <w:t xml:space="preserve">] values plotted with the value predicted by the baseline model that did not include a data split. </w:t>
      </w:r>
      <w:r>
        <w:rPr>
          <w:rFonts w:ascii="Arial" w:hAnsi="Arial" w:cs="Arial"/>
          <w:b/>
          <w:bCs/>
          <w:sz w:val="22"/>
          <w:szCs w:val="22"/>
        </w:rPr>
        <w:t>c</w:t>
      </w:r>
      <w:r>
        <w:rPr>
          <w:rFonts w:ascii="Arial" w:hAnsi="Arial" w:cs="Arial"/>
          <w:sz w:val="22"/>
          <w:szCs w:val="22"/>
        </w:rPr>
        <w:t xml:space="preserve">, </w:t>
      </w:r>
      <w:r w:rsidRPr="0075149C">
        <w:rPr>
          <w:rFonts w:ascii="Arial" w:hAnsi="Arial" w:cs="Arial"/>
          <w:sz w:val="22"/>
          <w:szCs w:val="22"/>
        </w:rPr>
        <w:t xml:space="preserve">Locations of </w:t>
      </w:r>
      <w:r>
        <w:rPr>
          <w:rFonts w:ascii="Arial" w:hAnsi="Arial" w:cs="Arial"/>
          <w:sz w:val="22"/>
          <w:szCs w:val="22"/>
        </w:rPr>
        <w:t xml:space="preserve">the training and </w:t>
      </w:r>
      <w:r w:rsidRPr="0075149C">
        <w:rPr>
          <w:rFonts w:ascii="Arial" w:hAnsi="Arial" w:cs="Arial"/>
          <w:sz w:val="22"/>
          <w:szCs w:val="22"/>
        </w:rPr>
        <w:t xml:space="preserve">test set </w:t>
      </w:r>
      <w:r>
        <w:rPr>
          <w:rFonts w:ascii="Arial" w:hAnsi="Arial" w:cs="Arial"/>
          <w:sz w:val="22"/>
          <w:szCs w:val="22"/>
        </w:rPr>
        <w:t>from the R</w:t>
      </w:r>
      <w:r w:rsidRPr="0075149C">
        <w:rPr>
          <w:rFonts w:ascii="Arial" w:hAnsi="Arial" w:cs="Arial"/>
          <w:sz w:val="22"/>
          <w:szCs w:val="22"/>
          <w:vertAlign w:val="superscript"/>
        </w:rPr>
        <w:t>2</w:t>
      </w:r>
      <w:r>
        <w:rPr>
          <w:rFonts w:ascii="Arial" w:hAnsi="Arial" w:cs="Arial"/>
          <w:sz w:val="22"/>
          <w:szCs w:val="22"/>
        </w:rPr>
        <w:t xml:space="preserve">-focused modeling </w:t>
      </w:r>
      <w:r w:rsidRPr="0075149C">
        <w:rPr>
          <w:rFonts w:ascii="Arial" w:hAnsi="Arial" w:cs="Arial"/>
          <w:sz w:val="22"/>
          <w:szCs w:val="22"/>
        </w:rPr>
        <w:t xml:space="preserve">in two-dimensional chemical space constructed from </w:t>
      </w:r>
      <w:r>
        <w:rPr>
          <w:rFonts w:ascii="Arial" w:hAnsi="Arial" w:cs="Arial"/>
          <w:sz w:val="22"/>
          <w:szCs w:val="22"/>
        </w:rPr>
        <w:t xml:space="preserve">PC1 and PC2 </w:t>
      </w:r>
      <w:r w:rsidRPr="0075149C">
        <w:rPr>
          <w:rFonts w:ascii="Arial" w:hAnsi="Arial" w:cs="Arial"/>
          <w:sz w:val="22"/>
          <w:szCs w:val="22"/>
        </w:rPr>
        <w:t>of the whole data set.</w:t>
      </w:r>
      <w:r w:rsidRPr="0075149C">
        <w:rPr>
          <w:rFonts w:ascii="Arial" w:hAnsi="Arial" w:cs="Arial"/>
          <w:b/>
          <w:bCs/>
          <w:sz w:val="22"/>
          <w:szCs w:val="22"/>
        </w:rPr>
        <w:t xml:space="preserve"> </w:t>
      </w:r>
      <w:r>
        <w:rPr>
          <w:rFonts w:ascii="Arial" w:hAnsi="Arial" w:cs="Arial"/>
          <w:b/>
          <w:bCs/>
          <w:sz w:val="22"/>
          <w:szCs w:val="22"/>
        </w:rPr>
        <w:t>d</w:t>
      </w:r>
      <w:r>
        <w:rPr>
          <w:rFonts w:ascii="Arial" w:hAnsi="Arial" w:cs="Arial"/>
          <w:sz w:val="22"/>
          <w:szCs w:val="22"/>
        </w:rPr>
        <w:t xml:space="preserve">, Same as in </w:t>
      </w:r>
      <w:r>
        <w:rPr>
          <w:rFonts w:ascii="Arial" w:hAnsi="Arial" w:cs="Arial"/>
          <w:b/>
          <w:bCs/>
          <w:sz w:val="22"/>
          <w:szCs w:val="22"/>
        </w:rPr>
        <w:t>b</w:t>
      </w:r>
      <w:r>
        <w:rPr>
          <w:rFonts w:ascii="Arial" w:hAnsi="Arial" w:cs="Arial"/>
          <w:sz w:val="22"/>
          <w:szCs w:val="22"/>
        </w:rPr>
        <w:t xml:space="preserve"> but for the R</w:t>
      </w:r>
      <w:r w:rsidRPr="0075149C">
        <w:rPr>
          <w:rFonts w:ascii="Arial" w:hAnsi="Arial" w:cs="Arial"/>
          <w:sz w:val="22"/>
          <w:szCs w:val="22"/>
          <w:vertAlign w:val="superscript"/>
        </w:rPr>
        <w:t>2</w:t>
      </w:r>
      <w:r>
        <w:rPr>
          <w:rFonts w:ascii="Arial" w:hAnsi="Arial" w:cs="Arial"/>
          <w:sz w:val="22"/>
          <w:szCs w:val="22"/>
        </w:rPr>
        <w:t xml:space="preserve">-focused model. </w:t>
      </w:r>
      <w:r>
        <w:rPr>
          <w:rFonts w:ascii="Arial" w:hAnsi="Arial" w:cs="Arial"/>
          <w:b/>
          <w:bCs/>
          <w:sz w:val="22"/>
          <w:szCs w:val="22"/>
        </w:rPr>
        <w:t>e</w:t>
      </w:r>
      <w:r>
        <w:rPr>
          <w:rFonts w:ascii="Arial" w:hAnsi="Arial" w:cs="Arial"/>
          <w:sz w:val="22"/>
          <w:szCs w:val="22"/>
        </w:rPr>
        <w:t>,</w:t>
      </w:r>
      <w:r w:rsidRPr="00DA5032">
        <w:rPr>
          <w:rFonts w:ascii="Arial" w:hAnsi="Arial" w:cs="Arial"/>
          <w:sz w:val="22"/>
          <w:szCs w:val="22"/>
        </w:rPr>
        <w:t xml:space="preserve"> </w:t>
      </w:r>
      <w:r>
        <w:rPr>
          <w:rFonts w:ascii="Arial" w:hAnsi="Arial" w:cs="Arial"/>
          <w:sz w:val="22"/>
          <w:szCs w:val="22"/>
        </w:rPr>
        <w:t>Average ln [K</w:t>
      </w:r>
      <w:r>
        <w:rPr>
          <w:rFonts w:ascii="Arial" w:hAnsi="Arial" w:cs="Arial"/>
          <w:sz w:val="22"/>
          <w:szCs w:val="22"/>
          <w:vertAlign w:val="subscript"/>
        </w:rPr>
        <w:t>D</w:t>
      </w:r>
      <w:r>
        <w:rPr>
          <w:rFonts w:ascii="Arial" w:hAnsi="Arial" w:cs="Arial"/>
          <w:sz w:val="22"/>
          <w:szCs w:val="22"/>
        </w:rPr>
        <w:t xml:space="preserve">] values predicted by our three models for each compound in the alkyne library. The magenta shaded box represents the 184 compounds that have a predicted affinity tighter than that of our current binding lead </w:t>
      </w:r>
      <w:r w:rsidRPr="00533C44">
        <w:rPr>
          <w:rFonts w:ascii="Arial" w:hAnsi="Arial" w:cs="Arial"/>
          <w:b/>
          <w:bCs/>
          <w:sz w:val="22"/>
          <w:szCs w:val="22"/>
        </w:rPr>
        <w:t>29</w:t>
      </w:r>
      <w:r>
        <w:rPr>
          <w:rFonts w:ascii="Arial" w:hAnsi="Arial" w:cs="Arial"/>
          <w:sz w:val="22"/>
          <w:szCs w:val="22"/>
        </w:rPr>
        <w:t xml:space="preserve"> (ln [K</w:t>
      </w:r>
      <w:r>
        <w:rPr>
          <w:rFonts w:ascii="Arial" w:hAnsi="Arial" w:cs="Arial"/>
          <w:sz w:val="22"/>
          <w:szCs w:val="22"/>
          <w:vertAlign w:val="subscript"/>
        </w:rPr>
        <w:t>D</w:t>
      </w:r>
      <w:r>
        <w:rPr>
          <w:rFonts w:ascii="Arial" w:hAnsi="Arial" w:cs="Arial"/>
          <w:sz w:val="22"/>
          <w:szCs w:val="22"/>
        </w:rPr>
        <w:t xml:space="preserve">] &lt; -18.0). </w:t>
      </w:r>
      <w:r>
        <w:rPr>
          <w:rFonts w:ascii="Arial" w:hAnsi="Arial" w:cs="Arial"/>
          <w:b/>
          <w:bCs/>
          <w:sz w:val="22"/>
          <w:szCs w:val="22"/>
        </w:rPr>
        <w:t>f</w:t>
      </w:r>
      <w:r>
        <w:rPr>
          <w:rFonts w:ascii="Arial" w:hAnsi="Arial" w:cs="Arial"/>
          <w:sz w:val="22"/>
          <w:szCs w:val="22"/>
        </w:rPr>
        <w:t>, Rank-ordered plot the average K</w:t>
      </w:r>
      <w:r>
        <w:rPr>
          <w:rFonts w:ascii="Arial" w:hAnsi="Arial" w:cs="Arial"/>
          <w:sz w:val="22"/>
          <w:szCs w:val="22"/>
          <w:vertAlign w:val="subscript"/>
        </w:rPr>
        <w:t>D</w:t>
      </w:r>
      <w:r>
        <w:rPr>
          <w:rFonts w:ascii="Arial" w:hAnsi="Arial" w:cs="Arial"/>
          <w:sz w:val="22"/>
          <w:szCs w:val="22"/>
        </w:rPr>
        <w:t xml:space="preserve"> values predicted by our binding models for the 184 potential lead compounds that were identified from the alkyne library, separated by type (phenyl-X and amide-X). These compounds are classified as either “out of stock”, “already have”, “counterevidence”, “difficult synthesis”, and “will test”. Here, “out of stock” refers to alkynes that were not purchasable from Enamine. “Counterevidence” refers to compounds that are chemically similar to derivatives in our library that are known to have weak affinity. “Difficult synthesis” refers to compounds that contain amino groups or protonated nitrogen atoms, which were not compatible with the reduction-free synthesis</w:t>
      </w:r>
      <w:r>
        <w:rPr>
          <w:rFonts w:ascii="Arial" w:hAnsi="Arial" w:cs="Arial"/>
          <w:sz w:val="22"/>
          <w:szCs w:val="22"/>
        </w:rPr>
        <w:fldChar w:fldCharType="begin" w:fldLock="1"/>
      </w:r>
      <w:r>
        <w:rPr>
          <w:rFonts w:ascii="Arial" w:hAnsi="Arial" w:cs="Arial"/>
          <w:sz w:val="22"/>
          <w:szCs w:val="22"/>
        </w:rPr>
        <w:instrText>ADDIN CSL_CITATION {"citationItems":[{"id":"ITEM-1","itemData":{"DOI":"10.1021/JO501271G","ISSN":"1520-6904","PMID":"25046078","abstract":"The synthesis of vitamin B12 derivatives for selective orthogonal conjugation at both the Co center and 5'-OH is reported. Newly developed, reduction-free, direct alkynylation of vitamin B12 at the central cobalt ion proved to be versatile, with the formed acetylides, unlike other metalloorganic derivatives, showing remarkable heat and light stability, thus making them promising candidates as a drug carrier. Subsequently, high-yielding functionalization can be achieved via a sequence of selective [1,3] dipolar azide-alkyne cycloadditions (AACs) or carbamate formation followed by AAC. © 2014 American Chemical Society.","author":[{"dropping-particle":"","family":"Chromiński","given":"Mikołaj","non-dropping-particle":"","parse-names":false,"suffix":""},{"dropping-particle":"","family":"Lewalska","given":"Agnieszka","non-dropping-particle":"","parse-names":false,"suffix":""},{"dropping-particle":"","family":"Karczewski","given":"Maksymilian","non-dropping-particle":"","parse-names":false,"suffix":""},{"dropping-particle":"","family":"Gryko","given":"Dorota","non-dropping-particle":"","parse-names":false,"suffix":""}],"container-title":"The Journal of organic chemistry","id":"ITEM-1","issue":"16","issued":{"date-parts":[["2014","8","15"]]},"page":"7532-7542","publisher":"J Org Chem","title":"Vitamin B12 derivatives for orthogonal functionalization","type":"article-journal","volume":"79"},"uris":["http://www.mendeley.com/documents/?uuid=58693da4-693a-3efc-884b-73db9e037126"]},{"id":"ITEM-2","itemData":{"DOI":"10.1039/C3CC47210H","ISSN":"1364-548X","PMID":"24170017","abstract":"A straightforward, reduction-free method for the synthesis of organometallic cobalamins has been developed. Stable phenylacetylide derivatives were characterized by X-ray analysis, showing a pronounced influence of the electronic nature of substituents on their structure.","author":[{"dropping-particle":"","family":"Chromiński","given":"Mikołaj","non-dropping-particle":"","parse-names":false,"suffix":""},{"dropping-particle":"","family":"Lewalska","given":"Agnieszka","non-dropping-particle":"","parse-names":false,"suffix":""},{"dropping-particle":"","family":"Gryko","given":"Dorota","non-dropping-particle":"","parse-names":false,"suffix":""}],"container-title":"Chemical Communications","id":"ITEM-2","issue":"97","issued":{"date-parts":[["2013","11","12"]]},"page":"11406-11408","publisher":"The Royal Society of Chemistry","title":"Reduction-free synthesis of stable acetylide cobalamins","type":"article-journal","volume":"49"},"uris":["http://www.mendeley.com/documents/?uuid=50880df1-6955-3d27-a502-04eab80ba832"]}],"mendeley":{"formattedCitation":"&lt;sup&gt;26,27&lt;/sup&gt;","plainTextFormattedCitation":"26,27","previouslyFormattedCitation":"&lt;sup&gt;26,27&lt;/sup&gt;"},"properties":{"noteIndex":0},"schema":"https://github.com/citation-style-language/schema/raw/master/csl-citation.json"}</w:instrText>
      </w:r>
      <w:r>
        <w:rPr>
          <w:rFonts w:ascii="Arial" w:hAnsi="Arial" w:cs="Arial"/>
          <w:sz w:val="22"/>
          <w:szCs w:val="22"/>
        </w:rPr>
        <w:fldChar w:fldCharType="separate"/>
      </w:r>
      <w:r w:rsidRPr="00C055A1">
        <w:rPr>
          <w:rFonts w:ascii="Arial" w:hAnsi="Arial" w:cs="Arial"/>
          <w:noProof/>
          <w:sz w:val="22"/>
          <w:szCs w:val="22"/>
          <w:vertAlign w:val="superscript"/>
        </w:rPr>
        <w:t>26,27</w:t>
      </w:r>
      <w:r>
        <w:rPr>
          <w:rFonts w:ascii="Arial" w:hAnsi="Arial" w:cs="Arial"/>
          <w:sz w:val="22"/>
          <w:szCs w:val="22"/>
        </w:rPr>
        <w:fldChar w:fldCharType="end"/>
      </w:r>
      <w:r>
        <w:rPr>
          <w:rFonts w:ascii="Arial" w:hAnsi="Arial" w:cs="Arial"/>
          <w:sz w:val="22"/>
          <w:szCs w:val="22"/>
        </w:rPr>
        <w:t xml:space="preserve"> (</w:t>
      </w:r>
      <w:r w:rsidRPr="00DA5F16">
        <w:rPr>
          <w:rFonts w:ascii="Arial" w:hAnsi="Arial" w:cs="Arial"/>
          <w:b/>
          <w:bCs/>
          <w:sz w:val="22"/>
          <w:szCs w:val="22"/>
        </w:rPr>
        <w:t>Supplementary Fig. 2</w:t>
      </w:r>
      <w:r>
        <w:rPr>
          <w:rFonts w:ascii="Arial" w:hAnsi="Arial" w:cs="Arial"/>
          <w:sz w:val="22"/>
          <w:szCs w:val="22"/>
        </w:rPr>
        <w:t xml:space="preserve">). The vast majority of “out of stock” compounds also contained amino groups or protonated nitrogen atoms. Thus, even if they become purchasable from Enamine, they are still synthetically inaccessible. Finally, “will test” refers to the four purchasable alkynes that were predicted to yield binding lead Cbls </w:t>
      </w:r>
      <w:r w:rsidRPr="00981B43">
        <w:rPr>
          <w:rFonts w:ascii="Arial" w:hAnsi="Arial" w:cs="Arial"/>
          <w:b/>
          <w:bCs/>
          <w:sz w:val="22"/>
          <w:szCs w:val="22"/>
        </w:rPr>
        <w:t>45</w:t>
      </w:r>
      <w:r>
        <w:rPr>
          <w:rFonts w:ascii="Arial" w:hAnsi="Arial" w:cs="Arial"/>
          <w:sz w:val="22"/>
          <w:szCs w:val="22"/>
        </w:rPr>
        <w:t>-</w:t>
      </w:r>
      <w:r w:rsidRPr="00981B43">
        <w:rPr>
          <w:rFonts w:ascii="Arial" w:hAnsi="Arial" w:cs="Arial"/>
          <w:b/>
          <w:bCs/>
          <w:sz w:val="22"/>
          <w:szCs w:val="22"/>
        </w:rPr>
        <w:t>48</w:t>
      </w:r>
      <w:r>
        <w:rPr>
          <w:rFonts w:ascii="Arial" w:hAnsi="Arial" w:cs="Arial"/>
          <w:sz w:val="22"/>
          <w:szCs w:val="22"/>
        </w:rPr>
        <w:t>.</w:t>
      </w:r>
    </w:p>
    <w:p w14:paraId="6ECBC75B" w14:textId="77777777" w:rsidR="00F527F4" w:rsidRDefault="00F527F4" w:rsidP="00F527F4">
      <w:pPr>
        <w:rPr>
          <w:rFonts w:ascii="Arial" w:hAnsi="Arial" w:cs="Arial"/>
          <w:sz w:val="22"/>
          <w:szCs w:val="22"/>
        </w:rPr>
      </w:pPr>
      <w:r>
        <w:rPr>
          <w:rFonts w:ascii="Arial" w:hAnsi="Arial" w:cs="Arial"/>
          <w:sz w:val="22"/>
          <w:szCs w:val="22"/>
        </w:rPr>
        <w:br w:type="page"/>
      </w:r>
    </w:p>
    <w:p w14:paraId="1AABE652" w14:textId="77777777" w:rsidR="00F527F4" w:rsidRDefault="00F527F4" w:rsidP="00F527F4">
      <w:pPr>
        <w:jc w:val="both"/>
        <w:rPr>
          <w:rFonts w:ascii="Arial" w:hAnsi="Arial" w:cs="Arial"/>
          <w:sz w:val="22"/>
          <w:szCs w:val="22"/>
        </w:rPr>
      </w:pPr>
    </w:p>
    <w:p w14:paraId="4FAF9FCB" w14:textId="77777777" w:rsidR="00F527F4" w:rsidRDefault="00F527F4" w:rsidP="00F527F4">
      <w:pPr>
        <w:jc w:val="center"/>
        <w:rPr>
          <w:rFonts w:ascii="Arial" w:hAnsi="Arial" w:cs="Arial"/>
          <w:sz w:val="22"/>
          <w:szCs w:val="22"/>
        </w:rPr>
      </w:pPr>
      <w:r>
        <w:rPr>
          <w:rFonts w:ascii="Arial" w:hAnsi="Arial" w:cs="Arial"/>
          <w:noProof/>
          <w:sz w:val="22"/>
          <w:szCs w:val="22"/>
        </w:rPr>
        <w:drawing>
          <wp:inline distT="0" distB="0" distL="0" distR="0" wp14:anchorId="6E3CE28E" wp14:editId="32BCA39C">
            <wp:extent cx="5867400" cy="2286000"/>
            <wp:effectExtent l="0" t="0" r="0" b="0"/>
            <wp:docPr id="32" name="Picture 32"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collage of graphs and diagram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67400" cy="2286000"/>
                    </a:xfrm>
                    <a:prstGeom prst="rect">
                      <a:avLst/>
                    </a:prstGeom>
                  </pic:spPr>
                </pic:pic>
              </a:graphicData>
            </a:graphic>
          </wp:inline>
        </w:drawing>
      </w:r>
    </w:p>
    <w:p w14:paraId="1F921DF1" w14:textId="77777777" w:rsidR="00F527F4" w:rsidRDefault="00F527F4" w:rsidP="00F527F4">
      <w:pPr>
        <w:jc w:val="both"/>
        <w:rPr>
          <w:rFonts w:ascii="Arial" w:hAnsi="Arial" w:cs="Arial"/>
          <w:sz w:val="22"/>
          <w:szCs w:val="22"/>
        </w:rPr>
      </w:pPr>
    </w:p>
    <w:p w14:paraId="43936F4E" w14:textId="77777777" w:rsidR="00F527F4" w:rsidRPr="00B37A0F" w:rsidRDefault="00F527F4" w:rsidP="00F527F4">
      <w:pPr>
        <w:jc w:val="both"/>
        <w:rPr>
          <w:rFonts w:ascii="Arial" w:hAnsi="Arial" w:cs="Arial"/>
          <w:sz w:val="22"/>
          <w:szCs w:val="22"/>
        </w:rPr>
      </w:pPr>
      <w:r>
        <w:rPr>
          <w:rFonts w:ascii="Arial" w:hAnsi="Arial" w:cs="Arial"/>
          <w:b/>
          <w:bCs/>
          <w:sz w:val="22"/>
          <w:szCs w:val="22"/>
        </w:rPr>
        <w:t xml:space="preserve">Extended Data Fig. 4. Growth experiments in </w:t>
      </w:r>
      <w:r w:rsidRPr="00087350">
        <w:rPr>
          <w:rFonts w:ascii="Arial" w:hAnsi="Arial" w:cs="Arial"/>
          <w:b/>
          <w:bCs/>
          <w:sz w:val="22"/>
          <w:szCs w:val="22"/>
        </w:rPr>
        <w:t>ΔMetE cells</w:t>
      </w:r>
      <w:r>
        <w:rPr>
          <w:rFonts w:ascii="Arial" w:hAnsi="Arial" w:cs="Arial"/>
          <w:b/>
          <w:bCs/>
          <w:sz w:val="22"/>
          <w:szCs w:val="22"/>
        </w:rPr>
        <w:t xml:space="preserve">. </w:t>
      </w:r>
      <w:r w:rsidRPr="00087350">
        <w:rPr>
          <w:rFonts w:ascii="Arial" w:hAnsi="Arial" w:cs="Arial"/>
          <w:b/>
          <w:bCs/>
          <w:sz w:val="22"/>
          <w:szCs w:val="22"/>
        </w:rPr>
        <w:t>a</w:t>
      </w:r>
      <w:r>
        <w:rPr>
          <w:rFonts w:ascii="Arial" w:hAnsi="Arial" w:cs="Arial"/>
          <w:sz w:val="22"/>
          <w:szCs w:val="22"/>
        </w:rPr>
        <w:t>,</w:t>
      </w:r>
      <w:r>
        <w:rPr>
          <w:rFonts w:ascii="Arial" w:hAnsi="Arial" w:cs="Arial"/>
          <w:b/>
          <w:bCs/>
          <w:sz w:val="22"/>
          <w:szCs w:val="22"/>
        </w:rPr>
        <w:t xml:space="preserve"> </w:t>
      </w:r>
      <w:r w:rsidRPr="00087350">
        <w:rPr>
          <w:rFonts w:ascii="Arial" w:hAnsi="Arial" w:cs="Arial"/>
          <w:sz w:val="22"/>
          <w:szCs w:val="22"/>
        </w:rPr>
        <w:t>Growth</w:t>
      </w:r>
      <w:r>
        <w:rPr>
          <w:rFonts w:ascii="Arial" w:hAnsi="Arial" w:cs="Arial"/>
          <w:b/>
          <w:bCs/>
          <w:sz w:val="22"/>
          <w:szCs w:val="22"/>
        </w:rPr>
        <w:t xml:space="preserve"> </w:t>
      </w:r>
      <w:r w:rsidRPr="00087350">
        <w:rPr>
          <w:rFonts w:ascii="Arial" w:hAnsi="Arial" w:cs="Arial"/>
          <w:sz w:val="22"/>
          <w:szCs w:val="22"/>
        </w:rPr>
        <w:t>(as measured by</w:t>
      </w:r>
      <w:r>
        <w:rPr>
          <w:rFonts w:ascii="Arial" w:hAnsi="Arial" w:cs="Arial"/>
          <w:b/>
          <w:bCs/>
          <w:sz w:val="22"/>
          <w:szCs w:val="22"/>
        </w:rPr>
        <w:t xml:space="preserve"> </w:t>
      </w:r>
      <w:r>
        <w:rPr>
          <w:rFonts w:ascii="Arial" w:hAnsi="Arial" w:cs="Arial"/>
          <w:sz w:val="22"/>
          <w:szCs w:val="22"/>
        </w:rPr>
        <w:t>OD</w:t>
      </w:r>
      <w:r>
        <w:rPr>
          <w:rFonts w:ascii="Arial" w:hAnsi="Arial" w:cs="Arial"/>
          <w:sz w:val="22"/>
          <w:szCs w:val="22"/>
          <w:vertAlign w:val="subscript"/>
        </w:rPr>
        <w:t>600</w:t>
      </w:r>
      <w:r>
        <w:rPr>
          <w:rFonts w:ascii="Arial" w:hAnsi="Arial" w:cs="Arial"/>
          <w:sz w:val="22"/>
          <w:szCs w:val="22"/>
        </w:rPr>
        <w:t xml:space="preserve">) curve of </w:t>
      </w:r>
      <w:r w:rsidRPr="005C35B4">
        <w:rPr>
          <w:rFonts w:ascii="Arial" w:hAnsi="Arial" w:cs="Arial"/>
          <w:sz w:val="22"/>
          <w:szCs w:val="22"/>
        </w:rPr>
        <w:t>Δ</w:t>
      </w:r>
      <w:r>
        <w:rPr>
          <w:rFonts w:ascii="Arial" w:hAnsi="Arial" w:cs="Arial"/>
          <w:sz w:val="22"/>
          <w:szCs w:val="22"/>
        </w:rPr>
        <w:t xml:space="preserve">MetE cells (which lack the Cbl-independent methionine synthase MetE) that were grown in methionine (Met)-dropout CSB media and supplemented with either Met or CNCbl. </w:t>
      </w:r>
      <w:r w:rsidRPr="00B37A0F">
        <w:rPr>
          <w:rFonts w:ascii="Arial" w:hAnsi="Arial" w:cs="Arial"/>
          <w:b/>
          <w:bCs/>
          <w:sz w:val="22"/>
          <w:szCs w:val="22"/>
        </w:rPr>
        <w:t>b</w:t>
      </w:r>
      <w:r>
        <w:rPr>
          <w:rFonts w:ascii="Arial" w:hAnsi="Arial" w:cs="Arial"/>
          <w:sz w:val="22"/>
          <w:szCs w:val="22"/>
        </w:rPr>
        <w:t>, Plot of ln [OD</w:t>
      </w:r>
      <w:r>
        <w:rPr>
          <w:rFonts w:ascii="Arial" w:hAnsi="Arial" w:cs="Arial"/>
          <w:sz w:val="22"/>
          <w:szCs w:val="22"/>
          <w:vertAlign w:val="subscript"/>
        </w:rPr>
        <w:t>600</w:t>
      </w:r>
      <w:r w:rsidRPr="00B37A0F">
        <w:rPr>
          <w:rFonts w:ascii="Arial" w:hAnsi="Arial" w:cs="Arial"/>
          <w:sz w:val="22"/>
          <w:szCs w:val="22"/>
        </w:rPr>
        <w:t xml:space="preserve">] </w:t>
      </w:r>
      <w:r>
        <w:rPr>
          <w:rFonts w:ascii="Arial" w:hAnsi="Arial" w:cs="Arial"/>
          <w:sz w:val="22"/>
          <w:szCs w:val="22"/>
        </w:rPr>
        <w:t xml:space="preserve">against time from the data in </w:t>
      </w:r>
      <w:r w:rsidRPr="00B37A0F">
        <w:rPr>
          <w:rFonts w:ascii="Arial" w:hAnsi="Arial" w:cs="Arial"/>
          <w:b/>
          <w:bCs/>
          <w:sz w:val="22"/>
          <w:szCs w:val="22"/>
        </w:rPr>
        <w:t>a</w:t>
      </w:r>
      <w:r>
        <w:rPr>
          <w:rFonts w:ascii="Arial" w:hAnsi="Arial" w:cs="Arial"/>
          <w:sz w:val="22"/>
          <w:szCs w:val="22"/>
        </w:rPr>
        <w:t xml:space="preserve"> where cell growth is exponential. The doubling time (t</w:t>
      </w:r>
      <w:r>
        <w:rPr>
          <w:rFonts w:ascii="Arial" w:hAnsi="Arial" w:cs="Arial"/>
          <w:sz w:val="22"/>
          <w:szCs w:val="22"/>
          <w:vertAlign w:val="subscript"/>
        </w:rPr>
        <w:t>1/2</w:t>
      </w:r>
      <w:r>
        <w:rPr>
          <w:rFonts w:ascii="Arial" w:hAnsi="Arial" w:cs="Arial"/>
          <w:sz w:val="22"/>
          <w:szCs w:val="22"/>
        </w:rPr>
        <w:t xml:space="preserve">) is obtained from the slope. </w:t>
      </w:r>
      <w:r w:rsidRPr="00B37A0F">
        <w:rPr>
          <w:rFonts w:ascii="Arial" w:hAnsi="Arial" w:cs="Arial"/>
          <w:b/>
          <w:bCs/>
          <w:sz w:val="22"/>
          <w:szCs w:val="22"/>
        </w:rPr>
        <w:t>c</w:t>
      </w:r>
      <w:r>
        <w:rPr>
          <w:rFonts w:ascii="Arial" w:hAnsi="Arial" w:cs="Arial"/>
          <w:sz w:val="22"/>
          <w:szCs w:val="22"/>
        </w:rPr>
        <w:t xml:space="preserve">, Titration of </w:t>
      </w:r>
      <w:r w:rsidRPr="005C35B4">
        <w:rPr>
          <w:rFonts w:ascii="Arial" w:hAnsi="Arial" w:cs="Arial"/>
          <w:sz w:val="22"/>
          <w:szCs w:val="22"/>
        </w:rPr>
        <w:t>Δ</w:t>
      </w:r>
      <w:r>
        <w:rPr>
          <w:rFonts w:ascii="Arial" w:hAnsi="Arial" w:cs="Arial"/>
          <w:sz w:val="22"/>
          <w:szCs w:val="22"/>
        </w:rPr>
        <w:t xml:space="preserve">MetE cells grown for a variable duration in increasing amounts Met. </w:t>
      </w:r>
      <w:r w:rsidRPr="00B37A0F">
        <w:rPr>
          <w:rFonts w:ascii="Arial" w:hAnsi="Arial" w:cs="Arial"/>
          <w:b/>
          <w:bCs/>
          <w:sz w:val="22"/>
          <w:szCs w:val="22"/>
        </w:rPr>
        <w:t>d</w:t>
      </w:r>
      <w:r>
        <w:rPr>
          <w:rFonts w:ascii="Arial" w:hAnsi="Arial" w:cs="Arial"/>
          <w:sz w:val="22"/>
          <w:szCs w:val="22"/>
        </w:rPr>
        <w:t xml:space="preserve">, Same as in </w:t>
      </w:r>
      <w:r w:rsidRPr="00B37A0F">
        <w:rPr>
          <w:rFonts w:ascii="Arial" w:hAnsi="Arial" w:cs="Arial"/>
          <w:b/>
          <w:bCs/>
          <w:sz w:val="22"/>
          <w:szCs w:val="22"/>
        </w:rPr>
        <w:t>c</w:t>
      </w:r>
      <w:r>
        <w:rPr>
          <w:rFonts w:ascii="Arial" w:hAnsi="Arial" w:cs="Arial"/>
          <w:sz w:val="22"/>
          <w:szCs w:val="22"/>
        </w:rPr>
        <w:t xml:space="preserve"> but for titration of CNCbl. </w:t>
      </w:r>
      <w:r w:rsidRPr="00B37A0F">
        <w:rPr>
          <w:rFonts w:ascii="Arial" w:hAnsi="Arial" w:cs="Arial"/>
          <w:b/>
          <w:bCs/>
          <w:sz w:val="22"/>
          <w:szCs w:val="22"/>
        </w:rPr>
        <w:t>e</w:t>
      </w:r>
      <w:r>
        <w:rPr>
          <w:rFonts w:ascii="Arial" w:hAnsi="Arial" w:cs="Arial"/>
          <w:sz w:val="22"/>
          <w:szCs w:val="22"/>
        </w:rPr>
        <w:t xml:space="preserve">, Same as in </w:t>
      </w:r>
      <w:r w:rsidRPr="005C716C">
        <w:rPr>
          <w:rFonts w:ascii="Arial" w:hAnsi="Arial" w:cs="Arial"/>
          <w:b/>
          <w:bCs/>
          <w:sz w:val="22"/>
          <w:szCs w:val="22"/>
        </w:rPr>
        <w:t>a</w:t>
      </w:r>
      <w:r>
        <w:rPr>
          <w:rFonts w:ascii="Arial" w:hAnsi="Arial" w:cs="Arial"/>
          <w:sz w:val="22"/>
          <w:szCs w:val="22"/>
        </w:rPr>
        <w:t xml:space="preserve"> but for CNCbl and Cbls </w:t>
      </w:r>
      <w:r w:rsidRPr="00B37A0F">
        <w:rPr>
          <w:rFonts w:ascii="Arial" w:hAnsi="Arial" w:cs="Arial"/>
          <w:b/>
          <w:bCs/>
          <w:sz w:val="22"/>
          <w:szCs w:val="22"/>
        </w:rPr>
        <w:t>36</w:t>
      </w:r>
      <w:r>
        <w:rPr>
          <w:rFonts w:ascii="Arial" w:hAnsi="Arial" w:cs="Arial"/>
          <w:sz w:val="22"/>
          <w:szCs w:val="22"/>
        </w:rPr>
        <w:t xml:space="preserve"> (strong repressor) and </w:t>
      </w:r>
      <w:r w:rsidRPr="00B37A0F">
        <w:rPr>
          <w:rFonts w:ascii="Arial" w:hAnsi="Arial" w:cs="Arial"/>
          <w:b/>
          <w:bCs/>
          <w:sz w:val="22"/>
          <w:szCs w:val="22"/>
        </w:rPr>
        <w:t>44</w:t>
      </w:r>
      <w:r>
        <w:rPr>
          <w:rFonts w:ascii="Arial" w:hAnsi="Arial" w:cs="Arial"/>
          <w:sz w:val="22"/>
          <w:szCs w:val="22"/>
        </w:rPr>
        <w:t xml:space="preserve"> (weak repressor). </w:t>
      </w:r>
      <w:r w:rsidRPr="00B37A0F">
        <w:rPr>
          <w:rFonts w:ascii="Arial" w:hAnsi="Arial" w:cs="Arial"/>
          <w:b/>
          <w:bCs/>
          <w:sz w:val="22"/>
          <w:szCs w:val="22"/>
        </w:rPr>
        <w:t>f</w:t>
      </w:r>
      <w:r>
        <w:rPr>
          <w:rFonts w:ascii="Arial" w:hAnsi="Arial" w:cs="Arial"/>
          <w:sz w:val="22"/>
          <w:szCs w:val="22"/>
        </w:rPr>
        <w:t xml:space="preserve">, Same as in </w:t>
      </w:r>
      <w:r w:rsidRPr="00B37A0F">
        <w:rPr>
          <w:rFonts w:ascii="Arial" w:hAnsi="Arial" w:cs="Arial"/>
          <w:b/>
          <w:bCs/>
          <w:sz w:val="22"/>
          <w:szCs w:val="22"/>
        </w:rPr>
        <w:t>b</w:t>
      </w:r>
      <w:r>
        <w:rPr>
          <w:rFonts w:ascii="Arial" w:hAnsi="Arial" w:cs="Arial"/>
          <w:sz w:val="22"/>
          <w:szCs w:val="22"/>
        </w:rPr>
        <w:t xml:space="preserve"> but for the data in </w:t>
      </w:r>
      <w:r w:rsidRPr="00B37A0F">
        <w:rPr>
          <w:rFonts w:ascii="Arial" w:hAnsi="Arial" w:cs="Arial"/>
          <w:b/>
          <w:bCs/>
          <w:sz w:val="22"/>
          <w:szCs w:val="22"/>
        </w:rPr>
        <w:t>e</w:t>
      </w:r>
      <w:r>
        <w:rPr>
          <w:rFonts w:ascii="Arial" w:hAnsi="Arial" w:cs="Arial"/>
          <w:sz w:val="22"/>
          <w:szCs w:val="22"/>
        </w:rPr>
        <w:t xml:space="preserve">. </w:t>
      </w:r>
      <w:r w:rsidRPr="005C716C">
        <w:rPr>
          <w:rFonts w:ascii="Arial" w:hAnsi="Arial" w:cs="Arial"/>
          <w:b/>
          <w:bCs/>
          <w:sz w:val="22"/>
          <w:szCs w:val="22"/>
        </w:rPr>
        <w:t>g</w:t>
      </w:r>
      <w:r>
        <w:rPr>
          <w:rFonts w:ascii="Arial" w:hAnsi="Arial" w:cs="Arial"/>
          <w:sz w:val="22"/>
          <w:szCs w:val="22"/>
        </w:rPr>
        <w:t xml:space="preserve">, Same as in </w:t>
      </w:r>
      <w:r w:rsidRPr="00376AFB">
        <w:rPr>
          <w:rFonts w:ascii="Arial" w:hAnsi="Arial" w:cs="Arial"/>
          <w:b/>
          <w:bCs/>
          <w:sz w:val="22"/>
          <w:szCs w:val="22"/>
        </w:rPr>
        <w:t>d</w:t>
      </w:r>
      <w:r>
        <w:rPr>
          <w:rFonts w:ascii="Arial" w:hAnsi="Arial" w:cs="Arial"/>
          <w:sz w:val="22"/>
          <w:szCs w:val="22"/>
        </w:rPr>
        <w:t xml:space="preserve"> but for cells grown for 8 hours in increasing amounts of CNCbl, </w:t>
      </w:r>
      <w:r w:rsidRPr="005C716C">
        <w:rPr>
          <w:rFonts w:ascii="Arial" w:hAnsi="Arial" w:cs="Arial"/>
          <w:b/>
          <w:bCs/>
          <w:sz w:val="22"/>
          <w:szCs w:val="22"/>
        </w:rPr>
        <w:t>36</w:t>
      </w:r>
      <w:r>
        <w:rPr>
          <w:rFonts w:ascii="Arial" w:hAnsi="Arial" w:cs="Arial"/>
          <w:sz w:val="22"/>
          <w:szCs w:val="22"/>
        </w:rPr>
        <w:t xml:space="preserve">, or </w:t>
      </w:r>
      <w:r w:rsidRPr="005C716C">
        <w:rPr>
          <w:rFonts w:ascii="Arial" w:hAnsi="Arial" w:cs="Arial"/>
          <w:b/>
          <w:bCs/>
          <w:sz w:val="22"/>
          <w:szCs w:val="22"/>
        </w:rPr>
        <w:t>44</w:t>
      </w:r>
      <w:r>
        <w:rPr>
          <w:rFonts w:ascii="Arial" w:hAnsi="Arial" w:cs="Arial"/>
          <w:sz w:val="22"/>
          <w:szCs w:val="22"/>
        </w:rPr>
        <w:t>. All t</w:t>
      </w:r>
      <w:r>
        <w:rPr>
          <w:rFonts w:ascii="Arial" w:hAnsi="Arial" w:cs="Arial"/>
          <w:sz w:val="22"/>
          <w:szCs w:val="22"/>
          <w:vertAlign w:val="subscript"/>
        </w:rPr>
        <w:t>1/2</w:t>
      </w:r>
      <w:r>
        <w:rPr>
          <w:rFonts w:ascii="Arial" w:hAnsi="Arial" w:cs="Arial"/>
          <w:sz w:val="22"/>
          <w:szCs w:val="22"/>
        </w:rPr>
        <w:t>values and concentrations at which growth is at its half maximum are reported as mean and s.d. from biological replicates (</w:t>
      </w:r>
      <w:r w:rsidRPr="009D4A6C">
        <w:rPr>
          <w:rFonts w:ascii="Arial" w:hAnsi="Arial" w:cs="Arial"/>
          <w:i/>
          <w:iCs/>
          <w:sz w:val="22"/>
          <w:szCs w:val="22"/>
        </w:rPr>
        <w:t>n</w:t>
      </w:r>
      <w:r>
        <w:rPr>
          <w:rFonts w:ascii="Arial" w:hAnsi="Arial" w:cs="Arial"/>
          <w:sz w:val="22"/>
          <w:szCs w:val="22"/>
        </w:rPr>
        <w:t xml:space="preserve"> = 3).</w:t>
      </w:r>
    </w:p>
    <w:p w14:paraId="0A21EB7D" w14:textId="77777777" w:rsidR="00F527F4" w:rsidRDefault="00F527F4" w:rsidP="00F527F4">
      <w:pPr>
        <w:rPr>
          <w:rFonts w:ascii="Arial" w:hAnsi="Arial" w:cs="Arial"/>
          <w:sz w:val="22"/>
          <w:szCs w:val="22"/>
        </w:rPr>
      </w:pPr>
      <w:r>
        <w:rPr>
          <w:rFonts w:ascii="Arial" w:hAnsi="Arial" w:cs="Arial"/>
          <w:sz w:val="22"/>
          <w:szCs w:val="22"/>
        </w:rPr>
        <w:br w:type="page"/>
      </w:r>
    </w:p>
    <w:p w14:paraId="5253E051" w14:textId="77777777" w:rsidR="00F527F4" w:rsidRDefault="00F527F4" w:rsidP="00F527F4">
      <w:pPr>
        <w:jc w:val="both"/>
        <w:rPr>
          <w:rFonts w:ascii="Arial" w:hAnsi="Arial" w:cs="Arial"/>
          <w:sz w:val="22"/>
          <w:szCs w:val="22"/>
        </w:rPr>
      </w:pPr>
    </w:p>
    <w:p w14:paraId="76D16F52" w14:textId="77777777" w:rsidR="00F527F4" w:rsidRDefault="00F527F4" w:rsidP="00F527F4">
      <w:pPr>
        <w:jc w:val="center"/>
        <w:rPr>
          <w:rFonts w:ascii="Arial" w:hAnsi="Arial" w:cs="Arial"/>
          <w:sz w:val="22"/>
          <w:szCs w:val="22"/>
        </w:rPr>
      </w:pPr>
      <w:r>
        <w:rPr>
          <w:rFonts w:ascii="Arial" w:hAnsi="Arial" w:cs="Arial"/>
          <w:noProof/>
          <w:sz w:val="22"/>
          <w:szCs w:val="22"/>
        </w:rPr>
        <w:drawing>
          <wp:inline distT="0" distB="0" distL="0" distR="0" wp14:anchorId="2721AA23" wp14:editId="545DEF92">
            <wp:extent cx="3606800" cy="2463800"/>
            <wp:effectExtent l="0" t="0" r="0" b="0"/>
            <wp:docPr id="10" name="Picture 10" descr="A graph of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graph of different colored dot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06800" cy="2463800"/>
                    </a:xfrm>
                    <a:prstGeom prst="rect">
                      <a:avLst/>
                    </a:prstGeom>
                  </pic:spPr>
                </pic:pic>
              </a:graphicData>
            </a:graphic>
          </wp:inline>
        </w:drawing>
      </w:r>
    </w:p>
    <w:p w14:paraId="5BA88C35" w14:textId="77777777" w:rsidR="00F527F4" w:rsidRDefault="00F527F4" w:rsidP="00F527F4">
      <w:pPr>
        <w:jc w:val="both"/>
        <w:rPr>
          <w:rFonts w:ascii="Arial" w:hAnsi="Arial" w:cs="Arial"/>
          <w:sz w:val="22"/>
          <w:szCs w:val="22"/>
        </w:rPr>
      </w:pPr>
    </w:p>
    <w:p w14:paraId="6C17AAFD" w14:textId="77777777" w:rsidR="00F527F4" w:rsidRDefault="00F527F4" w:rsidP="00F527F4">
      <w:pPr>
        <w:jc w:val="both"/>
        <w:rPr>
          <w:rFonts w:ascii="Arial" w:hAnsi="Arial" w:cs="Arial"/>
          <w:sz w:val="22"/>
          <w:szCs w:val="22"/>
        </w:rPr>
      </w:pPr>
      <w:r>
        <w:rPr>
          <w:rFonts w:ascii="Arial" w:hAnsi="Arial" w:cs="Arial"/>
          <w:b/>
          <w:bCs/>
          <w:sz w:val="22"/>
          <w:szCs w:val="22"/>
        </w:rPr>
        <w:t>Extended Data Fig. 5. LDA of RNA functional data. a</w:t>
      </w:r>
      <w:r>
        <w:rPr>
          <w:rFonts w:ascii="Arial" w:hAnsi="Arial" w:cs="Arial"/>
          <w:sz w:val="22"/>
          <w:szCs w:val="22"/>
        </w:rPr>
        <w:t xml:space="preserve">, Plot of the fold repression (FR) values for Cbls </w:t>
      </w:r>
      <w:r w:rsidRPr="00A45605">
        <w:rPr>
          <w:rFonts w:ascii="Arial" w:hAnsi="Arial" w:cs="Arial"/>
          <w:b/>
          <w:bCs/>
          <w:sz w:val="22"/>
          <w:szCs w:val="22"/>
        </w:rPr>
        <w:t>1</w:t>
      </w:r>
      <w:r>
        <w:rPr>
          <w:rFonts w:ascii="Arial" w:hAnsi="Arial" w:cs="Arial"/>
          <w:sz w:val="22"/>
          <w:szCs w:val="22"/>
        </w:rPr>
        <w:t>-</w:t>
      </w:r>
      <w:r w:rsidRPr="00A45605">
        <w:rPr>
          <w:rFonts w:ascii="Arial" w:hAnsi="Arial" w:cs="Arial"/>
          <w:b/>
          <w:bCs/>
          <w:sz w:val="22"/>
          <w:szCs w:val="22"/>
        </w:rPr>
        <w:t>44</w:t>
      </w:r>
      <w:r>
        <w:rPr>
          <w:rFonts w:ascii="Arial" w:hAnsi="Arial" w:cs="Arial"/>
          <w:sz w:val="22"/>
          <w:szCs w:val="22"/>
        </w:rPr>
        <w:t>, where the data have been normalized to the value for MeCbl. On this basis, we clustered our derivatives into three groups: strong (FR</w:t>
      </w:r>
      <w:r>
        <w:rPr>
          <w:rFonts w:ascii="Arial" w:hAnsi="Arial" w:cs="Arial"/>
          <w:sz w:val="22"/>
          <w:szCs w:val="22"/>
          <w:vertAlign w:val="subscript"/>
        </w:rPr>
        <w:t>r</w:t>
      </w:r>
      <w:r w:rsidRPr="00D057F7">
        <w:rPr>
          <w:rFonts w:ascii="Arial" w:hAnsi="Arial" w:cs="Arial"/>
          <w:sz w:val="22"/>
          <w:szCs w:val="22"/>
          <w:vertAlign w:val="subscript"/>
        </w:rPr>
        <w:t>el(MeCbl)</w:t>
      </w:r>
      <w:r>
        <w:rPr>
          <w:rFonts w:ascii="Arial" w:hAnsi="Arial" w:cs="Arial"/>
          <w:sz w:val="22"/>
          <w:szCs w:val="22"/>
          <w:vertAlign w:val="subscript"/>
        </w:rPr>
        <w:t xml:space="preserve"> </w:t>
      </w:r>
      <w:r>
        <w:rPr>
          <w:rFonts w:ascii="Arial" w:hAnsi="Arial" w:cs="Arial"/>
          <w:sz w:val="22"/>
          <w:szCs w:val="22"/>
        </w:rPr>
        <w:t>&lt;0.3), moderate (FR</w:t>
      </w:r>
      <w:r>
        <w:rPr>
          <w:rFonts w:ascii="Arial" w:hAnsi="Arial" w:cs="Arial"/>
          <w:sz w:val="22"/>
          <w:szCs w:val="22"/>
          <w:vertAlign w:val="subscript"/>
        </w:rPr>
        <w:t>r</w:t>
      </w:r>
      <w:r w:rsidRPr="00D057F7">
        <w:rPr>
          <w:rFonts w:ascii="Arial" w:hAnsi="Arial" w:cs="Arial"/>
          <w:sz w:val="22"/>
          <w:szCs w:val="22"/>
          <w:vertAlign w:val="subscript"/>
        </w:rPr>
        <w:t>el(MeCbl)</w:t>
      </w:r>
      <w:r>
        <w:rPr>
          <w:rFonts w:ascii="Arial" w:hAnsi="Arial" w:cs="Arial"/>
          <w:sz w:val="22"/>
          <w:szCs w:val="22"/>
          <w:vertAlign w:val="subscript"/>
        </w:rPr>
        <w:t xml:space="preserve"> </w:t>
      </w:r>
      <w:r>
        <w:rPr>
          <w:rFonts w:ascii="Arial" w:hAnsi="Arial" w:cs="Arial"/>
          <w:sz w:val="22"/>
          <w:szCs w:val="22"/>
        </w:rPr>
        <w:t>= 0.3-0.7), and weak (K</w:t>
      </w:r>
      <w:r>
        <w:rPr>
          <w:rFonts w:ascii="Arial" w:hAnsi="Arial" w:cs="Arial"/>
          <w:sz w:val="22"/>
          <w:szCs w:val="22"/>
          <w:vertAlign w:val="subscript"/>
        </w:rPr>
        <w:t>D,r</w:t>
      </w:r>
      <w:r w:rsidRPr="00D057F7">
        <w:rPr>
          <w:rFonts w:ascii="Arial" w:hAnsi="Arial" w:cs="Arial"/>
          <w:sz w:val="22"/>
          <w:szCs w:val="22"/>
          <w:vertAlign w:val="subscript"/>
        </w:rPr>
        <w:t>el(MeCbl)</w:t>
      </w:r>
      <w:r>
        <w:rPr>
          <w:rFonts w:ascii="Arial" w:hAnsi="Arial" w:cs="Arial"/>
          <w:sz w:val="22"/>
          <w:szCs w:val="22"/>
          <w:vertAlign w:val="subscript"/>
        </w:rPr>
        <w:t xml:space="preserve"> </w:t>
      </w:r>
      <w:r>
        <w:rPr>
          <w:rFonts w:ascii="Arial" w:hAnsi="Arial" w:cs="Arial"/>
          <w:sz w:val="22"/>
          <w:szCs w:val="22"/>
        </w:rPr>
        <w:t xml:space="preserve">&gt;0.7) repressors. </w:t>
      </w:r>
      <w:r>
        <w:rPr>
          <w:rFonts w:ascii="Arial" w:hAnsi="Arial" w:cs="Arial"/>
          <w:b/>
          <w:bCs/>
          <w:sz w:val="22"/>
          <w:szCs w:val="22"/>
        </w:rPr>
        <w:t>b</w:t>
      </w:r>
      <w:r>
        <w:rPr>
          <w:rFonts w:ascii="Arial" w:hAnsi="Arial" w:cs="Arial"/>
          <w:sz w:val="22"/>
          <w:szCs w:val="22"/>
        </w:rPr>
        <w:t>, LDA plot for PC1 and PC2 depicting the clustering of the three functional groups and their centroids using chemoinformatic parameters (</w:t>
      </w:r>
      <w:r w:rsidRPr="005B0EE8">
        <w:rPr>
          <w:rFonts w:ascii="Arial" w:hAnsi="Arial" w:cs="Arial"/>
          <w:b/>
          <w:bCs/>
          <w:sz w:val="22"/>
          <w:szCs w:val="22"/>
        </w:rPr>
        <w:t>Supplementary Table 1</w:t>
      </w:r>
      <w:r>
        <w:rPr>
          <w:rFonts w:ascii="Arial" w:hAnsi="Arial" w:cs="Arial"/>
          <w:sz w:val="22"/>
          <w:szCs w:val="22"/>
        </w:rPr>
        <w:t xml:space="preserve">). </w:t>
      </w:r>
      <w:r>
        <w:rPr>
          <w:rFonts w:ascii="Arial" w:hAnsi="Arial" w:cs="Arial"/>
          <w:b/>
          <w:bCs/>
          <w:sz w:val="22"/>
          <w:szCs w:val="22"/>
        </w:rPr>
        <w:t>c</w:t>
      </w:r>
      <w:r>
        <w:rPr>
          <w:rFonts w:ascii="Arial" w:hAnsi="Arial" w:cs="Arial"/>
          <w:sz w:val="22"/>
          <w:szCs w:val="22"/>
        </w:rPr>
        <w:t>, LDA loading plot of the contributions of each chemoinformatic parameter on PC1 and PC2, with the most obvious descriptor colored by the functional cluster that they best explain (e.g., number of aromatic rings, ArRings; number of hydrogen bond donors, HBD; and fraction of sp</w:t>
      </w:r>
      <w:r w:rsidRPr="008B377D">
        <w:rPr>
          <w:rFonts w:ascii="Arial" w:hAnsi="Arial" w:cs="Arial"/>
          <w:sz w:val="22"/>
          <w:szCs w:val="22"/>
          <w:vertAlign w:val="superscript"/>
        </w:rPr>
        <w:t>3</w:t>
      </w:r>
      <w:r>
        <w:rPr>
          <w:rFonts w:ascii="Arial" w:hAnsi="Arial" w:cs="Arial"/>
          <w:sz w:val="22"/>
          <w:szCs w:val="22"/>
        </w:rPr>
        <w:t xml:space="preserve"> centers, Fsp</w:t>
      </w:r>
      <w:r w:rsidRPr="008B377D">
        <w:rPr>
          <w:rFonts w:ascii="Arial" w:hAnsi="Arial" w:cs="Arial"/>
          <w:sz w:val="22"/>
          <w:szCs w:val="22"/>
          <w:vertAlign w:val="superscript"/>
        </w:rPr>
        <w:t>3</w:t>
      </w:r>
      <w:r>
        <w:rPr>
          <w:rFonts w:ascii="Arial" w:hAnsi="Arial" w:cs="Arial"/>
          <w:sz w:val="22"/>
          <w:szCs w:val="22"/>
        </w:rPr>
        <w:t>).</w:t>
      </w:r>
    </w:p>
    <w:p w14:paraId="63078EAA" w14:textId="77777777" w:rsidR="00F527F4" w:rsidRDefault="00F527F4" w:rsidP="00F527F4">
      <w:pPr>
        <w:rPr>
          <w:rFonts w:ascii="Arial" w:hAnsi="Arial" w:cs="Arial"/>
          <w:sz w:val="22"/>
          <w:szCs w:val="22"/>
        </w:rPr>
      </w:pPr>
      <w:r>
        <w:rPr>
          <w:rFonts w:ascii="Arial" w:hAnsi="Arial" w:cs="Arial"/>
          <w:sz w:val="22"/>
          <w:szCs w:val="22"/>
        </w:rPr>
        <w:br w:type="page"/>
      </w:r>
    </w:p>
    <w:p w14:paraId="33F8F92F" w14:textId="77777777" w:rsidR="00F527F4" w:rsidRDefault="00F527F4" w:rsidP="00F527F4">
      <w:pPr>
        <w:jc w:val="both"/>
        <w:rPr>
          <w:rFonts w:ascii="Arial" w:hAnsi="Arial" w:cs="Arial"/>
          <w:sz w:val="22"/>
          <w:szCs w:val="22"/>
        </w:rPr>
      </w:pPr>
    </w:p>
    <w:p w14:paraId="717C495A" w14:textId="77777777" w:rsidR="00F527F4" w:rsidRDefault="00F527F4" w:rsidP="00F527F4">
      <w:pPr>
        <w:jc w:val="center"/>
        <w:rPr>
          <w:rFonts w:ascii="Arial" w:hAnsi="Arial" w:cs="Arial"/>
          <w:sz w:val="22"/>
          <w:szCs w:val="22"/>
        </w:rPr>
      </w:pPr>
      <w:r>
        <w:rPr>
          <w:rFonts w:ascii="Arial" w:hAnsi="Arial" w:cs="Arial"/>
          <w:noProof/>
          <w:sz w:val="22"/>
          <w:szCs w:val="22"/>
        </w:rPr>
        <w:drawing>
          <wp:inline distT="0" distB="0" distL="0" distR="0" wp14:anchorId="054D23C7" wp14:editId="6315BF6F">
            <wp:extent cx="5511800" cy="3187700"/>
            <wp:effectExtent l="0" t="0" r="0" b="0"/>
            <wp:docPr id="8" name="Picture 8"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lose-up of a graph&#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11800" cy="3187700"/>
                    </a:xfrm>
                    <a:prstGeom prst="rect">
                      <a:avLst/>
                    </a:prstGeom>
                  </pic:spPr>
                </pic:pic>
              </a:graphicData>
            </a:graphic>
          </wp:inline>
        </w:drawing>
      </w:r>
    </w:p>
    <w:p w14:paraId="4816F443" w14:textId="77777777" w:rsidR="00F527F4" w:rsidRDefault="00F527F4" w:rsidP="00F527F4">
      <w:pPr>
        <w:jc w:val="both"/>
        <w:rPr>
          <w:rFonts w:ascii="Arial" w:hAnsi="Arial" w:cs="Arial"/>
          <w:sz w:val="22"/>
          <w:szCs w:val="22"/>
        </w:rPr>
      </w:pPr>
    </w:p>
    <w:p w14:paraId="33A57DD7" w14:textId="77777777" w:rsidR="00F527F4" w:rsidRDefault="00F527F4" w:rsidP="00F527F4">
      <w:pPr>
        <w:jc w:val="both"/>
        <w:rPr>
          <w:rFonts w:ascii="Arial" w:hAnsi="Arial" w:cs="Arial"/>
          <w:sz w:val="22"/>
          <w:szCs w:val="22"/>
        </w:rPr>
      </w:pPr>
      <w:r>
        <w:rPr>
          <w:rFonts w:ascii="Arial" w:hAnsi="Arial" w:cs="Arial"/>
          <w:b/>
          <w:bCs/>
          <w:sz w:val="22"/>
          <w:szCs w:val="22"/>
        </w:rPr>
        <w:t xml:space="preserve">Extended Data Fig. 6. </w:t>
      </w:r>
      <w:r w:rsidRPr="007E7A2E">
        <w:rPr>
          <w:rFonts w:ascii="Arial" w:hAnsi="Arial" w:cs="Arial"/>
          <w:b/>
          <w:bCs/>
          <w:sz w:val="22"/>
          <w:szCs w:val="22"/>
        </w:rPr>
        <w:t xml:space="preserve">QSAR modeling framework to predict </w:t>
      </w:r>
      <w:r>
        <w:rPr>
          <w:rFonts w:ascii="Arial" w:hAnsi="Arial" w:cs="Arial"/>
          <w:b/>
          <w:bCs/>
          <w:sz w:val="22"/>
          <w:szCs w:val="22"/>
        </w:rPr>
        <w:t>functional</w:t>
      </w:r>
      <w:r w:rsidRPr="007E7A2E">
        <w:rPr>
          <w:rFonts w:ascii="Arial" w:hAnsi="Arial" w:cs="Arial"/>
          <w:b/>
          <w:bCs/>
          <w:sz w:val="22"/>
          <w:szCs w:val="22"/>
        </w:rPr>
        <w:t xml:space="preserve"> lead compounds. </w:t>
      </w:r>
      <w:r>
        <w:rPr>
          <w:rFonts w:ascii="Arial" w:hAnsi="Arial" w:cs="Arial"/>
          <w:b/>
          <w:bCs/>
          <w:sz w:val="22"/>
          <w:szCs w:val="22"/>
        </w:rPr>
        <w:t>a</w:t>
      </w:r>
      <w:r>
        <w:rPr>
          <w:rFonts w:ascii="Arial" w:hAnsi="Arial" w:cs="Arial"/>
          <w:sz w:val="22"/>
          <w:szCs w:val="22"/>
        </w:rPr>
        <w:t>, Written out MLR baseline, Q</w:t>
      </w:r>
      <w:r w:rsidRPr="004C23DE">
        <w:rPr>
          <w:rFonts w:ascii="Arial" w:hAnsi="Arial" w:cs="Arial"/>
          <w:sz w:val="22"/>
          <w:szCs w:val="22"/>
          <w:vertAlign w:val="superscript"/>
        </w:rPr>
        <w:t>2</w:t>
      </w:r>
      <w:r>
        <w:rPr>
          <w:rFonts w:ascii="Arial" w:hAnsi="Arial" w:cs="Arial"/>
          <w:sz w:val="22"/>
          <w:szCs w:val="22"/>
        </w:rPr>
        <w:t>-focused, and R</w:t>
      </w:r>
      <w:r w:rsidRPr="004C23DE">
        <w:rPr>
          <w:rFonts w:ascii="Arial" w:hAnsi="Arial" w:cs="Arial"/>
          <w:sz w:val="22"/>
          <w:szCs w:val="22"/>
          <w:vertAlign w:val="superscript"/>
        </w:rPr>
        <w:t>2</w:t>
      </w:r>
      <w:r>
        <w:rPr>
          <w:rFonts w:ascii="Arial" w:hAnsi="Arial" w:cs="Arial"/>
          <w:sz w:val="22"/>
          <w:szCs w:val="22"/>
        </w:rPr>
        <w:t xml:space="preserve">-focused models. The physical meaning of each physiochemical descriptor is listed in </w:t>
      </w:r>
      <w:r w:rsidRPr="007254E5">
        <w:rPr>
          <w:rFonts w:ascii="Arial" w:hAnsi="Arial" w:cs="Arial"/>
          <w:b/>
          <w:bCs/>
          <w:sz w:val="22"/>
          <w:szCs w:val="22"/>
        </w:rPr>
        <w:t xml:space="preserve">Supplementary Table </w:t>
      </w:r>
      <w:r>
        <w:rPr>
          <w:rFonts w:ascii="Arial" w:hAnsi="Arial" w:cs="Arial"/>
          <w:b/>
          <w:bCs/>
          <w:sz w:val="22"/>
          <w:szCs w:val="22"/>
        </w:rPr>
        <w:t>3</w:t>
      </w:r>
      <w:r>
        <w:rPr>
          <w:rFonts w:ascii="Arial" w:hAnsi="Arial" w:cs="Arial"/>
          <w:sz w:val="22"/>
          <w:szCs w:val="22"/>
        </w:rPr>
        <w:t xml:space="preserve">. </w:t>
      </w:r>
      <w:r>
        <w:rPr>
          <w:rFonts w:ascii="Arial" w:hAnsi="Arial" w:cs="Arial"/>
          <w:b/>
          <w:bCs/>
          <w:sz w:val="22"/>
          <w:szCs w:val="22"/>
        </w:rPr>
        <w:t>b</w:t>
      </w:r>
      <w:r w:rsidRPr="0040628E">
        <w:rPr>
          <w:rFonts w:ascii="Arial" w:hAnsi="Arial" w:cs="Arial"/>
          <w:sz w:val="22"/>
          <w:szCs w:val="22"/>
        </w:rPr>
        <w:t>,</w:t>
      </w:r>
      <w:r>
        <w:rPr>
          <w:rFonts w:ascii="Arial" w:hAnsi="Arial" w:cs="Arial"/>
          <w:b/>
          <w:bCs/>
          <w:sz w:val="22"/>
          <w:szCs w:val="22"/>
        </w:rPr>
        <w:t xml:space="preserve"> </w:t>
      </w:r>
      <w:r>
        <w:rPr>
          <w:rFonts w:ascii="Arial" w:hAnsi="Arial" w:cs="Arial"/>
          <w:sz w:val="22"/>
          <w:szCs w:val="22"/>
        </w:rPr>
        <w:t xml:space="preserve">Measured fold repression values plotted with the value predicted by the baseline model that did not include a data split. </w:t>
      </w:r>
      <w:r>
        <w:rPr>
          <w:rFonts w:ascii="Arial" w:hAnsi="Arial" w:cs="Arial"/>
          <w:b/>
          <w:bCs/>
          <w:sz w:val="22"/>
          <w:szCs w:val="22"/>
        </w:rPr>
        <w:t>c</w:t>
      </w:r>
      <w:r>
        <w:rPr>
          <w:rFonts w:ascii="Arial" w:hAnsi="Arial" w:cs="Arial"/>
          <w:sz w:val="22"/>
          <w:szCs w:val="22"/>
        </w:rPr>
        <w:t xml:space="preserve">, </w:t>
      </w:r>
      <w:r w:rsidRPr="0075149C">
        <w:rPr>
          <w:rFonts w:ascii="Arial" w:hAnsi="Arial" w:cs="Arial"/>
          <w:sz w:val="22"/>
          <w:szCs w:val="22"/>
        </w:rPr>
        <w:t xml:space="preserve">Locations of </w:t>
      </w:r>
      <w:r>
        <w:rPr>
          <w:rFonts w:ascii="Arial" w:hAnsi="Arial" w:cs="Arial"/>
          <w:sz w:val="22"/>
          <w:szCs w:val="22"/>
        </w:rPr>
        <w:t xml:space="preserve">the training and </w:t>
      </w:r>
      <w:r w:rsidRPr="0075149C">
        <w:rPr>
          <w:rFonts w:ascii="Arial" w:hAnsi="Arial" w:cs="Arial"/>
          <w:sz w:val="22"/>
          <w:szCs w:val="22"/>
        </w:rPr>
        <w:t xml:space="preserve">test set </w:t>
      </w:r>
      <w:r>
        <w:rPr>
          <w:rFonts w:ascii="Arial" w:hAnsi="Arial" w:cs="Arial"/>
          <w:sz w:val="22"/>
          <w:szCs w:val="22"/>
        </w:rPr>
        <w:t>from the R</w:t>
      </w:r>
      <w:r w:rsidRPr="0075149C">
        <w:rPr>
          <w:rFonts w:ascii="Arial" w:hAnsi="Arial" w:cs="Arial"/>
          <w:sz w:val="22"/>
          <w:szCs w:val="22"/>
          <w:vertAlign w:val="superscript"/>
        </w:rPr>
        <w:t>2</w:t>
      </w:r>
      <w:r>
        <w:rPr>
          <w:rFonts w:ascii="Arial" w:hAnsi="Arial" w:cs="Arial"/>
          <w:sz w:val="22"/>
          <w:szCs w:val="22"/>
        </w:rPr>
        <w:t xml:space="preserve">-focused modeling </w:t>
      </w:r>
      <w:r w:rsidRPr="0075149C">
        <w:rPr>
          <w:rFonts w:ascii="Arial" w:hAnsi="Arial" w:cs="Arial"/>
          <w:sz w:val="22"/>
          <w:szCs w:val="22"/>
        </w:rPr>
        <w:t xml:space="preserve">in two-dimensional chemical space constructed from </w:t>
      </w:r>
      <w:r>
        <w:rPr>
          <w:rFonts w:ascii="Arial" w:hAnsi="Arial" w:cs="Arial"/>
          <w:sz w:val="22"/>
          <w:szCs w:val="22"/>
        </w:rPr>
        <w:t xml:space="preserve">PC1 and PC2 </w:t>
      </w:r>
      <w:r w:rsidRPr="0075149C">
        <w:rPr>
          <w:rFonts w:ascii="Arial" w:hAnsi="Arial" w:cs="Arial"/>
          <w:sz w:val="22"/>
          <w:szCs w:val="22"/>
        </w:rPr>
        <w:t>of the whole data set.</w:t>
      </w:r>
      <w:r w:rsidRPr="0075149C">
        <w:rPr>
          <w:rFonts w:ascii="Arial" w:hAnsi="Arial" w:cs="Arial"/>
          <w:b/>
          <w:bCs/>
          <w:sz w:val="22"/>
          <w:szCs w:val="22"/>
        </w:rPr>
        <w:t xml:space="preserve"> </w:t>
      </w:r>
      <w:r>
        <w:rPr>
          <w:rFonts w:ascii="Arial" w:hAnsi="Arial" w:cs="Arial"/>
          <w:b/>
          <w:bCs/>
          <w:sz w:val="22"/>
          <w:szCs w:val="22"/>
        </w:rPr>
        <w:t>d</w:t>
      </w:r>
      <w:r>
        <w:rPr>
          <w:rFonts w:ascii="Arial" w:hAnsi="Arial" w:cs="Arial"/>
          <w:sz w:val="22"/>
          <w:szCs w:val="22"/>
        </w:rPr>
        <w:t xml:space="preserve">, Same as in </w:t>
      </w:r>
      <w:r>
        <w:rPr>
          <w:rFonts w:ascii="Arial" w:hAnsi="Arial" w:cs="Arial"/>
          <w:b/>
          <w:bCs/>
          <w:sz w:val="22"/>
          <w:szCs w:val="22"/>
        </w:rPr>
        <w:t>b</w:t>
      </w:r>
      <w:r>
        <w:rPr>
          <w:rFonts w:ascii="Arial" w:hAnsi="Arial" w:cs="Arial"/>
          <w:sz w:val="22"/>
          <w:szCs w:val="22"/>
        </w:rPr>
        <w:t xml:space="preserve"> but for the R</w:t>
      </w:r>
      <w:r w:rsidRPr="0075149C">
        <w:rPr>
          <w:rFonts w:ascii="Arial" w:hAnsi="Arial" w:cs="Arial"/>
          <w:sz w:val="22"/>
          <w:szCs w:val="22"/>
          <w:vertAlign w:val="superscript"/>
        </w:rPr>
        <w:t>2</w:t>
      </w:r>
      <w:r>
        <w:rPr>
          <w:rFonts w:ascii="Arial" w:hAnsi="Arial" w:cs="Arial"/>
          <w:sz w:val="22"/>
          <w:szCs w:val="22"/>
        </w:rPr>
        <w:t xml:space="preserve">-focused model. </w:t>
      </w:r>
      <w:r>
        <w:rPr>
          <w:rFonts w:ascii="Arial" w:hAnsi="Arial" w:cs="Arial"/>
          <w:b/>
          <w:bCs/>
          <w:sz w:val="22"/>
          <w:szCs w:val="22"/>
        </w:rPr>
        <w:t>e</w:t>
      </w:r>
      <w:r>
        <w:rPr>
          <w:rFonts w:ascii="Arial" w:hAnsi="Arial" w:cs="Arial"/>
          <w:sz w:val="22"/>
          <w:szCs w:val="22"/>
        </w:rPr>
        <w:t>,</w:t>
      </w:r>
      <w:r w:rsidRPr="00DA5032">
        <w:rPr>
          <w:rFonts w:ascii="Arial" w:hAnsi="Arial" w:cs="Arial"/>
          <w:sz w:val="22"/>
          <w:szCs w:val="22"/>
        </w:rPr>
        <w:t xml:space="preserve"> </w:t>
      </w:r>
      <w:r>
        <w:rPr>
          <w:rFonts w:ascii="Arial" w:hAnsi="Arial" w:cs="Arial"/>
          <w:sz w:val="22"/>
          <w:szCs w:val="22"/>
        </w:rPr>
        <w:t xml:space="preserve">Average fold repression values predicted by our three models for each compound in the alkyne library. The magenta shaded box represents the 151 compounds that have a predicted fold repression greater than that of our current functional lead </w:t>
      </w:r>
      <w:r>
        <w:rPr>
          <w:rFonts w:ascii="Arial" w:hAnsi="Arial" w:cs="Arial"/>
          <w:b/>
          <w:bCs/>
          <w:sz w:val="22"/>
          <w:szCs w:val="22"/>
        </w:rPr>
        <w:t>36</w:t>
      </w:r>
      <w:r>
        <w:rPr>
          <w:rFonts w:ascii="Arial" w:hAnsi="Arial" w:cs="Arial"/>
          <w:sz w:val="22"/>
          <w:szCs w:val="22"/>
        </w:rPr>
        <w:t xml:space="preserve"> (fold repression &gt; 6.7). </w:t>
      </w:r>
      <w:r>
        <w:rPr>
          <w:rFonts w:ascii="Arial" w:hAnsi="Arial" w:cs="Arial"/>
          <w:b/>
          <w:bCs/>
          <w:sz w:val="22"/>
          <w:szCs w:val="22"/>
        </w:rPr>
        <w:t>f</w:t>
      </w:r>
      <w:r>
        <w:rPr>
          <w:rFonts w:ascii="Arial" w:hAnsi="Arial" w:cs="Arial"/>
          <w:sz w:val="22"/>
          <w:szCs w:val="22"/>
        </w:rPr>
        <w:t xml:space="preserve">, Rank-ordered plot the average fold repression values predicted by functional models for the 151 potential lead compounds that were identified from the alkyne library, separated by type (phenyl-X and amide-X). These compounds are classified as either “out of stock”, “difficult synthesis”, and “will test” as described in the legend of </w:t>
      </w:r>
      <w:r w:rsidRPr="00CF2D48">
        <w:rPr>
          <w:rFonts w:ascii="Arial" w:hAnsi="Arial" w:cs="Arial"/>
          <w:b/>
          <w:bCs/>
          <w:sz w:val="22"/>
          <w:szCs w:val="22"/>
        </w:rPr>
        <w:t>Extended Data Fig. 3</w:t>
      </w:r>
      <w:r>
        <w:rPr>
          <w:rFonts w:ascii="Arial" w:hAnsi="Arial" w:cs="Arial"/>
          <w:sz w:val="22"/>
          <w:szCs w:val="22"/>
        </w:rPr>
        <w:t xml:space="preserve">. </w:t>
      </w:r>
    </w:p>
    <w:p w14:paraId="6ED9703A" w14:textId="77777777" w:rsidR="00F527F4" w:rsidRDefault="00F527F4" w:rsidP="00F527F4">
      <w:pPr>
        <w:rPr>
          <w:rFonts w:ascii="Arial" w:hAnsi="Arial" w:cs="Arial"/>
          <w:sz w:val="22"/>
          <w:szCs w:val="22"/>
        </w:rPr>
      </w:pPr>
      <w:r>
        <w:rPr>
          <w:rFonts w:ascii="Arial" w:hAnsi="Arial" w:cs="Arial"/>
          <w:sz w:val="22"/>
          <w:szCs w:val="22"/>
        </w:rPr>
        <w:br w:type="page"/>
      </w:r>
    </w:p>
    <w:p w14:paraId="26B35A15" w14:textId="77777777" w:rsidR="00F527F4" w:rsidRDefault="00F527F4" w:rsidP="00F527F4">
      <w:pPr>
        <w:jc w:val="both"/>
        <w:rPr>
          <w:rFonts w:ascii="Arial" w:hAnsi="Arial" w:cs="Arial"/>
          <w:sz w:val="22"/>
          <w:szCs w:val="22"/>
        </w:rPr>
      </w:pPr>
    </w:p>
    <w:p w14:paraId="49939897" w14:textId="77777777" w:rsidR="00F527F4" w:rsidRDefault="00F527F4" w:rsidP="00F527F4">
      <w:pPr>
        <w:jc w:val="center"/>
        <w:rPr>
          <w:rFonts w:ascii="Arial" w:hAnsi="Arial" w:cs="Arial"/>
          <w:sz w:val="22"/>
          <w:szCs w:val="22"/>
        </w:rPr>
      </w:pPr>
      <w:r>
        <w:rPr>
          <w:rFonts w:ascii="Arial" w:hAnsi="Arial" w:cs="Arial"/>
          <w:noProof/>
          <w:sz w:val="22"/>
          <w:szCs w:val="22"/>
        </w:rPr>
        <w:drawing>
          <wp:inline distT="0" distB="0" distL="0" distR="0" wp14:anchorId="025D87C5" wp14:editId="592E3A73">
            <wp:extent cx="4711700" cy="2692400"/>
            <wp:effectExtent l="0" t="0" r="0" b="0"/>
            <wp:docPr id="17" name="Picture 17" descr="A diagram of different molecu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diagram of different molecule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711700" cy="2692400"/>
                    </a:xfrm>
                    <a:prstGeom prst="rect">
                      <a:avLst/>
                    </a:prstGeom>
                  </pic:spPr>
                </pic:pic>
              </a:graphicData>
            </a:graphic>
          </wp:inline>
        </w:drawing>
      </w:r>
    </w:p>
    <w:p w14:paraId="3E51C534" w14:textId="77777777" w:rsidR="00F527F4" w:rsidRDefault="00F527F4" w:rsidP="00F527F4">
      <w:pPr>
        <w:jc w:val="both"/>
        <w:rPr>
          <w:rFonts w:ascii="Arial" w:hAnsi="Arial" w:cs="Arial"/>
          <w:sz w:val="22"/>
          <w:szCs w:val="22"/>
        </w:rPr>
      </w:pPr>
    </w:p>
    <w:p w14:paraId="62072864" w14:textId="77777777" w:rsidR="00F527F4" w:rsidRDefault="00F527F4" w:rsidP="00F527F4">
      <w:pPr>
        <w:jc w:val="both"/>
        <w:rPr>
          <w:rFonts w:ascii="Arial" w:hAnsi="Arial" w:cs="Arial"/>
          <w:color w:val="000000" w:themeColor="text1"/>
          <w:sz w:val="22"/>
          <w:szCs w:val="22"/>
        </w:rPr>
      </w:pPr>
      <w:r w:rsidRPr="004A456D">
        <w:rPr>
          <w:rFonts w:ascii="Arial" w:hAnsi="Arial" w:cs="Arial"/>
          <w:b/>
          <w:bCs/>
          <w:sz w:val="22"/>
          <w:szCs w:val="22"/>
        </w:rPr>
        <w:t xml:space="preserve">Extended Data Fig. 7. Validation of the </w:t>
      </w:r>
      <w:r w:rsidRPr="004A456D">
        <w:rPr>
          <w:rFonts w:ascii="Arial" w:hAnsi="Arial" w:cs="Arial"/>
          <w:b/>
          <w:bCs/>
          <w:i/>
          <w:iCs/>
          <w:sz w:val="22"/>
          <w:szCs w:val="22"/>
        </w:rPr>
        <w:t>env2</w:t>
      </w:r>
      <w:r w:rsidRPr="004A456D">
        <w:rPr>
          <w:rFonts w:ascii="Arial" w:hAnsi="Arial" w:cs="Arial"/>
          <w:b/>
          <w:bCs/>
          <w:sz w:val="22"/>
          <w:szCs w:val="22"/>
        </w:rPr>
        <w:t xml:space="preserve"> crystal construct.</w:t>
      </w:r>
      <w:r>
        <w:rPr>
          <w:rFonts w:ascii="Arial" w:hAnsi="Arial" w:cs="Arial"/>
          <w:b/>
          <w:bCs/>
          <w:sz w:val="22"/>
          <w:szCs w:val="22"/>
        </w:rPr>
        <w:t xml:space="preserve"> </w:t>
      </w:r>
      <w:r w:rsidRPr="00606BBB">
        <w:rPr>
          <w:rFonts w:ascii="Arial" w:hAnsi="Arial" w:cs="Arial"/>
          <w:b/>
          <w:bCs/>
          <w:sz w:val="22"/>
          <w:szCs w:val="22"/>
        </w:rPr>
        <w:t>a</w:t>
      </w:r>
      <w:r>
        <w:rPr>
          <w:rFonts w:ascii="Arial" w:hAnsi="Arial" w:cs="Arial"/>
          <w:sz w:val="22"/>
          <w:szCs w:val="22"/>
        </w:rPr>
        <w:t xml:space="preserve">, Schematic representation of the secondary structures of full-length </w:t>
      </w:r>
      <w:r w:rsidRPr="00976051">
        <w:rPr>
          <w:rFonts w:ascii="Arial" w:hAnsi="Arial" w:cs="Arial"/>
          <w:i/>
          <w:iCs/>
          <w:sz w:val="22"/>
          <w:szCs w:val="22"/>
        </w:rPr>
        <w:t>env8</w:t>
      </w:r>
      <w:r>
        <w:rPr>
          <w:rFonts w:ascii="Arial" w:hAnsi="Arial" w:cs="Arial"/>
          <w:sz w:val="22"/>
          <w:szCs w:val="22"/>
        </w:rPr>
        <w:t xml:space="preserve">, </w:t>
      </w:r>
      <w:r w:rsidRPr="00976051">
        <w:rPr>
          <w:rFonts w:ascii="Arial" w:hAnsi="Arial" w:cs="Arial"/>
          <w:i/>
          <w:iCs/>
          <w:sz w:val="22"/>
          <w:szCs w:val="22"/>
        </w:rPr>
        <w:t>env8</w:t>
      </w:r>
      <w:r>
        <w:rPr>
          <w:rFonts w:ascii="Arial" w:hAnsi="Arial" w:cs="Arial"/>
          <w:sz w:val="22"/>
          <w:szCs w:val="22"/>
        </w:rPr>
        <w:t xml:space="preserve"> aptamer domain, and the </w:t>
      </w:r>
      <w:r w:rsidRPr="00606BBB">
        <w:rPr>
          <w:rFonts w:ascii="Arial" w:hAnsi="Arial" w:cs="Arial"/>
          <w:i/>
          <w:iCs/>
          <w:sz w:val="22"/>
          <w:szCs w:val="22"/>
        </w:rPr>
        <w:t>env8</w:t>
      </w:r>
      <w:r>
        <w:rPr>
          <w:rFonts w:ascii="Arial" w:hAnsi="Arial" w:cs="Arial"/>
          <w:sz w:val="22"/>
          <w:szCs w:val="22"/>
        </w:rPr>
        <w:t xml:space="preserve"> and </w:t>
      </w:r>
      <w:r w:rsidRPr="00606BBB">
        <w:rPr>
          <w:rFonts w:ascii="Arial" w:hAnsi="Arial" w:cs="Arial"/>
          <w:i/>
          <w:iCs/>
          <w:sz w:val="22"/>
          <w:szCs w:val="22"/>
        </w:rPr>
        <w:t>env2</w:t>
      </w:r>
      <w:r>
        <w:rPr>
          <w:rFonts w:ascii="Arial" w:hAnsi="Arial" w:cs="Arial"/>
          <w:sz w:val="22"/>
          <w:szCs w:val="22"/>
        </w:rPr>
        <w:t xml:space="preserve"> RNA crystallography constructs. The binding pocket nucleotides G19 (yellow), A20 (green), and A68 (cyan) are colored and the sites of variation between the </w:t>
      </w:r>
      <w:r w:rsidRPr="00CC2052">
        <w:rPr>
          <w:rFonts w:ascii="Arial" w:hAnsi="Arial" w:cs="Arial"/>
          <w:i/>
          <w:iCs/>
          <w:sz w:val="22"/>
          <w:szCs w:val="22"/>
        </w:rPr>
        <w:t>env8</w:t>
      </w:r>
      <w:r>
        <w:rPr>
          <w:rFonts w:ascii="Arial" w:hAnsi="Arial" w:cs="Arial"/>
          <w:sz w:val="22"/>
          <w:szCs w:val="22"/>
        </w:rPr>
        <w:t xml:space="preserve"> and </w:t>
      </w:r>
      <w:r w:rsidRPr="00CC2052">
        <w:rPr>
          <w:rFonts w:ascii="Arial" w:hAnsi="Arial" w:cs="Arial"/>
          <w:i/>
          <w:iCs/>
          <w:sz w:val="22"/>
          <w:szCs w:val="22"/>
        </w:rPr>
        <w:t>env2</w:t>
      </w:r>
      <w:r>
        <w:rPr>
          <w:rFonts w:ascii="Arial" w:hAnsi="Arial" w:cs="Arial"/>
          <w:sz w:val="22"/>
          <w:szCs w:val="22"/>
        </w:rPr>
        <w:t xml:space="preserve"> RNA sequences are indicated in magenta. Other changes to the </w:t>
      </w:r>
      <w:r w:rsidRPr="00606BBB">
        <w:rPr>
          <w:rFonts w:ascii="Arial" w:hAnsi="Arial" w:cs="Arial"/>
          <w:i/>
          <w:iCs/>
          <w:sz w:val="22"/>
          <w:szCs w:val="22"/>
        </w:rPr>
        <w:t>env8</w:t>
      </w:r>
      <w:r>
        <w:rPr>
          <w:rFonts w:ascii="Arial" w:hAnsi="Arial" w:cs="Arial"/>
          <w:sz w:val="22"/>
          <w:szCs w:val="22"/>
        </w:rPr>
        <w:t xml:space="preserve"> wild-type RNA sequence are the insertion of a gGAAAc tetraloop at L5, the variable lengths of helices P1 and P5 (either four or six base pairs, bp), and a 3</w:t>
      </w:r>
      <w:r w:rsidRPr="00606BBB">
        <w:rPr>
          <w:rFonts w:ascii="Arial" w:hAnsi="Arial" w:cs="Arial"/>
          <w:sz w:val="22"/>
          <w:szCs w:val="22"/>
        </w:rPr>
        <w:t>′</w:t>
      </w:r>
      <w:r>
        <w:rPr>
          <w:rFonts w:ascii="Arial" w:hAnsi="Arial" w:cs="Arial"/>
          <w:sz w:val="22"/>
          <w:szCs w:val="22"/>
        </w:rPr>
        <w:t xml:space="preserve">-end adenosine, which were all incorporated to aid crystallization. </w:t>
      </w:r>
      <w:r w:rsidRPr="00606BBB">
        <w:rPr>
          <w:rFonts w:ascii="Arial" w:hAnsi="Arial" w:cs="Arial"/>
          <w:b/>
          <w:bCs/>
          <w:sz w:val="22"/>
          <w:szCs w:val="22"/>
        </w:rPr>
        <w:t>b</w:t>
      </w:r>
      <w:r>
        <w:rPr>
          <w:rFonts w:ascii="Arial" w:hAnsi="Arial" w:cs="Arial"/>
          <w:sz w:val="22"/>
          <w:szCs w:val="22"/>
        </w:rPr>
        <w:t xml:space="preserve">, Binding curve of the fluorescence induction of </w:t>
      </w:r>
      <w:r w:rsidRPr="000A5EA7">
        <w:rPr>
          <w:rFonts w:ascii="Arial" w:hAnsi="Arial" w:cs="Arial"/>
          <w:sz w:val="22"/>
          <w:szCs w:val="22"/>
        </w:rPr>
        <w:t>CNCbl-5×PEG-ATTO590</w:t>
      </w:r>
      <w:r>
        <w:rPr>
          <w:rFonts w:ascii="Arial" w:hAnsi="Arial" w:cs="Arial"/>
          <w:sz w:val="22"/>
          <w:szCs w:val="22"/>
        </w:rPr>
        <w:t xml:space="preserve"> binding to </w:t>
      </w:r>
      <w:r w:rsidRPr="00210449">
        <w:rPr>
          <w:rFonts w:ascii="Arial" w:hAnsi="Arial" w:cs="Arial"/>
          <w:i/>
          <w:iCs/>
          <w:sz w:val="22"/>
          <w:szCs w:val="22"/>
        </w:rPr>
        <w:t>env8</w:t>
      </w:r>
      <w:r>
        <w:rPr>
          <w:rFonts w:ascii="Arial" w:hAnsi="Arial" w:cs="Arial"/>
          <w:i/>
          <w:iCs/>
          <w:sz w:val="22"/>
          <w:szCs w:val="22"/>
        </w:rPr>
        <w:t xml:space="preserve"> </w:t>
      </w:r>
      <w:r>
        <w:rPr>
          <w:rFonts w:ascii="Arial" w:hAnsi="Arial" w:cs="Arial"/>
          <w:sz w:val="22"/>
          <w:szCs w:val="22"/>
        </w:rPr>
        <w:t>aptamer domain</w:t>
      </w:r>
      <w:r w:rsidRPr="009A2203">
        <w:rPr>
          <w:rFonts w:ascii="Arial" w:hAnsi="Arial" w:cs="Arial"/>
          <w:sz w:val="22"/>
          <w:szCs w:val="22"/>
        </w:rPr>
        <w:t xml:space="preserve"> and</w:t>
      </w:r>
      <w:r>
        <w:rPr>
          <w:rFonts w:ascii="Arial" w:hAnsi="Arial" w:cs="Arial"/>
          <w:i/>
          <w:iCs/>
          <w:sz w:val="22"/>
          <w:szCs w:val="22"/>
        </w:rPr>
        <w:t xml:space="preserve"> env</w:t>
      </w:r>
      <w:r w:rsidRPr="009A2203">
        <w:rPr>
          <w:rFonts w:ascii="Arial" w:hAnsi="Arial" w:cs="Arial"/>
          <w:i/>
          <w:iCs/>
          <w:sz w:val="22"/>
          <w:szCs w:val="22"/>
        </w:rPr>
        <w:t>2</w:t>
      </w:r>
      <w:r w:rsidRPr="009A2203">
        <w:rPr>
          <w:rFonts w:ascii="Arial" w:hAnsi="Arial" w:cs="Arial"/>
          <w:sz w:val="22"/>
          <w:szCs w:val="22"/>
        </w:rPr>
        <w:t xml:space="preserve"> crystal construct. </w:t>
      </w:r>
      <w:r>
        <w:rPr>
          <w:rFonts w:ascii="Arial" w:hAnsi="Arial" w:cs="Arial"/>
          <w:sz w:val="22"/>
          <w:szCs w:val="22"/>
        </w:rPr>
        <w:t>The K</w:t>
      </w:r>
      <w:r w:rsidRPr="0031502E">
        <w:rPr>
          <w:rFonts w:ascii="Arial" w:hAnsi="Arial" w:cs="Arial"/>
          <w:sz w:val="22"/>
          <w:szCs w:val="22"/>
          <w:vertAlign w:val="subscript"/>
        </w:rPr>
        <w:t>D</w:t>
      </w:r>
      <w:r>
        <w:rPr>
          <w:rFonts w:ascii="Arial" w:hAnsi="Arial" w:cs="Arial"/>
          <w:sz w:val="22"/>
          <w:szCs w:val="22"/>
        </w:rPr>
        <w:t xml:space="preserve"> values are reported as mean and s.d. from independent experiments (</w:t>
      </w:r>
      <w:r w:rsidRPr="009D4A6C">
        <w:rPr>
          <w:rFonts w:ascii="Arial" w:hAnsi="Arial" w:cs="Arial"/>
          <w:i/>
          <w:iCs/>
          <w:sz w:val="22"/>
          <w:szCs w:val="22"/>
        </w:rPr>
        <w:t>n</w:t>
      </w:r>
      <w:r>
        <w:rPr>
          <w:rFonts w:ascii="Arial" w:hAnsi="Arial" w:cs="Arial"/>
          <w:sz w:val="22"/>
          <w:szCs w:val="22"/>
        </w:rPr>
        <w:t xml:space="preserve"> = 3). </w:t>
      </w:r>
      <w:r w:rsidRPr="0031502E">
        <w:rPr>
          <w:rFonts w:ascii="Arial" w:hAnsi="Arial" w:cs="Arial"/>
          <w:b/>
          <w:bCs/>
          <w:sz w:val="22"/>
          <w:szCs w:val="22"/>
        </w:rPr>
        <w:t>c</w:t>
      </w:r>
      <w:r>
        <w:rPr>
          <w:rFonts w:ascii="Arial" w:hAnsi="Arial" w:cs="Arial"/>
          <w:sz w:val="22"/>
          <w:szCs w:val="22"/>
        </w:rPr>
        <w:t xml:space="preserve">, Fold repression values for our </w:t>
      </w:r>
      <w:r w:rsidRPr="00D971EE">
        <w:rPr>
          <w:rFonts w:ascii="Arial" w:hAnsi="Arial" w:cs="Arial"/>
          <w:i/>
          <w:iCs/>
          <w:sz w:val="22"/>
          <w:szCs w:val="22"/>
        </w:rPr>
        <w:t>env8</w:t>
      </w:r>
      <w:r>
        <w:rPr>
          <w:rFonts w:ascii="Arial" w:hAnsi="Arial" w:cs="Arial"/>
          <w:sz w:val="22"/>
          <w:szCs w:val="22"/>
        </w:rPr>
        <w:t xml:space="preserve"> and </w:t>
      </w:r>
      <w:r w:rsidRPr="00D971EE">
        <w:rPr>
          <w:rFonts w:ascii="Arial" w:hAnsi="Arial" w:cs="Arial"/>
          <w:i/>
          <w:iCs/>
          <w:sz w:val="22"/>
          <w:szCs w:val="22"/>
        </w:rPr>
        <w:t>env2</w:t>
      </w:r>
      <w:r>
        <w:rPr>
          <w:rFonts w:ascii="Arial" w:hAnsi="Arial" w:cs="Arial"/>
          <w:sz w:val="22"/>
          <w:szCs w:val="22"/>
        </w:rPr>
        <w:t xml:space="preserve"> reporter systems in the presence of 10 </w:t>
      </w:r>
      <w:r w:rsidRPr="00D971EE">
        <w:rPr>
          <w:rFonts w:ascii="Arial" w:hAnsi="Arial" w:cs="Arial"/>
          <w:sz w:val="22"/>
          <w:szCs w:val="22"/>
        </w:rPr>
        <w:t>µ</w:t>
      </w:r>
      <w:r>
        <w:rPr>
          <w:rFonts w:ascii="Arial" w:hAnsi="Arial" w:cs="Arial"/>
          <w:sz w:val="22"/>
          <w:szCs w:val="22"/>
        </w:rPr>
        <w:t>M CNCbl, reported as mean and s.d. from biological replicates (</w:t>
      </w:r>
      <w:r w:rsidRPr="009D4A6C">
        <w:rPr>
          <w:rFonts w:ascii="Arial" w:hAnsi="Arial" w:cs="Arial"/>
          <w:i/>
          <w:iCs/>
          <w:sz w:val="22"/>
          <w:szCs w:val="22"/>
        </w:rPr>
        <w:t>n</w:t>
      </w:r>
      <w:r>
        <w:rPr>
          <w:rFonts w:ascii="Arial" w:hAnsi="Arial" w:cs="Arial"/>
          <w:sz w:val="22"/>
          <w:szCs w:val="22"/>
        </w:rPr>
        <w:t xml:space="preserve"> = 4). </w:t>
      </w:r>
      <w:r w:rsidRPr="001707B0">
        <w:rPr>
          <w:rFonts w:ascii="Arial" w:hAnsi="Arial" w:cs="Arial"/>
          <w:b/>
          <w:bCs/>
          <w:sz w:val="22"/>
          <w:szCs w:val="22"/>
        </w:rPr>
        <w:t>d</w:t>
      </w:r>
      <w:r>
        <w:rPr>
          <w:rFonts w:ascii="Arial" w:hAnsi="Arial" w:cs="Arial"/>
          <w:sz w:val="22"/>
          <w:szCs w:val="22"/>
        </w:rPr>
        <w:t xml:space="preserve">, </w:t>
      </w:r>
      <w:r w:rsidRPr="001A6B81">
        <w:rPr>
          <w:rFonts w:ascii="Arial" w:hAnsi="Arial" w:cs="Arial"/>
          <w:color w:val="000000" w:themeColor="text1"/>
          <w:sz w:val="22"/>
          <w:szCs w:val="22"/>
        </w:rPr>
        <w:t>C</w:t>
      </w:r>
      <w:r>
        <w:rPr>
          <w:rFonts w:ascii="Arial" w:hAnsi="Arial" w:cs="Arial"/>
          <w:color w:val="000000" w:themeColor="text1"/>
          <w:sz w:val="22"/>
          <w:szCs w:val="22"/>
        </w:rPr>
        <w:t>o-c</w:t>
      </w:r>
      <w:r w:rsidRPr="001A6B81">
        <w:rPr>
          <w:rFonts w:ascii="Arial" w:hAnsi="Arial" w:cs="Arial"/>
          <w:color w:val="000000" w:themeColor="text1"/>
          <w:sz w:val="22"/>
          <w:szCs w:val="22"/>
        </w:rPr>
        <w:t xml:space="preserve">rystal structure of </w:t>
      </w:r>
      <w:r w:rsidRPr="001707B0">
        <w:rPr>
          <w:rFonts w:ascii="Arial" w:hAnsi="Arial" w:cs="Arial"/>
          <w:i/>
          <w:iCs/>
          <w:color w:val="000000" w:themeColor="text1"/>
          <w:sz w:val="22"/>
          <w:szCs w:val="22"/>
        </w:rPr>
        <w:t>env2</w:t>
      </w:r>
      <w:r>
        <w:rPr>
          <w:rFonts w:ascii="Arial" w:hAnsi="Arial" w:cs="Arial"/>
          <w:color w:val="000000" w:themeColor="text1"/>
          <w:sz w:val="22"/>
          <w:szCs w:val="22"/>
        </w:rPr>
        <w:t xml:space="preserve">-CNCbl aligned to </w:t>
      </w:r>
      <w:r w:rsidRPr="001A6B81">
        <w:rPr>
          <w:rFonts w:ascii="Arial" w:hAnsi="Arial" w:cs="Arial"/>
          <w:color w:val="000000" w:themeColor="text1"/>
          <w:sz w:val="22"/>
          <w:szCs w:val="22"/>
        </w:rPr>
        <w:t xml:space="preserve">the </w:t>
      </w:r>
      <w:r w:rsidRPr="001A6B81">
        <w:rPr>
          <w:rFonts w:ascii="Arial" w:hAnsi="Arial" w:cs="Arial"/>
          <w:i/>
          <w:iCs/>
          <w:color w:val="000000" w:themeColor="text1"/>
          <w:sz w:val="22"/>
          <w:szCs w:val="22"/>
        </w:rPr>
        <w:t>env8</w:t>
      </w:r>
      <w:r w:rsidRPr="001A6B81">
        <w:rPr>
          <w:rFonts w:ascii="Arial" w:hAnsi="Arial" w:cs="Arial"/>
          <w:color w:val="000000" w:themeColor="text1"/>
          <w:sz w:val="22"/>
          <w:szCs w:val="22"/>
        </w:rPr>
        <w:t>-</w:t>
      </w:r>
      <w:r>
        <w:rPr>
          <w:rFonts w:ascii="Arial" w:hAnsi="Arial" w:cs="Arial"/>
          <w:color w:val="000000" w:themeColor="text1"/>
          <w:sz w:val="22"/>
          <w:szCs w:val="22"/>
        </w:rPr>
        <w:t>OH</w:t>
      </w:r>
      <w:r w:rsidRPr="001A6B81">
        <w:rPr>
          <w:rFonts w:ascii="Arial" w:hAnsi="Arial" w:cs="Arial"/>
          <w:color w:val="000000" w:themeColor="text1"/>
          <w:sz w:val="22"/>
          <w:szCs w:val="22"/>
        </w:rPr>
        <w:t>Cbl complex (PDB 4FRG</w:t>
      </w:r>
      <w:r>
        <w:rPr>
          <w:rFonts w:ascii="Arial" w:hAnsi="Arial" w:cs="Arial"/>
          <w:color w:val="000000" w:themeColor="text1"/>
          <w:sz w:val="22"/>
          <w:szCs w:val="22"/>
        </w:rPr>
        <w:fldChar w:fldCharType="begin" w:fldLock="1"/>
      </w:r>
      <w:r>
        <w:rPr>
          <w:rFonts w:ascii="Arial" w:hAnsi="Arial" w:cs="Arial"/>
          <w:color w:val="000000" w:themeColor="text1"/>
          <w:sz w:val="22"/>
          <w:szCs w:val="22"/>
        </w:rPr>
        <w:instrText>ADDIN CSL_CITATION {"citationItems":[{"id":"ITEM-1","itemData":{"DOI":"10.1038/nature11607","ISSN":"1476-4687","PMID":"23064232","abstract":"The crystal structures of two different cobalamin (vitamin B12)-binding riboswitches are determined; the structures reveal how cobalamin facilitates interdomain interactions to regulate gene expression. Small metabolites and ligands can affect gene expression by binding to a structured part of an RNA known as a riboswitch. Although the structures of many riboswitch receptor domains have been solved, the complete riboswitch structure with regulatory domain had not been determined. Robert Batey and colleagues have now solved the structure of two different cobalamin (vitamin B12) riboswitches that include the downstream regulatory domain. Ligand recognition occurs largely as a result of shape complementarity, rather than the more typical hydrogen bonding. Structures of riboswitch receptor domains bound to their effector have shown how messenger RNAs recognize diverse small molecules, but mechanistic details linking the structures to the regulation of gene expression remain elusive1,2. To address this, here we solve crystal structures of two different classes of cobalamin (vitamin B12)-binding riboswitches that include the structural switch of the downstream regulatory domain. These classes share a common cobalamin-binding core, but use distinct peripheral extensions to recognize different B12 derivatives. In each case, recognition is accomplished through shape complementarity between the RNA and cobalamin, with relatively few hydrogen bonding interactions that typically govern RNA–small molecule recognition. We show that a composite cobalamin–RNA scaffold stabilizes an unusual long-range intramolecular kissing-loop interaction that controls mRNA expression. This is the first, to our knowledge, riboswitch crystal structure detailing how the receptor and regulatory domains communicate in a ligand-dependent fashion to regulate mRNA expression.","author":[{"dropping-particle":"","family":"Johnson","given":"James E.","non-dropping-particle":"","parse-names":false,"suffix":""},{"dropping-particle":"","family":"Reyes","given":"Francis E.","non-dropping-particle":"","parse-names":false,"suffix":""},{"dropping-particle":"","family":"Polaski","given":"Jacob T.","non-dropping-particle":"","parse-names":false,"suffix":""},{"dropping-particle":"","family":"Batey","given":"Robert T.","non-dropping-particle":"","parse-names":false,"suffix":""}],"container-title":"Nature 2012 492:7427","id":"ITEM-1","issue":"7427","issued":{"date-parts":[["2012","10","14"]]},"page":"133-137","publisher":"Nature Publishing Group","title":"B12 cofactors directly stabilize an mRNA regulatory switch","type":"article-journal","volume":"492"},"uris":["http://www.mendeley.com/documents/?uuid=7156a7d8-3171-3f24-8431-e56f56e8cbfa"]}],"mendeley":{"formattedCitation":"&lt;sup&gt;20&lt;/sup&gt;","plainTextFormattedCitation":"20","previouslyFormattedCitation":"&lt;sup&gt;20&lt;/sup&gt;"},"properties":{"noteIndex":0},"schema":"https://github.com/citation-style-language/schema/raw/master/csl-citation.json"}</w:instrText>
      </w:r>
      <w:r>
        <w:rPr>
          <w:rFonts w:ascii="Arial" w:hAnsi="Arial" w:cs="Arial"/>
          <w:color w:val="000000" w:themeColor="text1"/>
          <w:sz w:val="22"/>
          <w:szCs w:val="22"/>
        </w:rPr>
        <w:fldChar w:fldCharType="separate"/>
      </w:r>
      <w:r w:rsidRPr="00C055A1">
        <w:rPr>
          <w:rFonts w:ascii="Arial" w:hAnsi="Arial" w:cs="Arial"/>
          <w:noProof/>
          <w:color w:val="000000" w:themeColor="text1"/>
          <w:sz w:val="22"/>
          <w:szCs w:val="22"/>
          <w:vertAlign w:val="superscript"/>
        </w:rPr>
        <w:t>20</w:t>
      </w:r>
      <w:r>
        <w:rPr>
          <w:rFonts w:ascii="Arial" w:hAnsi="Arial" w:cs="Arial"/>
          <w:color w:val="000000" w:themeColor="text1"/>
          <w:sz w:val="22"/>
          <w:szCs w:val="22"/>
        </w:rPr>
        <w:fldChar w:fldCharType="end"/>
      </w:r>
      <w:r w:rsidRPr="001A6B81">
        <w:rPr>
          <w:rFonts w:ascii="Arial" w:hAnsi="Arial" w:cs="Arial"/>
          <w:color w:val="000000" w:themeColor="text1"/>
          <w:sz w:val="22"/>
          <w:szCs w:val="22"/>
        </w:rPr>
        <w:t xml:space="preserve">). Global RNA architecture (left) is displayed as cartoon, </w:t>
      </w:r>
      <w:r>
        <w:rPr>
          <w:rFonts w:ascii="Arial" w:hAnsi="Arial" w:cs="Arial"/>
          <w:color w:val="000000" w:themeColor="text1"/>
          <w:sz w:val="22"/>
          <w:szCs w:val="22"/>
        </w:rPr>
        <w:t xml:space="preserve">with </w:t>
      </w:r>
      <w:r>
        <w:rPr>
          <w:rFonts w:ascii="Arial" w:hAnsi="Arial" w:cs="Arial"/>
          <w:sz w:val="22"/>
          <w:szCs w:val="22"/>
        </w:rPr>
        <w:t xml:space="preserve">sites of variation between the </w:t>
      </w:r>
      <w:r w:rsidRPr="001707B0">
        <w:rPr>
          <w:rFonts w:ascii="Arial" w:hAnsi="Arial" w:cs="Arial"/>
          <w:i/>
          <w:iCs/>
          <w:sz w:val="22"/>
          <w:szCs w:val="22"/>
        </w:rPr>
        <w:t>env8</w:t>
      </w:r>
      <w:r>
        <w:rPr>
          <w:rFonts w:ascii="Arial" w:hAnsi="Arial" w:cs="Arial"/>
          <w:sz w:val="22"/>
          <w:szCs w:val="22"/>
        </w:rPr>
        <w:t xml:space="preserve"> and </w:t>
      </w:r>
      <w:r w:rsidRPr="001707B0">
        <w:rPr>
          <w:rFonts w:ascii="Arial" w:hAnsi="Arial" w:cs="Arial"/>
          <w:i/>
          <w:iCs/>
          <w:sz w:val="22"/>
          <w:szCs w:val="22"/>
        </w:rPr>
        <w:t>env2</w:t>
      </w:r>
      <w:r>
        <w:rPr>
          <w:rFonts w:ascii="Arial" w:hAnsi="Arial" w:cs="Arial"/>
          <w:sz w:val="22"/>
          <w:szCs w:val="22"/>
        </w:rPr>
        <w:t xml:space="preserve"> shown in magenta</w:t>
      </w:r>
      <w:r>
        <w:rPr>
          <w:rFonts w:ascii="Arial" w:hAnsi="Arial" w:cs="Arial"/>
          <w:color w:val="000000" w:themeColor="text1"/>
          <w:sz w:val="22"/>
          <w:szCs w:val="22"/>
        </w:rPr>
        <w:t xml:space="preserve">. </w:t>
      </w:r>
      <w:r w:rsidRPr="001A6B81">
        <w:rPr>
          <w:rFonts w:ascii="Arial" w:hAnsi="Arial" w:cs="Arial"/>
          <w:color w:val="000000" w:themeColor="text1"/>
          <w:sz w:val="22"/>
          <w:szCs w:val="22"/>
        </w:rPr>
        <w:t xml:space="preserve">The ligand binding pocket (right) </w:t>
      </w:r>
      <w:r>
        <w:rPr>
          <w:rFonts w:ascii="Arial" w:hAnsi="Arial" w:cs="Arial"/>
          <w:color w:val="000000" w:themeColor="text1"/>
          <w:sz w:val="22"/>
          <w:szCs w:val="22"/>
        </w:rPr>
        <w:t xml:space="preserve">is shown in sticks and shows very strong agreement between the two RNA-ligand complexes (RMSD = 0.45 Å). Given that </w:t>
      </w:r>
      <w:r w:rsidRPr="009E5BAB">
        <w:rPr>
          <w:rFonts w:ascii="Arial" w:hAnsi="Arial" w:cs="Arial"/>
          <w:i/>
          <w:iCs/>
          <w:color w:val="000000" w:themeColor="text1"/>
          <w:sz w:val="22"/>
          <w:szCs w:val="22"/>
        </w:rPr>
        <w:t>env2</w:t>
      </w:r>
      <w:r>
        <w:rPr>
          <w:rFonts w:ascii="Arial" w:hAnsi="Arial" w:cs="Arial"/>
          <w:color w:val="000000" w:themeColor="text1"/>
          <w:sz w:val="22"/>
          <w:szCs w:val="22"/>
        </w:rPr>
        <w:t xml:space="preserve"> shows near-identical ligand binding, regulatory activity, and local and global RNA architecture, all structural information from </w:t>
      </w:r>
      <w:r w:rsidRPr="009E5BAB">
        <w:rPr>
          <w:rFonts w:ascii="Arial" w:hAnsi="Arial" w:cs="Arial"/>
          <w:i/>
          <w:iCs/>
          <w:color w:val="000000" w:themeColor="text1"/>
          <w:sz w:val="22"/>
          <w:szCs w:val="22"/>
        </w:rPr>
        <w:t>env2</w:t>
      </w:r>
      <w:r>
        <w:rPr>
          <w:rFonts w:ascii="Arial" w:hAnsi="Arial" w:cs="Arial"/>
          <w:color w:val="000000" w:themeColor="text1"/>
          <w:sz w:val="22"/>
          <w:szCs w:val="22"/>
        </w:rPr>
        <w:t xml:space="preserve"> can be translated to </w:t>
      </w:r>
      <w:r w:rsidRPr="009E5BAB">
        <w:rPr>
          <w:rFonts w:ascii="Arial" w:hAnsi="Arial" w:cs="Arial"/>
          <w:i/>
          <w:iCs/>
          <w:color w:val="000000" w:themeColor="text1"/>
          <w:sz w:val="22"/>
          <w:szCs w:val="22"/>
        </w:rPr>
        <w:t>env8</w:t>
      </w:r>
      <w:r>
        <w:rPr>
          <w:rFonts w:ascii="Arial" w:hAnsi="Arial" w:cs="Arial"/>
          <w:color w:val="000000" w:themeColor="text1"/>
          <w:sz w:val="22"/>
          <w:szCs w:val="22"/>
        </w:rPr>
        <w:t xml:space="preserve">. </w:t>
      </w:r>
    </w:p>
    <w:p w14:paraId="47A56FA0" w14:textId="77777777" w:rsidR="00F527F4" w:rsidRDefault="00F527F4" w:rsidP="00F527F4">
      <w:pPr>
        <w:rPr>
          <w:rFonts w:ascii="Arial" w:hAnsi="Arial" w:cs="Arial"/>
          <w:sz w:val="22"/>
          <w:szCs w:val="22"/>
        </w:rPr>
      </w:pPr>
      <w:r>
        <w:rPr>
          <w:rFonts w:ascii="Arial" w:hAnsi="Arial" w:cs="Arial"/>
          <w:sz w:val="22"/>
          <w:szCs w:val="22"/>
        </w:rPr>
        <w:br w:type="page"/>
      </w:r>
    </w:p>
    <w:p w14:paraId="30B82B29" w14:textId="77777777" w:rsidR="00F527F4" w:rsidRDefault="00F527F4" w:rsidP="00F527F4">
      <w:pPr>
        <w:jc w:val="both"/>
        <w:rPr>
          <w:rFonts w:ascii="Arial" w:hAnsi="Arial" w:cs="Arial"/>
          <w:sz w:val="22"/>
          <w:szCs w:val="22"/>
        </w:rPr>
      </w:pPr>
    </w:p>
    <w:p w14:paraId="245C9C29" w14:textId="77777777" w:rsidR="00F527F4" w:rsidRDefault="00F527F4" w:rsidP="00F527F4">
      <w:pPr>
        <w:jc w:val="center"/>
        <w:rPr>
          <w:rFonts w:ascii="Arial" w:hAnsi="Arial" w:cs="Arial"/>
          <w:sz w:val="22"/>
          <w:szCs w:val="22"/>
        </w:rPr>
      </w:pPr>
      <w:r>
        <w:rPr>
          <w:rFonts w:ascii="Arial" w:hAnsi="Arial" w:cs="Arial"/>
          <w:noProof/>
          <w:sz w:val="22"/>
          <w:szCs w:val="22"/>
        </w:rPr>
        <w:drawing>
          <wp:inline distT="0" distB="0" distL="0" distR="0" wp14:anchorId="5D853C39" wp14:editId="5B643D82">
            <wp:extent cx="5943600" cy="3666490"/>
            <wp:effectExtent l="0" t="0" r="0" b="3810"/>
            <wp:docPr id="12" name="Picture 12" descr="A collage of multiple images of different colored molecu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ollage of multiple images of different colored molecul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666490"/>
                    </a:xfrm>
                    <a:prstGeom prst="rect">
                      <a:avLst/>
                    </a:prstGeom>
                  </pic:spPr>
                </pic:pic>
              </a:graphicData>
            </a:graphic>
          </wp:inline>
        </w:drawing>
      </w:r>
    </w:p>
    <w:p w14:paraId="0FDFA9B0" w14:textId="77777777" w:rsidR="00F527F4" w:rsidRDefault="00F527F4" w:rsidP="00F527F4">
      <w:pPr>
        <w:jc w:val="both"/>
        <w:rPr>
          <w:rFonts w:ascii="Arial" w:hAnsi="Arial" w:cs="Arial"/>
          <w:sz w:val="22"/>
          <w:szCs w:val="22"/>
        </w:rPr>
      </w:pPr>
    </w:p>
    <w:p w14:paraId="127D81C8" w14:textId="77777777" w:rsidR="00F527F4" w:rsidRDefault="00F527F4" w:rsidP="00F527F4">
      <w:pPr>
        <w:jc w:val="both"/>
        <w:rPr>
          <w:rFonts w:ascii="Arial" w:hAnsi="Arial" w:cs="Arial"/>
          <w:color w:val="000000" w:themeColor="text1"/>
          <w:sz w:val="22"/>
          <w:szCs w:val="22"/>
        </w:rPr>
      </w:pPr>
      <w:r w:rsidRPr="005921EA">
        <w:rPr>
          <w:rFonts w:ascii="Arial" w:hAnsi="Arial" w:cs="Arial"/>
          <w:b/>
          <w:bCs/>
          <w:color w:val="000000" w:themeColor="text1"/>
          <w:sz w:val="22"/>
          <w:szCs w:val="22"/>
        </w:rPr>
        <w:t xml:space="preserve">Extended Data Fig. 8. Additional </w:t>
      </w:r>
      <w:r w:rsidRPr="005921EA">
        <w:rPr>
          <w:rFonts w:ascii="Arial" w:hAnsi="Arial" w:cs="Arial"/>
          <w:b/>
          <w:bCs/>
          <w:i/>
          <w:iCs/>
          <w:color w:val="000000" w:themeColor="text1"/>
          <w:sz w:val="22"/>
          <w:szCs w:val="22"/>
        </w:rPr>
        <w:t>env2</w:t>
      </w:r>
      <w:r w:rsidRPr="005921EA">
        <w:rPr>
          <w:rFonts w:ascii="Arial" w:hAnsi="Arial" w:cs="Arial"/>
          <w:b/>
          <w:bCs/>
          <w:color w:val="000000" w:themeColor="text1"/>
          <w:sz w:val="22"/>
          <w:szCs w:val="22"/>
        </w:rPr>
        <w:t>-Cbl co-crystal structures.</w:t>
      </w:r>
      <w:r w:rsidRPr="00D930BF">
        <w:rPr>
          <w:rFonts w:ascii="Arial" w:hAnsi="Arial" w:cs="Arial"/>
          <w:b/>
          <w:bCs/>
          <w:color w:val="000000" w:themeColor="text1"/>
          <w:sz w:val="22"/>
          <w:szCs w:val="22"/>
        </w:rPr>
        <w:t xml:space="preserve"> </w:t>
      </w:r>
      <w:r>
        <w:rPr>
          <w:rFonts w:ascii="Arial" w:hAnsi="Arial" w:cs="Arial"/>
          <w:b/>
          <w:bCs/>
          <w:color w:val="000000" w:themeColor="text1"/>
          <w:sz w:val="22"/>
          <w:szCs w:val="22"/>
        </w:rPr>
        <w:t>a</w:t>
      </w:r>
      <w:r w:rsidRPr="00FB7E41">
        <w:rPr>
          <w:rFonts w:ascii="Arial" w:hAnsi="Arial" w:cs="Arial"/>
          <w:color w:val="000000" w:themeColor="text1"/>
          <w:sz w:val="22"/>
          <w:szCs w:val="22"/>
        </w:rPr>
        <w:t>,</w:t>
      </w:r>
      <w:r>
        <w:rPr>
          <w:rFonts w:ascii="Arial" w:hAnsi="Arial" w:cs="Arial"/>
          <w:b/>
          <w:bCs/>
          <w:color w:val="000000" w:themeColor="text1"/>
          <w:sz w:val="22"/>
          <w:szCs w:val="22"/>
        </w:rPr>
        <w:t xml:space="preserve"> </w:t>
      </w:r>
      <w:r w:rsidRPr="00FB7E41">
        <w:rPr>
          <w:rFonts w:ascii="Arial" w:hAnsi="Arial" w:cs="Arial"/>
          <w:color w:val="000000" w:themeColor="text1"/>
          <w:sz w:val="22"/>
          <w:szCs w:val="22"/>
        </w:rPr>
        <w:t>C</w:t>
      </w:r>
      <w:r>
        <w:rPr>
          <w:rFonts w:ascii="Arial" w:hAnsi="Arial" w:cs="Arial"/>
          <w:color w:val="000000" w:themeColor="text1"/>
          <w:sz w:val="22"/>
          <w:szCs w:val="22"/>
        </w:rPr>
        <w:t xml:space="preserve">rystal structure of </w:t>
      </w:r>
      <w:r w:rsidRPr="00E507FF">
        <w:rPr>
          <w:rFonts w:ascii="Arial" w:hAnsi="Arial" w:cs="Arial"/>
          <w:i/>
          <w:iCs/>
          <w:color w:val="000000" w:themeColor="text1"/>
          <w:sz w:val="22"/>
          <w:szCs w:val="22"/>
        </w:rPr>
        <w:t>env2</w:t>
      </w:r>
      <w:r>
        <w:rPr>
          <w:rFonts w:ascii="Arial" w:hAnsi="Arial" w:cs="Arial"/>
          <w:i/>
          <w:iCs/>
          <w:color w:val="000000" w:themeColor="text1"/>
          <w:sz w:val="22"/>
          <w:szCs w:val="22"/>
        </w:rPr>
        <w:t xml:space="preserve"> </w:t>
      </w:r>
      <w:r>
        <w:rPr>
          <w:rFonts w:ascii="Arial" w:hAnsi="Arial" w:cs="Arial"/>
          <w:color w:val="000000" w:themeColor="text1"/>
          <w:sz w:val="22"/>
          <w:szCs w:val="22"/>
        </w:rPr>
        <w:t xml:space="preserve">in the apo state showing only the binding pocket nucleotides (left). Alignment of the binding pockets of </w:t>
      </w:r>
      <w:r w:rsidRPr="00984699">
        <w:rPr>
          <w:rFonts w:ascii="Arial" w:hAnsi="Arial" w:cs="Arial"/>
          <w:i/>
          <w:iCs/>
          <w:color w:val="000000" w:themeColor="text1"/>
          <w:sz w:val="22"/>
          <w:szCs w:val="22"/>
        </w:rPr>
        <w:t>env2</w:t>
      </w:r>
      <w:r>
        <w:rPr>
          <w:rFonts w:ascii="Arial" w:hAnsi="Arial" w:cs="Arial"/>
          <w:color w:val="000000" w:themeColor="text1"/>
          <w:sz w:val="22"/>
          <w:szCs w:val="22"/>
        </w:rPr>
        <w:t xml:space="preserve">-CNCbl (protomer A) and the apo state (right). In all structural representations, the </w:t>
      </w:r>
      <w:r>
        <w:rPr>
          <w:rFonts w:ascii="Arial" w:hAnsi="Arial" w:cs="Arial"/>
          <w:sz w:val="22"/>
          <w:szCs w:val="22"/>
        </w:rPr>
        <w:t xml:space="preserve">binding pocket nucleotides G19 (yellow), A20 (green), and A68 (cyan) are colored and the </w:t>
      </w:r>
      <w:r w:rsidRPr="001A6B81">
        <w:rPr>
          <w:rFonts w:ascii="Arial" w:hAnsi="Arial" w:cs="Arial"/>
          <w:color w:val="000000" w:themeColor="text1"/>
          <w:sz w:val="22"/>
          <w:szCs w:val="22"/>
        </w:rPr>
        <w:t>β-axial</w:t>
      </w:r>
      <w:r>
        <w:rPr>
          <w:rFonts w:ascii="Arial" w:hAnsi="Arial" w:cs="Arial"/>
          <w:color w:val="000000" w:themeColor="text1"/>
          <w:sz w:val="22"/>
          <w:szCs w:val="22"/>
        </w:rPr>
        <w:t xml:space="preserve"> is shown in magenta. All mesh representations correspond to a simulated annealing 2F</w:t>
      </w:r>
      <w:r w:rsidRPr="00E507FF">
        <w:rPr>
          <w:rFonts w:ascii="Arial" w:hAnsi="Arial" w:cs="Arial"/>
          <w:color w:val="000000" w:themeColor="text1"/>
          <w:sz w:val="22"/>
          <w:szCs w:val="22"/>
          <w:vertAlign w:val="subscript"/>
        </w:rPr>
        <w:t>o</w:t>
      </w:r>
      <w:r>
        <w:rPr>
          <w:rFonts w:ascii="Arial" w:hAnsi="Arial" w:cs="Arial"/>
          <w:color w:val="000000" w:themeColor="text1"/>
          <w:sz w:val="22"/>
          <w:szCs w:val="22"/>
        </w:rPr>
        <w:t>-F</w:t>
      </w:r>
      <w:r w:rsidRPr="00E507FF">
        <w:rPr>
          <w:rFonts w:ascii="Arial" w:hAnsi="Arial" w:cs="Arial"/>
          <w:color w:val="000000" w:themeColor="text1"/>
          <w:sz w:val="22"/>
          <w:szCs w:val="22"/>
          <w:vertAlign w:val="subscript"/>
        </w:rPr>
        <w:t>c</w:t>
      </w:r>
      <w:r>
        <w:rPr>
          <w:rFonts w:ascii="Arial" w:hAnsi="Arial" w:cs="Arial"/>
          <w:color w:val="000000" w:themeColor="text1"/>
          <w:sz w:val="22"/>
          <w:szCs w:val="22"/>
          <w:vertAlign w:val="subscript"/>
        </w:rPr>
        <w:t xml:space="preserve"> </w:t>
      </w:r>
      <w:r>
        <w:rPr>
          <w:rFonts w:ascii="Arial" w:hAnsi="Arial" w:cs="Arial"/>
          <w:color w:val="000000" w:themeColor="text1"/>
          <w:sz w:val="22"/>
          <w:szCs w:val="22"/>
        </w:rPr>
        <w:t xml:space="preserve">map where A20 and the ligand (if present) were omitted from the model and are shown at </w:t>
      </w:r>
      <w:r w:rsidRPr="00E507FF">
        <w:rPr>
          <w:rFonts w:ascii="Arial" w:hAnsi="Arial" w:cs="Arial"/>
          <w:color w:val="000000" w:themeColor="text1"/>
          <w:sz w:val="22"/>
          <w:szCs w:val="22"/>
        </w:rPr>
        <w:t>1 σ contour.</w:t>
      </w:r>
      <w:r>
        <w:rPr>
          <w:rFonts w:ascii="Arial" w:hAnsi="Arial" w:cs="Arial"/>
          <w:color w:val="000000" w:themeColor="text1"/>
          <w:sz w:val="22"/>
          <w:szCs w:val="22"/>
        </w:rPr>
        <w:t xml:space="preserve"> </w:t>
      </w:r>
      <w:r w:rsidRPr="00FB7E41">
        <w:rPr>
          <w:rFonts w:ascii="Arial" w:hAnsi="Arial" w:cs="Arial"/>
          <w:b/>
          <w:bCs/>
          <w:color w:val="000000" w:themeColor="text1"/>
          <w:sz w:val="22"/>
          <w:szCs w:val="22"/>
        </w:rPr>
        <w:t>b</w:t>
      </w:r>
      <w:r>
        <w:rPr>
          <w:rFonts w:ascii="Arial" w:hAnsi="Arial" w:cs="Arial"/>
          <w:color w:val="000000" w:themeColor="text1"/>
          <w:sz w:val="22"/>
          <w:szCs w:val="22"/>
        </w:rPr>
        <w:t xml:space="preserve">, Our </w:t>
      </w:r>
      <w:r w:rsidRPr="00E507FF">
        <w:rPr>
          <w:rFonts w:ascii="Arial" w:hAnsi="Arial" w:cs="Arial"/>
          <w:i/>
          <w:iCs/>
          <w:color w:val="000000" w:themeColor="text1"/>
          <w:sz w:val="22"/>
          <w:szCs w:val="22"/>
        </w:rPr>
        <w:t>env2</w:t>
      </w:r>
      <w:r>
        <w:rPr>
          <w:rFonts w:ascii="Arial" w:hAnsi="Arial" w:cs="Arial"/>
          <w:color w:val="000000" w:themeColor="text1"/>
          <w:sz w:val="22"/>
          <w:szCs w:val="22"/>
        </w:rPr>
        <w:t xml:space="preserve">-CNCbl co-crystal structure has two molecules in the asymmetric unit (ASU). Protomer A is already shown in </w:t>
      </w:r>
      <w:r w:rsidRPr="00D930BF">
        <w:rPr>
          <w:rFonts w:ascii="Arial" w:hAnsi="Arial" w:cs="Arial"/>
          <w:b/>
          <w:bCs/>
          <w:color w:val="000000" w:themeColor="text1"/>
          <w:sz w:val="22"/>
          <w:szCs w:val="22"/>
        </w:rPr>
        <w:t xml:space="preserve">Fig. </w:t>
      </w:r>
      <w:r>
        <w:rPr>
          <w:rFonts w:ascii="Arial" w:hAnsi="Arial" w:cs="Arial"/>
          <w:b/>
          <w:bCs/>
          <w:color w:val="000000" w:themeColor="text1"/>
          <w:sz w:val="22"/>
          <w:szCs w:val="22"/>
        </w:rPr>
        <w:t>4</w:t>
      </w:r>
      <w:r w:rsidRPr="00D930BF">
        <w:rPr>
          <w:rFonts w:ascii="Arial" w:hAnsi="Arial" w:cs="Arial"/>
          <w:b/>
          <w:bCs/>
          <w:color w:val="000000" w:themeColor="text1"/>
          <w:sz w:val="22"/>
          <w:szCs w:val="22"/>
        </w:rPr>
        <w:t>c</w:t>
      </w:r>
      <w:r>
        <w:rPr>
          <w:rFonts w:ascii="Arial" w:hAnsi="Arial" w:cs="Arial"/>
          <w:color w:val="000000" w:themeColor="text1"/>
          <w:sz w:val="22"/>
          <w:szCs w:val="22"/>
        </w:rPr>
        <w:t xml:space="preserve">. Here, we are showing an alignment of the binding pockets of both protomers, which are nearly identical. </w:t>
      </w:r>
      <w:r>
        <w:rPr>
          <w:rFonts w:ascii="Arial" w:hAnsi="Arial" w:cs="Arial"/>
          <w:b/>
          <w:bCs/>
          <w:color w:val="000000" w:themeColor="text1"/>
          <w:sz w:val="22"/>
          <w:szCs w:val="22"/>
        </w:rPr>
        <w:t>c</w:t>
      </w:r>
      <w:r>
        <w:rPr>
          <w:rFonts w:ascii="Arial" w:hAnsi="Arial" w:cs="Arial"/>
          <w:color w:val="000000" w:themeColor="text1"/>
          <w:sz w:val="22"/>
          <w:szCs w:val="22"/>
        </w:rPr>
        <w:t xml:space="preserve">, Our </w:t>
      </w:r>
      <w:r w:rsidRPr="00E507FF">
        <w:rPr>
          <w:rFonts w:ascii="Arial" w:hAnsi="Arial" w:cs="Arial"/>
          <w:i/>
          <w:iCs/>
          <w:color w:val="000000" w:themeColor="text1"/>
          <w:sz w:val="22"/>
          <w:szCs w:val="22"/>
        </w:rPr>
        <w:t>env2</w:t>
      </w:r>
      <w:r>
        <w:rPr>
          <w:rFonts w:ascii="Arial" w:hAnsi="Arial" w:cs="Arial"/>
          <w:color w:val="000000" w:themeColor="text1"/>
          <w:sz w:val="22"/>
          <w:szCs w:val="22"/>
        </w:rPr>
        <w:t xml:space="preserve">-Cbl </w:t>
      </w:r>
      <w:r w:rsidRPr="00D930BF">
        <w:rPr>
          <w:rFonts w:ascii="Arial" w:hAnsi="Arial" w:cs="Arial"/>
          <w:b/>
          <w:bCs/>
          <w:color w:val="000000" w:themeColor="text1"/>
          <w:sz w:val="22"/>
          <w:szCs w:val="22"/>
        </w:rPr>
        <w:t>4</w:t>
      </w:r>
      <w:r>
        <w:rPr>
          <w:rFonts w:ascii="Arial" w:hAnsi="Arial" w:cs="Arial"/>
          <w:color w:val="000000" w:themeColor="text1"/>
          <w:sz w:val="22"/>
          <w:szCs w:val="22"/>
        </w:rPr>
        <w:t xml:space="preserve"> co-crystal structure also has two molecules in the ASU. Protomer B is already shown in </w:t>
      </w:r>
      <w:r w:rsidRPr="00D930BF">
        <w:rPr>
          <w:rFonts w:ascii="Arial" w:hAnsi="Arial" w:cs="Arial"/>
          <w:b/>
          <w:bCs/>
          <w:color w:val="000000" w:themeColor="text1"/>
          <w:sz w:val="22"/>
          <w:szCs w:val="22"/>
        </w:rPr>
        <w:t xml:space="preserve">Fig. </w:t>
      </w:r>
      <w:r>
        <w:rPr>
          <w:rFonts w:ascii="Arial" w:hAnsi="Arial" w:cs="Arial"/>
          <w:b/>
          <w:bCs/>
          <w:color w:val="000000" w:themeColor="text1"/>
          <w:sz w:val="22"/>
          <w:szCs w:val="22"/>
        </w:rPr>
        <w:t>4d</w:t>
      </w:r>
      <w:r>
        <w:rPr>
          <w:rFonts w:ascii="Arial" w:hAnsi="Arial" w:cs="Arial"/>
          <w:color w:val="000000" w:themeColor="text1"/>
          <w:sz w:val="22"/>
          <w:szCs w:val="22"/>
        </w:rPr>
        <w:t xml:space="preserve">. Here, we are showing an alignment of the binding pockets of both protomers, which reveals a different orientation of A20. This was a common feature of all but one of our co-crystal structures. In each protomer A, A20 is locked in a crystal lattice contact. In each protomer B, we get a variable conformation of protomer B, suggesting that A20 is dynamic. This also explains why the electron density of A20 is well defined in protomer A but less so in protomer B. We will therefore focus on the more solution-representative protomer B in all analyses. </w:t>
      </w:r>
      <w:r w:rsidRPr="00B831C5">
        <w:rPr>
          <w:rFonts w:ascii="Arial" w:hAnsi="Arial" w:cs="Arial"/>
          <w:b/>
          <w:bCs/>
          <w:color w:val="000000" w:themeColor="text1"/>
          <w:sz w:val="22"/>
          <w:szCs w:val="22"/>
        </w:rPr>
        <w:t>d</w:t>
      </w:r>
      <w:r>
        <w:rPr>
          <w:rFonts w:ascii="Arial" w:hAnsi="Arial" w:cs="Arial"/>
          <w:color w:val="000000" w:themeColor="text1"/>
          <w:sz w:val="22"/>
          <w:szCs w:val="22"/>
        </w:rPr>
        <w:t xml:space="preserve">, Co-crystal structure of </w:t>
      </w:r>
      <w:r w:rsidRPr="00E507FF">
        <w:rPr>
          <w:rFonts w:ascii="Arial" w:hAnsi="Arial" w:cs="Arial"/>
          <w:i/>
          <w:iCs/>
          <w:color w:val="000000" w:themeColor="text1"/>
          <w:sz w:val="22"/>
          <w:szCs w:val="22"/>
        </w:rPr>
        <w:t>env2</w:t>
      </w:r>
      <w:r>
        <w:rPr>
          <w:rFonts w:ascii="Arial" w:hAnsi="Arial" w:cs="Arial"/>
          <w:color w:val="000000" w:themeColor="text1"/>
          <w:sz w:val="22"/>
          <w:szCs w:val="22"/>
        </w:rPr>
        <w:t xml:space="preserve">-Cbl </w:t>
      </w:r>
      <w:r w:rsidRPr="00633BBB">
        <w:rPr>
          <w:rFonts w:ascii="Arial" w:hAnsi="Arial" w:cs="Arial"/>
          <w:b/>
          <w:bCs/>
          <w:color w:val="000000" w:themeColor="text1"/>
          <w:sz w:val="22"/>
          <w:szCs w:val="22"/>
        </w:rPr>
        <w:t>5</w:t>
      </w:r>
      <w:r>
        <w:rPr>
          <w:rFonts w:ascii="Arial" w:hAnsi="Arial" w:cs="Arial"/>
          <w:color w:val="000000" w:themeColor="text1"/>
          <w:sz w:val="22"/>
          <w:szCs w:val="22"/>
        </w:rPr>
        <w:t xml:space="preserve"> showing only the binding pocket nucleotides and the </w:t>
      </w:r>
      <w:r w:rsidRPr="001A6B81">
        <w:rPr>
          <w:rFonts w:ascii="Arial" w:hAnsi="Arial" w:cs="Arial"/>
          <w:color w:val="000000" w:themeColor="text1"/>
          <w:sz w:val="22"/>
          <w:szCs w:val="22"/>
        </w:rPr>
        <w:t>β-axial</w:t>
      </w:r>
      <w:r>
        <w:rPr>
          <w:rFonts w:ascii="Arial" w:hAnsi="Arial" w:cs="Arial"/>
          <w:color w:val="000000" w:themeColor="text1"/>
          <w:sz w:val="22"/>
          <w:szCs w:val="22"/>
        </w:rPr>
        <w:t xml:space="preserve"> group. </w:t>
      </w:r>
      <w:r w:rsidRPr="009A0FF0">
        <w:rPr>
          <w:rFonts w:ascii="Arial" w:hAnsi="Arial" w:cs="Arial"/>
          <w:b/>
          <w:bCs/>
          <w:color w:val="000000" w:themeColor="text1"/>
          <w:sz w:val="22"/>
          <w:szCs w:val="22"/>
        </w:rPr>
        <w:t>e</w:t>
      </w:r>
      <w:r>
        <w:rPr>
          <w:rFonts w:ascii="Arial" w:hAnsi="Arial" w:cs="Arial"/>
          <w:color w:val="000000" w:themeColor="text1"/>
          <w:sz w:val="22"/>
          <w:szCs w:val="22"/>
        </w:rPr>
        <w:t xml:space="preserve">, Same as in </w:t>
      </w:r>
      <w:r w:rsidRPr="00984699">
        <w:rPr>
          <w:rFonts w:ascii="Arial" w:hAnsi="Arial" w:cs="Arial"/>
          <w:b/>
          <w:bCs/>
          <w:color w:val="000000" w:themeColor="text1"/>
          <w:sz w:val="22"/>
          <w:szCs w:val="22"/>
        </w:rPr>
        <w:t>d</w:t>
      </w:r>
      <w:r>
        <w:rPr>
          <w:rFonts w:ascii="Arial" w:hAnsi="Arial" w:cs="Arial"/>
          <w:color w:val="000000" w:themeColor="text1"/>
          <w:sz w:val="22"/>
          <w:szCs w:val="22"/>
        </w:rPr>
        <w:t xml:space="preserve"> but for </w:t>
      </w:r>
      <w:r w:rsidRPr="009A0FF0">
        <w:rPr>
          <w:rFonts w:ascii="Arial" w:hAnsi="Arial" w:cs="Arial"/>
          <w:i/>
          <w:iCs/>
          <w:color w:val="000000" w:themeColor="text1"/>
          <w:sz w:val="22"/>
          <w:szCs w:val="22"/>
        </w:rPr>
        <w:t>env2</w:t>
      </w:r>
      <w:r>
        <w:rPr>
          <w:rFonts w:ascii="Arial" w:hAnsi="Arial" w:cs="Arial"/>
          <w:color w:val="000000" w:themeColor="text1"/>
          <w:sz w:val="22"/>
          <w:szCs w:val="22"/>
        </w:rPr>
        <w:t xml:space="preserve">-Cbl </w:t>
      </w:r>
      <w:r w:rsidRPr="009A0FF0">
        <w:rPr>
          <w:rFonts w:ascii="Arial" w:hAnsi="Arial" w:cs="Arial"/>
          <w:b/>
          <w:bCs/>
          <w:color w:val="000000" w:themeColor="text1"/>
          <w:sz w:val="22"/>
          <w:szCs w:val="22"/>
        </w:rPr>
        <w:t>13</w:t>
      </w:r>
      <w:r>
        <w:rPr>
          <w:rFonts w:ascii="Arial" w:hAnsi="Arial" w:cs="Arial"/>
          <w:color w:val="000000" w:themeColor="text1"/>
          <w:sz w:val="22"/>
          <w:szCs w:val="22"/>
        </w:rPr>
        <w:t xml:space="preserve">. This structure had four molecules in the ASU. In all four protomers, there is well defined density for A20 and minimal conformational variety (data not shown). </w:t>
      </w:r>
      <w:r w:rsidRPr="009A0FF0">
        <w:rPr>
          <w:rFonts w:ascii="Arial" w:hAnsi="Arial" w:cs="Arial"/>
          <w:b/>
          <w:bCs/>
          <w:color w:val="000000" w:themeColor="text1"/>
          <w:sz w:val="22"/>
          <w:szCs w:val="22"/>
        </w:rPr>
        <w:t>f</w:t>
      </w:r>
      <w:r>
        <w:rPr>
          <w:rFonts w:ascii="Arial" w:hAnsi="Arial" w:cs="Arial"/>
          <w:color w:val="000000" w:themeColor="text1"/>
          <w:sz w:val="22"/>
          <w:szCs w:val="22"/>
        </w:rPr>
        <w:t xml:space="preserve">, Same as in </w:t>
      </w:r>
      <w:r w:rsidRPr="009A0FF0">
        <w:rPr>
          <w:rFonts w:ascii="Arial" w:hAnsi="Arial" w:cs="Arial"/>
          <w:b/>
          <w:bCs/>
          <w:color w:val="000000" w:themeColor="text1"/>
          <w:sz w:val="22"/>
          <w:szCs w:val="22"/>
        </w:rPr>
        <w:t>d</w:t>
      </w:r>
      <w:r>
        <w:rPr>
          <w:rFonts w:ascii="Arial" w:hAnsi="Arial" w:cs="Arial"/>
          <w:color w:val="000000" w:themeColor="text1"/>
          <w:sz w:val="22"/>
          <w:szCs w:val="22"/>
        </w:rPr>
        <w:t xml:space="preserve"> but for</w:t>
      </w:r>
      <w:r w:rsidRPr="009A0FF0">
        <w:rPr>
          <w:rFonts w:ascii="Arial" w:hAnsi="Arial" w:cs="Arial"/>
          <w:i/>
          <w:iCs/>
          <w:color w:val="000000" w:themeColor="text1"/>
          <w:sz w:val="22"/>
          <w:szCs w:val="22"/>
        </w:rPr>
        <w:t xml:space="preserve"> </w:t>
      </w:r>
      <w:r w:rsidRPr="00E507FF">
        <w:rPr>
          <w:rFonts w:ascii="Arial" w:hAnsi="Arial" w:cs="Arial"/>
          <w:i/>
          <w:iCs/>
          <w:color w:val="000000" w:themeColor="text1"/>
          <w:sz w:val="22"/>
          <w:szCs w:val="22"/>
        </w:rPr>
        <w:t>env2</w:t>
      </w:r>
      <w:r>
        <w:rPr>
          <w:rFonts w:ascii="Arial" w:hAnsi="Arial" w:cs="Arial"/>
          <w:color w:val="000000" w:themeColor="text1"/>
          <w:sz w:val="22"/>
          <w:szCs w:val="22"/>
        </w:rPr>
        <w:t xml:space="preserve">-Cbl </w:t>
      </w:r>
      <w:r>
        <w:rPr>
          <w:rFonts w:ascii="Arial" w:hAnsi="Arial" w:cs="Arial"/>
          <w:b/>
          <w:bCs/>
          <w:color w:val="000000" w:themeColor="text1"/>
          <w:sz w:val="22"/>
          <w:szCs w:val="22"/>
        </w:rPr>
        <w:t>26</w:t>
      </w:r>
      <w:r>
        <w:rPr>
          <w:rFonts w:ascii="Arial" w:hAnsi="Arial" w:cs="Arial"/>
          <w:color w:val="000000" w:themeColor="text1"/>
          <w:sz w:val="22"/>
          <w:szCs w:val="22"/>
        </w:rPr>
        <w:t xml:space="preserve">. </w:t>
      </w:r>
      <w:r>
        <w:rPr>
          <w:rFonts w:ascii="Arial" w:hAnsi="Arial" w:cs="Arial"/>
          <w:b/>
          <w:bCs/>
          <w:color w:val="000000" w:themeColor="text1"/>
          <w:sz w:val="22"/>
          <w:szCs w:val="22"/>
        </w:rPr>
        <w:t>g</w:t>
      </w:r>
      <w:r>
        <w:rPr>
          <w:rFonts w:ascii="Arial" w:hAnsi="Arial" w:cs="Arial"/>
          <w:color w:val="000000" w:themeColor="text1"/>
          <w:sz w:val="22"/>
          <w:szCs w:val="22"/>
        </w:rPr>
        <w:t xml:space="preserve">, Same as in </w:t>
      </w:r>
      <w:r w:rsidRPr="009A0FF0">
        <w:rPr>
          <w:rFonts w:ascii="Arial" w:hAnsi="Arial" w:cs="Arial"/>
          <w:b/>
          <w:bCs/>
          <w:color w:val="000000" w:themeColor="text1"/>
          <w:sz w:val="22"/>
          <w:szCs w:val="22"/>
        </w:rPr>
        <w:t>d</w:t>
      </w:r>
      <w:r>
        <w:rPr>
          <w:rFonts w:ascii="Arial" w:hAnsi="Arial" w:cs="Arial"/>
          <w:color w:val="000000" w:themeColor="text1"/>
          <w:sz w:val="22"/>
          <w:szCs w:val="22"/>
        </w:rPr>
        <w:t xml:space="preserve"> but for</w:t>
      </w:r>
      <w:r w:rsidRPr="009A0FF0">
        <w:rPr>
          <w:rFonts w:ascii="Arial" w:hAnsi="Arial" w:cs="Arial"/>
          <w:i/>
          <w:iCs/>
          <w:color w:val="000000" w:themeColor="text1"/>
          <w:sz w:val="22"/>
          <w:szCs w:val="22"/>
        </w:rPr>
        <w:t xml:space="preserve"> </w:t>
      </w:r>
      <w:r w:rsidRPr="00E507FF">
        <w:rPr>
          <w:rFonts w:ascii="Arial" w:hAnsi="Arial" w:cs="Arial"/>
          <w:i/>
          <w:iCs/>
          <w:color w:val="000000" w:themeColor="text1"/>
          <w:sz w:val="22"/>
          <w:szCs w:val="22"/>
        </w:rPr>
        <w:t>env2</w:t>
      </w:r>
      <w:r>
        <w:rPr>
          <w:rFonts w:ascii="Arial" w:hAnsi="Arial" w:cs="Arial"/>
          <w:color w:val="000000" w:themeColor="text1"/>
          <w:sz w:val="22"/>
          <w:szCs w:val="22"/>
        </w:rPr>
        <w:t xml:space="preserve">-Cbl </w:t>
      </w:r>
      <w:r>
        <w:rPr>
          <w:rFonts w:ascii="Arial" w:hAnsi="Arial" w:cs="Arial"/>
          <w:b/>
          <w:bCs/>
          <w:color w:val="000000" w:themeColor="text1"/>
          <w:sz w:val="22"/>
          <w:szCs w:val="22"/>
        </w:rPr>
        <w:t>33</w:t>
      </w:r>
      <w:r>
        <w:rPr>
          <w:rFonts w:ascii="Arial" w:hAnsi="Arial" w:cs="Arial"/>
          <w:color w:val="000000" w:themeColor="text1"/>
          <w:sz w:val="22"/>
          <w:szCs w:val="22"/>
        </w:rPr>
        <w:t xml:space="preserve">. </w:t>
      </w:r>
      <w:r w:rsidRPr="00C73968">
        <w:rPr>
          <w:rFonts w:ascii="Arial" w:hAnsi="Arial" w:cs="Arial"/>
          <w:b/>
          <w:bCs/>
          <w:color w:val="000000" w:themeColor="text1"/>
          <w:sz w:val="22"/>
          <w:szCs w:val="22"/>
        </w:rPr>
        <w:t>h</w:t>
      </w:r>
      <w:r>
        <w:rPr>
          <w:rFonts w:ascii="Arial" w:hAnsi="Arial" w:cs="Arial"/>
          <w:color w:val="000000" w:themeColor="text1"/>
          <w:sz w:val="22"/>
          <w:szCs w:val="22"/>
        </w:rPr>
        <w:t xml:space="preserve">, Same as in </w:t>
      </w:r>
      <w:r w:rsidRPr="009A0FF0">
        <w:rPr>
          <w:rFonts w:ascii="Arial" w:hAnsi="Arial" w:cs="Arial"/>
          <w:b/>
          <w:bCs/>
          <w:color w:val="000000" w:themeColor="text1"/>
          <w:sz w:val="22"/>
          <w:szCs w:val="22"/>
        </w:rPr>
        <w:t>d</w:t>
      </w:r>
      <w:r>
        <w:rPr>
          <w:rFonts w:ascii="Arial" w:hAnsi="Arial" w:cs="Arial"/>
          <w:color w:val="000000" w:themeColor="text1"/>
          <w:sz w:val="22"/>
          <w:szCs w:val="22"/>
        </w:rPr>
        <w:t xml:space="preserve"> but for </w:t>
      </w:r>
      <w:r w:rsidRPr="00E507FF">
        <w:rPr>
          <w:rFonts w:ascii="Arial" w:hAnsi="Arial" w:cs="Arial"/>
          <w:i/>
          <w:iCs/>
          <w:color w:val="000000" w:themeColor="text1"/>
          <w:sz w:val="22"/>
          <w:szCs w:val="22"/>
        </w:rPr>
        <w:t>env2</w:t>
      </w:r>
      <w:r>
        <w:rPr>
          <w:rFonts w:ascii="Arial" w:hAnsi="Arial" w:cs="Arial"/>
          <w:color w:val="000000" w:themeColor="text1"/>
          <w:sz w:val="22"/>
          <w:szCs w:val="22"/>
        </w:rPr>
        <w:t xml:space="preserve">-Cbl </w:t>
      </w:r>
      <w:r>
        <w:rPr>
          <w:rFonts w:ascii="Arial" w:hAnsi="Arial" w:cs="Arial"/>
          <w:b/>
          <w:bCs/>
          <w:color w:val="000000" w:themeColor="text1"/>
          <w:sz w:val="22"/>
          <w:szCs w:val="22"/>
        </w:rPr>
        <w:t>36</w:t>
      </w:r>
      <w:r>
        <w:rPr>
          <w:rFonts w:ascii="Arial" w:hAnsi="Arial" w:cs="Arial"/>
          <w:color w:val="000000" w:themeColor="text1"/>
          <w:sz w:val="22"/>
          <w:szCs w:val="22"/>
        </w:rPr>
        <w:t xml:space="preserve">. </w:t>
      </w:r>
      <w:r w:rsidRPr="00C73968">
        <w:rPr>
          <w:rFonts w:ascii="Arial" w:hAnsi="Arial" w:cs="Arial"/>
          <w:b/>
          <w:bCs/>
          <w:color w:val="000000" w:themeColor="text1"/>
          <w:sz w:val="22"/>
          <w:szCs w:val="22"/>
        </w:rPr>
        <w:t>i</w:t>
      </w:r>
      <w:r>
        <w:rPr>
          <w:rFonts w:ascii="Arial" w:hAnsi="Arial" w:cs="Arial"/>
          <w:color w:val="000000" w:themeColor="text1"/>
          <w:sz w:val="22"/>
          <w:szCs w:val="22"/>
        </w:rPr>
        <w:t xml:space="preserve">, Same as in </w:t>
      </w:r>
      <w:r w:rsidRPr="009A0FF0">
        <w:rPr>
          <w:rFonts w:ascii="Arial" w:hAnsi="Arial" w:cs="Arial"/>
          <w:b/>
          <w:bCs/>
          <w:color w:val="000000" w:themeColor="text1"/>
          <w:sz w:val="22"/>
          <w:szCs w:val="22"/>
        </w:rPr>
        <w:t>d</w:t>
      </w:r>
      <w:r>
        <w:rPr>
          <w:rFonts w:ascii="Arial" w:hAnsi="Arial" w:cs="Arial"/>
          <w:color w:val="000000" w:themeColor="text1"/>
          <w:sz w:val="22"/>
          <w:szCs w:val="22"/>
        </w:rPr>
        <w:t xml:space="preserve"> but for </w:t>
      </w:r>
      <w:r w:rsidRPr="00E507FF">
        <w:rPr>
          <w:rFonts w:ascii="Arial" w:hAnsi="Arial" w:cs="Arial"/>
          <w:i/>
          <w:iCs/>
          <w:color w:val="000000" w:themeColor="text1"/>
          <w:sz w:val="22"/>
          <w:szCs w:val="22"/>
        </w:rPr>
        <w:t>env2</w:t>
      </w:r>
      <w:r>
        <w:rPr>
          <w:rFonts w:ascii="Arial" w:hAnsi="Arial" w:cs="Arial"/>
          <w:color w:val="000000" w:themeColor="text1"/>
          <w:sz w:val="22"/>
          <w:szCs w:val="22"/>
        </w:rPr>
        <w:t xml:space="preserve">-Cbl </w:t>
      </w:r>
      <w:r>
        <w:rPr>
          <w:rFonts w:ascii="Arial" w:hAnsi="Arial" w:cs="Arial"/>
          <w:b/>
          <w:bCs/>
          <w:color w:val="000000" w:themeColor="text1"/>
          <w:sz w:val="22"/>
          <w:szCs w:val="22"/>
        </w:rPr>
        <w:t>37</w:t>
      </w:r>
      <w:r>
        <w:rPr>
          <w:rFonts w:ascii="Arial" w:hAnsi="Arial" w:cs="Arial"/>
          <w:color w:val="000000" w:themeColor="text1"/>
          <w:sz w:val="22"/>
          <w:szCs w:val="22"/>
        </w:rPr>
        <w:t>.</w:t>
      </w:r>
      <w:r w:rsidRPr="00984699">
        <w:rPr>
          <w:rFonts w:ascii="Arial" w:hAnsi="Arial" w:cs="Arial"/>
          <w:color w:val="000000" w:themeColor="text1"/>
          <w:sz w:val="22"/>
          <w:szCs w:val="22"/>
        </w:rPr>
        <w:t xml:space="preserve"> </w:t>
      </w:r>
      <w:r w:rsidRPr="00984699">
        <w:rPr>
          <w:rFonts w:ascii="Arial" w:hAnsi="Arial" w:cs="Arial"/>
          <w:b/>
          <w:bCs/>
          <w:color w:val="000000" w:themeColor="text1"/>
          <w:sz w:val="22"/>
          <w:szCs w:val="22"/>
        </w:rPr>
        <w:t>j</w:t>
      </w:r>
      <w:r>
        <w:rPr>
          <w:rFonts w:ascii="Arial" w:hAnsi="Arial" w:cs="Arial"/>
          <w:color w:val="000000" w:themeColor="text1"/>
          <w:sz w:val="22"/>
          <w:szCs w:val="22"/>
        </w:rPr>
        <w:t xml:space="preserve">, Alignment of the binding pockets of protomers A (left) and B (right) for all the co-crystal structures shown here and in </w:t>
      </w:r>
      <w:r w:rsidRPr="00984699">
        <w:rPr>
          <w:rFonts w:ascii="Arial" w:hAnsi="Arial" w:cs="Arial"/>
          <w:b/>
          <w:bCs/>
          <w:color w:val="000000" w:themeColor="text1"/>
          <w:sz w:val="22"/>
          <w:szCs w:val="22"/>
        </w:rPr>
        <w:t>Fig. 4</w:t>
      </w:r>
      <w:r>
        <w:rPr>
          <w:rFonts w:ascii="Arial" w:hAnsi="Arial" w:cs="Arial"/>
          <w:color w:val="000000" w:themeColor="text1"/>
          <w:sz w:val="22"/>
          <w:szCs w:val="22"/>
        </w:rPr>
        <w:t>.</w:t>
      </w:r>
    </w:p>
    <w:p w14:paraId="73E89C03" w14:textId="77777777" w:rsidR="00F527F4" w:rsidRDefault="00F527F4" w:rsidP="00F527F4">
      <w:pPr>
        <w:rPr>
          <w:rFonts w:ascii="Arial" w:hAnsi="Arial" w:cs="Arial"/>
          <w:sz w:val="22"/>
          <w:szCs w:val="22"/>
        </w:rPr>
      </w:pPr>
      <w:r>
        <w:rPr>
          <w:rFonts w:ascii="Arial" w:hAnsi="Arial" w:cs="Arial"/>
          <w:sz w:val="22"/>
          <w:szCs w:val="22"/>
        </w:rPr>
        <w:br w:type="page"/>
      </w:r>
    </w:p>
    <w:p w14:paraId="3DB60E6F" w14:textId="77777777" w:rsidR="00F527F4" w:rsidRDefault="00F527F4" w:rsidP="00F527F4">
      <w:pPr>
        <w:jc w:val="both"/>
        <w:rPr>
          <w:rFonts w:ascii="Arial" w:hAnsi="Arial" w:cs="Arial"/>
          <w:sz w:val="22"/>
          <w:szCs w:val="22"/>
        </w:rPr>
      </w:pPr>
    </w:p>
    <w:p w14:paraId="0C548F2B" w14:textId="77777777" w:rsidR="00F527F4" w:rsidRDefault="00F527F4" w:rsidP="00F527F4">
      <w:pPr>
        <w:jc w:val="center"/>
        <w:rPr>
          <w:rFonts w:ascii="Arial" w:hAnsi="Arial" w:cs="Arial"/>
          <w:sz w:val="22"/>
          <w:szCs w:val="22"/>
        </w:rPr>
      </w:pPr>
      <w:r>
        <w:rPr>
          <w:rFonts w:ascii="Arial" w:hAnsi="Arial" w:cs="Arial"/>
          <w:noProof/>
          <w:sz w:val="22"/>
          <w:szCs w:val="22"/>
        </w:rPr>
        <w:drawing>
          <wp:inline distT="0" distB="0" distL="0" distR="0" wp14:anchorId="2F988629" wp14:editId="3F0CA4A9">
            <wp:extent cx="4470400" cy="2400300"/>
            <wp:effectExtent l="0" t="0" r="0" b="0"/>
            <wp:docPr id="15" name="Picture 15"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ollage of graphs and diagram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70400" cy="2400300"/>
                    </a:xfrm>
                    <a:prstGeom prst="rect">
                      <a:avLst/>
                    </a:prstGeom>
                  </pic:spPr>
                </pic:pic>
              </a:graphicData>
            </a:graphic>
          </wp:inline>
        </w:drawing>
      </w:r>
    </w:p>
    <w:p w14:paraId="23052C1B" w14:textId="77777777" w:rsidR="00F527F4" w:rsidRDefault="00F527F4" w:rsidP="00F527F4">
      <w:pPr>
        <w:jc w:val="both"/>
        <w:rPr>
          <w:rFonts w:ascii="Arial" w:hAnsi="Arial" w:cs="Arial"/>
          <w:sz w:val="22"/>
          <w:szCs w:val="22"/>
        </w:rPr>
      </w:pPr>
    </w:p>
    <w:p w14:paraId="1879C63A" w14:textId="77777777" w:rsidR="00F527F4" w:rsidRDefault="00F527F4" w:rsidP="00F527F4">
      <w:pPr>
        <w:jc w:val="both"/>
        <w:rPr>
          <w:rFonts w:ascii="Arial" w:hAnsi="Arial" w:cs="Arial"/>
          <w:sz w:val="22"/>
          <w:szCs w:val="22"/>
        </w:rPr>
      </w:pPr>
      <w:r>
        <w:rPr>
          <w:rFonts w:ascii="Arial" w:hAnsi="Arial" w:cs="Arial"/>
          <w:b/>
          <w:bCs/>
          <w:sz w:val="22"/>
          <w:szCs w:val="22"/>
        </w:rPr>
        <w:t xml:space="preserve">Extended Data Fig. 9. High concentrations of click Cbls inhibit </w:t>
      </w:r>
      <w:r w:rsidRPr="00183BD5">
        <w:rPr>
          <w:rFonts w:ascii="Arial" w:hAnsi="Arial" w:cs="Arial"/>
          <w:b/>
          <w:bCs/>
          <w:sz w:val="22"/>
          <w:szCs w:val="22"/>
        </w:rPr>
        <w:t xml:space="preserve">ΔMetE </w:t>
      </w:r>
      <w:r>
        <w:rPr>
          <w:rFonts w:ascii="Arial" w:hAnsi="Arial" w:cs="Arial"/>
          <w:b/>
          <w:bCs/>
          <w:sz w:val="22"/>
          <w:szCs w:val="22"/>
        </w:rPr>
        <w:t xml:space="preserve">cell growth. </w:t>
      </w:r>
      <w:r w:rsidRPr="00087350">
        <w:rPr>
          <w:rFonts w:ascii="Arial" w:hAnsi="Arial" w:cs="Arial"/>
          <w:b/>
          <w:bCs/>
          <w:sz w:val="22"/>
          <w:szCs w:val="22"/>
        </w:rPr>
        <w:t>a</w:t>
      </w:r>
      <w:r>
        <w:rPr>
          <w:rFonts w:ascii="Arial" w:hAnsi="Arial" w:cs="Arial"/>
          <w:sz w:val="22"/>
          <w:szCs w:val="22"/>
        </w:rPr>
        <w:t>,</w:t>
      </w:r>
      <w:r>
        <w:rPr>
          <w:rFonts w:ascii="Arial" w:hAnsi="Arial" w:cs="Arial"/>
          <w:b/>
          <w:bCs/>
          <w:sz w:val="22"/>
          <w:szCs w:val="22"/>
        </w:rPr>
        <w:t xml:space="preserve"> </w:t>
      </w:r>
      <w:r w:rsidRPr="00087350">
        <w:rPr>
          <w:rFonts w:ascii="Arial" w:hAnsi="Arial" w:cs="Arial"/>
          <w:sz w:val="22"/>
          <w:szCs w:val="22"/>
        </w:rPr>
        <w:t>Growth</w:t>
      </w:r>
      <w:r>
        <w:rPr>
          <w:rFonts w:ascii="Arial" w:hAnsi="Arial" w:cs="Arial"/>
          <w:b/>
          <w:bCs/>
          <w:sz w:val="22"/>
          <w:szCs w:val="22"/>
        </w:rPr>
        <w:t xml:space="preserve"> </w:t>
      </w:r>
      <w:r w:rsidRPr="00087350">
        <w:rPr>
          <w:rFonts w:ascii="Arial" w:hAnsi="Arial" w:cs="Arial"/>
          <w:sz w:val="22"/>
          <w:szCs w:val="22"/>
        </w:rPr>
        <w:t>(as measured by</w:t>
      </w:r>
      <w:r>
        <w:rPr>
          <w:rFonts w:ascii="Arial" w:hAnsi="Arial" w:cs="Arial"/>
          <w:b/>
          <w:bCs/>
          <w:sz w:val="22"/>
          <w:szCs w:val="22"/>
        </w:rPr>
        <w:t xml:space="preserve"> </w:t>
      </w:r>
      <w:r>
        <w:rPr>
          <w:rFonts w:ascii="Arial" w:hAnsi="Arial" w:cs="Arial"/>
          <w:sz w:val="22"/>
          <w:szCs w:val="22"/>
        </w:rPr>
        <w:t>OD</w:t>
      </w:r>
      <w:r>
        <w:rPr>
          <w:rFonts w:ascii="Arial" w:hAnsi="Arial" w:cs="Arial"/>
          <w:sz w:val="22"/>
          <w:szCs w:val="22"/>
          <w:vertAlign w:val="subscript"/>
        </w:rPr>
        <w:t>600</w:t>
      </w:r>
      <w:r>
        <w:rPr>
          <w:rFonts w:ascii="Arial" w:hAnsi="Arial" w:cs="Arial"/>
          <w:sz w:val="22"/>
          <w:szCs w:val="22"/>
        </w:rPr>
        <w:t xml:space="preserve">) curve of </w:t>
      </w:r>
      <w:r w:rsidRPr="005C35B4">
        <w:rPr>
          <w:rFonts w:ascii="Arial" w:hAnsi="Arial" w:cs="Arial"/>
          <w:sz w:val="22"/>
          <w:szCs w:val="22"/>
        </w:rPr>
        <w:t>Δ</w:t>
      </w:r>
      <w:r>
        <w:rPr>
          <w:rFonts w:ascii="Arial" w:hAnsi="Arial" w:cs="Arial"/>
          <w:sz w:val="22"/>
          <w:szCs w:val="22"/>
        </w:rPr>
        <w:t xml:space="preserve">MetE cells grown in Met-dropout CSB media and supplemented with either CNCbl or Cbls </w:t>
      </w:r>
      <w:r w:rsidRPr="00183BD5">
        <w:rPr>
          <w:rFonts w:ascii="Arial" w:hAnsi="Arial" w:cs="Arial"/>
          <w:b/>
          <w:bCs/>
          <w:sz w:val="22"/>
          <w:szCs w:val="22"/>
        </w:rPr>
        <w:t>63</w:t>
      </w:r>
      <w:r>
        <w:rPr>
          <w:rFonts w:ascii="Arial" w:hAnsi="Arial" w:cs="Arial"/>
          <w:sz w:val="22"/>
          <w:szCs w:val="22"/>
        </w:rPr>
        <w:t>-</w:t>
      </w:r>
      <w:r w:rsidRPr="00183BD5">
        <w:rPr>
          <w:rFonts w:ascii="Arial" w:hAnsi="Arial" w:cs="Arial"/>
          <w:b/>
          <w:bCs/>
          <w:sz w:val="22"/>
          <w:szCs w:val="22"/>
        </w:rPr>
        <w:t>65</w:t>
      </w:r>
      <w:r>
        <w:rPr>
          <w:rFonts w:ascii="Arial" w:hAnsi="Arial" w:cs="Arial"/>
          <w:sz w:val="22"/>
          <w:szCs w:val="22"/>
        </w:rPr>
        <w:t xml:space="preserve">. </w:t>
      </w:r>
      <w:r w:rsidRPr="00B37A0F">
        <w:rPr>
          <w:rFonts w:ascii="Arial" w:hAnsi="Arial" w:cs="Arial"/>
          <w:b/>
          <w:bCs/>
          <w:sz w:val="22"/>
          <w:szCs w:val="22"/>
        </w:rPr>
        <w:t>b</w:t>
      </w:r>
      <w:r>
        <w:rPr>
          <w:rFonts w:ascii="Arial" w:hAnsi="Arial" w:cs="Arial"/>
          <w:sz w:val="22"/>
          <w:szCs w:val="22"/>
        </w:rPr>
        <w:t>, Plot of ln [OD</w:t>
      </w:r>
      <w:r>
        <w:rPr>
          <w:rFonts w:ascii="Arial" w:hAnsi="Arial" w:cs="Arial"/>
          <w:sz w:val="22"/>
          <w:szCs w:val="22"/>
          <w:vertAlign w:val="subscript"/>
        </w:rPr>
        <w:t>600</w:t>
      </w:r>
      <w:r w:rsidRPr="00B37A0F">
        <w:rPr>
          <w:rFonts w:ascii="Arial" w:hAnsi="Arial" w:cs="Arial"/>
          <w:sz w:val="22"/>
          <w:szCs w:val="22"/>
        </w:rPr>
        <w:t xml:space="preserve">] </w:t>
      </w:r>
      <w:r>
        <w:rPr>
          <w:rFonts w:ascii="Arial" w:hAnsi="Arial" w:cs="Arial"/>
          <w:sz w:val="22"/>
          <w:szCs w:val="22"/>
        </w:rPr>
        <w:t xml:space="preserve">against time from the data in </w:t>
      </w:r>
      <w:r w:rsidRPr="00B37A0F">
        <w:rPr>
          <w:rFonts w:ascii="Arial" w:hAnsi="Arial" w:cs="Arial"/>
          <w:b/>
          <w:bCs/>
          <w:sz w:val="22"/>
          <w:szCs w:val="22"/>
        </w:rPr>
        <w:t>a</w:t>
      </w:r>
      <w:r>
        <w:rPr>
          <w:rFonts w:ascii="Arial" w:hAnsi="Arial" w:cs="Arial"/>
          <w:sz w:val="22"/>
          <w:szCs w:val="22"/>
        </w:rPr>
        <w:t xml:space="preserve"> where cell growth is exponential. The t</w:t>
      </w:r>
      <w:r>
        <w:rPr>
          <w:rFonts w:ascii="Arial" w:hAnsi="Arial" w:cs="Arial"/>
          <w:sz w:val="22"/>
          <w:szCs w:val="22"/>
          <w:vertAlign w:val="subscript"/>
        </w:rPr>
        <w:t>1/2</w:t>
      </w:r>
      <w:r>
        <w:rPr>
          <w:rFonts w:ascii="Arial" w:hAnsi="Arial" w:cs="Arial"/>
          <w:sz w:val="22"/>
          <w:szCs w:val="22"/>
        </w:rPr>
        <w:t xml:space="preserve"> is obtained from the slope and is reported as mean and s.d. from biological replicates (</w:t>
      </w:r>
      <w:r w:rsidRPr="009D4A6C">
        <w:rPr>
          <w:rFonts w:ascii="Arial" w:hAnsi="Arial" w:cs="Arial"/>
          <w:i/>
          <w:iCs/>
          <w:sz w:val="22"/>
          <w:szCs w:val="22"/>
        </w:rPr>
        <w:t>n</w:t>
      </w:r>
      <w:r>
        <w:rPr>
          <w:rFonts w:ascii="Arial" w:hAnsi="Arial" w:cs="Arial"/>
          <w:sz w:val="22"/>
          <w:szCs w:val="22"/>
        </w:rPr>
        <w:t xml:space="preserve"> = 3). </w:t>
      </w:r>
      <w:r w:rsidRPr="00183BD5">
        <w:rPr>
          <w:rFonts w:ascii="Arial" w:hAnsi="Arial" w:cs="Arial"/>
          <w:b/>
          <w:bCs/>
          <w:sz w:val="22"/>
          <w:szCs w:val="22"/>
        </w:rPr>
        <w:t>c</w:t>
      </w:r>
      <w:r>
        <w:rPr>
          <w:rFonts w:ascii="Arial" w:hAnsi="Arial" w:cs="Arial"/>
          <w:sz w:val="22"/>
          <w:szCs w:val="22"/>
        </w:rPr>
        <w:t xml:space="preserve">, Growth of </w:t>
      </w:r>
      <w:r w:rsidRPr="005C35B4">
        <w:rPr>
          <w:rFonts w:ascii="Arial" w:hAnsi="Arial" w:cs="Arial"/>
          <w:sz w:val="22"/>
          <w:szCs w:val="22"/>
        </w:rPr>
        <w:t>Δ</w:t>
      </w:r>
      <w:r>
        <w:rPr>
          <w:rFonts w:ascii="Arial" w:hAnsi="Arial" w:cs="Arial"/>
          <w:sz w:val="22"/>
          <w:szCs w:val="22"/>
        </w:rPr>
        <w:t xml:space="preserve">MetE cells grown for 5.5 hours and supplemented with different Cbls. Here, (–) refers to cells without Met or Cbl supplemented to the media. </w:t>
      </w:r>
      <w:r>
        <w:rPr>
          <w:rFonts w:ascii="Arial" w:hAnsi="Arial" w:cs="Arial"/>
          <w:b/>
          <w:bCs/>
          <w:sz w:val="22"/>
          <w:szCs w:val="22"/>
        </w:rPr>
        <w:t>d</w:t>
      </w:r>
      <w:r>
        <w:rPr>
          <w:rFonts w:ascii="Arial" w:hAnsi="Arial" w:cs="Arial"/>
          <w:sz w:val="22"/>
          <w:szCs w:val="22"/>
        </w:rPr>
        <w:t xml:space="preserve">, Titration of </w:t>
      </w:r>
      <w:r w:rsidRPr="005C35B4">
        <w:rPr>
          <w:rFonts w:ascii="Arial" w:hAnsi="Arial" w:cs="Arial"/>
          <w:sz w:val="22"/>
          <w:szCs w:val="22"/>
        </w:rPr>
        <w:t>Δ</w:t>
      </w:r>
      <w:r>
        <w:rPr>
          <w:rFonts w:ascii="Arial" w:hAnsi="Arial" w:cs="Arial"/>
          <w:sz w:val="22"/>
          <w:szCs w:val="22"/>
        </w:rPr>
        <w:t xml:space="preserve">MetE cells grown for 8 hours in increasing amounts of CNCbl or Cbls </w:t>
      </w:r>
      <w:r w:rsidRPr="00183BD5">
        <w:rPr>
          <w:rFonts w:ascii="Arial" w:hAnsi="Arial" w:cs="Arial"/>
          <w:b/>
          <w:bCs/>
          <w:sz w:val="22"/>
          <w:szCs w:val="22"/>
        </w:rPr>
        <w:t>63</w:t>
      </w:r>
      <w:r>
        <w:rPr>
          <w:rFonts w:ascii="Arial" w:hAnsi="Arial" w:cs="Arial"/>
          <w:sz w:val="22"/>
          <w:szCs w:val="22"/>
        </w:rPr>
        <w:t>-</w:t>
      </w:r>
      <w:r w:rsidRPr="00183BD5">
        <w:rPr>
          <w:rFonts w:ascii="Arial" w:hAnsi="Arial" w:cs="Arial"/>
          <w:b/>
          <w:bCs/>
          <w:sz w:val="22"/>
          <w:szCs w:val="22"/>
        </w:rPr>
        <w:t>65</w:t>
      </w:r>
      <w:r>
        <w:rPr>
          <w:rFonts w:ascii="Arial" w:hAnsi="Arial" w:cs="Arial"/>
          <w:sz w:val="22"/>
          <w:szCs w:val="22"/>
        </w:rPr>
        <w:t>. The concentration at which the growth is at its half maximum value is reported as mean and s.d. from biological replicates (</w:t>
      </w:r>
      <w:r w:rsidRPr="009D4A6C">
        <w:rPr>
          <w:rFonts w:ascii="Arial" w:hAnsi="Arial" w:cs="Arial"/>
          <w:i/>
          <w:iCs/>
          <w:sz w:val="22"/>
          <w:szCs w:val="22"/>
        </w:rPr>
        <w:t>n</w:t>
      </w:r>
      <w:r>
        <w:rPr>
          <w:rFonts w:ascii="Arial" w:hAnsi="Arial" w:cs="Arial"/>
          <w:sz w:val="22"/>
          <w:szCs w:val="22"/>
        </w:rPr>
        <w:t xml:space="preserve"> = 3). </w:t>
      </w:r>
      <w:r w:rsidRPr="00E62858">
        <w:rPr>
          <w:rFonts w:ascii="Arial" w:hAnsi="Arial" w:cs="Arial"/>
          <w:b/>
          <w:bCs/>
          <w:sz w:val="22"/>
          <w:szCs w:val="22"/>
        </w:rPr>
        <w:t>e</w:t>
      </w:r>
      <w:r>
        <w:rPr>
          <w:rFonts w:ascii="Arial" w:hAnsi="Arial" w:cs="Arial"/>
          <w:sz w:val="22"/>
          <w:szCs w:val="22"/>
        </w:rPr>
        <w:t xml:space="preserve">, Growth of keio </w:t>
      </w:r>
      <w:r w:rsidRPr="00E62858">
        <w:rPr>
          <w:rFonts w:ascii="Arial" w:hAnsi="Arial" w:cs="Arial"/>
          <w:i/>
          <w:iCs/>
          <w:sz w:val="22"/>
          <w:szCs w:val="22"/>
        </w:rPr>
        <w:t>E. coli</w:t>
      </w:r>
      <w:r>
        <w:rPr>
          <w:rFonts w:ascii="Arial" w:hAnsi="Arial" w:cs="Arial"/>
          <w:sz w:val="22"/>
          <w:szCs w:val="22"/>
        </w:rPr>
        <w:t xml:space="preserve"> cells from the fold repression experiment shown in </w:t>
      </w:r>
      <w:r w:rsidRPr="00E62858">
        <w:rPr>
          <w:rFonts w:ascii="Arial" w:hAnsi="Arial" w:cs="Arial"/>
          <w:b/>
          <w:bCs/>
          <w:sz w:val="22"/>
          <w:szCs w:val="22"/>
        </w:rPr>
        <w:t>Fig. 5g</w:t>
      </w:r>
      <w:r>
        <w:rPr>
          <w:rFonts w:ascii="Arial" w:hAnsi="Arial" w:cs="Arial"/>
          <w:sz w:val="22"/>
          <w:szCs w:val="22"/>
        </w:rPr>
        <w:t xml:space="preserve">. In this experiment, 10 nM CNCbl was added to all cells and excess amount of Cbls </w:t>
      </w:r>
      <w:r w:rsidRPr="00E62858">
        <w:rPr>
          <w:rFonts w:ascii="Arial" w:hAnsi="Arial" w:cs="Arial"/>
          <w:b/>
          <w:bCs/>
          <w:sz w:val="22"/>
          <w:szCs w:val="22"/>
        </w:rPr>
        <w:t>36</w:t>
      </w:r>
      <w:r>
        <w:rPr>
          <w:rFonts w:ascii="Arial" w:hAnsi="Arial" w:cs="Arial"/>
          <w:sz w:val="22"/>
          <w:szCs w:val="22"/>
        </w:rPr>
        <w:t xml:space="preserve">, </w:t>
      </w:r>
      <w:r w:rsidRPr="00E62858">
        <w:rPr>
          <w:rFonts w:ascii="Arial" w:hAnsi="Arial" w:cs="Arial"/>
          <w:b/>
          <w:bCs/>
          <w:sz w:val="22"/>
          <w:szCs w:val="22"/>
        </w:rPr>
        <w:t>44</w:t>
      </w:r>
      <w:r>
        <w:rPr>
          <w:rFonts w:ascii="Arial" w:hAnsi="Arial" w:cs="Arial"/>
          <w:sz w:val="22"/>
          <w:szCs w:val="22"/>
        </w:rPr>
        <w:t xml:space="preserve">, or </w:t>
      </w:r>
      <w:r w:rsidRPr="00E62858">
        <w:rPr>
          <w:rFonts w:ascii="Arial" w:hAnsi="Arial" w:cs="Arial"/>
          <w:b/>
          <w:bCs/>
          <w:sz w:val="22"/>
          <w:szCs w:val="22"/>
        </w:rPr>
        <w:t>63</w:t>
      </w:r>
      <w:r>
        <w:rPr>
          <w:rFonts w:ascii="Arial" w:hAnsi="Arial" w:cs="Arial"/>
          <w:sz w:val="22"/>
          <w:szCs w:val="22"/>
        </w:rPr>
        <w:t>-</w:t>
      </w:r>
      <w:r w:rsidRPr="00E62858">
        <w:rPr>
          <w:rFonts w:ascii="Arial" w:hAnsi="Arial" w:cs="Arial"/>
          <w:b/>
          <w:bCs/>
          <w:sz w:val="22"/>
          <w:szCs w:val="22"/>
        </w:rPr>
        <w:t>65</w:t>
      </w:r>
      <w:r>
        <w:rPr>
          <w:rFonts w:ascii="Arial" w:hAnsi="Arial" w:cs="Arial"/>
          <w:sz w:val="22"/>
          <w:szCs w:val="22"/>
        </w:rPr>
        <w:t xml:space="preserve"> (5 </w:t>
      </w:r>
      <w:r w:rsidRPr="00365916">
        <w:rPr>
          <w:rFonts w:ascii="Arial" w:hAnsi="Arial" w:cs="Arial"/>
          <w:sz w:val="22"/>
          <w:szCs w:val="22"/>
        </w:rPr>
        <w:t>µ</w:t>
      </w:r>
      <w:r>
        <w:rPr>
          <w:rFonts w:ascii="Arial" w:hAnsi="Arial" w:cs="Arial"/>
          <w:sz w:val="22"/>
          <w:szCs w:val="22"/>
        </w:rPr>
        <w:t>M) were also added to the growth media. Here, (–) refers to cells without any ligand added and 3 refers to cells with just 10 nM CNCbl added. Data are reported as mean and s.d. from biological replicates (</w:t>
      </w:r>
      <w:r w:rsidRPr="009D4A6C">
        <w:rPr>
          <w:rFonts w:ascii="Arial" w:hAnsi="Arial" w:cs="Arial"/>
          <w:i/>
          <w:iCs/>
          <w:sz w:val="22"/>
          <w:szCs w:val="22"/>
        </w:rPr>
        <w:t>n</w:t>
      </w:r>
      <w:r>
        <w:rPr>
          <w:rFonts w:ascii="Arial" w:hAnsi="Arial" w:cs="Arial"/>
          <w:sz w:val="22"/>
          <w:szCs w:val="22"/>
        </w:rPr>
        <w:t xml:space="preserve"> = 4). In contrast to </w:t>
      </w:r>
      <w:r w:rsidRPr="005C35B4">
        <w:rPr>
          <w:rFonts w:ascii="Arial" w:hAnsi="Arial" w:cs="Arial"/>
          <w:sz w:val="22"/>
          <w:szCs w:val="22"/>
        </w:rPr>
        <w:t>Δ</w:t>
      </w:r>
      <w:r>
        <w:rPr>
          <w:rFonts w:ascii="Arial" w:hAnsi="Arial" w:cs="Arial"/>
          <w:sz w:val="22"/>
          <w:szCs w:val="22"/>
        </w:rPr>
        <w:t>MetE cells, the growth of Keio cells is unaffected by high concentrations of Cbls.</w:t>
      </w:r>
    </w:p>
    <w:p w14:paraId="12B65E50" w14:textId="77777777" w:rsidR="00F527F4" w:rsidRPr="008326FB" w:rsidRDefault="00F527F4" w:rsidP="00F527F4">
      <w:pPr>
        <w:widowControl w:val="0"/>
        <w:autoSpaceDE w:val="0"/>
        <w:autoSpaceDN w:val="0"/>
        <w:adjustRightInd w:val="0"/>
        <w:spacing w:line="480" w:lineRule="auto"/>
        <w:ind w:left="640" w:hanging="640"/>
        <w:rPr>
          <w:rFonts w:ascii="Arial" w:hAnsi="Arial" w:cs="Arial"/>
          <w:sz w:val="22"/>
          <w:szCs w:val="22"/>
        </w:rPr>
      </w:pPr>
    </w:p>
    <w:p w14:paraId="7AE55551" w14:textId="77777777" w:rsidR="00F553FF" w:rsidRDefault="00F553FF"/>
    <w:sectPr w:rsidR="00F553FF" w:rsidSect="00F527F4">
      <w:footerReference w:type="even" r:id="rId13"/>
      <w:footerReference w:type="default" r:id="rId14"/>
      <w:pgSz w:w="12240" w:h="15840"/>
      <w:pgMar w:top="1440" w:right="1440" w:bottom="1440" w:left="1440" w:header="720" w:footer="720" w:gutter="0"/>
      <w:lnNumType w:countBy="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3220131"/>
      <w:docPartObj>
        <w:docPartGallery w:val="Page Numbers (Bottom of Page)"/>
        <w:docPartUnique/>
      </w:docPartObj>
    </w:sdtPr>
    <w:sdtContent>
      <w:p w14:paraId="3305C16A" w14:textId="77777777" w:rsidR="00000000" w:rsidRDefault="00000000" w:rsidP="004478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ED9CFD4" w14:textId="77777777" w:rsidR="00000000" w:rsidRDefault="00000000" w:rsidP="006E06B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Helvetica" w:hAnsi="Helvetica"/>
      </w:rPr>
      <w:id w:val="1539618117"/>
      <w:docPartObj>
        <w:docPartGallery w:val="Page Numbers (Bottom of Page)"/>
        <w:docPartUnique/>
      </w:docPartObj>
    </w:sdtPr>
    <w:sdtContent>
      <w:p w14:paraId="75CF60B6" w14:textId="77777777" w:rsidR="00000000" w:rsidRPr="00BA1CE1" w:rsidRDefault="00000000" w:rsidP="004478B2">
        <w:pPr>
          <w:pStyle w:val="Footer"/>
          <w:framePr w:wrap="none" w:vAnchor="text" w:hAnchor="margin" w:xAlign="right" w:y="1"/>
          <w:rPr>
            <w:rStyle w:val="PageNumber"/>
            <w:rFonts w:ascii="Helvetica" w:hAnsi="Helvetica"/>
          </w:rPr>
        </w:pPr>
        <w:r w:rsidRPr="00BA1CE1">
          <w:rPr>
            <w:rStyle w:val="PageNumber"/>
            <w:rFonts w:ascii="Helvetica" w:hAnsi="Helvetica"/>
          </w:rPr>
          <w:fldChar w:fldCharType="begin"/>
        </w:r>
        <w:r w:rsidRPr="00BA1CE1">
          <w:rPr>
            <w:rStyle w:val="PageNumber"/>
            <w:rFonts w:ascii="Helvetica" w:hAnsi="Helvetica"/>
          </w:rPr>
          <w:instrText xml:space="preserve"> PAGE </w:instrText>
        </w:r>
        <w:r w:rsidRPr="00BA1CE1">
          <w:rPr>
            <w:rStyle w:val="PageNumber"/>
            <w:rFonts w:ascii="Helvetica" w:hAnsi="Helvetica"/>
          </w:rPr>
          <w:fldChar w:fldCharType="separate"/>
        </w:r>
        <w:r w:rsidRPr="00BA1CE1">
          <w:rPr>
            <w:rStyle w:val="PageNumber"/>
            <w:rFonts w:ascii="Helvetica" w:hAnsi="Helvetica"/>
            <w:noProof/>
          </w:rPr>
          <w:t>1</w:t>
        </w:r>
        <w:r w:rsidRPr="00BA1CE1">
          <w:rPr>
            <w:rStyle w:val="PageNumber"/>
            <w:rFonts w:ascii="Helvetica" w:hAnsi="Helvetica"/>
          </w:rPr>
          <w:fldChar w:fldCharType="end"/>
        </w:r>
      </w:p>
    </w:sdtContent>
  </w:sdt>
  <w:p w14:paraId="2FBE1876" w14:textId="77777777" w:rsidR="00000000" w:rsidRPr="00BA1CE1" w:rsidRDefault="00000000" w:rsidP="006E06B8">
    <w:pPr>
      <w:pStyle w:val="Footer"/>
      <w:ind w:right="360"/>
      <w:rPr>
        <w:rFonts w:ascii="Helvetica" w:hAnsi="Helvetic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7F4"/>
    <w:rsid w:val="003C2EF4"/>
    <w:rsid w:val="0048531B"/>
    <w:rsid w:val="00B74216"/>
    <w:rsid w:val="00D62F8C"/>
    <w:rsid w:val="00F527F4"/>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9C3E3"/>
  <w15:chartTrackingRefBased/>
  <w15:docId w15:val="{72E12680-B798-459E-8EBC-6D5CB35B8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7F4"/>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F527F4"/>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527F4"/>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527F4"/>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527F4"/>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F527F4"/>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F527F4"/>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F527F4"/>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F527F4"/>
    <w:pPr>
      <w:keepNext/>
      <w:keepLines/>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F527F4"/>
    <w:pPr>
      <w:keepNext/>
      <w:keepLines/>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27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27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27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27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27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27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27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27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27F4"/>
    <w:rPr>
      <w:rFonts w:eastAsiaTheme="majorEastAsia" w:cstheme="majorBidi"/>
      <w:color w:val="272727" w:themeColor="text1" w:themeTint="D8"/>
    </w:rPr>
  </w:style>
  <w:style w:type="paragraph" w:styleId="Title">
    <w:name w:val="Title"/>
    <w:basedOn w:val="Normal"/>
    <w:next w:val="Normal"/>
    <w:link w:val="TitleChar"/>
    <w:uiPriority w:val="10"/>
    <w:qFormat/>
    <w:rsid w:val="00F527F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527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27F4"/>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527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27F4"/>
    <w:pPr>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F527F4"/>
    <w:rPr>
      <w:i/>
      <w:iCs/>
      <w:color w:val="404040" w:themeColor="text1" w:themeTint="BF"/>
    </w:rPr>
  </w:style>
  <w:style w:type="paragraph" w:styleId="ListParagraph">
    <w:name w:val="List Paragraph"/>
    <w:basedOn w:val="Normal"/>
    <w:uiPriority w:val="34"/>
    <w:qFormat/>
    <w:rsid w:val="00F527F4"/>
    <w:pPr>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F527F4"/>
    <w:rPr>
      <w:i/>
      <w:iCs/>
      <w:color w:val="0F4761" w:themeColor="accent1" w:themeShade="BF"/>
    </w:rPr>
  </w:style>
  <w:style w:type="paragraph" w:styleId="IntenseQuote">
    <w:name w:val="Intense Quote"/>
    <w:basedOn w:val="Normal"/>
    <w:next w:val="Normal"/>
    <w:link w:val="IntenseQuoteChar"/>
    <w:uiPriority w:val="30"/>
    <w:qFormat/>
    <w:rsid w:val="00F527F4"/>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F527F4"/>
    <w:rPr>
      <w:i/>
      <w:iCs/>
      <w:color w:val="0F4761" w:themeColor="accent1" w:themeShade="BF"/>
    </w:rPr>
  </w:style>
  <w:style w:type="character" w:styleId="IntenseReference">
    <w:name w:val="Intense Reference"/>
    <w:basedOn w:val="DefaultParagraphFont"/>
    <w:uiPriority w:val="32"/>
    <w:qFormat/>
    <w:rsid w:val="00F527F4"/>
    <w:rPr>
      <w:b/>
      <w:bCs/>
      <w:smallCaps/>
      <w:color w:val="0F4761" w:themeColor="accent1" w:themeShade="BF"/>
      <w:spacing w:val="5"/>
    </w:rPr>
  </w:style>
  <w:style w:type="paragraph" w:styleId="Footer">
    <w:name w:val="footer"/>
    <w:basedOn w:val="Normal"/>
    <w:link w:val="FooterChar"/>
    <w:uiPriority w:val="99"/>
    <w:unhideWhenUsed/>
    <w:rsid w:val="00F527F4"/>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F527F4"/>
    <w:rPr>
      <w:kern w:val="0"/>
      <w:sz w:val="24"/>
      <w:szCs w:val="24"/>
      <w14:ligatures w14:val="none"/>
    </w:rPr>
  </w:style>
  <w:style w:type="character" w:styleId="PageNumber">
    <w:name w:val="page number"/>
    <w:basedOn w:val="DefaultParagraphFont"/>
    <w:uiPriority w:val="99"/>
    <w:semiHidden/>
    <w:unhideWhenUsed/>
    <w:rsid w:val="00F527F4"/>
  </w:style>
  <w:style w:type="character" w:styleId="LineNumber">
    <w:name w:val="line number"/>
    <w:basedOn w:val="DefaultParagraphFont"/>
    <w:uiPriority w:val="99"/>
    <w:semiHidden/>
    <w:unhideWhenUsed/>
    <w:rsid w:val="00F527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emf"/><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2658</Words>
  <Characters>15153</Characters>
  <Application>Microsoft Office Word</Application>
  <DocSecurity>0</DocSecurity>
  <Lines>126</Lines>
  <Paragraphs>35</Paragraphs>
  <ScaleCrop>false</ScaleCrop>
  <Company>Springer Nature</Company>
  <LinksUpToDate>false</LinksUpToDate>
  <CharactersWithSpaces>17776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2025-01-29T06:21:00Z</dcterms:created>
  <dcterms:modified xsi:type="dcterms:W3CDTF">2025-01-29T06:21:00Z</dcterms:modified>
</cp:coreProperties>
</file>