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805C19" w14:textId="0D01EDA2" w:rsidR="00207F7F" w:rsidRPr="00053C1E" w:rsidRDefault="00207F7F" w:rsidP="00053C1E">
      <w:pPr>
        <w:keepNext/>
        <w:keepLines/>
        <w:spacing w:line="480" w:lineRule="auto"/>
        <w:jc w:val="left"/>
        <w:outlineLvl w:val="0"/>
        <w:rPr>
          <w:rFonts w:ascii="Times New Roman" w:eastAsia="宋体" w:hAnsi="Times New Roman" w:cs="Times New Roman"/>
          <w:b/>
          <w:bCs/>
          <w:kern w:val="0"/>
          <w:sz w:val="24"/>
          <w:szCs w:val="24"/>
        </w:rPr>
      </w:pPr>
      <w:bookmarkStart w:id="0" w:name="OLE_LINK22"/>
      <w:bookmarkStart w:id="1" w:name="OLE_LINK19"/>
      <w:r w:rsidRPr="00053C1E">
        <w:rPr>
          <w:rFonts w:ascii="Times New Roman" w:eastAsia="宋体" w:hAnsi="Times New Roman" w:cs="Times New Roman"/>
          <w:b/>
          <w:bCs/>
          <w:kern w:val="0"/>
          <w:sz w:val="24"/>
          <w:szCs w:val="24"/>
        </w:rPr>
        <w:t>Supplementary data</w:t>
      </w:r>
      <w:bookmarkEnd w:id="0"/>
      <w:bookmarkEnd w:id="1"/>
      <w:r w:rsidRPr="00053C1E">
        <w:rPr>
          <w:rFonts w:ascii="Times New Roman" w:eastAsia="宋体" w:hAnsi="Times New Roman" w:cs="Times New Roman"/>
          <w:b/>
          <w:bCs/>
          <w:kern w:val="0"/>
          <w:sz w:val="24"/>
          <w:szCs w:val="24"/>
        </w:rPr>
        <w:t xml:space="preserve"> for</w:t>
      </w:r>
    </w:p>
    <w:p w14:paraId="63FA49C6" w14:textId="77777777" w:rsidR="00207F7F" w:rsidRPr="00053C1E" w:rsidRDefault="00207F7F" w:rsidP="00053C1E">
      <w:pPr>
        <w:autoSpaceDE w:val="0"/>
        <w:autoSpaceDN w:val="0"/>
        <w:adjustRightInd w:val="0"/>
        <w:spacing w:line="480" w:lineRule="auto"/>
        <w:jc w:val="center"/>
        <w:rPr>
          <w:rFonts w:ascii="Times New Roman" w:eastAsia="宋体" w:hAnsi="Times New Roman" w:cs="Times New Roman"/>
          <w:b/>
          <w:bCs/>
          <w:kern w:val="0"/>
          <w:sz w:val="24"/>
          <w:szCs w:val="24"/>
        </w:rPr>
      </w:pPr>
      <w:r w:rsidRPr="00053C1E">
        <w:rPr>
          <w:rFonts w:ascii="Times New Roman" w:eastAsia="宋体" w:hAnsi="Times New Roman" w:cs="Times New Roman" w:hint="eastAsia"/>
          <w:b/>
          <w:bCs/>
          <w:kern w:val="0"/>
          <w:sz w:val="24"/>
          <w:szCs w:val="24"/>
        </w:rPr>
        <w:t xml:space="preserve">Highly efficient production of </w:t>
      </w:r>
      <w:r w:rsidRPr="00053C1E">
        <w:rPr>
          <w:rFonts w:ascii="Times New Roman" w:eastAsia="宋体" w:hAnsi="Times New Roman" w:cs="Times New Roman"/>
          <w:b/>
          <w:bCs/>
          <w:kern w:val="0"/>
          <w:sz w:val="24"/>
          <w:szCs w:val="24"/>
        </w:rPr>
        <w:t xml:space="preserve">D-xylonic acid from corn stover hydrolysate in Gluconobacter oxydans by </w:t>
      </w:r>
      <w:r w:rsidRPr="00053C1E">
        <w:rPr>
          <w:rFonts w:ascii="Times New Roman" w:eastAsia="宋体" w:hAnsi="Times New Roman" w:cs="Times New Roman" w:hint="eastAsia"/>
          <w:b/>
          <w:bCs/>
          <w:kern w:val="0"/>
          <w:sz w:val="24"/>
          <w:szCs w:val="24"/>
        </w:rPr>
        <w:t>mGDH overexpression</w:t>
      </w:r>
    </w:p>
    <w:p w14:paraId="6DC58E50" w14:textId="3659550C" w:rsidR="00207F7F" w:rsidRPr="00053C1E" w:rsidRDefault="00207F7F" w:rsidP="00053C1E">
      <w:pPr>
        <w:widowControl/>
        <w:spacing w:line="480" w:lineRule="auto"/>
        <w:jc w:val="left"/>
        <w:rPr>
          <w:rFonts w:ascii="Times New Roman" w:eastAsia="宋体" w:hAnsi="Times New Roman" w:cs="Times New Roman"/>
          <w:b/>
          <w:sz w:val="24"/>
          <w:szCs w:val="24"/>
        </w:rPr>
      </w:pPr>
    </w:p>
    <w:p w14:paraId="1C208D0C" w14:textId="27CFB71D" w:rsidR="00207F7F" w:rsidRPr="00053C1E" w:rsidRDefault="00207F7F" w:rsidP="00053C1E">
      <w:pPr>
        <w:widowControl/>
        <w:spacing w:line="480" w:lineRule="auto"/>
        <w:jc w:val="left"/>
        <w:rPr>
          <w:rFonts w:ascii="Times New Roman" w:eastAsia="宋体" w:hAnsi="Times New Roman" w:cs="Times New Roman"/>
          <w:b/>
          <w:sz w:val="24"/>
          <w:szCs w:val="24"/>
        </w:rPr>
      </w:pPr>
    </w:p>
    <w:p w14:paraId="66B09E63" w14:textId="20B9276A" w:rsidR="00207F7F" w:rsidRPr="00053C1E" w:rsidRDefault="00207F7F" w:rsidP="00053C1E">
      <w:pPr>
        <w:widowControl/>
        <w:spacing w:line="480" w:lineRule="auto"/>
        <w:jc w:val="left"/>
        <w:rPr>
          <w:rFonts w:ascii="Times New Roman" w:eastAsia="宋体" w:hAnsi="Times New Roman" w:cs="Times New Roman"/>
          <w:b/>
          <w:sz w:val="24"/>
          <w:szCs w:val="24"/>
        </w:rPr>
      </w:pPr>
    </w:p>
    <w:p w14:paraId="7A29D31D" w14:textId="3B596C94" w:rsidR="00207F7F" w:rsidRPr="00053C1E" w:rsidRDefault="00207F7F" w:rsidP="00053C1E">
      <w:pPr>
        <w:widowControl/>
        <w:spacing w:line="480" w:lineRule="auto"/>
        <w:jc w:val="left"/>
        <w:rPr>
          <w:rFonts w:ascii="Times New Roman" w:eastAsia="宋体" w:hAnsi="Times New Roman" w:cs="Times New Roman"/>
          <w:b/>
          <w:sz w:val="24"/>
          <w:szCs w:val="24"/>
        </w:rPr>
      </w:pPr>
      <w:r w:rsidRPr="00053C1E">
        <w:rPr>
          <w:rFonts w:ascii="Times New Roman" w:eastAsia="宋体" w:hAnsi="Times New Roman" w:cs="Times New Roman" w:hint="eastAsia"/>
          <w:b/>
          <w:sz w:val="24"/>
          <w:szCs w:val="24"/>
        </w:rPr>
        <w:t>1</w:t>
      </w:r>
      <w:r w:rsidR="00024C1F">
        <w:rPr>
          <w:rFonts w:ascii="Times New Roman" w:eastAsia="宋体" w:hAnsi="Times New Roman" w:cs="Times New Roman"/>
          <w:b/>
          <w:sz w:val="24"/>
          <w:szCs w:val="24"/>
        </w:rPr>
        <w:t>2</w:t>
      </w:r>
      <w:r w:rsidRPr="00053C1E">
        <w:rPr>
          <w:rFonts w:ascii="Times New Roman" w:eastAsia="宋体" w:hAnsi="Times New Roman" w:cs="Times New Roman"/>
          <w:b/>
          <w:sz w:val="24"/>
          <w:szCs w:val="24"/>
        </w:rPr>
        <w:t xml:space="preserve"> </w:t>
      </w:r>
      <w:r w:rsidRPr="00053C1E">
        <w:rPr>
          <w:rFonts w:ascii="Times New Roman" w:eastAsia="宋体" w:hAnsi="Times New Roman" w:cs="Times New Roman" w:hint="eastAsia"/>
          <w:b/>
          <w:sz w:val="24"/>
          <w:szCs w:val="24"/>
        </w:rPr>
        <w:t>Pages</w:t>
      </w:r>
    </w:p>
    <w:p w14:paraId="3AAB3846" w14:textId="44D1B134" w:rsidR="00207F7F" w:rsidRPr="00053C1E" w:rsidRDefault="00FB46E8" w:rsidP="00053C1E">
      <w:pPr>
        <w:widowControl/>
        <w:spacing w:line="480" w:lineRule="auto"/>
        <w:jc w:val="left"/>
        <w:rPr>
          <w:rFonts w:ascii="Times New Roman" w:eastAsia="宋体" w:hAnsi="Times New Roman" w:cs="Times New Roman"/>
          <w:b/>
          <w:sz w:val="24"/>
          <w:szCs w:val="24"/>
        </w:rPr>
      </w:pPr>
      <w:r w:rsidRPr="00053C1E">
        <w:rPr>
          <w:rFonts w:ascii="Times New Roman" w:eastAsia="宋体" w:hAnsi="Times New Roman" w:cs="Times New Roman"/>
          <w:b/>
          <w:sz w:val="24"/>
          <w:szCs w:val="24"/>
        </w:rPr>
        <w:t>2</w:t>
      </w:r>
      <w:r w:rsidR="00207F7F" w:rsidRPr="00053C1E">
        <w:rPr>
          <w:rFonts w:ascii="Times New Roman" w:eastAsia="宋体" w:hAnsi="Times New Roman" w:cs="Times New Roman"/>
          <w:b/>
          <w:sz w:val="24"/>
          <w:szCs w:val="24"/>
        </w:rPr>
        <w:t xml:space="preserve"> </w:t>
      </w:r>
      <w:r w:rsidR="00207F7F" w:rsidRPr="00053C1E">
        <w:rPr>
          <w:rFonts w:ascii="Times New Roman" w:eastAsia="宋体" w:hAnsi="Times New Roman" w:cs="Times New Roman" w:hint="eastAsia"/>
          <w:b/>
          <w:sz w:val="24"/>
          <w:szCs w:val="24"/>
        </w:rPr>
        <w:t>Tables</w:t>
      </w:r>
    </w:p>
    <w:p w14:paraId="10BC3D79" w14:textId="68D2EA4B" w:rsidR="00207F7F" w:rsidRPr="00053C1E" w:rsidRDefault="00FB46E8" w:rsidP="00053C1E">
      <w:pPr>
        <w:widowControl/>
        <w:spacing w:line="480" w:lineRule="auto"/>
        <w:jc w:val="left"/>
        <w:rPr>
          <w:rFonts w:ascii="Times New Roman" w:eastAsia="宋体" w:hAnsi="Times New Roman" w:cs="Times New Roman"/>
          <w:b/>
          <w:sz w:val="24"/>
          <w:szCs w:val="24"/>
        </w:rPr>
      </w:pPr>
      <w:r w:rsidRPr="00053C1E">
        <w:rPr>
          <w:rFonts w:ascii="Times New Roman" w:eastAsia="宋体" w:hAnsi="Times New Roman" w:cs="Times New Roman"/>
          <w:b/>
          <w:sz w:val="24"/>
          <w:szCs w:val="24"/>
        </w:rPr>
        <w:t>3</w:t>
      </w:r>
      <w:r w:rsidR="00207F7F" w:rsidRPr="00053C1E">
        <w:rPr>
          <w:rFonts w:ascii="Times New Roman" w:eastAsia="宋体" w:hAnsi="Times New Roman" w:cs="Times New Roman"/>
          <w:b/>
          <w:sz w:val="24"/>
          <w:szCs w:val="24"/>
        </w:rPr>
        <w:t xml:space="preserve"> </w:t>
      </w:r>
      <w:r w:rsidR="00207F7F" w:rsidRPr="00053C1E">
        <w:rPr>
          <w:rFonts w:ascii="Times New Roman" w:eastAsia="宋体" w:hAnsi="Times New Roman" w:cs="Times New Roman" w:hint="eastAsia"/>
          <w:b/>
          <w:sz w:val="24"/>
          <w:szCs w:val="24"/>
        </w:rPr>
        <w:t>Figures</w:t>
      </w:r>
    </w:p>
    <w:p w14:paraId="042B091D" w14:textId="77777777" w:rsidR="00FB46E8" w:rsidRPr="00053C1E" w:rsidRDefault="00FB46E8" w:rsidP="00053C1E">
      <w:pPr>
        <w:widowControl/>
        <w:spacing w:line="480" w:lineRule="auto"/>
        <w:jc w:val="left"/>
        <w:rPr>
          <w:rFonts w:ascii="Times New Roman" w:eastAsia="等线" w:hAnsi="Times New Roman" w:cs="Times New Roman"/>
          <w:b/>
          <w:bCs/>
          <w:color w:val="000000"/>
          <w:kern w:val="0"/>
          <w:sz w:val="24"/>
          <w:szCs w:val="24"/>
        </w:rPr>
      </w:pPr>
      <w:r w:rsidRPr="00053C1E">
        <w:rPr>
          <w:rFonts w:ascii="Times New Roman" w:eastAsia="等线" w:hAnsi="Times New Roman" w:cs="Times New Roman"/>
          <w:b/>
          <w:bCs/>
          <w:color w:val="000000"/>
          <w:kern w:val="0"/>
          <w:sz w:val="24"/>
          <w:szCs w:val="24"/>
        </w:rPr>
        <w:t>Supplementary References</w:t>
      </w:r>
    </w:p>
    <w:p w14:paraId="5D026019" w14:textId="77777777" w:rsidR="00207F7F" w:rsidRPr="00053C1E" w:rsidRDefault="00207F7F" w:rsidP="00413E4F">
      <w:pPr>
        <w:widowControl/>
        <w:jc w:val="left"/>
        <w:rPr>
          <w:rFonts w:ascii="Times New Roman" w:eastAsia="宋体" w:hAnsi="Times New Roman" w:cs="Times New Roman"/>
          <w:b/>
          <w:sz w:val="24"/>
          <w:szCs w:val="24"/>
        </w:rPr>
        <w:sectPr w:rsidR="00207F7F" w:rsidRPr="00053C1E" w:rsidSect="009C1945">
          <w:footerReference w:type="default" r:id="rId8"/>
          <w:pgSz w:w="11906" w:h="16838"/>
          <w:pgMar w:top="1440" w:right="1797" w:bottom="1440" w:left="1797" w:header="851" w:footer="992" w:gutter="0"/>
          <w:lnNumType w:countBy="1" w:restart="continuous"/>
          <w:cols w:space="425"/>
          <w:docGrid w:type="linesAndChars" w:linePitch="312"/>
        </w:sectPr>
      </w:pPr>
    </w:p>
    <w:p w14:paraId="78833C4F" w14:textId="1487100E" w:rsidR="00413E4F" w:rsidRPr="00053C1E" w:rsidRDefault="00413E4F" w:rsidP="00053C1E">
      <w:pPr>
        <w:widowControl/>
        <w:spacing w:line="480" w:lineRule="auto"/>
        <w:jc w:val="left"/>
        <w:rPr>
          <w:rFonts w:ascii="Times New Roman" w:eastAsia="等线" w:hAnsi="Times New Roman" w:cs="Times New Roman"/>
          <w:b/>
          <w:bCs/>
          <w:color w:val="000000"/>
          <w:kern w:val="0"/>
          <w:sz w:val="24"/>
          <w:szCs w:val="24"/>
        </w:rPr>
      </w:pPr>
      <w:r w:rsidRPr="00053C1E">
        <w:rPr>
          <w:rFonts w:ascii="Times New Roman" w:eastAsia="宋体" w:hAnsi="Times New Roman" w:cs="Times New Roman"/>
          <w:b/>
          <w:sz w:val="24"/>
          <w:szCs w:val="24"/>
        </w:rPr>
        <w:lastRenderedPageBreak/>
        <w:t>Table S1</w:t>
      </w:r>
      <w:r w:rsidR="004C5EE5" w:rsidRPr="00053C1E">
        <w:rPr>
          <w:rFonts w:ascii="Times New Roman" w:eastAsia="宋体" w:hAnsi="Times New Roman" w:cs="Times New Roman"/>
          <w:b/>
          <w:sz w:val="24"/>
          <w:szCs w:val="24"/>
        </w:rPr>
        <w:t>.</w:t>
      </w:r>
      <w:r w:rsidRPr="00053C1E">
        <w:rPr>
          <w:rFonts w:ascii="Times New Roman" w:eastAsia="宋体" w:hAnsi="Times New Roman" w:cs="Times New Roman"/>
          <w:b/>
          <w:sz w:val="24"/>
          <w:szCs w:val="24"/>
        </w:rPr>
        <w:t xml:space="preserve"> </w:t>
      </w:r>
      <w:r w:rsidRPr="00053C1E">
        <w:rPr>
          <w:rFonts w:ascii="Times New Roman" w:eastAsia="宋体" w:hAnsi="Times New Roman" w:cs="Times New Roman"/>
          <w:bCs/>
          <w:sz w:val="24"/>
          <w:szCs w:val="24"/>
        </w:rPr>
        <w:t>Comparison of xylonic acid production by different organisms</w:t>
      </w:r>
      <w:r w:rsidR="00F108F8" w:rsidRPr="00053C1E">
        <w:rPr>
          <w:rFonts w:ascii="Times New Roman" w:eastAsia="等线" w:hAnsi="Times New Roman" w:cs="Times New Roman"/>
          <w:b/>
          <w:bCs/>
          <w:color w:val="000000"/>
          <w:kern w:val="0"/>
          <w:sz w:val="24"/>
          <w:szCs w:val="24"/>
        </w:rPr>
        <w:t xml:space="preserve"> </w:t>
      </w:r>
    </w:p>
    <w:tbl>
      <w:tblPr>
        <w:tblW w:w="0" w:type="auto"/>
        <w:tblBorders>
          <w:top w:val="single" w:sz="4" w:space="0" w:color="auto"/>
          <w:bottom w:val="single" w:sz="4" w:space="0" w:color="auto"/>
        </w:tblBorders>
        <w:tblLayout w:type="fixed"/>
        <w:tblLook w:val="04A0" w:firstRow="1" w:lastRow="0" w:firstColumn="1" w:lastColumn="0" w:noHBand="0" w:noVBand="1"/>
      </w:tblPr>
      <w:tblGrid>
        <w:gridCol w:w="2468"/>
        <w:gridCol w:w="2272"/>
        <w:gridCol w:w="1397"/>
        <w:gridCol w:w="1576"/>
        <w:gridCol w:w="1874"/>
        <w:gridCol w:w="1753"/>
        <w:gridCol w:w="1134"/>
        <w:gridCol w:w="1474"/>
      </w:tblGrid>
      <w:tr w:rsidR="00413E4F" w:rsidRPr="00053C1E" w14:paraId="4E027D63" w14:textId="77777777" w:rsidTr="006463BD">
        <w:trPr>
          <w:trHeight w:val="280"/>
          <w:tblHeader/>
        </w:trPr>
        <w:tc>
          <w:tcPr>
            <w:tcW w:w="2468" w:type="dxa"/>
            <w:tcBorders>
              <w:top w:val="single" w:sz="4" w:space="0" w:color="auto"/>
              <w:bottom w:val="single" w:sz="4" w:space="0" w:color="auto"/>
            </w:tcBorders>
            <w:shd w:val="clear" w:color="auto" w:fill="auto"/>
            <w:noWrap/>
            <w:vAlign w:val="center"/>
            <w:hideMark/>
          </w:tcPr>
          <w:p w14:paraId="5DAD9377" w14:textId="77777777" w:rsidR="00413E4F" w:rsidRPr="00053C1E" w:rsidRDefault="00413E4F" w:rsidP="00053C1E">
            <w:pPr>
              <w:widowControl/>
              <w:spacing w:line="300" w:lineRule="auto"/>
              <w:jc w:val="center"/>
              <w:rPr>
                <w:rFonts w:ascii="Times New Roman" w:eastAsia="等线" w:hAnsi="Times New Roman" w:cs="Times New Roman"/>
                <w:b/>
                <w:bCs/>
                <w:color w:val="000000"/>
                <w:kern w:val="0"/>
                <w:sz w:val="24"/>
                <w:szCs w:val="24"/>
              </w:rPr>
            </w:pPr>
            <w:r w:rsidRPr="00053C1E">
              <w:rPr>
                <w:rFonts w:ascii="Times New Roman" w:eastAsia="等线" w:hAnsi="Times New Roman" w:cs="Times New Roman"/>
                <w:b/>
                <w:bCs/>
                <w:color w:val="000000"/>
                <w:kern w:val="0"/>
                <w:sz w:val="24"/>
                <w:szCs w:val="24"/>
              </w:rPr>
              <w:t>Strain</w:t>
            </w:r>
          </w:p>
        </w:tc>
        <w:tc>
          <w:tcPr>
            <w:tcW w:w="2272" w:type="dxa"/>
            <w:tcBorders>
              <w:top w:val="single" w:sz="4" w:space="0" w:color="auto"/>
              <w:bottom w:val="single" w:sz="4" w:space="0" w:color="auto"/>
            </w:tcBorders>
            <w:shd w:val="clear" w:color="auto" w:fill="auto"/>
            <w:noWrap/>
            <w:vAlign w:val="center"/>
            <w:hideMark/>
          </w:tcPr>
          <w:p w14:paraId="66FF244E" w14:textId="77777777" w:rsidR="00413E4F" w:rsidRPr="00053C1E" w:rsidRDefault="00413E4F" w:rsidP="00053C1E">
            <w:pPr>
              <w:widowControl/>
              <w:spacing w:line="300" w:lineRule="auto"/>
              <w:jc w:val="center"/>
              <w:rPr>
                <w:rFonts w:ascii="Times New Roman" w:eastAsia="等线" w:hAnsi="Times New Roman" w:cs="Times New Roman"/>
                <w:b/>
                <w:bCs/>
                <w:color w:val="000000"/>
                <w:kern w:val="0"/>
                <w:sz w:val="24"/>
                <w:szCs w:val="24"/>
              </w:rPr>
            </w:pPr>
            <w:r w:rsidRPr="00053C1E">
              <w:rPr>
                <w:rFonts w:ascii="Times New Roman" w:eastAsia="等线" w:hAnsi="Times New Roman" w:cs="Times New Roman"/>
                <w:b/>
                <w:bCs/>
                <w:color w:val="000000"/>
                <w:kern w:val="0"/>
                <w:sz w:val="24"/>
                <w:szCs w:val="24"/>
              </w:rPr>
              <w:t>Feedstock</w:t>
            </w:r>
          </w:p>
        </w:tc>
        <w:tc>
          <w:tcPr>
            <w:tcW w:w="1397" w:type="dxa"/>
            <w:tcBorders>
              <w:top w:val="single" w:sz="4" w:space="0" w:color="auto"/>
              <w:bottom w:val="single" w:sz="4" w:space="0" w:color="auto"/>
            </w:tcBorders>
            <w:shd w:val="clear" w:color="auto" w:fill="auto"/>
            <w:noWrap/>
            <w:vAlign w:val="center"/>
            <w:hideMark/>
          </w:tcPr>
          <w:p w14:paraId="6520A9A3" w14:textId="77777777" w:rsidR="00413E4F" w:rsidRPr="00053C1E" w:rsidRDefault="00413E4F" w:rsidP="00053C1E">
            <w:pPr>
              <w:widowControl/>
              <w:spacing w:line="300" w:lineRule="auto"/>
              <w:jc w:val="center"/>
              <w:rPr>
                <w:rFonts w:ascii="Times New Roman" w:eastAsia="等线" w:hAnsi="Times New Roman" w:cs="Times New Roman"/>
                <w:b/>
                <w:bCs/>
                <w:color w:val="000000"/>
                <w:kern w:val="0"/>
                <w:sz w:val="24"/>
                <w:szCs w:val="24"/>
              </w:rPr>
            </w:pPr>
            <w:r w:rsidRPr="00053C1E">
              <w:rPr>
                <w:rFonts w:ascii="Times New Roman" w:eastAsia="等线" w:hAnsi="Times New Roman" w:cs="Times New Roman"/>
                <w:b/>
                <w:bCs/>
                <w:color w:val="000000"/>
                <w:kern w:val="0"/>
                <w:sz w:val="24"/>
                <w:szCs w:val="24"/>
              </w:rPr>
              <w:t xml:space="preserve">Titer </w:t>
            </w:r>
          </w:p>
          <w:p w14:paraId="3118C23C" w14:textId="77777777" w:rsidR="00413E4F" w:rsidRPr="00053C1E" w:rsidRDefault="00413E4F" w:rsidP="00053C1E">
            <w:pPr>
              <w:widowControl/>
              <w:spacing w:line="300" w:lineRule="auto"/>
              <w:jc w:val="center"/>
              <w:rPr>
                <w:rFonts w:ascii="Times New Roman" w:eastAsia="等线" w:hAnsi="Times New Roman" w:cs="Times New Roman"/>
                <w:b/>
                <w:bCs/>
                <w:color w:val="000000"/>
                <w:kern w:val="0"/>
                <w:sz w:val="24"/>
                <w:szCs w:val="24"/>
              </w:rPr>
            </w:pPr>
            <w:r w:rsidRPr="00053C1E">
              <w:rPr>
                <w:rFonts w:ascii="Times New Roman" w:eastAsia="等线" w:hAnsi="Times New Roman" w:cs="Times New Roman"/>
                <w:b/>
                <w:bCs/>
                <w:color w:val="000000"/>
                <w:kern w:val="0"/>
                <w:sz w:val="24"/>
                <w:szCs w:val="24"/>
              </w:rPr>
              <w:t>(g/L)</w:t>
            </w:r>
          </w:p>
        </w:tc>
        <w:tc>
          <w:tcPr>
            <w:tcW w:w="1576" w:type="dxa"/>
            <w:tcBorders>
              <w:top w:val="single" w:sz="4" w:space="0" w:color="auto"/>
              <w:bottom w:val="single" w:sz="4" w:space="0" w:color="auto"/>
            </w:tcBorders>
            <w:shd w:val="clear" w:color="auto" w:fill="auto"/>
            <w:noWrap/>
            <w:vAlign w:val="center"/>
            <w:hideMark/>
          </w:tcPr>
          <w:p w14:paraId="1DE0407B" w14:textId="77777777" w:rsidR="00413E4F" w:rsidRPr="00053C1E" w:rsidRDefault="00413E4F" w:rsidP="00053C1E">
            <w:pPr>
              <w:widowControl/>
              <w:spacing w:line="300" w:lineRule="auto"/>
              <w:jc w:val="center"/>
              <w:rPr>
                <w:rFonts w:ascii="Times New Roman" w:eastAsia="等线" w:hAnsi="Times New Roman" w:cs="Times New Roman"/>
                <w:b/>
                <w:bCs/>
                <w:color w:val="000000"/>
                <w:kern w:val="0"/>
                <w:sz w:val="24"/>
                <w:szCs w:val="24"/>
              </w:rPr>
            </w:pPr>
            <w:r w:rsidRPr="00053C1E">
              <w:rPr>
                <w:rFonts w:ascii="Times New Roman" w:eastAsia="等线" w:hAnsi="Times New Roman" w:cs="Times New Roman"/>
                <w:b/>
                <w:bCs/>
                <w:color w:val="000000"/>
                <w:kern w:val="0"/>
                <w:sz w:val="24"/>
                <w:szCs w:val="24"/>
              </w:rPr>
              <w:t>Yield</w:t>
            </w:r>
          </w:p>
          <w:p w14:paraId="3F166981" w14:textId="77777777" w:rsidR="00413E4F" w:rsidRPr="00053C1E" w:rsidRDefault="00413E4F" w:rsidP="00053C1E">
            <w:pPr>
              <w:widowControl/>
              <w:spacing w:line="300" w:lineRule="auto"/>
              <w:jc w:val="center"/>
              <w:rPr>
                <w:rFonts w:ascii="Times New Roman" w:eastAsia="等线" w:hAnsi="Times New Roman" w:cs="Times New Roman"/>
                <w:b/>
                <w:bCs/>
                <w:color w:val="000000"/>
                <w:kern w:val="0"/>
                <w:sz w:val="24"/>
                <w:szCs w:val="24"/>
              </w:rPr>
            </w:pPr>
            <w:r w:rsidRPr="00053C1E">
              <w:rPr>
                <w:rFonts w:ascii="Times New Roman" w:eastAsia="等线" w:hAnsi="Times New Roman" w:cs="Times New Roman"/>
                <w:b/>
                <w:bCs/>
                <w:color w:val="000000"/>
                <w:kern w:val="0"/>
                <w:sz w:val="24"/>
                <w:szCs w:val="24"/>
              </w:rPr>
              <w:t>(%)</w:t>
            </w:r>
          </w:p>
        </w:tc>
        <w:tc>
          <w:tcPr>
            <w:tcW w:w="1874" w:type="dxa"/>
            <w:tcBorders>
              <w:top w:val="single" w:sz="4" w:space="0" w:color="auto"/>
              <w:bottom w:val="single" w:sz="4" w:space="0" w:color="auto"/>
            </w:tcBorders>
            <w:shd w:val="clear" w:color="auto" w:fill="auto"/>
            <w:noWrap/>
            <w:vAlign w:val="center"/>
            <w:hideMark/>
          </w:tcPr>
          <w:p w14:paraId="59DA43E4" w14:textId="77777777" w:rsidR="00413E4F" w:rsidRPr="00053C1E" w:rsidRDefault="00413E4F" w:rsidP="00053C1E">
            <w:pPr>
              <w:widowControl/>
              <w:spacing w:line="300" w:lineRule="auto"/>
              <w:jc w:val="center"/>
              <w:rPr>
                <w:rFonts w:ascii="Times New Roman" w:eastAsia="等线" w:hAnsi="Times New Roman" w:cs="Times New Roman"/>
                <w:b/>
                <w:bCs/>
                <w:color w:val="000000"/>
                <w:kern w:val="0"/>
                <w:sz w:val="24"/>
                <w:szCs w:val="24"/>
              </w:rPr>
            </w:pPr>
            <w:r w:rsidRPr="00053C1E">
              <w:rPr>
                <w:rFonts w:ascii="Times New Roman" w:eastAsia="等线" w:hAnsi="Times New Roman" w:cs="Times New Roman"/>
                <w:b/>
                <w:bCs/>
                <w:color w:val="000000"/>
                <w:kern w:val="0"/>
                <w:sz w:val="24"/>
                <w:szCs w:val="24"/>
              </w:rPr>
              <w:t>Space-time yield</w:t>
            </w:r>
          </w:p>
          <w:p w14:paraId="256B6D5A" w14:textId="77777777" w:rsidR="00413E4F" w:rsidRPr="00053C1E" w:rsidRDefault="00413E4F" w:rsidP="00053C1E">
            <w:pPr>
              <w:widowControl/>
              <w:spacing w:line="300" w:lineRule="auto"/>
              <w:jc w:val="center"/>
              <w:rPr>
                <w:rFonts w:ascii="Times New Roman" w:eastAsia="等线" w:hAnsi="Times New Roman" w:cs="Times New Roman"/>
                <w:b/>
                <w:bCs/>
                <w:color w:val="000000"/>
                <w:kern w:val="0"/>
                <w:sz w:val="24"/>
                <w:szCs w:val="24"/>
              </w:rPr>
            </w:pPr>
            <w:r w:rsidRPr="00053C1E">
              <w:rPr>
                <w:rFonts w:ascii="Times New Roman" w:eastAsia="等线" w:hAnsi="Times New Roman" w:cs="Times New Roman"/>
                <w:b/>
                <w:bCs/>
                <w:color w:val="000000"/>
                <w:kern w:val="0"/>
                <w:sz w:val="24"/>
                <w:szCs w:val="24"/>
              </w:rPr>
              <w:t xml:space="preserve"> (g/L/h)</w:t>
            </w:r>
          </w:p>
        </w:tc>
        <w:tc>
          <w:tcPr>
            <w:tcW w:w="1753" w:type="dxa"/>
            <w:tcBorders>
              <w:top w:val="single" w:sz="4" w:space="0" w:color="auto"/>
              <w:bottom w:val="single" w:sz="4" w:space="0" w:color="auto"/>
            </w:tcBorders>
            <w:shd w:val="clear" w:color="auto" w:fill="auto"/>
            <w:noWrap/>
            <w:vAlign w:val="center"/>
            <w:hideMark/>
          </w:tcPr>
          <w:p w14:paraId="254EE246" w14:textId="1EA281C3" w:rsidR="00413E4F" w:rsidRPr="00EE4C71" w:rsidRDefault="00413E4F" w:rsidP="00053C1E">
            <w:pPr>
              <w:widowControl/>
              <w:spacing w:line="300" w:lineRule="auto"/>
              <w:jc w:val="center"/>
              <w:rPr>
                <w:rFonts w:ascii="Times New Roman" w:eastAsia="等线" w:hAnsi="Times New Roman" w:cs="Times New Roman"/>
                <w:b/>
                <w:bCs/>
                <w:color w:val="000000"/>
                <w:kern w:val="0"/>
                <w:sz w:val="24"/>
                <w:szCs w:val="24"/>
              </w:rPr>
            </w:pPr>
            <w:r w:rsidRPr="00EE4C71">
              <w:rPr>
                <w:rFonts w:ascii="Times New Roman" w:eastAsia="等线" w:hAnsi="Times New Roman" w:cs="Times New Roman"/>
                <w:b/>
                <w:bCs/>
                <w:color w:val="000000"/>
                <w:kern w:val="0"/>
                <w:sz w:val="24"/>
                <w:szCs w:val="24"/>
              </w:rPr>
              <w:t>Process</w:t>
            </w:r>
          </w:p>
        </w:tc>
        <w:tc>
          <w:tcPr>
            <w:tcW w:w="1134" w:type="dxa"/>
            <w:tcBorders>
              <w:top w:val="single" w:sz="4" w:space="0" w:color="auto"/>
              <w:bottom w:val="single" w:sz="4" w:space="0" w:color="auto"/>
            </w:tcBorders>
            <w:shd w:val="clear" w:color="auto" w:fill="auto"/>
            <w:noWrap/>
            <w:vAlign w:val="center"/>
            <w:hideMark/>
          </w:tcPr>
          <w:p w14:paraId="5E4B6355" w14:textId="77777777" w:rsidR="00413E4F" w:rsidRPr="00EE4C71" w:rsidRDefault="00413E4F" w:rsidP="00053C1E">
            <w:pPr>
              <w:widowControl/>
              <w:spacing w:line="300" w:lineRule="auto"/>
              <w:jc w:val="center"/>
              <w:rPr>
                <w:rFonts w:ascii="Times New Roman" w:eastAsia="等线" w:hAnsi="Times New Roman" w:cs="Times New Roman"/>
                <w:b/>
                <w:bCs/>
                <w:color w:val="000000"/>
                <w:kern w:val="0"/>
                <w:sz w:val="24"/>
                <w:szCs w:val="24"/>
              </w:rPr>
            </w:pPr>
            <w:r w:rsidRPr="00EE4C71">
              <w:rPr>
                <w:rFonts w:ascii="Times New Roman" w:eastAsia="等线" w:hAnsi="Times New Roman" w:cs="Times New Roman"/>
                <w:b/>
                <w:bCs/>
                <w:color w:val="000000"/>
                <w:kern w:val="0"/>
                <w:sz w:val="24"/>
                <w:szCs w:val="24"/>
              </w:rPr>
              <w:t>Aerate</w:t>
            </w:r>
          </w:p>
        </w:tc>
        <w:tc>
          <w:tcPr>
            <w:tcW w:w="1474" w:type="dxa"/>
            <w:tcBorders>
              <w:top w:val="single" w:sz="4" w:space="0" w:color="auto"/>
              <w:bottom w:val="single" w:sz="4" w:space="0" w:color="auto"/>
            </w:tcBorders>
            <w:shd w:val="clear" w:color="auto" w:fill="auto"/>
            <w:noWrap/>
            <w:vAlign w:val="center"/>
            <w:hideMark/>
          </w:tcPr>
          <w:p w14:paraId="0D2E8DCC" w14:textId="77777777" w:rsidR="00413E4F" w:rsidRPr="00EE4C71" w:rsidRDefault="00413E4F" w:rsidP="00053C1E">
            <w:pPr>
              <w:widowControl/>
              <w:spacing w:line="300" w:lineRule="auto"/>
              <w:jc w:val="center"/>
              <w:rPr>
                <w:rFonts w:ascii="Times New Roman" w:eastAsia="等线" w:hAnsi="Times New Roman" w:cs="Times New Roman"/>
                <w:b/>
                <w:bCs/>
                <w:color w:val="000000"/>
                <w:kern w:val="0"/>
                <w:sz w:val="24"/>
                <w:szCs w:val="24"/>
              </w:rPr>
            </w:pPr>
            <w:r w:rsidRPr="00EE4C71">
              <w:rPr>
                <w:rFonts w:ascii="Times New Roman" w:eastAsia="等线" w:hAnsi="Times New Roman" w:cs="Times New Roman"/>
                <w:b/>
                <w:bCs/>
                <w:color w:val="000000"/>
                <w:kern w:val="0"/>
                <w:sz w:val="24"/>
                <w:szCs w:val="24"/>
              </w:rPr>
              <w:t>Reference</w:t>
            </w:r>
          </w:p>
        </w:tc>
      </w:tr>
      <w:tr w:rsidR="00CD3480" w:rsidRPr="00053C1E" w14:paraId="5058238D" w14:textId="77777777" w:rsidTr="003E446A">
        <w:trPr>
          <w:trHeight w:val="560"/>
        </w:trPr>
        <w:tc>
          <w:tcPr>
            <w:tcW w:w="2468" w:type="dxa"/>
            <w:tcBorders>
              <w:top w:val="single" w:sz="4" w:space="0" w:color="auto"/>
            </w:tcBorders>
            <w:shd w:val="clear" w:color="auto" w:fill="auto"/>
            <w:vAlign w:val="center"/>
          </w:tcPr>
          <w:p w14:paraId="5091143C" w14:textId="48AF2190"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i/>
                <w:color w:val="000000"/>
                <w:kern w:val="0"/>
                <w:sz w:val="24"/>
                <w:szCs w:val="24"/>
              </w:rPr>
              <w:t>G. oxydans</w:t>
            </w:r>
            <w:r w:rsidRPr="00053C1E">
              <w:rPr>
                <w:rFonts w:ascii="Times New Roman" w:eastAsia="等线" w:hAnsi="Times New Roman" w:cs="Times New Roman"/>
                <w:color w:val="000000"/>
                <w:kern w:val="0"/>
                <w:sz w:val="24"/>
                <w:szCs w:val="24"/>
              </w:rPr>
              <w:t xml:space="preserve"> DSM 2003</w:t>
            </w:r>
          </w:p>
        </w:tc>
        <w:tc>
          <w:tcPr>
            <w:tcW w:w="2272" w:type="dxa"/>
            <w:tcBorders>
              <w:top w:val="single" w:sz="4" w:space="0" w:color="auto"/>
            </w:tcBorders>
            <w:shd w:val="clear" w:color="auto" w:fill="auto"/>
            <w:vAlign w:val="center"/>
          </w:tcPr>
          <w:p w14:paraId="68C21065" w14:textId="01A77E1D"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corn stover hydrolysate</w:t>
            </w:r>
          </w:p>
        </w:tc>
        <w:tc>
          <w:tcPr>
            <w:tcW w:w="1397" w:type="dxa"/>
            <w:tcBorders>
              <w:top w:val="single" w:sz="4" w:space="0" w:color="auto"/>
            </w:tcBorders>
            <w:shd w:val="clear" w:color="auto" w:fill="auto"/>
            <w:vAlign w:val="center"/>
          </w:tcPr>
          <w:p w14:paraId="77FBE148" w14:textId="119DDF20"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38.86</w:t>
            </w:r>
          </w:p>
        </w:tc>
        <w:tc>
          <w:tcPr>
            <w:tcW w:w="1576" w:type="dxa"/>
            <w:tcBorders>
              <w:top w:val="single" w:sz="4" w:space="0" w:color="auto"/>
            </w:tcBorders>
            <w:shd w:val="clear" w:color="auto" w:fill="auto"/>
            <w:noWrap/>
            <w:vAlign w:val="center"/>
          </w:tcPr>
          <w:p w14:paraId="14FE8B42" w14:textId="70859821"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87.72</w:t>
            </w:r>
          </w:p>
        </w:tc>
        <w:tc>
          <w:tcPr>
            <w:tcW w:w="1874" w:type="dxa"/>
            <w:tcBorders>
              <w:top w:val="single" w:sz="4" w:space="0" w:color="auto"/>
            </w:tcBorders>
            <w:shd w:val="clear" w:color="auto" w:fill="auto"/>
            <w:vAlign w:val="center"/>
          </w:tcPr>
          <w:p w14:paraId="04311F73" w14:textId="502A1699"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1.21</w:t>
            </w:r>
          </w:p>
        </w:tc>
        <w:tc>
          <w:tcPr>
            <w:tcW w:w="1753" w:type="dxa"/>
            <w:tcBorders>
              <w:top w:val="single" w:sz="4" w:space="0" w:color="auto"/>
            </w:tcBorders>
            <w:shd w:val="clear" w:color="auto" w:fill="auto"/>
            <w:vAlign w:val="center"/>
          </w:tcPr>
          <w:p w14:paraId="6B90224B" w14:textId="79B1BD53"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Fermentation.</w:t>
            </w:r>
          </w:p>
        </w:tc>
        <w:tc>
          <w:tcPr>
            <w:tcW w:w="1134" w:type="dxa"/>
            <w:tcBorders>
              <w:top w:val="single" w:sz="4" w:space="0" w:color="auto"/>
            </w:tcBorders>
            <w:shd w:val="clear" w:color="auto" w:fill="auto"/>
            <w:vAlign w:val="center"/>
          </w:tcPr>
          <w:p w14:paraId="138074D6" w14:textId="32B91FE0"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air</w:t>
            </w:r>
          </w:p>
        </w:tc>
        <w:tc>
          <w:tcPr>
            <w:tcW w:w="1474" w:type="dxa"/>
            <w:tcBorders>
              <w:top w:val="single" w:sz="4" w:space="0" w:color="auto"/>
            </w:tcBorders>
            <w:shd w:val="clear" w:color="auto" w:fill="auto"/>
            <w:vAlign w:val="center"/>
          </w:tcPr>
          <w:p w14:paraId="420EE446" w14:textId="03089EA2"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{"citationItems":[{"id":"ITEM-1","itemData":{"DOI":"10.1016/j.biortech.2016.07.068","ISSN":"18732976","abstract":"High titer gluconic acid and xylonic acid were simultaneously fermented by Gluconobacter oxydans DSM 2003 using corn stover feedstock after dry dilute sulfuric acid pretreatment, biodetoxification and high solids content hydrolysis. Maximum sodium gluconate and xylonate were produced at the titer of 132.46 g/L and 38.86 g/L with the overall yield of 97.12% from glucose and 90.02% from xylose, respectively. The drawbacks of filamentous fungus Aspergillus niger including weak inhibitor tolerance, large pellet formation and no xylose utilization were solved by using the bacterium strain G. oxydans. The obtained sodium gluconate/xylonate product was highly competitive as cement retarder additive to the commercial product from corn feedstock. The techno-economic analysis (TEA) based on the Aspen Plus modeling was performed and the minimum sodium gluconate/xylonate product selling price (MGSP) was calculated as $0.404/kg. This study provided a practical and economic competitive process of lignocellulose utilization for production of value-added biobased chemicals.","author":[{"dropping-particle":"","family":"Zhang","given":"Hongsen","non-dropping-particle":"","parse-names":false,"suffix":""},{"dropping-particle":"","family":"Liu","given":"Gang","non-dropping-particle":"","parse-names":false,"suffix":""},{"dropping-particle":"","family":"Zhang","given":"Jian","non-dropping-particle":"","parse-names":false,"suffix":""},{"dropping-particle":"","family":"Bao","given":"Jie","non-dropping-particle":"","parse-names":false,"suffix":""}],"container-title":"Bioresource Technology","id":"ITEM-1","issued":{"date-parts":[["2016"]]},"title":"Fermentative production of high titer gluconic and xylonic acids from corn stover feedstock by Gluconobacter oxydans and techno-economic analysis","type":"article-journal","volume":"219"},"uris":["http://www.mendeley.com/documents/?uuid=e9637627-bee6-4396-863b-0d3b11cba193"]}],"mendeley":{"formattedCitation":"(Zhang et al., 2016)","manualFormatting":"Zhang et al., 2016","plainTextFormattedCitation":"(Zhang et al., 2016)","previouslyFormattedCitation":"(Zhang et al., 2016)"},"properties":{"noteIndex":0},"schema":"https://github.com/citation-style-language/schema/raw/master/csl-citation.json"}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Zhang et al., 2016</w:t>
            </w:r>
            <w:r w:rsidRPr="00053C1E">
              <w:rPr>
                <w:rFonts w:ascii="Times New Roman" w:eastAsia="等线" w:hAnsi="Times New Roman" w:cs="Times New Roman"/>
                <w:color w:val="000000"/>
                <w:kern w:val="0"/>
                <w:sz w:val="24"/>
                <w:szCs w:val="24"/>
              </w:rPr>
              <w:fldChar w:fldCharType="end"/>
            </w:r>
            <w:r w:rsidRPr="00053C1E">
              <w:rPr>
                <w:rFonts w:ascii="Times New Roman" w:eastAsia="等线" w:hAnsi="Times New Roman" w:cs="Times New Roman"/>
                <w:color w:val="000000"/>
                <w:kern w:val="0"/>
                <w:sz w:val="24"/>
                <w:szCs w:val="24"/>
              </w:rPr>
              <w:t xml:space="preserve"> </w:t>
            </w:r>
          </w:p>
        </w:tc>
      </w:tr>
      <w:tr w:rsidR="00CD3480" w:rsidRPr="00053C1E" w14:paraId="02242867" w14:textId="77777777" w:rsidTr="003E446A">
        <w:trPr>
          <w:trHeight w:val="560"/>
        </w:trPr>
        <w:tc>
          <w:tcPr>
            <w:tcW w:w="2468" w:type="dxa"/>
            <w:shd w:val="clear" w:color="auto" w:fill="auto"/>
            <w:vAlign w:val="center"/>
          </w:tcPr>
          <w:p w14:paraId="6058B50F" w14:textId="7CBA608C"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i/>
                <w:color w:val="000000"/>
                <w:kern w:val="0"/>
                <w:sz w:val="24"/>
                <w:szCs w:val="24"/>
              </w:rPr>
              <w:t>G. oxydans</w:t>
            </w:r>
            <w:r w:rsidRPr="00053C1E">
              <w:rPr>
                <w:rFonts w:ascii="Times New Roman" w:eastAsia="等线" w:hAnsi="Times New Roman" w:cs="Times New Roman"/>
                <w:color w:val="000000"/>
                <w:kern w:val="0"/>
                <w:sz w:val="24"/>
                <w:szCs w:val="24"/>
              </w:rPr>
              <w:t xml:space="preserve"> NL71</w:t>
            </w:r>
          </w:p>
        </w:tc>
        <w:tc>
          <w:tcPr>
            <w:tcW w:w="2272" w:type="dxa"/>
            <w:shd w:val="clear" w:color="auto" w:fill="auto"/>
            <w:vAlign w:val="center"/>
          </w:tcPr>
          <w:p w14:paraId="4626DC50" w14:textId="1516E7CE"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D-xylose</w:t>
            </w:r>
          </w:p>
        </w:tc>
        <w:tc>
          <w:tcPr>
            <w:tcW w:w="1397" w:type="dxa"/>
            <w:shd w:val="clear" w:color="auto" w:fill="auto"/>
            <w:vAlign w:val="center"/>
          </w:tcPr>
          <w:p w14:paraId="5BDEB710" w14:textId="2AC78781"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586.3</w:t>
            </w:r>
          </w:p>
        </w:tc>
        <w:tc>
          <w:tcPr>
            <w:tcW w:w="1576" w:type="dxa"/>
            <w:shd w:val="clear" w:color="auto" w:fill="auto"/>
            <w:noWrap/>
            <w:vAlign w:val="center"/>
          </w:tcPr>
          <w:p w14:paraId="0A21BE07" w14:textId="43A62625"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88.30</w:t>
            </w:r>
          </w:p>
        </w:tc>
        <w:tc>
          <w:tcPr>
            <w:tcW w:w="1874" w:type="dxa"/>
            <w:shd w:val="clear" w:color="auto" w:fill="auto"/>
            <w:vAlign w:val="center"/>
          </w:tcPr>
          <w:p w14:paraId="4B83C485" w14:textId="581241D1"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4.69</w:t>
            </w:r>
          </w:p>
        </w:tc>
        <w:tc>
          <w:tcPr>
            <w:tcW w:w="1753" w:type="dxa"/>
            <w:shd w:val="clear" w:color="auto" w:fill="auto"/>
            <w:vAlign w:val="center"/>
          </w:tcPr>
          <w:p w14:paraId="19170214" w14:textId="4F73C9BD"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Whole cell catalysis; Fed batch.</w:t>
            </w:r>
          </w:p>
        </w:tc>
        <w:tc>
          <w:tcPr>
            <w:tcW w:w="1134" w:type="dxa"/>
            <w:shd w:val="clear" w:color="auto" w:fill="auto"/>
            <w:vAlign w:val="center"/>
          </w:tcPr>
          <w:p w14:paraId="22B771FD" w14:textId="280F3732"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oxygen</w:t>
            </w:r>
          </w:p>
        </w:tc>
        <w:tc>
          <w:tcPr>
            <w:tcW w:w="1474" w:type="dxa"/>
            <w:shd w:val="clear" w:color="auto" w:fill="auto"/>
            <w:vAlign w:val="center"/>
          </w:tcPr>
          <w:p w14:paraId="729CBDA4" w14:textId="6AC54357"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{"citationItems":[{"id":"ITEM-1","itemData":{"DOI":"10.1016/j.bej.2014.10.014","ISSN":"1873295X","abstract":"Xylonic acid is useful and producing it in bacteria cost-effectively would be good because of potential applications and high yield. Production in bacteria like Gluconobacter oxydans is hampered by low xylose utilization and poor bacterial tolerance to contaminants. Here we exploited the oxygen-dependence of NAD+ regeneration and the lack of gas release during xylose metabolism in G. oxydans to develop a high-oxygen tension bioreactor with increased productivity. In this design we maintained gas outlets closed, which eliminated all bubbling and media foaming, and added a compressed pure oxygen inlet, which increased oxygen tension. Biocatalysis of xylose in this bioreactor yielded 3 times higher (586.3g/L xylonic acid) than the best previous output. Moreover, we directly produced 143.9g/L of xylonic acid from the diluted sulfuric acid pre-hydrolysates of corn stover without a detoxification process and at 1.0g/L/h volumetric productivity. The central features of this bioreactor design are scalable and thus would enable cost-competitive bacterial xylonic acid production.","author":[{"dropping-particle":"","family":"Zhou","given":"Xin","non-dropping-particle":"","parse-names":false,"suffix":""},{"dropping-particle":"","family":"Lü","given":"Shanshan","non-dropping-particle":"","parse-names":false,"suffix":""},{"dropping-particle":"","family":"Xu","given":"Yong","non-dropping-particle":"","parse-names":false,"suffix":""},{"dropping-particle":"","family":"Mo","given":"Yixian","non-dropping-particle":"","parse-names":false,"suffix":""},{"dropping-particle":"","family":"Yu","given":"Shiyuan","non-dropping-particle":"","parse-names":false,"suffix":""}],"container-title":"Biochemical Engineering Journal","id":"ITEM-1","issued":{"date-parts":[["2015"]]},"title":"Improving the performance of cell biocatalysis and the productivity of xylonic acid using a compressed oxygen supply","type":"article-journal","volume":"93"},"uris":["http://www.mendeley.com/documents/?uuid=cc5a3c52-2141-4bb8-a233-3901fe8889ee"]}],"mendeley":{"formattedCitation":"(Zhou et al., 2015)","manualFormatting":"Zhou et al., 2015","plainTextFormattedCitation":"(Zhou et al., 2015)","previouslyFormattedCitation":"(Zhou et al., 2015)"},"properties":{"noteIndex":0},"schema":"https://github.com/citation-style-language/schema/raw/master/csl-citation.json"}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Zhou et al., 2015</w:t>
            </w:r>
            <w:r w:rsidRPr="00053C1E">
              <w:rPr>
                <w:rFonts w:ascii="Times New Roman" w:eastAsia="等线" w:hAnsi="Times New Roman" w:cs="Times New Roman"/>
                <w:color w:val="000000"/>
                <w:kern w:val="0"/>
                <w:sz w:val="24"/>
                <w:szCs w:val="24"/>
              </w:rPr>
              <w:fldChar w:fldCharType="end"/>
            </w:r>
            <w:r w:rsidRPr="00053C1E">
              <w:rPr>
                <w:rFonts w:ascii="Times New Roman" w:eastAsia="等线" w:hAnsi="Times New Roman" w:cs="Times New Roman"/>
                <w:color w:val="000000"/>
                <w:kern w:val="0"/>
                <w:sz w:val="24"/>
                <w:szCs w:val="24"/>
              </w:rPr>
              <w:t xml:space="preserve"> </w:t>
            </w:r>
          </w:p>
        </w:tc>
      </w:tr>
      <w:tr w:rsidR="00CD3480" w:rsidRPr="00053C1E" w14:paraId="1134D63D" w14:textId="77777777" w:rsidTr="00CA74EF">
        <w:trPr>
          <w:trHeight w:val="840"/>
        </w:trPr>
        <w:tc>
          <w:tcPr>
            <w:tcW w:w="2468" w:type="dxa"/>
            <w:shd w:val="clear" w:color="auto" w:fill="auto"/>
            <w:vAlign w:val="center"/>
          </w:tcPr>
          <w:p w14:paraId="402EB994" w14:textId="2CB55A11"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i/>
                <w:color w:val="000000"/>
                <w:kern w:val="0"/>
                <w:sz w:val="24"/>
                <w:szCs w:val="24"/>
              </w:rPr>
              <w:t>G. oxydans</w:t>
            </w:r>
            <w:r w:rsidRPr="00053C1E">
              <w:rPr>
                <w:rFonts w:ascii="Times New Roman" w:eastAsia="等线" w:hAnsi="Times New Roman" w:cs="Times New Roman"/>
                <w:color w:val="000000"/>
                <w:kern w:val="0"/>
                <w:sz w:val="24"/>
                <w:szCs w:val="24"/>
              </w:rPr>
              <w:t xml:space="preserve"> NL71</w:t>
            </w:r>
          </w:p>
        </w:tc>
        <w:tc>
          <w:tcPr>
            <w:tcW w:w="2272" w:type="dxa"/>
            <w:shd w:val="clear" w:color="auto" w:fill="auto"/>
            <w:vAlign w:val="center"/>
          </w:tcPr>
          <w:p w14:paraId="5B924B84" w14:textId="444D0296"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 xml:space="preserve">corn stover hydrolysate </w:t>
            </w:r>
          </w:p>
        </w:tc>
        <w:tc>
          <w:tcPr>
            <w:tcW w:w="1397" w:type="dxa"/>
            <w:shd w:val="clear" w:color="auto" w:fill="auto"/>
            <w:vAlign w:val="center"/>
          </w:tcPr>
          <w:p w14:paraId="1667F540" w14:textId="5969081C"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kern w:val="0"/>
                <w:sz w:val="24"/>
                <w:szCs w:val="24"/>
              </w:rPr>
              <w:t>186</w:t>
            </w:r>
          </w:p>
        </w:tc>
        <w:tc>
          <w:tcPr>
            <w:tcW w:w="1576" w:type="dxa"/>
            <w:shd w:val="clear" w:color="auto" w:fill="auto"/>
            <w:noWrap/>
            <w:vAlign w:val="center"/>
          </w:tcPr>
          <w:p w14:paraId="2D385A1D" w14:textId="2D690F49"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87.45</w:t>
            </w:r>
          </w:p>
        </w:tc>
        <w:tc>
          <w:tcPr>
            <w:tcW w:w="1874" w:type="dxa"/>
            <w:shd w:val="clear" w:color="auto" w:fill="auto"/>
            <w:vAlign w:val="center"/>
          </w:tcPr>
          <w:p w14:paraId="65E5D769" w14:textId="327C39B0"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0.97</w:t>
            </w:r>
          </w:p>
        </w:tc>
        <w:tc>
          <w:tcPr>
            <w:tcW w:w="1753" w:type="dxa"/>
            <w:shd w:val="clear" w:color="auto" w:fill="auto"/>
            <w:vAlign w:val="center"/>
          </w:tcPr>
          <w:p w14:paraId="3D85BEEC" w14:textId="62BDEA6E"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Whole cell catalysis.</w:t>
            </w:r>
          </w:p>
        </w:tc>
        <w:tc>
          <w:tcPr>
            <w:tcW w:w="1134" w:type="dxa"/>
            <w:shd w:val="clear" w:color="auto" w:fill="auto"/>
            <w:vAlign w:val="center"/>
          </w:tcPr>
          <w:p w14:paraId="4EFA2D2A" w14:textId="2AD76178"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oxygen</w:t>
            </w:r>
          </w:p>
        </w:tc>
        <w:tc>
          <w:tcPr>
            <w:tcW w:w="1474" w:type="dxa"/>
            <w:shd w:val="clear" w:color="auto" w:fill="auto"/>
            <w:vAlign w:val="center"/>
          </w:tcPr>
          <w:p w14:paraId="6EA37E65" w14:textId="23C2F477"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{"citationItems":[{"id":"ITEM-1","itemData":{"DOI":"10.1016/j.bej.2014.10.014","ISSN":"1873295X","abstract":"Xylonic acid is useful and producing it in bacteria cost-effectively would be good because of potential applications and high yield. Production in bacteria like Gluconobacter oxydans is hampered by low xylose utilization and poor bacterial tolerance to contaminants. Here we exploited the oxygen-dependence of NAD+ regeneration and the lack of gas release during xylose metabolism in G. oxydans to develop a high-oxygen tension bioreactor with increased productivity. In this design we maintained gas outlets closed, which eliminated all bubbling and media foaming, and added a compressed pure oxygen inlet, which increased oxygen tension. Biocatalysis of xylose in this bioreactor yielded 3 times higher (586.3g/L xylonic acid) than the best previous output. Moreover, we directly produced 143.9g/L of xylonic acid from the diluted sulfuric acid pre-hydrolysates of corn stover without a detoxification process and at 1.0g/L/h volumetric productivity. The central features of this bioreactor design are scalable and thus would enable cost-competitive bacterial xylonic acid production.","author":[{"dropping-particle":"","family":"Zhou","given":"Xin","non-dropping-particle":"","parse-names":false,"suffix":""},{"dropping-particle":"","family":"Lü","given":"Shanshan","non-dropping-particle":"","parse-names":false,"suffix":""},{"dropping-particle":"","family":"Xu","given":"Yong","non-dropping-particle":"","parse-names":false,"suffix":""},{"dropping-particle":"","family":"Mo","given":"Yixian","non-dropping-particle":"","parse-names":false,"suffix":""},{"dropping-particle":"","family":"Yu","given":"Shiyuan","non-dropping-particle":"","parse-names":false,"suffix":""}],"container-title":"Biochemical Engineering Journal","id":"ITEM-1","issued":{"date-parts":[["2015"]]},"title":"Improving the performance of cell biocatalysis and the productivity of xylonic acid using a compressed oxygen supply","type":"article-journal","volume":"93"},"uris":["http://www.mendeley.com/documents/?uuid=cc5a3c52-2141-4bb8-a233-3901fe8889ee"]}],"mendeley":{"formattedCitation":"(Zhou et al., 2015)","manualFormatting":"Zhou et al., 2015","plainTextFormattedCitation":"(Zhou et al., 2015)","previouslyFormattedCitation":"(Zhou et al., 2015)"},"properties":{"noteIndex":0},"schema":"https://github.com/citation-style-language/schema/raw/master/csl-citation.json"}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Zhou et al., 2015</w:t>
            </w:r>
            <w:r w:rsidRPr="00053C1E">
              <w:rPr>
                <w:rFonts w:ascii="Times New Roman" w:eastAsia="等线" w:hAnsi="Times New Roman" w:cs="Times New Roman"/>
                <w:color w:val="000000"/>
                <w:kern w:val="0"/>
                <w:sz w:val="24"/>
                <w:szCs w:val="24"/>
              </w:rPr>
              <w:fldChar w:fldCharType="end"/>
            </w:r>
          </w:p>
        </w:tc>
      </w:tr>
      <w:tr w:rsidR="00CD3480" w:rsidRPr="00053C1E" w14:paraId="79C2EDB5" w14:textId="77777777" w:rsidTr="003E446A">
        <w:trPr>
          <w:trHeight w:val="560"/>
        </w:trPr>
        <w:tc>
          <w:tcPr>
            <w:tcW w:w="2468" w:type="dxa"/>
            <w:shd w:val="clear" w:color="auto" w:fill="auto"/>
            <w:vAlign w:val="center"/>
          </w:tcPr>
          <w:p w14:paraId="330BAB37" w14:textId="092931BB"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i/>
                <w:color w:val="000000"/>
                <w:kern w:val="0"/>
                <w:sz w:val="24"/>
                <w:szCs w:val="24"/>
              </w:rPr>
              <w:t>G. oxydans</w:t>
            </w:r>
            <w:r w:rsidRPr="00053C1E">
              <w:rPr>
                <w:rFonts w:ascii="Times New Roman" w:eastAsia="等线" w:hAnsi="Times New Roman" w:cs="Times New Roman"/>
                <w:color w:val="000000"/>
                <w:kern w:val="0"/>
                <w:sz w:val="24"/>
                <w:szCs w:val="24"/>
              </w:rPr>
              <w:t xml:space="preserve"> NL71</w:t>
            </w:r>
          </w:p>
        </w:tc>
        <w:tc>
          <w:tcPr>
            <w:tcW w:w="2272" w:type="dxa"/>
            <w:shd w:val="clear" w:color="auto" w:fill="auto"/>
            <w:vAlign w:val="center"/>
          </w:tcPr>
          <w:p w14:paraId="61B43AA4" w14:textId="0C6584C4"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 xml:space="preserve">corncob pre-hydrolysate </w:t>
            </w:r>
          </w:p>
        </w:tc>
        <w:tc>
          <w:tcPr>
            <w:tcW w:w="1397" w:type="dxa"/>
            <w:shd w:val="clear" w:color="auto" w:fill="auto"/>
            <w:noWrap/>
            <w:vAlign w:val="center"/>
          </w:tcPr>
          <w:p w14:paraId="5A3A815D" w14:textId="2DA2FEAA"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143.6</w:t>
            </w:r>
          </w:p>
        </w:tc>
        <w:tc>
          <w:tcPr>
            <w:tcW w:w="1576" w:type="dxa"/>
            <w:shd w:val="clear" w:color="auto" w:fill="auto"/>
            <w:noWrap/>
            <w:vAlign w:val="center"/>
          </w:tcPr>
          <w:p w14:paraId="1181BA2F" w14:textId="611080B8"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91.96</w:t>
            </w:r>
          </w:p>
        </w:tc>
        <w:tc>
          <w:tcPr>
            <w:tcW w:w="1874" w:type="dxa"/>
            <w:shd w:val="clear" w:color="auto" w:fill="auto"/>
            <w:noWrap/>
            <w:vAlign w:val="center"/>
          </w:tcPr>
          <w:p w14:paraId="38D0580B" w14:textId="5126FF30"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4.48</w:t>
            </w:r>
          </w:p>
        </w:tc>
        <w:tc>
          <w:tcPr>
            <w:tcW w:w="1753" w:type="dxa"/>
            <w:shd w:val="clear" w:color="auto" w:fill="auto"/>
            <w:vAlign w:val="center"/>
          </w:tcPr>
          <w:p w14:paraId="2BCE75F7" w14:textId="6018C74D"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Whole cell catalysis.</w:t>
            </w:r>
          </w:p>
        </w:tc>
        <w:tc>
          <w:tcPr>
            <w:tcW w:w="1134" w:type="dxa"/>
            <w:shd w:val="clear" w:color="auto" w:fill="auto"/>
            <w:vAlign w:val="center"/>
          </w:tcPr>
          <w:p w14:paraId="2A9041A6" w14:textId="31A2C045"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t>air</w:t>
            </w:r>
          </w:p>
        </w:tc>
        <w:tc>
          <w:tcPr>
            <w:tcW w:w="1474" w:type="dxa"/>
            <w:shd w:val="clear" w:color="auto" w:fill="auto"/>
            <w:vAlign w:val="center"/>
          </w:tcPr>
          <w:p w14:paraId="7B334AA1" w14:textId="4BB6F51A" w:rsidR="00CD3480" w:rsidRPr="00053C1E" w:rsidRDefault="00CD3480" w:rsidP="00053C1E">
            <w:pPr>
              <w:widowControl/>
              <w:spacing w:line="300" w:lineRule="auto"/>
              <w:jc w:val="center"/>
              <w:rPr>
                <w:rFonts w:ascii="Times New Roman" w:eastAsia="等线" w:hAnsi="Times New Roman" w:cs="Times New Roman"/>
                <w:color w:val="000000"/>
                <w:kern w:val="0"/>
                <w:sz w:val="24"/>
                <w:szCs w:val="24"/>
                <w:highlight w:val="yellow"/>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{"citationItems":[{"id":"ITEM-1","itemData":{"DOI":"10.1016/j.biortech.2020.123944","ISSN":"18732976","abstract":"Xylonic acid can be produced with high-yield from hemicelullosic xylose, which accounts for 25% of the total sugars in lignocellulosic material. The key barrier associated with efficient bio-oxidation of hemicellulosic xylose to xylonic acid is the serious foam formed in downstream air-aerated and agitated bioreaction process, which caused by the high viscosity of concentrated pre-hydrolysate. Powdered activated carbon treatment can selectively absorb the non-sugar compounds with relatively low losses of xylose, which is beneficial for the valuable xylose derivatives production. In this present study, powdered activated carbon was employed for treating the concentrated pre-hydrolysate from diluted acid pretreated corncob. The results indicated that the powdered activated carbon treatment significantly reduced the viscosity of concentrated pre-hydrolysate and the other non-sugar compounds, which enabled scale-up lignocellulosic xylonic acid production using the air-aerated and agitated bioreactor.","author":[{"dropping-particle":"","family":"Dai","given":"Lin","non-dropping-particle":"","parse-names":false,"suffix":""},{"dropping-particle":"","family":"Jiang","given":"Wenfei","non-dropping-particle":"","parse-names":false,"suffix":""},{"dropping-particle":"","family":"Zhou","given":"Xin","non-dropping-particle":"","parse-names":false,"suffix":""},{"dropping-particle":"","family":"Xu","given":"Yong","non-dropping-particle":"","parse-names":false,"suffix":""}],"container-title":"Bioresource Technology","id":"ITEM-1","issued":{"date-parts":[["2020"]]},"title":"Enhancement in xylonate production from hemicellulose pre-hydrolysate by powdered activated carbon treatment","type":"article-journal","volume":"316"},"uris":["http://www.mendeley.com/documents/?uuid=b9e1373f-1234-4785-b413-40b40b450189"]}],"mendeley":{"formattedCitation":"(Dai et al., 2020)","manualFormatting":"Dai et al., 2020","plainTextFormattedCitation":"(Dai et al., 2020)","previouslyFormattedCitation":"(Dai et al., 2020)"},"properties":{"noteIndex":0},"schema":"https://github.com/citation-style-language/schema/raw/master/csl-citation.json"}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Dai et al., 2020</w:t>
            </w:r>
            <w:r w:rsidRPr="00053C1E">
              <w:rPr>
                <w:rFonts w:ascii="Times New Roman" w:eastAsia="等线" w:hAnsi="Times New Roman" w:cs="Times New Roman"/>
                <w:color w:val="000000"/>
                <w:kern w:val="0"/>
                <w:sz w:val="24"/>
                <w:szCs w:val="24"/>
              </w:rPr>
              <w:fldChar w:fldCharType="end"/>
            </w:r>
            <w:r w:rsidRPr="00053C1E">
              <w:rPr>
                <w:rFonts w:ascii="Times New Roman" w:eastAsia="等线" w:hAnsi="Times New Roman" w:cs="Times New Roman"/>
                <w:color w:val="000000"/>
                <w:kern w:val="0"/>
                <w:sz w:val="24"/>
                <w:szCs w:val="24"/>
              </w:rPr>
              <w:t xml:space="preserve"> </w:t>
            </w:r>
          </w:p>
        </w:tc>
      </w:tr>
      <w:tr w:rsidR="00D05CE7" w:rsidRPr="00053C1E" w14:paraId="1096149A" w14:textId="77777777" w:rsidTr="00CA74EF">
        <w:trPr>
          <w:trHeight w:val="840"/>
        </w:trPr>
        <w:tc>
          <w:tcPr>
            <w:tcW w:w="2468" w:type="dxa"/>
            <w:shd w:val="clear" w:color="auto" w:fill="auto"/>
            <w:vAlign w:val="center"/>
          </w:tcPr>
          <w:p w14:paraId="46263642" w14:textId="1E047B52" w:rsidR="00D05CE7" w:rsidRPr="00053C1E" w:rsidRDefault="00D05CE7" w:rsidP="00053C1E">
            <w:pPr>
              <w:widowControl/>
              <w:spacing w:line="300" w:lineRule="auto"/>
              <w:jc w:val="center"/>
              <w:rPr>
                <w:rFonts w:ascii="Times New Roman" w:eastAsia="等线" w:hAnsi="Times New Roman" w:cs="Times New Roman"/>
                <w:i/>
                <w:iCs/>
                <w:color w:val="000000"/>
                <w:kern w:val="0"/>
                <w:sz w:val="24"/>
                <w:szCs w:val="24"/>
              </w:rPr>
            </w:pPr>
            <w:proofErr w:type="spellStart"/>
            <w:r w:rsidRPr="00053C1E">
              <w:rPr>
                <w:rFonts w:ascii="Times New Roman" w:eastAsia="等线" w:hAnsi="Times New Roman" w:cs="Times New Roman"/>
                <w:i/>
                <w:iCs/>
                <w:color w:val="000000"/>
                <w:kern w:val="0"/>
                <w:sz w:val="24"/>
                <w:szCs w:val="24"/>
              </w:rPr>
              <w:t>Paraburkholderia</w:t>
            </w:r>
            <w:proofErr w:type="spellEnd"/>
            <w:r w:rsidRPr="00053C1E">
              <w:rPr>
                <w:rFonts w:ascii="Times New Roman" w:eastAsia="等线" w:hAnsi="Times New Roman" w:cs="Times New Roman"/>
                <w:i/>
                <w:iCs/>
                <w:color w:val="000000"/>
                <w:kern w:val="0"/>
                <w:sz w:val="24"/>
                <w:szCs w:val="24"/>
              </w:rPr>
              <w:t xml:space="preserve"> </w:t>
            </w:r>
            <w:proofErr w:type="spellStart"/>
            <w:r w:rsidRPr="00053C1E">
              <w:rPr>
                <w:rFonts w:ascii="Times New Roman" w:eastAsia="等线" w:hAnsi="Times New Roman" w:cs="Times New Roman"/>
                <w:i/>
                <w:iCs/>
                <w:color w:val="000000"/>
                <w:kern w:val="0"/>
                <w:sz w:val="24"/>
                <w:szCs w:val="24"/>
              </w:rPr>
              <w:t>sacchari</w:t>
            </w:r>
            <w:proofErr w:type="spellEnd"/>
          </w:p>
        </w:tc>
        <w:tc>
          <w:tcPr>
            <w:tcW w:w="2272" w:type="dxa"/>
            <w:shd w:val="clear" w:color="auto" w:fill="auto"/>
            <w:vAlign w:val="center"/>
          </w:tcPr>
          <w:p w14:paraId="42FC6568" w14:textId="721D90A4" w:rsidR="00D05CE7" w:rsidRPr="00053C1E" w:rsidRDefault="00E80D8B"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D-</w:t>
            </w:r>
            <w:r w:rsidR="00D05CE7" w:rsidRPr="00053C1E">
              <w:rPr>
                <w:rFonts w:ascii="Times New Roman" w:eastAsia="等线" w:hAnsi="Times New Roman" w:cs="Times New Roman" w:hint="eastAsia"/>
                <w:color w:val="000000"/>
                <w:kern w:val="0"/>
                <w:sz w:val="24"/>
                <w:szCs w:val="24"/>
              </w:rPr>
              <w:t>x</w:t>
            </w:r>
            <w:r w:rsidR="00D05CE7" w:rsidRPr="00053C1E">
              <w:rPr>
                <w:rFonts w:ascii="Times New Roman" w:eastAsia="等线" w:hAnsi="Times New Roman" w:cs="Times New Roman"/>
                <w:color w:val="000000"/>
                <w:kern w:val="0"/>
                <w:sz w:val="24"/>
                <w:szCs w:val="24"/>
              </w:rPr>
              <w:t>ylose</w:t>
            </w:r>
          </w:p>
        </w:tc>
        <w:tc>
          <w:tcPr>
            <w:tcW w:w="1397" w:type="dxa"/>
            <w:shd w:val="clear" w:color="auto" w:fill="auto"/>
            <w:vAlign w:val="center"/>
          </w:tcPr>
          <w:p w14:paraId="67CB220B" w14:textId="26C8381D" w:rsidR="00D05CE7"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373.5</w:t>
            </w:r>
          </w:p>
        </w:tc>
        <w:tc>
          <w:tcPr>
            <w:tcW w:w="1576" w:type="dxa"/>
            <w:shd w:val="clear" w:color="auto" w:fill="auto"/>
            <w:noWrap/>
            <w:vAlign w:val="center"/>
          </w:tcPr>
          <w:p w14:paraId="76E5E2F9" w14:textId="0D483FAE" w:rsidR="00D05CE7"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w:t>
            </w:r>
            <w:r w:rsidRPr="00053C1E">
              <w:rPr>
                <w:rFonts w:ascii="Times New Roman" w:eastAsia="等线" w:hAnsi="Times New Roman" w:cs="Times New Roman"/>
                <w:color w:val="000000"/>
                <w:kern w:val="0"/>
                <w:sz w:val="24"/>
                <w:szCs w:val="24"/>
              </w:rPr>
              <w:t>100</w:t>
            </w:r>
          </w:p>
        </w:tc>
        <w:tc>
          <w:tcPr>
            <w:tcW w:w="1874" w:type="dxa"/>
            <w:shd w:val="clear" w:color="auto" w:fill="auto"/>
            <w:vAlign w:val="center"/>
          </w:tcPr>
          <w:p w14:paraId="6C4168A2" w14:textId="4F0A0BC3" w:rsidR="00D05CE7"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4.42</w:t>
            </w:r>
          </w:p>
        </w:tc>
        <w:tc>
          <w:tcPr>
            <w:tcW w:w="1753" w:type="dxa"/>
            <w:shd w:val="clear" w:color="auto" w:fill="auto"/>
            <w:vAlign w:val="center"/>
          </w:tcPr>
          <w:p w14:paraId="24580A8F" w14:textId="64C7EFFD" w:rsidR="00D05CE7"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F</w:t>
            </w:r>
            <w:r w:rsidRPr="00053C1E">
              <w:rPr>
                <w:rFonts w:ascii="Times New Roman" w:eastAsia="等线" w:hAnsi="Times New Roman" w:cs="Times New Roman"/>
                <w:color w:val="000000"/>
                <w:kern w:val="0"/>
                <w:sz w:val="24"/>
                <w:szCs w:val="24"/>
              </w:rPr>
              <w:t xml:space="preserve">ed-batch fermentation. </w:t>
            </w:r>
          </w:p>
        </w:tc>
        <w:tc>
          <w:tcPr>
            <w:tcW w:w="1134" w:type="dxa"/>
            <w:shd w:val="clear" w:color="auto" w:fill="auto"/>
            <w:vAlign w:val="center"/>
          </w:tcPr>
          <w:p w14:paraId="6099E597" w14:textId="16586EA0" w:rsidR="00D05CE7"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air</w:t>
            </w:r>
          </w:p>
        </w:tc>
        <w:tc>
          <w:tcPr>
            <w:tcW w:w="1474" w:type="dxa"/>
            <w:shd w:val="clear" w:color="auto" w:fill="auto"/>
            <w:vAlign w:val="center"/>
          </w:tcPr>
          <w:p w14:paraId="0B09C34D" w14:textId="119AD0FB" w:rsidR="00D05CE7"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001E4199" w:rsidRPr="00053C1E">
              <w:rPr>
                <w:rFonts w:ascii="Times New Roman" w:eastAsia="等线" w:hAnsi="Times New Roman" w:cs="Times New Roman"/>
                <w:color w:val="000000"/>
                <w:kern w:val="0"/>
                <w:sz w:val="24"/>
                <w:szCs w:val="24"/>
              </w:rPr>
              <w:instrText>ADDIN CSL_CITATION {"citationItems":[{"id":"ITEM-1","itemData":{"DOI":"10.1016/j.bej.2021.107982","ISSN":"1369703X","author":[{"dropping-particle":"","family":"Bondar","given":"Maryna","non-dropping-particle":"","parse-names":false,"suffix":""},{"dropping-particle":"","family":"Fonseca","given":"M. Manuela R.","non-dropping-particle":"da","parse-names":false,"suffix":""},{"dropping-particle":"","family":"Cesário","given":"M. Teresa","non-dropping-particle":"","parse-names":false,"suffix":""}],"container-title":"Biochemical Engineering Journal","id":"ITEM-1","issued":{"date-parts":[["2021"]]},"title":"Xylonic acid production from xylose by Paraburkholderia sacchari","type":"article-journal"},"uris":["http://www.mendeley.com/documents/?uuid=23dee530-abb8-3703-b696-0a47cd8e9900"]}],"mendeley":{"formattedCitation":"(Bondar et al., 2021)","manualFormatting":"Bondar et al., 2021","plainTextFormattedCitation":"(Bondar et al., 2021)","previouslyFormattedCitation":"(Bondar et al., 2021)"},"properties":{"noteIndex":0},"schema":"https://github.com/citation-style-language/schema/raw/master/csl-citation.json"}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Bondar et al., 2021</w:t>
            </w:r>
            <w:r w:rsidRPr="00053C1E">
              <w:rPr>
                <w:rFonts w:ascii="Times New Roman" w:eastAsia="等线" w:hAnsi="Times New Roman" w:cs="Times New Roman"/>
                <w:color w:val="000000"/>
                <w:kern w:val="0"/>
                <w:sz w:val="24"/>
                <w:szCs w:val="24"/>
              </w:rPr>
              <w:fldChar w:fldCharType="end"/>
            </w:r>
          </w:p>
        </w:tc>
      </w:tr>
      <w:tr w:rsidR="00CD3480" w:rsidRPr="00053C1E" w14:paraId="7D78F184" w14:textId="77777777" w:rsidTr="00CD3480">
        <w:trPr>
          <w:trHeight w:val="560"/>
        </w:trPr>
        <w:tc>
          <w:tcPr>
            <w:tcW w:w="2468" w:type="dxa"/>
            <w:shd w:val="clear" w:color="auto" w:fill="auto"/>
            <w:vAlign w:val="center"/>
          </w:tcPr>
          <w:p w14:paraId="68A11130" w14:textId="41DC54CC" w:rsidR="00CD3480" w:rsidRPr="00053C1E" w:rsidRDefault="00D05CE7" w:rsidP="00053C1E">
            <w:pPr>
              <w:widowControl/>
              <w:spacing w:line="300" w:lineRule="auto"/>
              <w:jc w:val="center"/>
              <w:rPr>
                <w:rFonts w:ascii="Times New Roman" w:eastAsia="等线" w:hAnsi="Times New Roman" w:cs="Times New Roman"/>
                <w:i/>
                <w:iCs/>
                <w:color w:val="000000"/>
                <w:kern w:val="0"/>
                <w:sz w:val="24"/>
                <w:szCs w:val="24"/>
              </w:rPr>
            </w:pPr>
            <w:r w:rsidRPr="00053C1E">
              <w:rPr>
                <w:rFonts w:ascii="Times New Roman" w:eastAsia="等线" w:hAnsi="Times New Roman" w:cs="Times New Roman"/>
                <w:i/>
                <w:iCs/>
                <w:color w:val="000000"/>
                <w:kern w:val="0"/>
                <w:sz w:val="24"/>
                <w:szCs w:val="24"/>
              </w:rPr>
              <w:t>Pseudomonas putida</w:t>
            </w:r>
            <w:r w:rsidRPr="00053C1E">
              <w:rPr>
                <w:rFonts w:ascii="Times New Roman" w:eastAsia="等线" w:hAnsi="Times New Roman" w:cs="Times New Roman"/>
                <w:i/>
                <w:iCs/>
                <w:color w:val="000000"/>
                <w:kern w:val="0"/>
                <w:sz w:val="24"/>
                <w:szCs w:val="24"/>
              </w:rPr>
              <w:tab/>
            </w:r>
          </w:p>
        </w:tc>
        <w:tc>
          <w:tcPr>
            <w:tcW w:w="2272" w:type="dxa"/>
            <w:shd w:val="clear" w:color="auto" w:fill="auto"/>
            <w:vAlign w:val="center"/>
          </w:tcPr>
          <w:p w14:paraId="061D55F4" w14:textId="7342D88A" w:rsidR="00CD3480" w:rsidRPr="00053C1E" w:rsidRDefault="00E80D8B"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D-</w:t>
            </w:r>
            <w:r w:rsidR="00D05CE7" w:rsidRPr="00053C1E">
              <w:rPr>
                <w:rFonts w:ascii="Times New Roman" w:eastAsia="等线" w:hAnsi="Times New Roman" w:cs="Times New Roman"/>
                <w:color w:val="000000"/>
                <w:kern w:val="0"/>
                <w:sz w:val="24"/>
                <w:szCs w:val="24"/>
              </w:rPr>
              <w:t>xylose</w:t>
            </w:r>
          </w:p>
        </w:tc>
        <w:tc>
          <w:tcPr>
            <w:tcW w:w="1397" w:type="dxa"/>
            <w:shd w:val="clear" w:color="auto" w:fill="auto"/>
            <w:vAlign w:val="center"/>
          </w:tcPr>
          <w:p w14:paraId="2E771A41" w14:textId="5628AF46" w:rsidR="00CD3480"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8</w:t>
            </w:r>
            <w:r w:rsidRPr="00053C1E">
              <w:rPr>
                <w:rFonts w:ascii="Times New Roman" w:eastAsia="等线" w:hAnsi="Times New Roman" w:cs="Times New Roman"/>
                <w:color w:val="000000"/>
                <w:kern w:val="0"/>
                <w:sz w:val="24"/>
                <w:szCs w:val="24"/>
              </w:rPr>
              <w:t>.5</w:t>
            </w:r>
          </w:p>
        </w:tc>
        <w:tc>
          <w:tcPr>
            <w:tcW w:w="1576" w:type="dxa"/>
            <w:shd w:val="clear" w:color="auto" w:fill="auto"/>
            <w:noWrap/>
            <w:vAlign w:val="center"/>
          </w:tcPr>
          <w:p w14:paraId="2A36F453" w14:textId="23172D71" w:rsidR="00CD3480"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7</w:t>
            </w:r>
            <w:r w:rsidRPr="00053C1E">
              <w:rPr>
                <w:rFonts w:ascii="Times New Roman" w:eastAsia="等线" w:hAnsi="Times New Roman" w:cs="Times New Roman"/>
                <w:color w:val="000000"/>
                <w:kern w:val="0"/>
                <w:sz w:val="24"/>
                <w:szCs w:val="24"/>
              </w:rPr>
              <w:t>6.8</w:t>
            </w:r>
          </w:p>
        </w:tc>
        <w:tc>
          <w:tcPr>
            <w:tcW w:w="1874" w:type="dxa"/>
            <w:shd w:val="clear" w:color="auto" w:fill="auto"/>
            <w:noWrap/>
            <w:vAlign w:val="center"/>
          </w:tcPr>
          <w:p w14:paraId="1947DD49" w14:textId="1E68F26A" w:rsidR="00CD3480"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0</w:t>
            </w:r>
            <w:r w:rsidRPr="00053C1E">
              <w:rPr>
                <w:rFonts w:ascii="Times New Roman" w:eastAsia="等线" w:hAnsi="Times New Roman" w:cs="Times New Roman"/>
                <w:color w:val="000000"/>
                <w:kern w:val="0"/>
                <w:sz w:val="24"/>
                <w:szCs w:val="24"/>
              </w:rPr>
              <w:t>.56</w:t>
            </w:r>
          </w:p>
        </w:tc>
        <w:tc>
          <w:tcPr>
            <w:tcW w:w="1753" w:type="dxa"/>
            <w:shd w:val="clear" w:color="auto" w:fill="auto"/>
            <w:vAlign w:val="center"/>
          </w:tcPr>
          <w:p w14:paraId="7500F7C8" w14:textId="3AC138C1" w:rsidR="00CD3480" w:rsidRPr="00053C1E" w:rsidRDefault="00D05CE7" w:rsidP="00053C1E">
            <w:pPr>
              <w:widowControl/>
              <w:spacing w:line="300" w:lineRule="auto"/>
              <w:jc w:val="center"/>
              <w:rPr>
                <w:rFonts w:ascii="Times New Roman" w:eastAsia="等线" w:hAnsi="Times New Roman" w:cs="Times New Roman"/>
                <w:color w:val="000000"/>
                <w:sz w:val="24"/>
                <w:szCs w:val="24"/>
              </w:rPr>
            </w:pPr>
            <w:r w:rsidRPr="00053C1E">
              <w:rPr>
                <w:rFonts w:ascii="Times New Roman" w:eastAsia="等线" w:hAnsi="Times New Roman" w:cs="Times New Roman"/>
                <w:color w:val="000000"/>
                <w:sz w:val="24"/>
                <w:szCs w:val="24"/>
              </w:rPr>
              <w:t>Whole cell catalysis.</w:t>
            </w:r>
          </w:p>
        </w:tc>
        <w:tc>
          <w:tcPr>
            <w:tcW w:w="1134" w:type="dxa"/>
            <w:shd w:val="clear" w:color="auto" w:fill="auto"/>
            <w:vAlign w:val="center"/>
          </w:tcPr>
          <w:p w14:paraId="412EB1B0" w14:textId="390B54F5" w:rsidR="00CD3480"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air</w:t>
            </w:r>
          </w:p>
        </w:tc>
        <w:tc>
          <w:tcPr>
            <w:tcW w:w="1474" w:type="dxa"/>
            <w:shd w:val="clear" w:color="auto" w:fill="auto"/>
            <w:noWrap/>
            <w:vAlign w:val="center"/>
          </w:tcPr>
          <w:p w14:paraId="3763747F" w14:textId="7DAD847D" w:rsidR="00CD3480"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001E4199" w:rsidRPr="00053C1E">
              <w:rPr>
                <w:rFonts w:ascii="Times New Roman" w:eastAsia="等线" w:hAnsi="Times New Roman" w:cs="Times New Roman"/>
                <w:color w:val="000000"/>
                <w:kern w:val="0"/>
                <w:sz w:val="24"/>
                <w:szCs w:val="24"/>
              </w:rPr>
              <w:instrText>ADDIN CSL_CITATION {"citationItems":[{"id":"ITEM-1","itemData":{"DOI":"10.1111/1751-7915.13574","ISSN":"17517915","abstract":"Co-production of two or more desirable compounds from low-cost substrates by a single microbial catalyst could greatly improve the economic competitiveness of many biotechnological processes. However, reports demonstrating the adoption of such co-production strategy are still scarce. In this study, the ability of genome-edited strain Pseudomonas putida EM42 to simultaneously valorize d-xylose and d-cellobiose – two important lignocellulosic carbohydrates – by converting them into the platform chemical d-xylonate and medium-chain-length polyhydroxyalkanoates, respectively, was investigated. Biotransformation experiments performed with P. putida resting cells showed that promiscuous periplasmic glucose oxidation route can efficiently generate extracellular xylonate with a high yield. Xylose oxidation was subsequently coupled to the growth of P. putida with cytoplasmic β-glucosidase BglC from Thermobifida fusca on d-cellobiose. This disaccharide turned out to be a better co-substrate for xylose-to-xylonate biotransformation than monomeric glucose. This was because unlike glucose, cellobiose did not block oxidation of the pentose by periplasmic glucose dehydrogenase Gcd, but, similarly to glucose, it was a suitable substrate for polyhydroxyalkanoate formation in P. putida. Co-production of extracellular xylose-born xylonate and intracellular cellobiose-born medium-chain-length polyhydroxyalkanoates was established in proof-of-concept experiments with P. putida grown on the disaccharide. This study highlights the potential of P. putida EM42 as a microbial platform for the production of xylonate, identifies cellobiose as a new substrate for mcl-PHA production, and proposes a fresh strategy for the simultaneous valorization of xylose and cellobiose.","author":[{"dropping-particle":"","family":"Dvořák","given":"Pavel","non-dropping-particle":"","parse-names":false,"suffix":""},{"dropping-particle":"","family":"Kováč","given":"Jozef","non-dropping-particle":"","parse-names":false,"suffix":""},{"dropping-particle":"","family":"Lorenzo","given":"Víctor","non-dropping-particle":"de","parse-names":false,"suffix":""}],"container-title":"Microbial Biotechnology","id":"ITEM-1","issue":"4","issued":{"date-parts":[["2020"]]},"title":"Biotransformation of d-xylose to d-xylonate coupled to medium-chain-length polyhydroxyalkanoate production in cellobiose-grown Pseudomonas putida EM42","type":"article-journal","volume":"13"},"uris":["http://www.mendeley.com/documents/?uuid=d0d8c3ee-7167-3abd-8670-b3c677b415b2"]}],"mendeley":{"formattedCitation":"(Dvořák et al., 2020)","manualFormatting":"Dvořák et al., 2020","plainTextFormattedCitation":"(Dvořák et al., 2020)","previouslyFormattedCitation":"(Dvořák et al., 2020)"},"properties":{"noteIndex":0},"schema":"https://github.com/citation-style-language/schema/raw/master/csl-citation.json"}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Dvořák et al., 2020</w:t>
            </w:r>
            <w:r w:rsidRPr="00053C1E">
              <w:rPr>
                <w:rFonts w:ascii="Times New Roman" w:eastAsia="等线" w:hAnsi="Times New Roman" w:cs="Times New Roman"/>
                <w:color w:val="000000"/>
                <w:kern w:val="0"/>
                <w:sz w:val="24"/>
                <w:szCs w:val="24"/>
              </w:rPr>
              <w:fldChar w:fldCharType="end"/>
            </w:r>
          </w:p>
        </w:tc>
      </w:tr>
      <w:tr w:rsidR="00CD3480" w:rsidRPr="00053C1E" w14:paraId="494C2640" w14:textId="77777777" w:rsidTr="00CD3480">
        <w:trPr>
          <w:trHeight w:val="840"/>
        </w:trPr>
        <w:tc>
          <w:tcPr>
            <w:tcW w:w="2468" w:type="dxa"/>
            <w:shd w:val="clear" w:color="auto" w:fill="auto"/>
            <w:vAlign w:val="center"/>
          </w:tcPr>
          <w:p w14:paraId="23D65CCD" w14:textId="7C252E17" w:rsidR="00CD3480" w:rsidRPr="00053C1E" w:rsidRDefault="00D05CE7" w:rsidP="00053C1E">
            <w:pPr>
              <w:widowControl/>
              <w:spacing w:line="300" w:lineRule="auto"/>
              <w:jc w:val="center"/>
              <w:rPr>
                <w:rFonts w:ascii="Times New Roman" w:eastAsia="等线" w:hAnsi="Times New Roman" w:cs="Times New Roman"/>
                <w:i/>
                <w:iCs/>
                <w:color w:val="000000"/>
                <w:kern w:val="0"/>
                <w:sz w:val="24"/>
                <w:szCs w:val="24"/>
              </w:rPr>
            </w:pPr>
            <w:r w:rsidRPr="00053C1E">
              <w:rPr>
                <w:rFonts w:ascii="Times New Roman" w:eastAsia="等线" w:hAnsi="Times New Roman" w:cs="Times New Roman"/>
                <w:i/>
                <w:iCs/>
                <w:color w:val="000000"/>
                <w:kern w:val="0"/>
                <w:sz w:val="24"/>
                <w:szCs w:val="24"/>
              </w:rPr>
              <w:t>Candida</w:t>
            </w:r>
            <w:r w:rsidR="00E31A92" w:rsidRPr="00053C1E">
              <w:rPr>
                <w:rFonts w:ascii="Times New Roman" w:eastAsia="等线" w:hAnsi="Times New Roman" w:cs="Times New Roman"/>
                <w:i/>
                <w:iCs/>
                <w:color w:val="000000"/>
                <w:kern w:val="0"/>
                <w:sz w:val="24"/>
                <w:szCs w:val="24"/>
              </w:rPr>
              <w:t xml:space="preserve"> </w:t>
            </w:r>
            <w:proofErr w:type="spellStart"/>
            <w:r w:rsidRPr="00053C1E">
              <w:rPr>
                <w:rFonts w:ascii="Times New Roman" w:eastAsia="等线" w:hAnsi="Times New Roman" w:cs="Times New Roman"/>
                <w:i/>
                <w:iCs/>
                <w:color w:val="000000"/>
                <w:kern w:val="0"/>
                <w:sz w:val="24"/>
                <w:szCs w:val="24"/>
              </w:rPr>
              <w:t>glycerinogenes</w:t>
            </w:r>
            <w:proofErr w:type="spellEnd"/>
          </w:p>
        </w:tc>
        <w:tc>
          <w:tcPr>
            <w:tcW w:w="2272" w:type="dxa"/>
            <w:shd w:val="clear" w:color="auto" w:fill="auto"/>
            <w:vAlign w:val="center"/>
          </w:tcPr>
          <w:p w14:paraId="71B2E416" w14:textId="667A14CD" w:rsidR="00CD3480" w:rsidRPr="00053C1E" w:rsidRDefault="00E80D8B"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D-</w:t>
            </w:r>
            <w:r w:rsidR="00D05CE7" w:rsidRPr="00053C1E">
              <w:rPr>
                <w:rFonts w:ascii="Times New Roman" w:eastAsia="等线" w:hAnsi="Times New Roman" w:cs="Times New Roman"/>
                <w:color w:val="000000"/>
                <w:kern w:val="0"/>
                <w:sz w:val="24"/>
                <w:szCs w:val="24"/>
              </w:rPr>
              <w:t>xylose</w:t>
            </w:r>
          </w:p>
        </w:tc>
        <w:tc>
          <w:tcPr>
            <w:tcW w:w="1397" w:type="dxa"/>
            <w:shd w:val="clear" w:color="auto" w:fill="auto"/>
            <w:vAlign w:val="center"/>
          </w:tcPr>
          <w:p w14:paraId="76E501FF" w14:textId="73713FB4" w:rsidR="00CD3480"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38</w:t>
            </w:r>
          </w:p>
        </w:tc>
        <w:tc>
          <w:tcPr>
            <w:tcW w:w="1576" w:type="dxa"/>
            <w:shd w:val="clear" w:color="auto" w:fill="auto"/>
            <w:noWrap/>
            <w:vAlign w:val="center"/>
          </w:tcPr>
          <w:p w14:paraId="4A8A83F4" w14:textId="226CE272" w:rsidR="00CD3480"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68.7</w:t>
            </w:r>
          </w:p>
        </w:tc>
        <w:tc>
          <w:tcPr>
            <w:tcW w:w="1874" w:type="dxa"/>
            <w:shd w:val="clear" w:color="auto" w:fill="auto"/>
            <w:vAlign w:val="center"/>
          </w:tcPr>
          <w:p w14:paraId="3EF50C45" w14:textId="1392ADE6" w:rsidR="00CD3480"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0</w:t>
            </w:r>
            <w:r w:rsidRPr="00053C1E">
              <w:rPr>
                <w:rFonts w:ascii="Times New Roman" w:eastAsia="等线" w:hAnsi="Times New Roman" w:cs="Times New Roman"/>
                <w:color w:val="000000"/>
                <w:kern w:val="0"/>
                <w:sz w:val="24"/>
                <w:szCs w:val="24"/>
              </w:rPr>
              <w:t>.79</w:t>
            </w:r>
          </w:p>
        </w:tc>
        <w:tc>
          <w:tcPr>
            <w:tcW w:w="1753" w:type="dxa"/>
            <w:shd w:val="clear" w:color="auto" w:fill="auto"/>
            <w:vAlign w:val="center"/>
          </w:tcPr>
          <w:p w14:paraId="59E48ABB" w14:textId="4F5852A6" w:rsidR="00CD3480"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Fermentation.</w:t>
            </w:r>
          </w:p>
        </w:tc>
        <w:tc>
          <w:tcPr>
            <w:tcW w:w="1134" w:type="dxa"/>
            <w:shd w:val="clear" w:color="auto" w:fill="auto"/>
            <w:vAlign w:val="center"/>
          </w:tcPr>
          <w:p w14:paraId="2FAB15B4" w14:textId="4FFF3509" w:rsidR="00CD3480"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air</w:t>
            </w:r>
          </w:p>
        </w:tc>
        <w:tc>
          <w:tcPr>
            <w:tcW w:w="1474" w:type="dxa"/>
            <w:shd w:val="clear" w:color="auto" w:fill="auto"/>
            <w:vAlign w:val="center"/>
          </w:tcPr>
          <w:p w14:paraId="516C7833" w14:textId="572B7602" w:rsidR="00CD3480" w:rsidRPr="00053C1E" w:rsidRDefault="00D05CE7"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001E4199" w:rsidRPr="00053C1E">
              <w:rPr>
                <w:rFonts w:ascii="Times New Roman" w:eastAsia="等线" w:hAnsi="Times New Roman" w:cs="Times New Roman"/>
                <w:color w:val="000000"/>
                <w:kern w:val="0"/>
                <w:sz w:val="24"/>
                <w:szCs w:val="24"/>
              </w:rPr>
              <w:instrText>ADDIN CSL_CITATION {"citationItems":[{"id":"ITEM-1","itemData":{"DOI":"10.1080/21655979.2017.1312229","ISSN":"21655987","abstract":"The tolerant yeast Candida glycerinogenes, with high D-xylonate and low-pH tolerances, was used as the host for D-xylonate production at low pH in this study. A low-pH inducible promoter, pGUKd, was engineered using the core promoter of the glyceraldehyde-3-phosphate dehydrogenase gene (pGAP) combined with the upstream activating sequence of the promoter of the guanylate kinase gene (pGUK1) that had substituted pH-responsive TF binding sites. The recombinant cells that expressed GFP from the hybrid promoter pGUKd displayed dramatically increased fluorescence intensity at pH 2.5, thus verifying that pGUKd is a low-pH inducible promoter. The promoter pGUKd was then used to express the D-xylose dehydrogenase gene xylB, resulting in increased expression levels of xylB at low pH. The recombinant protein exhibited higher specific activities under lower pH conditions and produced 38 g/l D-xylonate at pH 2.5. This rate is much higher than that produced by fermentation at pH 5.5. These results suggest that the novel hybrid promoter pGUKd functions to direct the production of D-xylonate at low pH, and we provide a candidate genetic tool for the stress tolerant yeast C. glycerinogenes.","author":[{"dropping-particle":"","family":"Ji","given":"Hao","non-dropping-particle":"","parse-names":false,"suffix":""},{"dropping-particle":"","family":"Lu","given":"Xinyao","non-dropping-particle":"","parse-names":false,"suffix":""},{"dropping-particle":"","family":"Zong","given":"Hong","non-dropping-particle":"","parse-names":false,"suffix":""},{"dropping-particle":"","family":"Zhuge","given":"Bin","non-dropping-particle":"","parse-names":false,"suffix":""}],"container-title":"Bioengineered","id":"ITEM-1","issue":"6","issued":{"date-parts":[["2017"]]},"title":"A synthetic hybrid promoter for D-xylonate production at low pH in the tolerant yeast Candida glycerinogenes","type":"article-journal","volume":"8"},"uris":["http://www.mendeley.com/documents/?uuid=aa35cb61-1b52-33fe-83de-db5dec086100"]}],"mendeley":{"formattedCitation":"(Ji et al., 2017)","manualFormatting":"Ji et al., 2017","plainTextFormattedCitation":"(Ji et al., 2017)","previouslyFormattedCitation":"(Ji et al., 2017)"},"properties":{"noteIndex":0},"schema":"https://github.com/citation-style-language/schema/raw/master/csl-citation.json"}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Ji et al., 2017</w:t>
            </w:r>
            <w:r w:rsidRPr="00053C1E">
              <w:rPr>
                <w:rFonts w:ascii="Times New Roman" w:eastAsia="等线" w:hAnsi="Times New Roman" w:cs="Times New Roman"/>
                <w:color w:val="000000"/>
                <w:kern w:val="0"/>
                <w:sz w:val="24"/>
                <w:szCs w:val="24"/>
              </w:rPr>
              <w:fldChar w:fldCharType="end"/>
            </w:r>
          </w:p>
        </w:tc>
      </w:tr>
      <w:tr w:rsidR="001E4199" w:rsidRPr="00053C1E" w14:paraId="021C655E" w14:textId="77777777" w:rsidTr="00CD3480">
        <w:trPr>
          <w:trHeight w:val="560"/>
        </w:trPr>
        <w:tc>
          <w:tcPr>
            <w:tcW w:w="2468" w:type="dxa"/>
            <w:shd w:val="clear" w:color="auto" w:fill="auto"/>
            <w:vAlign w:val="center"/>
          </w:tcPr>
          <w:p w14:paraId="09644A68" w14:textId="074416F4"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hAnsi="Times New Roman" w:cs="Times New Roman"/>
                <w:i/>
                <w:iCs/>
                <w:sz w:val="24"/>
                <w:szCs w:val="24"/>
              </w:rPr>
              <w:t>Pse</w:t>
            </w:r>
            <w:r w:rsidRPr="00053C1E">
              <w:rPr>
                <w:rFonts w:ascii="Times New Roman" w:hAnsi="Times New Roman" w:cs="Times New Roman"/>
                <w:i/>
                <w:iCs/>
                <w:color w:val="000000"/>
                <w:sz w:val="24"/>
                <w:szCs w:val="24"/>
              </w:rPr>
              <w:t xml:space="preserve">udomonas </w:t>
            </w:r>
            <w:proofErr w:type="spellStart"/>
            <w:r w:rsidRPr="00053C1E">
              <w:rPr>
                <w:rFonts w:ascii="Times New Roman" w:hAnsi="Times New Roman" w:cs="Times New Roman"/>
                <w:i/>
                <w:iCs/>
                <w:color w:val="000000"/>
                <w:sz w:val="24"/>
                <w:szCs w:val="24"/>
              </w:rPr>
              <w:t>fragi</w:t>
            </w:r>
            <w:proofErr w:type="spellEnd"/>
          </w:p>
        </w:tc>
        <w:tc>
          <w:tcPr>
            <w:tcW w:w="2272" w:type="dxa"/>
            <w:shd w:val="clear" w:color="auto" w:fill="auto"/>
            <w:vAlign w:val="center"/>
          </w:tcPr>
          <w:p w14:paraId="6787337F" w14:textId="747CE140" w:rsidR="001E4199" w:rsidRPr="00053C1E" w:rsidRDefault="00E80D8B"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D-</w:t>
            </w:r>
            <w:r w:rsidR="001E4199" w:rsidRPr="00053C1E">
              <w:rPr>
                <w:rFonts w:ascii="Times New Roman" w:eastAsia="等线" w:hAnsi="Times New Roman" w:cs="Times New Roman" w:hint="eastAsia"/>
                <w:color w:val="000000"/>
                <w:kern w:val="0"/>
                <w:sz w:val="24"/>
                <w:szCs w:val="24"/>
              </w:rPr>
              <w:t>x</w:t>
            </w:r>
            <w:r w:rsidR="001E4199" w:rsidRPr="00053C1E">
              <w:rPr>
                <w:rFonts w:ascii="Times New Roman" w:eastAsia="等线" w:hAnsi="Times New Roman" w:cs="Times New Roman"/>
                <w:color w:val="000000"/>
                <w:kern w:val="0"/>
                <w:sz w:val="24"/>
                <w:szCs w:val="24"/>
              </w:rPr>
              <w:t>ylose</w:t>
            </w:r>
          </w:p>
        </w:tc>
        <w:tc>
          <w:tcPr>
            <w:tcW w:w="1397" w:type="dxa"/>
            <w:shd w:val="clear" w:color="auto" w:fill="auto"/>
            <w:vAlign w:val="center"/>
          </w:tcPr>
          <w:p w14:paraId="48CF866C" w14:textId="280BE82E" w:rsidR="001E4199" w:rsidRPr="00053C1E" w:rsidRDefault="00AA2494" w:rsidP="00053C1E">
            <w:pPr>
              <w:widowControl/>
              <w:spacing w:line="300" w:lineRule="auto"/>
              <w:jc w:val="center"/>
              <w:rPr>
                <w:rFonts w:ascii="Times New Roman" w:eastAsia="等线" w:hAnsi="Times New Roman" w:cs="Times New Roman"/>
                <w:kern w:val="0"/>
                <w:sz w:val="24"/>
                <w:szCs w:val="24"/>
              </w:rPr>
            </w:pPr>
            <w:r w:rsidRPr="00053C1E">
              <w:rPr>
                <w:rFonts w:ascii="Times New Roman" w:eastAsia="等线" w:hAnsi="Times New Roman" w:cs="Times New Roman"/>
                <w:kern w:val="0"/>
                <w:sz w:val="24"/>
                <w:szCs w:val="24"/>
              </w:rPr>
              <w:t>162</w:t>
            </w:r>
          </w:p>
        </w:tc>
        <w:tc>
          <w:tcPr>
            <w:tcW w:w="1576" w:type="dxa"/>
            <w:shd w:val="clear" w:color="auto" w:fill="auto"/>
            <w:noWrap/>
            <w:vAlign w:val="center"/>
          </w:tcPr>
          <w:p w14:paraId="5C64BDAA" w14:textId="734B6FE4"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9</w:t>
            </w:r>
            <w:r w:rsidRPr="00053C1E">
              <w:rPr>
                <w:rFonts w:ascii="Times New Roman" w:eastAsia="等线" w:hAnsi="Times New Roman" w:cs="Times New Roman"/>
                <w:color w:val="000000"/>
                <w:kern w:val="0"/>
                <w:sz w:val="24"/>
                <w:szCs w:val="24"/>
              </w:rPr>
              <w:t>7.6</w:t>
            </w:r>
          </w:p>
        </w:tc>
        <w:tc>
          <w:tcPr>
            <w:tcW w:w="1874" w:type="dxa"/>
            <w:shd w:val="clear" w:color="auto" w:fill="auto"/>
            <w:vAlign w:val="center"/>
          </w:tcPr>
          <w:p w14:paraId="1FCD1A32" w14:textId="18FEBC19"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1</w:t>
            </w:r>
            <w:r w:rsidRPr="00053C1E">
              <w:rPr>
                <w:rFonts w:ascii="Times New Roman" w:eastAsia="等线" w:hAnsi="Times New Roman" w:cs="Times New Roman"/>
                <w:color w:val="000000"/>
                <w:kern w:val="0"/>
                <w:sz w:val="24"/>
                <w:szCs w:val="24"/>
              </w:rPr>
              <w:t>.4</w:t>
            </w:r>
          </w:p>
        </w:tc>
        <w:tc>
          <w:tcPr>
            <w:tcW w:w="1753" w:type="dxa"/>
            <w:shd w:val="clear" w:color="auto" w:fill="auto"/>
            <w:vAlign w:val="center"/>
          </w:tcPr>
          <w:p w14:paraId="1A72B82C" w14:textId="3F7FB6C3"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Fermentation.</w:t>
            </w:r>
          </w:p>
        </w:tc>
        <w:tc>
          <w:tcPr>
            <w:tcW w:w="1134" w:type="dxa"/>
            <w:shd w:val="clear" w:color="auto" w:fill="auto"/>
            <w:vAlign w:val="center"/>
          </w:tcPr>
          <w:p w14:paraId="3E1038D1" w14:textId="21933181"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air</w:t>
            </w:r>
          </w:p>
        </w:tc>
        <w:tc>
          <w:tcPr>
            <w:tcW w:w="1474" w:type="dxa"/>
            <w:shd w:val="clear" w:color="auto" w:fill="auto"/>
            <w:vAlign w:val="center"/>
          </w:tcPr>
          <w:p w14:paraId="0F6072AF" w14:textId="31B5A7EF" w:rsidR="001E4199" w:rsidRPr="00053C1E" w:rsidRDefault="00AA2494"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{"citationItems":[{"id":"ITEM-1","itemData":{"DOI":"10.1007/BF00251763","ISSN":"14320614","abstract":"Xylonic acid was produced by Pseudomonas fragi ATCC 4973 on 15% xylose medium with a yield of 96% of the theoretical. In the middle of the fermentation, growth was inhibited due to formation of inhibitory xylono-γ-lactone. The spontaneous, non-enzymatic hydrolysis of lactone accounted for only 19% of the hydrolysis demand, thus explaining the accumulation of xylonolactone in the broth. It appeared that high amounts of xylono-γ-lactone induced xylonolactonase enzyme, which brought about the total hydrolysis of xylonolactone. © 1988 Springer-Verlag.","author":[{"dropping-particle":"","family":"Buchert","given":"Johanna","non-dropping-particle":"","parse-names":false,"suffix":""},{"dropping-particle":"","family":"Viikari","given":"Liisa","non-dropping-particle":"","parse-names":false,"suffix":""}],"container-title":"Applied Microbiology and Biotechnology","id":"ITEM-1","issue":"4","issued":{"date-parts":[["1988"]]},"title":"The role of xylonolactone in xylonic acid production by Pseudomonas fragi","type":"article-journal","volume":"27"},"uris":["http://www.mendeley.com/documents/?uuid=083645d1-b7d3-3fa8-a7cc-2ccf2283988d"]}],"mendeley":{"formattedCitation":"(Buchert and Viikari, 1988)","manualFormatting":"Buchert and Viikari, 1988","plainTextFormattedCitation":"(Buchert and Viikari, 1988)"},"properties":{"noteIndex":0},"schema":"https://github.com/citation-style-language/schema/raw/master/csl-citation.json"}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Buchert and Viikari, 1988</w:t>
            </w:r>
            <w:r w:rsidRPr="00053C1E">
              <w:rPr>
                <w:rFonts w:ascii="Times New Roman" w:eastAsia="等线" w:hAnsi="Times New Roman" w:cs="Times New Roman"/>
                <w:color w:val="000000"/>
                <w:kern w:val="0"/>
                <w:sz w:val="24"/>
                <w:szCs w:val="24"/>
              </w:rPr>
              <w:fldChar w:fldCharType="end"/>
            </w:r>
          </w:p>
        </w:tc>
      </w:tr>
      <w:tr w:rsidR="001E4199" w:rsidRPr="00053C1E" w14:paraId="69F6E54D" w14:textId="77777777" w:rsidTr="006463BD">
        <w:trPr>
          <w:trHeight w:val="840"/>
        </w:trPr>
        <w:tc>
          <w:tcPr>
            <w:tcW w:w="2468" w:type="dxa"/>
            <w:shd w:val="clear" w:color="auto" w:fill="auto"/>
            <w:vAlign w:val="center"/>
            <w:hideMark/>
          </w:tcPr>
          <w:p w14:paraId="5EB81DBC" w14:textId="77777777" w:rsidR="001E4199" w:rsidRPr="00053C1E" w:rsidRDefault="001E4199" w:rsidP="00053C1E">
            <w:pPr>
              <w:widowControl/>
              <w:spacing w:line="300" w:lineRule="auto"/>
              <w:jc w:val="center"/>
              <w:rPr>
                <w:rFonts w:ascii="Times New Roman" w:eastAsia="等线" w:hAnsi="Times New Roman" w:cs="Times New Roman"/>
                <w:i/>
                <w:iCs/>
                <w:color w:val="000000"/>
                <w:kern w:val="0"/>
                <w:sz w:val="24"/>
                <w:szCs w:val="24"/>
              </w:rPr>
            </w:pPr>
            <w:bookmarkStart w:id="2" w:name="_Hlk69466287"/>
            <w:r w:rsidRPr="00053C1E">
              <w:rPr>
                <w:rFonts w:ascii="Times New Roman" w:eastAsia="等线" w:hAnsi="Times New Roman" w:cs="Times New Roman"/>
                <w:i/>
                <w:iCs/>
                <w:color w:val="000000"/>
                <w:kern w:val="0"/>
                <w:sz w:val="24"/>
                <w:szCs w:val="24"/>
              </w:rPr>
              <w:lastRenderedPageBreak/>
              <w:t xml:space="preserve">Pichia </w:t>
            </w:r>
            <w:proofErr w:type="spellStart"/>
            <w:r w:rsidRPr="00053C1E">
              <w:rPr>
                <w:rFonts w:ascii="Times New Roman" w:eastAsia="等线" w:hAnsi="Times New Roman" w:cs="Times New Roman"/>
                <w:i/>
                <w:iCs/>
                <w:color w:val="000000"/>
                <w:kern w:val="0"/>
                <w:sz w:val="24"/>
                <w:szCs w:val="24"/>
              </w:rPr>
              <w:t>kudriavzevii</w:t>
            </w:r>
            <w:bookmarkEnd w:id="2"/>
            <w:proofErr w:type="spellEnd"/>
          </w:p>
        </w:tc>
        <w:tc>
          <w:tcPr>
            <w:tcW w:w="2272" w:type="dxa"/>
            <w:shd w:val="clear" w:color="auto" w:fill="auto"/>
            <w:vAlign w:val="center"/>
            <w:hideMark/>
          </w:tcPr>
          <w:p w14:paraId="5859A5C3"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D-xylose</w:t>
            </w:r>
          </w:p>
        </w:tc>
        <w:tc>
          <w:tcPr>
            <w:tcW w:w="1397" w:type="dxa"/>
            <w:shd w:val="clear" w:color="auto" w:fill="auto"/>
            <w:vAlign w:val="center"/>
            <w:hideMark/>
          </w:tcPr>
          <w:p w14:paraId="02391C56"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171</w:t>
            </w:r>
          </w:p>
        </w:tc>
        <w:tc>
          <w:tcPr>
            <w:tcW w:w="1576" w:type="dxa"/>
            <w:shd w:val="clear" w:color="auto" w:fill="auto"/>
            <w:noWrap/>
            <w:vAlign w:val="center"/>
            <w:hideMark/>
          </w:tcPr>
          <w:p w14:paraId="6400B155"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90.36</w:t>
            </w:r>
          </w:p>
        </w:tc>
        <w:tc>
          <w:tcPr>
            <w:tcW w:w="1874" w:type="dxa"/>
            <w:shd w:val="clear" w:color="auto" w:fill="auto"/>
            <w:vAlign w:val="center"/>
            <w:hideMark/>
          </w:tcPr>
          <w:p w14:paraId="099FFC86"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1.4(initial)</w:t>
            </w:r>
          </w:p>
        </w:tc>
        <w:tc>
          <w:tcPr>
            <w:tcW w:w="1753" w:type="dxa"/>
            <w:shd w:val="clear" w:color="auto" w:fill="auto"/>
            <w:vAlign w:val="center"/>
            <w:hideMark/>
          </w:tcPr>
          <w:p w14:paraId="59A767B6" w14:textId="39D41579"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Fed-batch fermentation. </w:t>
            </w:r>
          </w:p>
        </w:tc>
        <w:tc>
          <w:tcPr>
            <w:tcW w:w="1134" w:type="dxa"/>
            <w:shd w:val="clear" w:color="auto" w:fill="auto"/>
            <w:vAlign w:val="center"/>
            <w:hideMark/>
          </w:tcPr>
          <w:p w14:paraId="06429274"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air</w:t>
            </w:r>
          </w:p>
        </w:tc>
        <w:tc>
          <w:tcPr>
            <w:tcW w:w="1474" w:type="dxa"/>
            <w:shd w:val="clear" w:color="auto" w:fill="auto"/>
            <w:noWrap/>
            <w:vAlign w:val="center"/>
            <w:hideMark/>
          </w:tcPr>
          <w:p w14:paraId="42F91DBE"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{"citationItems":[{"id":"ITEM-1","itemData":{"DOI":"10.1016/j.biortech.2013.01.157","ISSN":"18732976","abstract":"d-Xylonic acid is one of the top 30 most desirable chemicals to be derived from biomass sugars identified by the US Department of Energy, being applicable as a non-food substitute for d-gluconic acid and as a platform chemical. We engineered the non-conventional yeast Pichia kudriavzevii VTT C-79090T to express a d-xylose dehydrogenase coding gene from Caulobacter crescentus. With this single modification the recombinant P. kudriavzevii strain produced up to 171gL-1 of d-xylonate from 171gL-1 d-xylose at a rate of 1.4gL-1h-1 and yield of 1.0g [g substrate consumed]-1, which was comparable with d-xylonate production by Gluconobacter oxydans or Pseudomonas sp. The productivity of the strain was also remarkable at low pH, producing 146gL-1 d-xylonate at 1.2gL-1h-1 at pH 3.0. This is the best low pH production reported for d-xylonate. These results encourage further development towards industrial scale production. © 2013 Elsevier Ltd.","author":[{"dropping-particle":"","family":"Toivari","given":"Mervi","non-dropping-particle":"","parse-names":false,"suffix":""},{"dropping-particle":"","family":"Vehkomäki","given":"Maija Leena","non-dropping-particle":"","parse-names":false,"suffix":""},{"dropping-particle":"","family":"Nygård","given":"Yvonne","non-dropping-particle":"","parse-names":false,"suffix":""},{"dropping-particle":"","family":"Penttilä","given":"Merja","non-dropping-particle":"","parse-names":false,"suffix":""},{"dropping-particle":"","family":"Ruohonen","given":"Laura","non-dropping-particle":"","parse-names":false,"suffix":""},{"dropping-particle":"","family":"Wiebe","given":"Marilyn G.","non-dropping-particle":"","parse-names":false,"suffix":""}],"container-title":"Bioresource Technology","id":"ITEM-1","issued":{"date-parts":[["2013"]]},"title":"Low pH d-xylonate production with Pichia kudriavzevii","type":"article-journal","volume":"133"},"uris":["http://www.mendeley.com/documents/?uuid=aed2ea7d-9d1c-3145-a44c-34477e99c203"]}],"mendeley":{"formattedCitation":"(Toivari et al., 2013)","manualFormatting":"Toivari et al., 2013","plainTextFormattedCitation":"(Toivari et al., 2013)","previouslyFormattedCitation":"(Toivari et al., 2013)"},"properties":{"noteIndex":0},"schema":"https://github.com/citation-style-language/schema/raw/master/csl-citation.json"}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Toivari et al., 2013</w:t>
            </w:r>
            <w:r w:rsidRPr="00053C1E">
              <w:rPr>
                <w:rFonts w:ascii="Times New Roman" w:eastAsia="等线" w:hAnsi="Times New Roman" w:cs="Times New Roman"/>
                <w:color w:val="000000"/>
                <w:kern w:val="0"/>
                <w:sz w:val="24"/>
                <w:szCs w:val="24"/>
              </w:rPr>
              <w:fldChar w:fldCharType="end"/>
            </w:r>
          </w:p>
        </w:tc>
      </w:tr>
      <w:tr w:rsidR="001E4199" w:rsidRPr="00053C1E" w14:paraId="38416E65" w14:textId="77777777" w:rsidTr="006463BD">
        <w:trPr>
          <w:trHeight w:val="560"/>
        </w:trPr>
        <w:tc>
          <w:tcPr>
            <w:tcW w:w="2468" w:type="dxa"/>
            <w:shd w:val="clear" w:color="auto" w:fill="auto"/>
            <w:vAlign w:val="center"/>
            <w:hideMark/>
          </w:tcPr>
          <w:p w14:paraId="3FC7AEAA" w14:textId="77777777" w:rsidR="001E4199" w:rsidRPr="00053C1E" w:rsidRDefault="001E4199" w:rsidP="00053C1E">
            <w:pPr>
              <w:widowControl/>
              <w:spacing w:line="300" w:lineRule="auto"/>
              <w:jc w:val="center"/>
              <w:rPr>
                <w:rFonts w:ascii="Times New Roman" w:eastAsia="等线" w:hAnsi="Times New Roman" w:cs="Times New Roman"/>
                <w:i/>
                <w:iCs/>
                <w:color w:val="000000"/>
                <w:kern w:val="0"/>
                <w:sz w:val="24"/>
                <w:szCs w:val="24"/>
              </w:rPr>
            </w:pPr>
            <w:r w:rsidRPr="00053C1E">
              <w:rPr>
                <w:rFonts w:ascii="Times New Roman" w:eastAsia="等线" w:hAnsi="Times New Roman" w:cs="Times New Roman"/>
                <w:i/>
                <w:iCs/>
                <w:color w:val="000000"/>
                <w:kern w:val="0"/>
                <w:sz w:val="24"/>
                <w:szCs w:val="24"/>
              </w:rPr>
              <w:t xml:space="preserve">Corynebacterium </w:t>
            </w:r>
            <w:proofErr w:type="spellStart"/>
            <w:r w:rsidRPr="00053C1E">
              <w:rPr>
                <w:rFonts w:ascii="Times New Roman" w:eastAsia="等线" w:hAnsi="Times New Roman" w:cs="Times New Roman"/>
                <w:i/>
                <w:iCs/>
                <w:color w:val="000000"/>
                <w:kern w:val="0"/>
                <w:sz w:val="24"/>
                <w:szCs w:val="24"/>
              </w:rPr>
              <w:t>glutamicum</w:t>
            </w:r>
            <w:proofErr w:type="spellEnd"/>
          </w:p>
        </w:tc>
        <w:tc>
          <w:tcPr>
            <w:tcW w:w="2272" w:type="dxa"/>
            <w:shd w:val="clear" w:color="auto" w:fill="auto"/>
            <w:vAlign w:val="center"/>
            <w:hideMark/>
          </w:tcPr>
          <w:p w14:paraId="6A84749D"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D-xylose</w:t>
            </w:r>
          </w:p>
        </w:tc>
        <w:tc>
          <w:tcPr>
            <w:tcW w:w="1397" w:type="dxa"/>
            <w:shd w:val="clear" w:color="auto" w:fill="auto"/>
            <w:vAlign w:val="center"/>
            <w:hideMark/>
          </w:tcPr>
          <w:p w14:paraId="767AA876"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56.32</w:t>
            </w:r>
          </w:p>
        </w:tc>
        <w:tc>
          <w:tcPr>
            <w:tcW w:w="1576" w:type="dxa"/>
            <w:shd w:val="clear" w:color="auto" w:fill="auto"/>
            <w:noWrap/>
            <w:vAlign w:val="center"/>
            <w:hideMark/>
          </w:tcPr>
          <w:p w14:paraId="5A9DB99E"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84.82</w:t>
            </w:r>
          </w:p>
        </w:tc>
        <w:tc>
          <w:tcPr>
            <w:tcW w:w="1874" w:type="dxa"/>
            <w:shd w:val="clear" w:color="auto" w:fill="auto"/>
            <w:vAlign w:val="center"/>
            <w:hideMark/>
          </w:tcPr>
          <w:p w14:paraId="6FE6BAE3"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0.47</w:t>
            </w:r>
          </w:p>
        </w:tc>
        <w:tc>
          <w:tcPr>
            <w:tcW w:w="1753" w:type="dxa"/>
            <w:shd w:val="clear" w:color="auto" w:fill="auto"/>
            <w:vAlign w:val="center"/>
            <w:hideMark/>
          </w:tcPr>
          <w:p w14:paraId="019C842A" w14:textId="3D74E1C5"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Fermentation.</w:t>
            </w:r>
          </w:p>
        </w:tc>
        <w:tc>
          <w:tcPr>
            <w:tcW w:w="1134" w:type="dxa"/>
            <w:shd w:val="clear" w:color="auto" w:fill="auto"/>
            <w:noWrap/>
            <w:vAlign w:val="center"/>
            <w:hideMark/>
          </w:tcPr>
          <w:p w14:paraId="6C86EFBC"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air</w:t>
            </w:r>
          </w:p>
        </w:tc>
        <w:tc>
          <w:tcPr>
            <w:tcW w:w="1474" w:type="dxa"/>
            <w:shd w:val="clear" w:color="auto" w:fill="auto"/>
            <w:noWrap/>
            <w:vAlign w:val="center"/>
            <w:hideMark/>
          </w:tcPr>
          <w:p w14:paraId="0FA7ED25" w14:textId="77777777" w:rsidR="001E4199" w:rsidRPr="00053C1E" w:rsidRDefault="001E4199" w:rsidP="00053C1E">
            <w:pPr>
              <w:widowControl/>
              <w:spacing w:line="300" w:lineRule="auto"/>
              <w:jc w:val="center"/>
              <w:rPr>
                <w:rFonts w:ascii="Times New Roman" w:eastAsia="Times New Roman" w:hAnsi="Times New Roman" w:cs="Times New Roman"/>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{"citationItems":[{"id":"ITEM-1","itemData":{"DOI":"10.1186/s13568-020-01003-9","ISSN":"21910855","abstract":"In bacterial system, direct conversion of xylose to xylonic acid is mediated through NAD-dependent xylose dehydrogenase (xylB) and xylonolactonase (xylC) genes. Heterologous expression of these genes from Caulobacter crescentus into recombinant Corynebacterium glutamicum ATCC 13032 and C. glutamicum ATCC 31831 (with an innate pentose transporter, araE) resulted in an efficient bioconversion process to produce xylonic acid from xylose. Process parameters including the design of production medium was optimized using a statistical tool, Response Surface Methodology (RSM). Maximum xylonic acid of 56.32 g/L from 60 g/L xylose, i.e. about 76.67% of the maximum theoretical yield was obtained after 120 h fermentation from pure xylose with recombinant C. glutamicum ATCC 31831 containing the plasmid pVWEx1 xylB. Under the same condition, the production with recombinant C. glutamicum ATCC 13032 (with pVWEx1 xylB) was 50.66 g/L, i.e. 69% of the theoretical yield. There was no significant improvement in production with the simultaneous expression of xylB and xylC genes together indicating xylose dehydrogenase activity as one of the rate limiting factor in the bioconversion. Finally, proof of concept experiment in utilizing biomass derived pentose sugar, xylose, for xylonic acid production was also carried out and obtained 42.94 g/L xylonic acid from 60 g/L xylose. These results promise a significant value addition for the future bio refinery programs.[Figure not available: see fulltext.]","author":[{"dropping-particle":"","family":"Sundar","given":"M. S.Lekshmi","non-dropping-particle":"","parse-names":false,"suffix":""},{"dropping-particle":"","family":"Susmitha","given":"Aliyath","non-dropping-particle":"","parse-names":false,"suffix":""},{"dropping-particle":"","family":"Rajan","given":"Devi","non-dropping-particle":"","parse-names":false,"suffix":""},{"dropping-particle":"","family":"Hannibal","given":"Silvin","non-dropping-particle":"","parse-names":false,"suffix":""},{"dropping-particle":"","family":"Sasikumar","given":"Keerthi","non-dropping-particle":"","parse-names":false,"suffix":""},{"dropping-particle":"","family":"Wendisch","given":"Volker F.","non-dropping-particle":"","parse-names":false,"suffix":""},{"dropping-particle":"","family":"Nampoothiri","given":"K. Madhavan","non-dropping-particle":"","parse-names":false,"suffix":""}],"container-title":"AMB Express","id":"ITEM-1","issue":"1","issued":{"date-parts":[["2020"]]},"title":"Heterologous expression of genes for bioconversion of xylose to xylonic acid in Corynebacterium glutamicum and optimization of the bioprocess","type":"article-journal","volume":"10"},"uris":["http://www.mendeley.com/documents/?uuid=48aca016-9e17-30a7-8eaa-d672e62e9f1e"]}],"mendeley":{"formattedCitation":"(Sundar et al., 2020)","manualFormatting":"Sundar et al., 2020","plainTextFormattedCitation":"(Sundar et al., 2020)","previouslyFormattedCitation":"(Sundar et al., 2020)"},"properties":{"noteIndex":0},"schema":"https://github.com/citation-style-language/schema/raw/master/csl-citation.json"}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Sundar et al., 2020</w:t>
            </w:r>
            <w:r w:rsidRPr="00053C1E">
              <w:rPr>
                <w:rFonts w:ascii="Times New Roman" w:eastAsia="等线" w:hAnsi="Times New Roman" w:cs="Times New Roman"/>
                <w:color w:val="000000"/>
                <w:kern w:val="0"/>
                <w:sz w:val="24"/>
                <w:szCs w:val="24"/>
              </w:rPr>
              <w:fldChar w:fldCharType="end"/>
            </w:r>
          </w:p>
        </w:tc>
      </w:tr>
      <w:tr w:rsidR="001E4199" w:rsidRPr="00053C1E" w14:paraId="0226690D" w14:textId="77777777" w:rsidTr="006463BD">
        <w:trPr>
          <w:trHeight w:val="560"/>
        </w:trPr>
        <w:tc>
          <w:tcPr>
            <w:tcW w:w="2468" w:type="dxa"/>
            <w:shd w:val="clear" w:color="auto" w:fill="auto"/>
            <w:vAlign w:val="center"/>
            <w:hideMark/>
          </w:tcPr>
          <w:p w14:paraId="4134FD3F" w14:textId="77777777" w:rsidR="001E4199" w:rsidRPr="00053C1E" w:rsidRDefault="001E4199" w:rsidP="00053C1E">
            <w:pPr>
              <w:widowControl/>
              <w:spacing w:line="300" w:lineRule="auto"/>
              <w:jc w:val="center"/>
              <w:rPr>
                <w:rFonts w:ascii="Times New Roman" w:eastAsia="等线" w:hAnsi="Times New Roman" w:cs="Times New Roman"/>
                <w:i/>
                <w:iCs/>
                <w:color w:val="000000"/>
                <w:kern w:val="0"/>
                <w:sz w:val="24"/>
                <w:szCs w:val="24"/>
              </w:rPr>
            </w:pPr>
            <w:r w:rsidRPr="00053C1E">
              <w:rPr>
                <w:rFonts w:ascii="Times New Roman" w:eastAsia="等线" w:hAnsi="Times New Roman" w:cs="Times New Roman"/>
                <w:i/>
                <w:iCs/>
                <w:color w:val="000000"/>
                <w:kern w:val="0"/>
                <w:sz w:val="24"/>
                <w:szCs w:val="24"/>
              </w:rPr>
              <w:t xml:space="preserve">Corynebacterium </w:t>
            </w:r>
            <w:proofErr w:type="spellStart"/>
            <w:r w:rsidRPr="00053C1E">
              <w:rPr>
                <w:rFonts w:ascii="Times New Roman" w:eastAsia="等线" w:hAnsi="Times New Roman" w:cs="Times New Roman"/>
                <w:i/>
                <w:iCs/>
                <w:color w:val="000000"/>
                <w:kern w:val="0"/>
                <w:sz w:val="24"/>
                <w:szCs w:val="24"/>
              </w:rPr>
              <w:t>glutamicum</w:t>
            </w:r>
            <w:proofErr w:type="spellEnd"/>
          </w:p>
        </w:tc>
        <w:tc>
          <w:tcPr>
            <w:tcW w:w="2272" w:type="dxa"/>
            <w:shd w:val="clear" w:color="auto" w:fill="auto"/>
            <w:vAlign w:val="center"/>
            <w:hideMark/>
          </w:tcPr>
          <w:p w14:paraId="28E42A96"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rice straw hydrolysate</w:t>
            </w:r>
          </w:p>
        </w:tc>
        <w:tc>
          <w:tcPr>
            <w:tcW w:w="1397" w:type="dxa"/>
            <w:shd w:val="clear" w:color="auto" w:fill="auto"/>
            <w:vAlign w:val="center"/>
            <w:hideMark/>
          </w:tcPr>
          <w:p w14:paraId="54428805"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42.94</w:t>
            </w:r>
          </w:p>
        </w:tc>
        <w:tc>
          <w:tcPr>
            <w:tcW w:w="1576" w:type="dxa"/>
            <w:shd w:val="clear" w:color="auto" w:fill="auto"/>
            <w:noWrap/>
            <w:vAlign w:val="center"/>
            <w:hideMark/>
          </w:tcPr>
          <w:p w14:paraId="17690541"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64.67</w:t>
            </w:r>
          </w:p>
        </w:tc>
        <w:tc>
          <w:tcPr>
            <w:tcW w:w="1874" w:type="dxa"/>
            <w:shd w:val="clear" w:color="auto" w:fill="auto"/>
            <w:vAlign w:val="center"/>
            <w:hideMark/>
          </w:tcPr>
          <w:p w14:paraId="32FB557F"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0.36</w:t>
            </w:r>
          </w:p>
        </w:tc>
        <w:tc>
          <w:tcPr>
            <w:tcW w:w="1753" w:type="dxa"/>
            <w:shd w:val="clear" w:color="auto" w:fill="auto"/>
            <w:vAlign w:val="center"/>
            <w:hideMark/>
          </w:tcPr>
          <w:p w14:paraId="6F0BBC88" w14:textId="219B3A5E"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Fermentation.</w:t>
            </w:r>
          </w:p>
        </w:tc>
        <w:tc>
          <w:tcPr>
            <w:tcW w:w="1134" w:type="dxa"/>
            <w:shd w:val="clear" w:color="auto" w:fill="auto"/>
            <w:noWrap/>
            <w:vAlign w:val="center"/>
            <w:hideMark/>
          </w:tcPr>
          <w:p w14:paraId="304C8D9E"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air</w:t>
            </w:r>
          </w:p>
        </w:tc>
        <w:tc>
          <w:tcPr>
            <w:tcW w:w="1474" w:type="dxa"/>
            <w:shd w:val="clear" w:color="auto" w:fill="auto"/>
            <w:noWrap/>
            <w:vAlign w:val="center"/>
            <w:hideMark/>
          </w:tcPr>
          <w:p w14:paraId="03E1A292" w14:textId="77777777" w:rsidR="001E4199" w:rsidRPr="00053C1E" w:rsidRDefault="001E4199" w:rsidP="00053C1E">
            <w:pPr>
              <w:widowControl/>
              <w:spacing w:line="300" w:lineRule="auto"/>
              <w:jc w:val="center"/>
              <w:rPr>
                <w:rFonts w:ascii="Times New Roman" w:eastAsia="Times New Roman" w:hAnsi="Times New Roman" w:cs="Times New Roman"/>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{"citationItems":[{"id":"ITEM-1","itemData":{"DOI":"10.1186/s13568-020-01003-9","ISSN":"21910855","abstract":"In bacterial system, direct conversion of xylose to xylonic acid is mediated through NAD-dependent xylose dehydrogenase (xylB) and xylonolactonase (xylC) genes. Heterologous expression of these genes from Caulobacter crescentus into recombinant Corynebacterium glutamicum ATCC 13032 and C. glutamicum ATCC 31831 (with an innate pentose transporter, araE) resulted in an efficient bioconversion process to produce xylonic acid from xylose. Process parameters including the design of production medium was optimized using a statistical tool, Response Surface Methodology (RSM). Maximum xylonic acid of 56.32 g/L from 60 g/L xylose, i.e. about 76.67% of the maximum theoretical yield was obtained after 120 h fermentation from pure xylose with recombinant C. glutamicum ATCC 31831 containing the plasmid pVWEx1 xylB. Under the same condition, the production with recombinant C. glutamicum ATCC 13032 (with pVWEx1 xylB) was 50.66 g/L, i.e. 69% of the theoretical yield. There was no significant improvement in production with the simultaneous expression of xylB and xylC genes together indicating xylose dehydrogenase activity as one of the rate limiting factor in the bioconversion. Finally, proof of concept experiment in utilizing biomass derived pentose sugar, xylose, for xylonic acid production was also carried out and obtained 42.94 g/L xylonic acid from 60 g/L xylose. These results promise a significant value addition for the future bio refinery programs.[Figure not available: see fulltext.]","author":[{"dropping-particle":"","family":"Sundar","given":"M. S.Lekshmi","non-dropping-particle":"","parse-names":false,"suffix":""},{"dropping-particle":"","family":"Susmitha","given":"Aliyath","non-dropping-particle":"","parse-names":false,"suffix":""},{"dropping-particle":"","family":"Rajan","given":"Devi","non-dropping-particle":"","parse-names":false,"suffix":""},{"dropping-particle":"","family":"Hannibal","given":"Silvin","non-dropping-particle":"","parse-names":false,"suffix":""},{"dropping-particle":"","family":"Sasikumar","given":"Keerthi","non-dropping-particle":"","parse-names":false,"suffix":""},{"dropping-particle":"","family":"Wendisch","given":"Volker F.","non-dropping-particle":"","parse-names":false,"suffix":""},{"dropping-particle":"","family":"Nampoothiri","given":"K. Madhavan","non-dropping-particle":"","parse-names":false,"suffix":""}],"container-title":"AMB Express","id":"ITEM-1","issue":"1","issued":{"date-parts":[["2020"]]},"title":"Heterologous expression of genes for bioconversion of xylose to xylonic acid in Corynebacterium glutamicum and optimization of the bioprocess","type":"article-journal","volume":"10"},"uris":["http://www.mendeley.com/documents/?uuid=48aca016-9e17-30a7-8eaa-d672e62e9f1e"]}],"mendeley":{"formattedCitation":"(Sundar et al., 2020)","manualFormatting":"Sundar et al., 2020","plainTextFormattedCitation":"(Sundar et al., 2020)","previouslyFormattedCitation":"(Sundar et al., 2020)"},"properties":{"noteIndex":0},"schema":"https://github.com/citation-style-language/schema/raw/master/csl-citation.json"}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Sundar et al., 2020</w:t>
            </w:r>
            <w:r w:rsidRPr="00053C1E">
              <w:rPr>
                <w:rFonts w:ascii="Times New Roman" w:eastAsia="等线" w:hAnsi="Times New Roman" w:cs="Times New Roman"/>
                <w:color w:val="000000"/>
                <w:kern w:val="0"/>
                <w:sz w:val="24"/>
                <w:szCs w:val="24"/>
              </w:rPr>
              <w:fldChar w:fldCharType="end"/>
            </w:r>
          </w:p>
        </w:tc>
      </w:tr>
      <w:tr w:rsidR="001E4199" w:rsidRPr="00053C1E" w14:paraId="042E51A9" w14:textId="77777777" w:rsidTr="006463BD">
        <w:trPr>
          <w:trHeight w:val="840"/>
        </w:trPr>
        <w:tc>
          <w:tcPr>
            <w:tcW w:w="2468" w:type="dxa"/>
            <w:shd w:val="clear" w:color="auto" w:fill="auto"/>
            <w:vAlign w:val="center"/>
            <w:hideMark/>
          </w:tcPr>
          <w:p w14:paraId="1698B912"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i/>
                <w:color w:val="000000"/>
                <w:kern w:val="0"/>
                <w:sz w:val="24"/>
                <w:szCs w:val="24"/>
              </w:rPr>
              <w:t>E. coli</w:t>
            </w:r>
          </w:p>
        </w:tc>
        <w:tc>
          <w:tcPr>
            <w:tcW w:w="2272" w:type="dxa"/>
            <w:shd w:val="clear" w:color="auto" w:fill="auto"/>
            <w:vAlign w:val="center"/>
            <w:hideMark/>
          </w:tcPr>
          <w:p w14:paraId="7C00947F"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D-xylose</w:t>
            </w:r>
          </w:p>
        </w:tc>
        <w:tc>
          <w:tcPr>
            <w:tcW w:w="1397" w:type="dxa"/>
            <w:shd w:val="clear" w:color="auto" w:fill="auto"/>
            <w:vAlign w:val="center"/>
            <w:hideMark/>
          </w:tcPr>
          <w:p w14:paraId="3D4DBC61"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199.44</w:t>
            </w:r>
          </w:p>
        </w:tc>
        <w:tc>
          <w:tcPr>
            <w:tcW w:w="1576" w:type="dxa"/>
            <w:shd w:val="clear" w:color="auto" w:fill="auto"/>
            <w:noWrap/>
            <w:vAlign w:val="center"/>
            <w:hideMark/>
          </w:tcPr>
          <w:p w14:paraId="6A40B2F9"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85.82</w:t>
            </w:r>
          </w:p>
        </w:tc>
        <w:tc>
          <w:tcPr>
            <w:tcW w:w="1874" w:type="dxa"/>
            <w:shd w:val="clear" w:color="auto" w:fill="auto"/>
            <w:vAlign w:val="center"/>
            <w:hideMark/>
          </w:tcPr>
          <w:p w14:paraId="4F1EDD36"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7.12</w:t>
            </w:r>
          </w:p>
        </w:tc>
        <w:tc>
          <w:tcPr>
            <w:tcW w:w="1753" w:type="dxa"/>
            <w:shd w:val="clear" w:color="auto" w:fill="auto"/>
            <w:vAlign w:val="center"/>
            <w:hideMark/>
          </w:tcPr>
          <w:p w14:paraId="6E1949E4" w14:textId="3585E65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Fed-batch fermentation. </w:t>
            </w:r>
          </w:p>
        </w:tc>
        <w:tc>
          <w:tcPr>
            <w:tcW w:w="1134" w:type="dxa"/>
            <w:shd w:val="clear" w:color="auto" w:fill="auto"/>
            <w:vAlign w:val="center"/>
            <w:hideMark/>
          </w:tcPr>
          <w:p w14:paraId="5B349189"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air</w:t>
            </w:r>
          </w:p>
        </w:tc>
        <w:tc>
          <w:tcPr>
            <w:tcW w:w="1474" w:type="dxa"/>
            <w:shd w:val="clear" w:color="auto" w:fill="auto"/>
            <w:noWrap/>
            <w:vAlign w:val="center"/>
            <w:hideMark/>
          </w:tcPr>
          <w:p w14:paraId="0AC00938"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{"citationItems":[{"id":"ITEM-1","itemData":{"DOI":"10.1038/s41467-019-11793-7","ISSN":"20411723","abstract":"Synthetic biology aims to develop programmable tools to perform complex functions such as redistributing metabolic flux in industrial microorganisms. However, development of protein-level circuits is limited by availability of designable, orthogonal, and composable tools. Here, with the aid of engineered viral proteases and proteolytic signals, we build two sets of controllable protein units, which can be rationally configured to three tools. Using a protease-based dynamic regulation circuit to fine-tune metabolic flow, we achieve 12.63 g L−1 shikimate titer in minimal medium without inducer. In addition, the carbon catabolite repression is alleviated by protease-based inverter-mediated flux redistribution under multiple carbon sources. By coordinating reaction rate using a protease-based oscillator in E. coli, we achieve d-xylonate productivity of 7.12 g L−1 h−1 with a titer of 199.44 g L−1. These results highlight the applicability of programmable protein switches to metabolic engineering for valuable chemicals production.","author":[{"dropping-particle":"","family":"Gao","given":"Cong","non-dropping-particle":"","parse-names":false,"suffix":""},{"dropping-particle":"","family":"Hou","given":"Jianshen","non-dropping-particle":"","parse-names":false,"suffix":""},{"dropping-particle":"","family":"Xu","given":"Peng","non-dropping-particle":"","parse-names":false,"suffix":""},{"dropping-particle":"","family":"Guo","given":"Liang","non-dropping-particle":"","parse-names":false,"suffix":""},{"dropping-particle":"","family":"Chen","given":"Xiulai","non-dropping-particle":"","parse-names":false,"suffix":""},{"dropping-particle":"","family":"Hu","given":"Guipeng","non-dropping-particle":"","parse-names":false,"suffix":""},{"dropping-particle":"","family":"Ye","given":"Chao","non-dropping-particle":"","parse-names":false,"suffix":""},{"dropping-particle":"","family":"Edwards","given":"Harley","non-dropping-particle":"","parse-names":false,"suffix":""},{"dropping-particle":"","family":"Chen","given":"Jian","non-dropping-particle":"","parse-names":false,"suffix":""},{"dropping-particle":"","family":"Chen","given":"Wei","non-dropping-particle":"","parse-names":false,"suffix":""},{"dropping-particle":"","family":"Liu","given":"Liming","non-dropping-particle":"","parse-names":false,"suffix":""}],"container-title":"Nature Communications","id":"ITEM-1","issue":"1","issued":{"date-parts":[["2019"]]},"title":"Programmable biomolecular switches for rewiring flux in Escherichia coli","type":"article-journal","volume":"10"},"uris":["http://www.mendeley.com/documents/?uuid=119006e5-1298-3579-b212-b2d976720312"]}],"mendeley":{"formattedCitation":"(Gao et al., 2019)","manualFormatting":"Gao et al., 2019","plainTextFormattedCitation":"(Gao et al., 2019)","previouslyFormattedCitation":"(Gao et al., 2019)"},"properties":{"noteIndex":0},"schema":"https://github.com/citation-style-language/schema/raw/master/csl-citation.json"}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Gao et al., 2019</w:t>
            </w:r>
            <w:r w:rsidRPr="00053C1E">
              <w:rPr>
                <w:rFonts w:ascii="Times New Roman" w:eastAsia="等线" w:hAnsi="Times New Roman" w:cs="Times New Roman"/>
                <w:color w:val="000000"/>
                <w:kern w:val="0"/>
                <w:sz w:val="24"/>
                <w:szCs w:val="24"/>
              </w:rPr>
              <w:fldChar w:fldCharType="end"/>
            </w:r>
            <w:r w:rsidRPr="00053C1E">
              <w:rPr>
                <w:rFonts w:ascii="Times New Roman" w:eastAsia="等线" w:hAnsi="Times New Roman" w:cs="Times New Roman"/>
                <w:color w:val="000000"/>
                <w:kern w:val="0"/>
                <w:sz w:val="24"/>
                <w:szCs w:val="24"/>
              </w:rPr>
              <w:t>.</w:t>
            </w:r>
          </w:p>
        </w:tc>
      </w:tr>
      <w:tr w:rsidR="001E4199" w:rsidRPr="00053C1E" w14:paraId="3D765461" w14:textId="77777777" w:rsidTr="006463BD">
        <w:trPr>
          <w:trHeight w:val="840"/>
        </w:trPr>
        <w:tc>
          <w:tcPr>
            <w:tcW w:w="2468" w:type="dxa"/>
            <w:shd w:val="clear" w:color="auto" w:fill="auto"/>
            <w:vAlign w:val="center"/>
            <w:hideMark/>
          </w:tcPr>
          <w:p w14:paraId="7FFF693A"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i/>
                <w:color w:val="000000"/>
                <w:kern w:val="0"/>
                <w:sz w:val="24"/>
                <w:szCs w:val="24"/>
              </w:rPr>
              <w:t>E. coli</w:t>
            </w:r>
          </w:p>
        </w:tc>
        <w:tc>
          <w:tcPr>
            <w:tcW w:w="2272" w:type="dxa"/>
            <w:shd w:val="clear" w:color="auto" w:fill="auto"/>
            <w:vAlign w:val="center"/>
            <w:hideMark/>
          </w:tcPr>
          <w:p w14:paraId="0474D60D"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corn stover hydrolysate</w:t>
            </w:r>
          </w:p>
        </w:tc>
        <w:tc>
          <w:tcPr>
            <w:tcW w:w="1397" w:type="dxa"/>
            <w:shd w:val="clear" w:color="auto" w:fill="auto"/>
            <w:vAlign w:val="center"/>
            <w:hideMark/>
          </w:tcPr>
          <w:p w14:paraId="11446D7E"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91.2</w:t>
            </w:r>
          </w:p>
        </w:tc>
        <w:tc>
          <w:tcPr>
            <w:tcW w:w="1576" w:type="dxa"/>
            <w:shd w:val="clear" w:color="auto" w:fill="auto"/>
            <w:noWrap/>
            <w:vAlign w:val="center"/>
            <w:hideMark/>
          </w:tcPr>
          <w:p w14:paraId="09293A2B"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95.05</w:t>
            </w:r>
          </w:p>
        </w:tc>
        <w:tc>
          <w:tcPr>
            <w:tcW w:w="1874" w:type="dxa"/>
            <w:shd w:val="clear" w:color="auto" w:fill="auto"/>
            <w:vAlign w:val="center"/>
            <w:hideMark/>
          </w:tcPr>
          <w:p w14:paraId="0DA92A5D"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1.52</w:t>
            </w:r>
          </w:p>
        </w:tc>
        <w:tc>
          <w:tcPr>
            <w:tcW w:w="1753" w:type="dxa"/>
            <w:shd w:val="clear" w:color="auto" w:fill="auto"/>
            <w:vAlign w:val="center"/>
            <w:hideMark/>
          </w:tcPr>
          <w:p w14:paraId="2DCAE1BE" w14:textId="46FE8A63"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hint="eastAsia"/>
                <w:color w:val="000000"/>
                <w:kern w:val="0"/>
                <w:sz w:val="24"/>
                <w:szCs w:val="24"/>
              </w:rPr>
              <w:t>F</w:t>
            </w:r>
            <w:r w:rsidRPr="00053C1E">
              <w:rPr>
                <w:rFonts w:ascii="Times New Roman" w:eastAsia="等线" w:hAnsi="Times New Roman" w:cs="Times New Roman"/>
                <w:color w:val="000000"/>
                <w:kern w:val="0"/>
                <w:sz w:val="24"/>
                <w:szCs w:val="24"/>
              </w:rPr>
              <w:t xml:space="preserve">ed-batch fermentation. </w:t>
            </w:r>
          </w:p>
        </w:tc>
        <w:tc>
          <w:tcPr>
            <w:tcW w:w="1134" w:type="dxa"/>
            <w:shd w:val="clear" w:color="auto" w:fill="auto"/>
            <w:vAlign w:val="center"/>
            <w:hideMark/>
          </w:tcPr>
          <w:p w14:paraId="5B42F317"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air</w:t>
            </w:r>
          </w:p>
        </w:tc>
        <w:tc>
          <w:tcPr>
            <w:tcW w:w="1474" w:type="dxa"/>
            <w:shd w:val="clear" w:color="auto" w:fill="auto"/>
            <w:noWrap/>
            <w:vAlign w:val="center"/>
            <w:hideMark/>
          </w:tcPr>
          <w:p w14:paraId="3274949F" w14:textId="77777777" w:rsidR="001E4199" w:rsidRPr="00053C1E" w:rsidRDefault="001E4199" w:rsidP="00053C1E">
            <w:pPr>
              <w:widowControl/>
              <w:spacing w:line="300" w:lineRule="auto"/>
              <w:jc w:val="center"/>
              <w:rPr>
                <w:rFonts w:ascii="Times New Roman" w:hAnsi="Times New Roman" w:cs="Times New Roman"/>
                <w:kern w:val="0"/>
                <w:sz w:val="24"/>
                <w:szCs w:val="24"/>
              </w:rPr>
            </w:pPr>
            <w:r w:rsidRPr="00053C1E">
              <w:rPr>
                <w:rFonts w:ascii="Times New Roman" w:hAnsi="Times New Roman" w:cs="Times New Roman"/>
                <w:kern w:val="0"/>
                <w:sz w:val="24"/>
                <w:szCs w:val="24"/>
              </w:rPr>
              <w:fldChar w:fldCharType="begin" w:fldLock="1"/>
            </w:r>
            <w:r w:rsidRPr="00053C1E">
              <w:rPr>
                <w:rFonts w:ascii="Times New Roman" w:hAnsi="Times New Roman" w:cs="Times New Roman"/>
                <w:kern w:val="0"/>
                <w:sz w:val="24"/>
                <w:szCs w:val="24"/>
              </w:rPr>
              <w:instrText>ADDIN CSL_CITATION {"citationItems":[{"id":"ITEM-1","itemData":{"DOI":"10.1021/acssuschemeng.8b04839","ISSN":"21680485","abstract":"Corn cob is the secondary agricultural residue that can be easily hydrolyzed into hydrolysate with abundant d-xylose. Besides d-xylose, d-glucose, and l-arabinose are also utilizable sugars in corn cob hydrolysate. Here, we established a coutilization system through which recombinant Escherichia coli can use d-glucose and l-arabinose supporting its growth and convert d-xylose in corn cob hydrolysate into d-xylonate. First, biosynthetic pathway of d-xylonate was overexpressed and two xylonate dehydratases were knocked out in E. coli W3110 to enhance d-xylonate production from d-xylose. Then, the genes responsible for acetate, ethanol, and lactate synthesis were knocked out to decrease these byproducts production during the growth of the recombinant strain. Three successive strategies were employed to enhance the d-xylonate production - using lactose as the inducer, eliminating carbon catabolite repression, and inactivating the lactose degradation. Finally, 108.2 g/L d-xylonate was produced with a yield of 1.09 g of d-xylonate/g of d-xylose using d-xylose as the substrate and d-glucose as the carbon source through fed-batch fermentation. When corn cob hydrolysate was used, 91.2 g/L d-xylonate was produced with a specific productivity of 1.52 g/[L·h]. This study is valuable not only for producing d-xylonate but also for providing a coutilization system to obtain other important chemicals from corn cob hydrolysate.","author":[{"dropping-particle":"","family":"Zhang","given":"Yipeng","non-dropping-particle":"","parse-names":false,"suffix":""},{"dropping-particle":"","family":"Guo","given":"Shiting","non-dropping-particle":"","parse-names":false,"suffix":""},{"dropping-particle":"","family":"Wang","given":"Yuxian","non-dropping-particle":"","parse-names":false,"suffix":""},{"dropping-particle":"","family":"Liang","given":"Xiao","non-dropping-particle":"","parse-names":false,"suffix":""},{"dropping-particle":"","family":"Xu","given":"Ping","non-dropping-particle":"","parse-names":false,"suffix":""},{"dropping-particle":"","family":"Gao","given":"Chao","non-dropping-particle":"","parse-names":false,"suffix":""},{"dropping-particle":"","family":"Ma","given":"Cuiqing","non-dropping-particle":"","parse-names":false,"suffix":""}],"container-title":"ACS Sustainable Chemistry and Engineering","id":"ITEM-1","issue":"2","issued":{"date-parts":[["2019"]]},"title":"Production of d- Xylonate from Corn Cob Hydrolysate by a Metabolically Engineered Escherichia coli Strain","type":"article-journal","volume":"7"},"uris":["http://www.mendeley.com/documents/?uuid=faed7e91-1d70-3ae4-a288-8c34363eee38"]}],"mendeley":{"formattedCitation":"(Zhang et al., 2019)","manualFormatting":"Zhang et al., 2019","plainTextFormattedCitation":"(Zhang et al., 2019)","previouslyFormattedCitation":"(Zhang et al., 2019)"},"properties":{"noteIndex":0},"schema":"https://github.com/citation-style-language/schema/raw/master/csl-citation.json"}</w:instrText>
            </w:r>
            <w:r w:rsidRPr="00053C1E">
              <w:rPr>
                <w:rFonts w:ascii="Times New Roman" w:hAnsi="Times New Roman" w:cs="Times New Roman"/>
                <w:kern w:val="0"/>
                <w:sz w:val="24"/>
                <w:szCs w:val="24"/>
              </w:rPr>
              <w:fldChar w:fldCharType="separate"/>
            </w:r>
            <w:r w:rsidRPr="00053C1E">
              <w:rPr>
                <w:rFonts w:ascii="Times New Roman" w:hAnsi="Times New Roman" w:cs="Times New Roman"/>
                <w:noProof/>
                <w:kern w:val="0"/>
                <w:sz w:val="24"/>
                <w:szCs w:val="24"/>
              </w:rPr>
              <w:t>Zhang et al., 2019</w:t>
            </w:r>
            <w:r w:rsidRPr="00053C1E">
              <w:rPr>
                <w:rFonts w:ascii="Times New Roman" w:hAnsi="Times New Roman" w:cs="Times New Roman"/>
                <w:kern w:val="0"/>
                <w:sz w:val="24"/>
                <w:szCs w:val="24"/>
              </w:rPr>
              <w:fldChar w:fldCharType="end"/>
            </w:r>
          </w:p>
        </w:tc>
      </w:tr>
      <w:tr w:rsidR="001E4199" w:rsidRPr="00053C1E" w14:paraId="3DC07B9E" w14:textId="77777777" w:rsidTr="006463BD">
        <w:trPr>
          <w:trHeight w:val="560"/>
        </w:trPr>
        <w:tc>
          <w:tcPr>
            <w:tcW w:w="2468" w:type="dxa"/>
            <w:shd w:val="clear" w:color="auto" w:fill="auto"/>
            <w:vAlign w:val="center"/>
            <w:hideMark/>
          </w:tcPr>
          <w:p w14:paraId="7F8FE50D" w14:textId="77777777" w:rsidR="001E4199" w:rsidRPr="00053C1E" w:rsidRDefault="001E4199" w:rsidP="00053C1E">
            <w:pPr>
              <w:widowControl/>
              <w:spacing w:line="300" w:lineRule="auto"/>
              <w:jc w:val="center"/>
              <w:rPr>
                <w:rFonts w:ascii="Times New Roman" w:eastAsia="等线" w:hAnsi="Times New Roman" w:cs="Times New Roman"/>
                <w:i/>
                <w:iCs/>
                <w:color w:val="000000"/>
                <w:kern w:val="0"/>
                <w:sz w:val="24"/>
                <w:szCs w:val="24"/>
              </w:rPr>
            </w:pPr>
            <w:proofErr w:type="spellStart"/>
            <w:r w:rsidRPr="00053C1E">
              <w:rPr>
                <w:rFonts w:ascii="Times New Roman" w:eastAsia="等线" w:hAnsi="Times New Roman" w:cs="Times New Roman"/>
                <w:i/>
                <w:iCs/>
                <w:color w:val="000000"/>
                <w:kern w:val="0"/>
                <w:sz w:val="24"/>
                <w:szCs w:val="24"/>
              </w:rPr>
              <w:t>Saccharomy</w:t>
            </w:r>
            <w:proofErr w:type="spellEnd"/>
            <w:r w:rsidRPr="00053C1E">
              <w:rPr>
                <w:rFonts w:ascii="Times New Roman" w:eastAsia="等线" w:hAnsi="Times New Roman" w:cs="Times New Roman"/>
                <w:i/>
                <w:iCs/>
                <w:color w:val="000000"/>
                <w:kern w:val="0"/>
                <w:sz w:val="24"/>
                <w:szCs w:val="24"/>
              </w:rPr>
              <w:t xml:space="preserve"> </w:t>
            </w:r>
            <w:proofErr w:type="spellStart"/>
            <w:r w:rsidRPr="00053C1E">
              <w:rPr>
                <w:rFonts w:ascii="Times New Roman" w:eastAsia="等线" w:hAnsi="Times New Roman" w:cs="Times New Roman"/>
                <w:i/>
                <w:iCs/>
                <w:color w:val="000000"/>
                <w:kern w:val="0"/>
                <w:sz w:val="24"/>
                <w:szCs w:val="24"/>
              </w:rPr>
              <w:t>cescerevisiae</w:t>
            </w:r>
            <w:proofErr w:type="spellEnd"/>
          </w:p>
        </w:tc>
        <w:tc>
          <w:tcPr>
            <w:tcW w:w="2272" w:type="dxa"/>
            <w:shd w:val="clear" w:color="auto" w:fill="auto"/>
            <w:vAlign w:val="center"/>
            <w:hideMark/>
          </w:tcPr>
          <w:p w14:paraId="4E531F6E"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D-xylose</w:t>
            </w:r>
          </w:p>
        </w:tc>
        <w:tc>
          <w:tcPr>
            <w:tcW w:w="1397" w:type="dxa"/>
            <w:shd w:val="clear" w:color="auto" w:fill="auto"/>
            <w:vAlign w:val="center"/>
            <w:hideMark/>
          </w:tcPr>
          <w:p w14:paraId="65E9949A"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49</w:t>
            </w:r>
          </w:p>
        </w:tc>
        <w:tc>
          <w:tcPr>
            <w:tcW w:w="1576" w:type="dxa"/>
            <w:shd w:val="clear" w:color="auto" w:fill="auto"/>
            <w:noWrap/>
            <w:vAlign w:val="center"/>
            <w:hideMark/>
          </w:tcPr>
          <w:p w14:paraId="4CF6C963"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102.97</w:t>
            </w:r>
          </w:p>
        </w:tc>
        <w:tc>
          <w:tcPr>
            <w:tcW w:w="1874" w:type="dxa"/>
            <w:shd w:val="clear" w:color="auto" w:fill="auto"/>
            <w:vAlign w:val="center"/>
            <w:hideMark/>
          </w:tcPr>
          <w:p w14:paraId="3298B4F4"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0.44</w:t>
            </w:r>
          </w:p>
        </w:tc>
        <w:tc>
          <w:tcPr>
            <w:tcW w:w="1753" w:type="dxa"/>
            <w:shd w:val="clear" w:color="auto" w:fill="auto"/>
            <w:vAlign w:val="center"/>
            <w:hideMark/>
          </w:tcPr>
          <w:p w14:paraId="2762D440" w14:textId="26B351FC"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Fermentation.</w:t>
            </w:r>
          </w:p>
        </w:tc>
        <w:tc>
          <w:tcPr>
            <w:tcW w:w="1134" w:type="dxa"/>
            <w:shd w:val="clear" w:color="auto" w:fill="auto"/>
            <w:vAlign w:val="center"/>
            <w:hideMark/>
          </w:tcPr>
          <w:p w14:paraId="15756C66"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air</w:t>
            </w:r>
          </w:p>
        </w:tc>
        <w:tc>
          <w:tcPr>
            <w:tcW w:w="1474" w:type="dxa"/>
            <w:shd w:val="clear" w:color="auto" w:fill="auto"/>
            <w:noWrap/>
            <w:vAlign w:val="center"/>
            <w:hideMark/>
          </w:tcPr>
          <w:p w14:paraId="54CC5407" w14:textId="77777777" w:rsidR="001E4199" w:rsidRPr="00053C1E" w:rsidRDefault="001E4199"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{"citationItems":[{"id":"ITEM-1","itemData":{"DOI":"10.1016/j.ymben.2012.03.002","ISSN":"10967176","abstract":"An NAD +-dependent d-xylose dehydrogenase, XylB, from Caulobacter crescentus was expressed in Saccharomyces cerevisiae, resulting in production of 17±2g d-xylonate l -1 at 0.23gl -1h -1 from 23g d-xylose l -1 (with glucose and ethanol as co-substrates). d-Xylonate titre and production rate were increased and xylitol production decreased, compared to strains expressing genes encoding T. reesei or pig liver NADP +-dependent d-xylose dehydrogenases. d-Xylonate accumulated intracellularly to ~70mgg -1; xylitol to ~18mgg -1. The aldose reductase encoding gene GRE3 was deleted to reduce xylitol production. Cells expressing d-xylonolactone lactonase xylC from C. crescentus with xylB initially produced more extracellular d-xylonate than cells lacking xylC at both pH 5.5 and pH 3, and sustained higher production at pH 3. Cell vitality and viability decreased during d-xylonate production at pH 3.0. An industrial S. cerevisiae strain expressing xylB efficiently produced 43g d-xylonate l -1 from 49g d-xylose l -1. © 2012 Elsevier Inc.","author":[{"dropping-particle":"","family":"Toivari","given":"Mervi","non-dropping-particle":"","parse-names":false,"suffix":""},{"dropping-particle":"","family":"Nygård","given":"Yvonne","non-dropping-particle":"","parse-names":false,"suffix":""},{"dropping-particle":"","family":"Kumpula","given":"Esa Pekka","non-dropping-particle":"","parse-names":false,"suffix":""},{"dropping-particle":"","family":"Vehkomäki","given":"Maija Leena","non-dropping-particle":"","parse-names":false,"suffix":""},{"dropping-particle":"","family":"Benčina","given":"Mojca","non-dropping-particle":"","parse-names":false,"suffix":""},{"dropping-particle":"","family":"Valkonen","given":"Mari","non-dropping-particle":"","parse-names":false,"suffix":""},{"dropping-particle":"","family":"Maaheimo","given":"Hannu","non-dropping-particle":"","parse-names":false,"suffix":""},{"dropping-particle":"","family":"Andberg","given":"Martina","non-dropping-particle":"","parse-names":false,"suffix":""},{"dropping-particle":"","family":"Koivula","given":"Anu","non-dropping-particle":"","parse-names":false,"suffix":""},{"dropping-particle":"","family":"Ruohonen","given":"Laura","non-dropping-particle":"","parse-names":false,"suffix":""},{"dropping-particle":"","family":"Penttilä","given":"Merja","non-dropping-particle":"","parse-names":false,"suffix":""},{"dropping-particle":"","family":"Wiebe","given":"Marilyn G.","non-dropping-particle":"","parse-names":false,"suffix":""}],"container-title":"Metabolic Engineering","id":"ITEM-1","issue":"4","issued":{"date-parts":[["2012"]]},"title":"Metabolic engineering of Saccharomyces cerevisiae for bioconversion of d-xylose to d-xylonate","type":"article-journal","volume":"14"},"uris":["http://www.mendeley.com/documents/?uuid=487694ae-b3a6-3576-826e-b2a1a32576e3"]}],"mendeley":{"formattedCitation":"(Toivari et al., 2012)","manualFormatting":"Toivari et al., 2012","plainTextFormattedCitation":"(Toivari et al., 2012)","previouslyFormattedCitation":"(Toivari et al., 2012)"},"properties":{"noteIndex":0},"schema":"https://github.com/citation-style-language/schema/raw/master/csl-citation.json"}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Toivari et al., 2012</w:t>
            </w:r>
            <w:r w:rsidRPr="00053C1E">
              <w:rPr>
                <w:rFonts w:ascii="Times New Roman" w:eastAsia="等线" w:hAnsi="Times New Roman" w:cs="Times New Roman"/>
                <w:color w:val="000000"/>
                <w:kern w:val="0"/>
                <w:sz w:val="24"/>
                <w:szCs w:val="24"/>
              </w:rPr>
              <w:fldChar w:fldCharType="end"/>
            </w:r>
          </w:p>
        </w:tc>
      </w:tr>
      <w:tr w:rsidR="001E4199" w:rsidRPr="00053C1E" w14:paraId="3EA4F985" w14:textId="77777777" w:rsidTr="006463BD">
        <w:trPr>
          <w:trHeight w:val="560"/>
        </w:trPr>
        <w:tc>
          <w:tcPr>
            <w:tcW w:w="2468" w:type="dxa"/>
            <w:shd w:val="clear" w:color="auto" w:fill="auto"/>
            <w:vAlign w:val="center"/>
          </w:tcPr>
          <w:p w14:paraId="3758587B" w14:textId="12307CB5" w:rsidR="001E4199" w:rsidRPr="00EE4C71" w:rsidRDefault="001E4199" w:rsidP="00053C1E">
            <w:pPr>
              <w:widowControl/>
              <w:spacing w:line="300" w:lineRule="auto"/>
              <w:jc w:val="center"/>
              <w:rPr>
                <w:rFonts w:ascii="Times New Roman" w:eastAsia="等线" w:hAnsi="Times New Roman" w:cs="Times New Roman"/>
                <w:i/>
                <w:iCs/>
                <w:color w:val="000000"/>
                <w:kern w:val="0"/>
                <w:sz w:val="24"/>
                <w:szCs w:val="24"/>
              </w:rPr>
            </w:pPr>
            <w:r w:rsidRPr="00EE4C71">
              <w:rPr>
                <w:rFonts w:ascii="Times New Roman" w:eastAsia="等线" w:hAnsi="Times New Roman" w:cs="Times New Roman"/>
                <w:i/>
                <w:color w:val="000000"/>
                <w:kern w:val="0"/>
                <w:sz w:val="24"/>
                <w:szCs w:val="24"/>
              </w:rPr>
              <w:t>G. oxydans</w:t>
            </w:r>
            <w:r w:rsidRPr="00EE4C71">
              <w:rPr>
                <w:rFonts w:ascii="Times New Roman" w:eastAsia="等线" w:hAnsi="Times New Roman" w:cs="Times New Roman"/>
                <w:color w:val="000000"/>
                <w:kern w:val="0"/>
                <w:sz w:val="24"/>
                <w:szCs w:val="24"/>
              </w:rPr>
              <w:t>/pBBR-R3510-mGDH</w:t>
            </w:r>
          </w:p>
        </w:tc>
        <w:tc>
          <w:tcPr>
            <w:tcW w:w="2272" w:type="dxa"/>
            <w:shd w:val="clear" w:color="auto" w:fill="auto"/>
            <w:vAlign w:val="center"/>
          </w:tcPr>
          <w:p w14:paraId="534738CE" w14:textId="692CF003"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D-xylose</w:t>
            </w:r>
          </w:p>
        </w:tc>
        <w:tc>
          <w:tcPr>
            <w:tcW w:w="1397" w:type="dxa"/>
            <w:shd w:val="clear" w:color="auto" w:fill="auto"/>
            <w:vAlign w:val="center"/>
          </w:tcPr>
          <w:p w14:paraId="6E5B13AB" w14:textId="7C008F22"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588.7</w:t>
            </w:r>
          </w:p>
        </w:tc>
        <w:tc>
          <w:tcPr>
            <w:tcW w:w="1576" w:type="dxa"/>
            <w:shd w:val="clear" w:color="auto" w:fill="auto"/>
            <w:noWrap/>
            <w:vAlign w:val="center"/>
          </w:tcPr>
          <w:p w14:paraId="370E8959" w14:textId="3C8008B5"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99.43</w:t>
            </w:r>
          </w:p>
        </w:tc>
        <w:tc>
          <w:tcPr>
            <w:tcW w:w="1874" w:type="dxa"/>
            <w:shd w:val="clear" w:color="auto" w:fill="auto"/>
            <w:vAlign w:val="center"/>
          </w:tcPr>
          <w:p w14:paraId="43B7E97B" w14:textId="16DADD40"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8.72</w:t>
            </w:r>
          </w:p>
        </w:tc>
        <w:tc>
          <w:tcPr>
            <w:tcW w:w="1753" w:type="dxa"/>
            <w:shd w:val="clear" w:color="auto" w:fill="auto"/>
            <w:vAlign w:val="center"/>
          </w:tcPr>
          <w:p w14:paraId="0184FED6" w14:textId="65669D64"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 xml:space="preserve">Whole cell catalysis; </w:t>
            </w:r>
            <w:r w:rsidRPr="00EE4C71">
              <w:rPr>
                <w:rFonts w:ascii="Times New Roman" w:eastAsia="等线" w:hAnsi="Times New Roman" w:cs="Times New Roman" w:hint="eastAsia"/>
                <w:color w:val="000000"/>
                <w:kern w:val="0"/>
                <w:sz w:val="24"/>
                <w:szCs w:val="24"/>
              </w:rPr>
              <w:t>F</w:t>
            </w:r>
            <w:r w:rsidRPr="00EE4C71">
              <w:rPr>
                <w:rFonts w:ascii="Times New Roman" w:eastAsia="等线" w:hAnsi="Times New Roman" w:cs="Times New Roman"/>
                <w:color w:val="000000"/>
                <w:kern w:val="0"/>
                <w:sz w:val="24"/>
                <w:szCs w:val="24"/>
              </w:rPr>
              <w:t>ed-batch.</w:t>
            </w:r>
          </w:p>
        </w:tc>
        <w:tc>
          <w:tcPr>
            <w:tcW w:w="1134" w:type="dxa"/>
            <w:shd w:val="clear" w:color="auto" w:fill="auto"/>
            <w:vAlign w:val="center"/>
          </w:tcPr>
          <w:p w14:paraId="6631017A" w14:textId="2CB0E790"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air</w:t>
            </w:r>
          </w:p>
        </w:tc>
        <w:tc>
          <w:tcPr>
            <w:tcW w:w="1474" w:type="dxa"/>
            <w:shd w:val="clear" w:color="auto" w:fill="auto"/>
            <w:noWrap/>
            <w:vAlign w:val="center"/>
          </w:tcPr>
          <w:p w14:paraId="011285D5" w14:textId="19B037D0"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This study</w:t>
            </w:r>
          </w:p>
        </w:tc>
      </w:tr>
      <w:tr w:rsidR="001E4199" w:rsidRPr="00053C1E" w14:paraId="67217E1F" w14:textId="77777777" w:rsidTr="006463BD">
        <w:trPr>
          <w:trHeight w:val="560"/>
        </w:trPr>
        <w:tc>
          <w:tcPr>
            <w:tcW w:w="2468" w:type="dxa"/>
            <w:shd w:val="clear" w:color="auto" w:fill="auto"/>
            <w:vAlign w:val="center"/>
          </w:tcPr>
          <w:p w14:paraId="7A039528" w14:textId="545B4896" w:rsidR="001E4199" w:rsidRPr="00EE4C71" w:rsidRDefault="001E4199" w:rsidP="00053C1E">
            <w:pPr>
              <w:widowControl/>
              <w:spacing w:line="300" w:lineRule="auto"/>
              <w:jc w:val="center"/>
              <w:rPr>
                <w:rFonts w:ascii="Times New Roman" w:eastAsia="等线" w:hAnsi="Times New Roman" w:cs="Times New Roman"/>
                <w:i/>
                <w:color w:val="000000"/>
                <w:kern w:val="0"/>
                <w:sz w:val="24"/>
                <w:szCs w:val="24"/>
              </w:rPr>
            </w:pPr>
            <w:r w:rsidRPr="00EE4C71">
              <w:rPr>
                <w:rFonts w:ascii="Times New Roman" w:eastAsia="等线" w:hAnsi="Times New Roman" w:cs="Times New Roman"/>
                <w:i/>
                <w:color w:val="000000"/>
                <w:kern w:val="0"/>
                <w:sz w:val="24"/>
                <w:szCs w:val="24"/>
              </w:rPr>
              <w:t>G. oxydans</w:t>
            </w:r>
            <w:r w:rsidRPr="00EE4C71">
              <w:rPr>
                <w:rFonts w:ascii="Times New Roman" w:eastAsia="等线" w:hAnsi="Times New Roman" w:cs="Times New Roman"/>
                <w:color w:val="000000"/>
                <w:kern w:val="0"/>
                <w:sz w:val="24"/>
                <w:szCs w:val="24"/>
              </w:rPr>
              <w:t>/pBBR-R3510-mGDH</w:t>
            </w:r>
          </w:p>
        </w:tc>
        <w:tc>
          <w:tcPr>
            <w:tcW w:w="2272" w:type="dxa"/>
            <w:shd w:val="clear" w:color="auto" w:fill="auto"/>
            <w:vAlign w:val="center"/>
          </w:tcPr>
          <w:p w14:paraId="767E2919" w14:textId="4CFC9189"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 xml:space="preserve">corn stover hydrolysate </w:t>
            </w:r>
          </w:p>
        </w:tc>
        <w:tc>
          <w:tcPr>
            <w:tcW w:w="1397" w:type="dxa"/>
            <w:shd w:val="clear" w:color="auto" w:fill="auto"/>
            <w:vAlign w:val="center"/>
          </w:tcPr>
          <w:p w14:paraId="60FB90CD" w14:textId="106815F4"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246.4</w:t>
            </w:r>
          </w:p>
        </w:tc>
        <w:tc>
          <w:tcPr>
            <w:tcW w:w="1576" w:type="dxa"/>
            <w:shd w:val="clear" w:color="auto" w:fill="auto"/>
            <w:noWrap/>
            <w:vAlign w:val="center"/>
          </w:tcPr>
          <w:p w14:paraId="2DEEF7E4" w14:textId="041EFBAC"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98.82</w:t>
            </w:r>
          </w:p>
        </w:tc>
        <w:tc>
          <w:tcPr>
            <w:tcW w:w="1874" w:type="dxa"/>
            <w:shd w:val="clear" w:color="auto" w:fill="auto"/>
            <w:vAlign w:val="center"/>
          </w:tcPr>
          <w:p w14:paraId="43A8C37D" w14:textId="33A9BAA5"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11.2</w:t>
            </w:r>
          </w:p>
        </w:tc>
        <w:tc>
          <w:tcPr>
            <w:tcW w:w="1753" w:type="dxa"/>
            <w:shd w:val="clear" w:color="auto" w:fill="auto"/>
            <w:vAlign w:val="center"/>
          </w:tcPr>
          <w:p w14:paraId="3C606E33" w14:textId="579B8CB8"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Whole cell catalysis.</w:t>
            </w:r>
          </w:p>
        </w:tc>
        <w:tc>
          <w:tcPr>
            <w:tcW w:w="1134" w:type="dxa"/>
            <w:shd w:val="clear" w:color="auto" w:fill="auto"/>
            <w:vAlign w:val="center"/>
          </w:tcPr>
          <w:p w14:paraId="5A70618F" w14:textId="2E3B7238"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air</w:t>
            </w:r>
          </w:p>
        </w:tc>
        <w:tc>
          <w:tcPr>
            <w:tcW w:w="1474" w:type="dxa"/>
            <w:shd w:val="clear" w:color="auto" w:fill="auto"/>
            <w:noWrap/>
            <w:vAlign w:val="center"/>
          </w:tcPr>
          <w:p w14:paraId="245B8C48" w14:textId="3999A842" w:rsidR="001E4199" w:rsidRPr="00EE4C71" w:rsidRDefault="001E4199" w:rsidP="00053C1E">
            <w:pPr>
              <w:widowControl/>
              <w:spacing w:line="300" w:lineRule="auto"/>
              <w:jc w:val="center"/>
              <w:rPr>
                <w:rFonts w:ascii="Times New Roman" w:eastAsia="等线" w:hAnsi="Times New Roman" w:cs="Times New Roman"/>
                <w:color w:val="000000"/>
                <w:kern w:val="0"/>
                <w:sz w:val="24"/>
                <w:szCs w:val="24"/>
              </w:rPr>
            </w:pPr>
            <w:r w:rsidRPr="00EE4C71">
              <w:rPr>
                <w:rFonts w:ascii="Times New Roman" w:eastAsia="等线" w:hAnsi="Times New Roman" w:cs="Times New Roman"/>
                <w:color w:val="000000"/>
                <w:kern w:val="0"/>
                <w:sz w:val="24"/>
                <w:szCs w:val="24"/>
              </w:rPr>
              <w:t>This study</w:t>
            </w:r>
          </w:p>
        </w:tc>
      </w:tr>
    </w:tbl>
    <w:p w14:paraId="50567274" w14:textId="77777777" w:rsidR="00207F7F" w:rsidRPr="00053C1E" w:rsidRDefault="00207F7F" w:rsidP="00053C1E">
      <w:pPr>
        <w:widowControl/>
        <w:spacing w:line="480" w:lineRule="auto"/>
        <w:rPr>
          <w:rFonts w:ascii="Times New Roman" w:eastAsia="等线" w:hAnsi="Times New Roman" w:cs="Times New Roman" w:hint="eastAsia"/>
          <w:b/>
          <w:bCs/>
          <w:color w:val="000000"/>
          <w:kern w:val="0"/>
          <w:sz w:val="24"/>
          <w:szCs w:val="24"/>
        </w:rPr>
        <w:sectPr w:rsidR="00207F7F" w:rsidRPr="00053C1E" w:rsidSect="009C1945">
          <w:pgSz w:w="16838" w:h="11906" w:orient="landscape"/>
          <w:pgMar w:top="1797" w:right="1440" w:bottom="1797" w:left="1440" w:header="851" w:footer="992" w:gutter="0"/>
          <w:lnNumType w:countBy="1" w:restart="continuous"/>
          <w:cols w:space="425"/>
          <w:docGrid w:linePitch="312"/>
        </w:sectPr>
      </w:pPr>
    </w:p>
    <w:p w14:paraId="57F7B050" w14:textId="0BA013EE" w:rsidR="00FB46E8" w:rsidRPr="00053C1E" w:rsidRDefault="00FB46E8" w:rsidP="00053C1E">
      <w:pPr>
        <w:widowControl/>
        <w:spacing w:line="480" w:lineRule="auto"/>
        <w:jc w:val="left"/>
        <w:rPr>
          <w:rFonts w:ascii="Times New Roman" w:eastAsia="宋体" w:hAnsi="Times New Roman" w:cs="Times New Roman"/>
          <w:bCs/>
          <w:sz w:val="24"/>
          <w:szCs w:val="24"/>
        </w:rPr>
      </w:pPr>
      <w:r w:rsidRPr="00053C1E">
        <w:rPr>
          <w:rFonts w:ascii="Times New Roman" w:eastAsia="宋体" w:hAnsi="Times New Roman" w:cs="Times New Roman"/>
          <w:b/>
          <w:sz w:val="24"/>
          <w:szCs w:val="24"/>
        </w:rPr>
        <w:lastRenderedPageBreak/>
        <w:t>Table S2.</w:t>
      </w:r>
      <w:r w:rsidRPr="00053C1E">
        <w:rPr>
          <w:rFonts w:ascii="Times New Roman" w:eastAsia="宋体" w:hAnsi="Times New Roman" w:cs="Times New Roman"/>
          <w:bCs/>
          <w:sz w:val="24"/>
          <w:szCs w:val="24"/>
        </w:rPr>
        <w:t xml:space="preserve"> Strains</w:t>
      </w:r>
      <w:r w:rsidRPr="00053C1E">
        <w:rPr>
          <w:rFonts w:ascii="Times New Roman" w:eastAsia="宋体" w:hAnsi="Times New Roman" w:cs="Times New Roman" w:hint="eastAsia"/>
          <w:bCs/>
          <w:sz w:val="24"/>
          <w:szCs w:val="24"/>
        </w:rPr>
        <w:t>，</w:t>
      </w:r>
      <w:r w:rsidRPr="00053C1E">
        <w:rPr>
          <w:rFonts w:ascii="Times New Roman" w:eastAsia="宋体" w:hAnsi="Times New Roman" w:cs="Times New Roman"/>
          <w:bCs/>
          <w:sz w:val="24"/>
          <w:szCs w:val="24"/>
        </w:rPr>
        <w:t xml:space="preserve">plasmids </w:t>
      </w:r>
      <w:r w:rsidRPr="00053C1E">
        <w:rPr>
          <w:rFonts w:ascii="Times New Roman" w:eastAsia="宋体" w:hAnsi="Times New Roman" w:cs="Times New Roman" w:hint="eastAsia"/>
          <w:bCs/>
          <w:sz w:val="24"/>
          <w:szCs w:val="24"/>
        </w:rPr>
        <w:t>and</w:t>
      </w:r>
      <w:r w:rsidRPr="00053C1E">
        <w:rPr>
          <w:rFonts w:ascii="Times New Roman" w:eastAsia="宋体" w:hAnsi="Times New Roman" w:cs="Times New Roman"/>
          <w:bCs/>
          <w:sz w:val="24"/>
          <w:szCs w:val="24"/>
        </w:rPr>
        <w:t xml:space="preserve"> </w:t>
      </w:r>
      <w:r w:rsidRPr="00053C1E">
        <w:rPr>
          <w:rFonts w:ascii="Times New Roman" w:eastAsia="宋体" w:hAnsi="Times New Roman" w:cs="Times New Roman" w:hint="eastAsia"/>
          <w:bCs/>
          <w:sz w:val="24"/>
          <w:szCs w:val="24"/>
        </w:rPr>
        <w:t>primers</w:t>
      </w:r>
      <w:r w:rsidRPr="00053C1E">
        <w:rPr>
          <w:rFonts w:ascii="Times New Roman" w:eastAsia="宋体" w:hAnsi="Times New Roman" w:cs="Times New Roman"/>
          <w:bCs/>
          <w:sz w:val="24"/>
          <w:szCs w:val="24"/>
        </w:rPr>
        <w:t xml:space="preserve"> used in this study</w:t>
      </w:r>
    </w:p>
    <w:tbl>
      <w:tblPr>
        <w:tblStyle w:val="a3"/>
        <w:tblW w:w="0" w:type="auto"/>
        <w:tblLook w:val="04A0" w:firstRow="1" w:lastRow="0" w:firstColumn="1" w:lastColumn="0" w:noHBand="0" w:noVBand="1"/>
      </w:tblPr>
      <w:tblGrid>
        <w:gridCol w:w="3681"/>
        <w:gridCol w:w="7654"/>
        <w:gridCol w:w="2410"/>
      </w:tblGrid>
      <w:tr w:rsidR="00FB46E8" w:rsidRPr="00053C1E" w14:paraId="172B6C03" w14:textId="77777777" w:rsidTr="001918AE">
        <w:tc>
          <w:tcPr>
            <w:tcW w:w="3681" w:type="dxa"/>
            <w:tcBorders>
              <w:bottom w:val="single" w:sz="4" w:space="0" w:color="auto"/>
            </w:tcBorders>
            <w:vAlign w:val="center"/>
          </w:tcPr>
          <w:p w14:paraId="5433CEFE" w14:textId="77777777" w:rsidR="00FB46E8" w:rsidRPr="00053C1E" w:rsidRDefault="00FB46E8" w:rsidP="00053C1E">
            <w:pPr>
              <w:spacing w:line="480" w:lineRule="auto"/>
              <w:jc w:val="center"/>
              <w:rPr>
                <w:rFonts w:ascii="Times New Roman" w:eastAsia="宋体" w:hAnsi="Times New Roman" w:cs="Times New Roman"/>
                <w:b/>
                <w:sz w:val="24"/>
                <w:szCs w:val="24"/>
              </w:rPr>
            </w:pPr>
            <w:r w:rsidRPr="00053C1E">
              <w:rPr>
                <w:rFonts w:ascii="Times New Roman" w:eastAsia="宋体" w:hAnsi="Times New Roman" w:cs="Times New Roman"/>
                <w:b/>
                <w:sz w:val="24"/>
                <w:szCs w:val="24"/>
              </w:rPr>
              <w:t>Strain</w:t>
            </w:r>
          </w:p>
        </w:tc>
        <w:tc>
          <w:tcPr>
            <w:tcW w:w="7654" w:type="dxa"/>
            <w:tcBorders>
              <w:bottom w:val="single" w:sz="4" w:space="0" w:color="auto"/>
            </w:tcBorders>
            <w:vAlign w:val="center"/>
          </w:tcPr>
          <w:p w14:paraId="6298CF9F" w14:textId="77777777" w:rsidR="00FB46E8" w:rsidRPr="00053C1E" w:rsidRDefault="00FB46E8" w:rsidP="00053C1E">
            <w:pPr>
              <w:spacing w:line="480" w:lineRule="auto"/>
              <w:jc w:val="center"/>
              <w:rPr>
                <w:rFonts w:ascii="Times New Roman" w:eastAsia="宋体" w:hAnsi="Times New Roman" w:cs="Times New Roman"/>
                <w:b/>
                <w:sz w:val="24"/>
                <w:szCs w:val="24"/>
              </w:rPr>
            </w:pPr>
            <w:r w:rsidRPr="00053C1E">
              <w:rPr>
                <w:rFonts w:ascii="Times New Roman" w:eastAsia="宋体" w:hAnsi="Times New Roman" w:cs="Times New Roman"/>
                <w:b/>
                <w:sz w:val="24"/>
                <w:szCs w:val="24"/>
              </w:rPr>
              <w:t>Description</w:t>
            </w:r>
          </w:p>
        </w:tc>
        <w:tc>
          <w:tcPr>
            <w:tcW w:w="2410" w:type="dxa"/>
            <w:tcBorders>
              <w:bottom w:val="single" w:sz="4" w:space="0" w:color="auto"/>
            </w:tcBorders>
            <w:vAlign w:val="center"/>
          </w:tcPr>
          <w:p w14:paraId="1B61EF70" w14:textId="77777777" w:rsidR="00FB46E8" w:rsidRPr="00053C1E" w:rsidRDefault="00FB46E8" w:rsidP="00053C1E">
            <w:pPr>
              <w:spacing w:line="480" w:lineRule="auto"/>
              <w:jc w:val="center"/>
              <w:rPr>
                <w:rFonts w:ascii="Times New Roman" w:eastAsia="宋体" w:hAnsi="Times New Roman" w:cs="Times New Roman"/>
                <w:b/>
                <w:sz w:val="24"/>
                <w:szCs w:val="24"/>
              </w:rPr>
            </w:pPr>
            <w:r w:rsidRPr="00053C1E">
              <w:rPr>
                <w:rFonts w:ascii="Times New Roman" w:eastAsia="宋体" w:hAnsi="Times New Roman" w:cs="Times New Roman"/>
                <w:b/>
                <w:sz w:val="24"/>
                <w:szCs w:val="24"/>
              </w:rPr>
              <w:t>Reference</w:t>
            </w:r>
          </w:p>
        </w:tc>
      </w:tr>
      <w:tr w:rsidR="00FB46E8" w:rsidRPr="00053C1E" w14:paraId="59B37ACA" w14:textId="77777777" w:rsidTr="001918AE">
        <w:trPr>
          <w:trHeight w:val="276"/>
        </w:trPr>
        <w:tc>
          <w:tcPr>
            <w:tcW w:w="3681" w:type="dxa"/>
            <w:tcBorders>
              <w:bottom w:val="nil"/>
              <w:right w:val="single" w:sz="4" w:space="0" w:color="auto"/>
            </w:tcBorders>
            <w:noWrap/>
            <w:vAlign w:val="center"/>
            <w:hideMark/>
          </w:tcPr>
          <w:p w14:paraId="77DB7E23" w14:textId="77777777" w:rsidR="00FB46E8" w:rsidRPr="00053C1E" w:rsidRDefault="00FB46E8"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i/>
                <w:color w:val="000000"/>
                <w:kern w:val="0"/>
                <w:sz w:val="24"/>
                <w:szCs w:val="24"/>
              </w:rPr>
              <w:t>E. coli</w:t>
            </w:r>
            <w:r w:rsidRPr="00053C1E">
              <w:rPr>
                <w:rFonts w:ascii="Times New Roman" w:eastAsia="等线" w:hAnsi="Times New Roman" w:cs="Times New Roman"/>
                <w:color w:val="000000"/>
                <w:kern w:val="0"/>
                <w:sz w:val="24"/>
                <w:szCs w:val="24"/>
              </w:rPr>
              <w:t xml:space="preserve"> DH5α</w:t>
            </w:r>
          </w:p>
        </w:tc>
        <w:tc>
          <w:tcPr>
            <w:tcW w:w="7654" w:type="dxa"/>
            <w:tcBorders>
              <w:left w:val="single" w:sz="4" w:space="0" w:color="auto"/>
              <w:bottom w:val="nil"/>
              <w:right w:val="single" w:sz="4" w:space="0" w:color="auto"/>
            </w:tcBorders>
            <w:noWrap/>
            <w:vAlign w:val="center"/>
            <w:hideMark/>
          </w:tcPr>
          <w:p w14:paraId="3A82F6C2" w14:textId="77777777" w:rsidR="00FB46E8" w:rsidRPr="00053C1E" w:rsidRDefault="00FB46E8"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F-, ф80, lacZ</w:t>
            </w:r>
            <w:r w:rsidRPr="00053C1E">
              <w:rPr>
                <w:rFonts w:ascii="Times New Roman" w:eastAsia="微软雅黑" w:hAnsi="Times New Roman" w:cs="Times New Roman"/>
                <w:color w:val="000000"/>
                <w:kern w:val="0"/>
                <w:sz w:val="24"/>
                <w:szCs w:val="24"/>
              </w:rPr>
              <w:t>∆</w:t>
            </w:r>
            <w:r w:rsidRPr="00053C1E">
              <w:rPr>
                <w:rFonts w:ascii="Times New Roman" w:eastAsia="等线" w:hAnsi="Times New Roman" w:cs="Times New Roman"/>
                <w:color w:val="000000"/>
                <w:kern w:val="0"/>
                <w:sz w:val="24"/>
                <w:szCs w:val="24"/>
              </w:rPr>
              <w:t xml:space="preserve">M15, </w:t>
            </w:r>
            <w:r w:rsidRPr="00053C1E">
              <w:rPr>
                <w:rFonts w:ascii="Times New Roman" w:eastAsia="微软雅黑" w:hAnsi="Times New Roman" w:cs="Times New Roman"/>
                <w:color w:val="000000"/>
                <w:kern w:val="0"/>
                <w:sz w:val="24"/>
                <w:szCs w:val="24"/>
              </w:rPr>
              <w:t>∆</w:t>
            </w:r>
            <w:r w:rsidRPr="00053C1E">
              <w:rPr>
                <w:rFonts w:ascii="Times New Roman" w:eastAsia="等线" w:hAnsi="Times New Roman" w:cs="Times New Roman"/>
                <w:color w:val="000000"/>
                <w:kern w:val="0"/>
                <w:sz w:val="24"/>
                <w:szCs w:val="24"/>
              </w:rPr>
              <w:t>(</w:t>
            </w:r>
            <w:proofErr w:type="spellStart"/>
            <w:r w:rsidRPr="00053C1E">
              <w:rPr>
                <w:rFonts w:ascii="Times New Roman" w:eastAsia="等线" w:hAnsi="Times New Roman" w:cs="Times New Roman"/>
                <w:color w:val="000000"/>
                <w:kern w:val="0"/>
                <w:sz w:val="24"/>
                <w:szCs w:val="24"/>
              </w:rPr>
              <w:t>lacZYA-argF</w:t>
            </w:r>
            <w:proofErr w:type="spellEnd"/>
            <w:r w:rsidRPr="00053C1E">
              <w:rPr>
                <w:rFonts w:ascii="Times New Roman" w:eastAsia="等线" w:hAnsi="Times New Roman" w:cs="Times New Roman"/>
                <w:color w:val="000000"/>
                <w:kern w:val="0"/>
                <w:sz w:val="24"/>
                <w:szCs w:val="24"/>
              </w:rPr>
              <w:t>), U169, endA1, recA1, hsdR17(</w:t>
            </w:r>
            <w:proofErr w:type="spellStart"/>
            <w:r w:rsidRPr="00053C1E">
              <w:rPr>
                <w:rFonts w:ascii="Times New Roman" w:eastAsia="等线" w:hAnsi="Times New Roman" w:cs="Times New Roman"/>
                <w:color w:val="000000"/>
                <w:kern w:val="0"/>
                <w:sz w:val="24"/>
                <w:szCs w:val="24"/>
              </w:rPr>
              <w:t>rk-mK</w:t>
            </w:r>
            <w:proofErr w:type="spellEnd"/>
            <w:r w:rsidRPr="00053C1E">
              <w:rPr>
                <w:rFonts w:ascii="Times New Roman" w:eastAsia="等线" w:hAnsi="Times New Roman" w:cs="Times New Roman"/>
                <w:color w:val="000000"/>
                <w:kern w:val="0"/>
                <w:sz w:val="24"/>
                <w:szCs w:val="24"/>
              </w:rPr>
              <w:t>+), supE44, λ</w:t>
            </w:r>
            <w:r w:rsidRPr="00053C1E">
              <w:rPr>
                <w:rFonts w:ascii="Times New Roman" w:eastAsia="微软雅黑" w:hAnsi="Times New Roman" w:cs="Times New Roman"/>
                <w:color w:val="000000"/>
                <w:kern w:val="0"/>
                <w:sz w:val="24"/>
                <w:szCs w:val="24"/>
              </w:rPr>
              <w:t>−</w:t>
            </w:r>
            <w:r w:rsidRPr="00053C1E">
              <w:rPr>
                <w:rFonts w:ascii="Times New Roman" w:eastAsia="等线" w:hAnsi="Times New Roman" w:cs="Times New Roman"/>
                <w:color w:val="000000"/>
                <w:kern w:val="0"/>
                <w:sz w:val="24"/>
                <w:szCs w:val="24"/>
              </w:rPr>
              <w:t xml:space="preserve">, thi-1, gyrA96, relA1, </w:t>
            </w:r>
            <w:proofErr w:type="spellStart"/>
            <w:r w:rsidRPr="00053C1E">
              <w:rPr>
                <w:rFonts w:ascii="Times New Roman" w:eastAsia="等线" w:hAnsi="Times New Roman" w:cs="Times New Roman"/>
                <w:color w:val="000000"/>
                <w:kern w:val="0"/>
                <w:sz w:val="24"/>
                <w:szCs w:val="24"/>
              </w:rPr>
              <w:t>phoA</w:t>
            </w:r>
            <w:proofErr w:type="spellEnd"/>
          </w:p>
        </w:tc>
        <w:tc>
          <w:tcPr>
            <w:tcW w:w="2410" w:type="dxa"/>
            <w:tcBorders>
              <w:left w:val="single" w:sz="4" w:space="0" w:color="auto"/>
              <w:bottom w:val="nil"/>
            </w:tcBorders>
            <w:noWrap/>
            <w:vAlign w:val="center"/>
            <w:hideMark/>
          </w:tcPr>
          <w:p w14:paraId="4D4135A3" w14:textId="77777777" w:rsidR="00FB46E8" w:rsidRPr="00053C1E" w:rsidRDefault="00FB46E8" w:rsidP="00053C1E">
            <w:pPr>
              <w:widowControl/>
              <w:spacing w:line="300" w:lineRule="auto"/>
              <w:jc w:val="center"/>
              <w:rPr>
                <w:rFonts w:ascii="Times New Roman" w:eastAsia="等线" w:hAnsi="Times New Roman" w:cs="Times New Roman"/>
                <w:color w:val="000000"/>
                <w:kern w:val="0"/>
                <w:sz w:val="24"/>
                <w:szCs w:val="24"/>
              </w:rPr>
            </w:pPr>
            <w:proofErr w:type="spellStart"/>
            <w:r w:rsidRPr="00053C1E">
              <w:rPr>
                <w:rFonts w:ascii="Times New Roman" w:eastAsia="等线" w:hAnsi="Times New Roman" w:cs="Times New Roman"/>
                <w:color w:val="000000"/>
                <w:kern w:val="0"/>
                <w:sz w:val="24"/>
                <w:szCs w:val="24"/>
              </w:rPr>
              <w:t>Tiangen</w:t>
            </w:r>
            <w:proofErr w:type="spellEnd"/>
            <w:r w:rsidRPr="00053C1E">
              <w:rPr>
                <w:rFonts w:ascii="Times New Roman" w:eastAsia="等线" w:hAnsi="Times New Roman" w:cs="Times New Roman"/>
                <w:color w:val="000000"/>
                <w:kern w:val="0"/>
                <w:sz w:val="24"/>
                <w:szCs w:val="24"/>
              </w:rPr>
              <w:t>, Beijing, China</w:t>
            </w:r>
          </w:p>
        </w:tc>
      </w:tr>
      <w:tr w:rsidR="00FB46E8" w:rsidRPr="00053C1E" w14:paraId="5B2F1BD0" w14:textId="77777777" w:rsidTr="001918AE">
        <w:trPr>
          <w:trHeight w:val="276"/>
        </w:trPr>
        <w:tc>
          <w:tcPr>
            <w:tcW w:w="3681" w:type="dxa"/>
            <w:tcBorders>
              <w:top w:val="nil"/>
              <w:bottom w:val="nil"/>
              <w:right w:val="single" w:sz="4" w:space="0" w:color="auto"/>
            </w:tcBorders>
            <w:noWrap/>
            <w:vAlign w:val="center"/>
            <w:hideMark/>
          </w:tcPr>
          <w:p w14:paraId="557A89A6" w14:textId="77777777" w:rsidR="00FB46E8" w:rsidRPr="00053C1E" w:rsidRDefault="00FB46E8"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i/>
                <w:color w:val="000000"/>
                <w:kern w:val="0"/>
                <w:sz w:val="24"/>
                <w:szCs w:val="24"/>
              </w:rPr>
              <w:t>E. coli</w:t>
            </w:r>
            <w:r w:rsidRPr="00053C1E">
              <w:rPr>
                <w:rFonts w:ascii="Times New Roman" w:eastAsia="等线" w:hAnsi="Times New Roman" w:cs="Times New Roman"/>
                <w:color w:val="000000"/>
                <w:kern w:val="0"/>
                <w:sz w:val="24"/>
                <w:szCs w:val="24"/>
              </w:rPr>
              <w:t xml:space="preserve"> HB101</w:t>
            </w:r>
          </w:p>
        </w:tc>
        <w:tc>
          <w:tcPr>
            <w:tcW w:w="7654" w:type="dxa"/>
            <w:tcBorders>
              <w:top w:val="nil"/>
              <w:left w:val="single" w:sz="4" w:space="0" w:color="auto"/>
              <w:bottom w:val="nil"/>
              <w:right w:val="single" w:sz="4" w:space="0" w:color="auto"/>
            </w:tcBorders>
            <w:noWrap/>
            <w:vAlign w:val="center"/>
            <w:hideMark/>
          </w:tcPr>
          <w:p w14:paraId="58FF7F38" w14:textId="7C6F5D38" w:rsidR="00FB46E8" w:rsidRPr="00024C1F" w:rsidRDefault="00FB46E8" w:rsidP="00053C1E">
            <w:pPr>
              <w:widowControl/>
              <w:spacing w:line="300" w:lineRule="auto"/>
              <w:jc w:val="center"/>
              <w:rPr>
                <w:rFonts w:ascii="Times New Roman" w:eastAsia="等线" w:hAnsi="Times New Roman" w:cs="Times New Roman"/>
                <w:color w:val="000000"/>
                <w:kern w:val="0"/>
                <w:sz w:val="24"/>
                <w:szCs w:val="24"/>
              </w:rPr>
            </w:pPr>
            <w:r w:rsidRPr="00024C1F">
              <w:rPr>
                <w:rFonts w:ascii="Times New Roman" w:eastAsia="等线" w:hAnsi="Times New Roman" w:cs="Times New Roman"/>
                <w:color w:val="000000"/>
                <w:kern w:val="0"/>
                <w:sz w:val="24"/>
                <w:szCs w:val="24"/>
              </w:rPr>
              <w:t>supE44 hsdS20 (</w:t>
            </w:r>
            <w:proofErr w:type="spellStart"/>
            <w:r w:rsidRPr="00024C1F">
              <w:rPr>
                <w:rFonts w:ascii="Times New Roman" w:eastAsia="等线" w:hAnsi="Times New Roman" w:cs="Times New Roman"/>
                <w:color w:val="000000"/>
                <w:kern w:val="0"/>
                <w:sz w:val="24"/>
                <w:szCs w:val="24"/>
              </w:rPr>
              <w:t>rB</w:t>
            </w:r>
            <w:proofErr w:type="spellEnd"/>
            <w:r w:rsidRPr="00024C1F">
              <w:rPr>
                <w:rFonts w:ascii="Times New Roman" w:eastAsia="微软雅黑" w:hAnsi="Times New Roman" w:cs="Times New Roman"/>
                <w:color w:val="000000"/>
                <w:kern w:val="0"/>
                <w:sz w:val="24"/>
                <w:szCs w:val="24"/>
              </w:rPr>
              <w:t>−</w:t>
            </w:r>
            <w:r w:rsidRPr="00024C1F">
              <w:rPr>
                <w:rFonts w:ascii="Times New Roman" w:eastAsia="等线" w:hAnsi="Times New Roman" w:cs="Times New Roman"/>
                <w:color w:val="000000"/>
                <w:kern w:val="0"/>
                <w:sz w:val="24"/>
                <w:szCs w:val="24"/>
              </w:rPr>
              <w:t xml:space="preserve"> </w:t>
            </w:r>
            <w:proofErr w:type="spellStart"/>
            <w:r w:rsidRPr="00024C1F">
              <w:rPr>
                <w:rFonts w:ascii="Times New Roman" w:eastAsia="等线" w:hAnsi="Times New Roman" w:cs="Times New Roman"/>
                <w:color w:val="000000"/>
                <w:kern w:val="0"/>
                <w:sz w:val="24"/>
                <w:szCs w:val="24"/>
              </w:rPr>
              <w:t>mB</w:t>
            </w:r>
            <w:proofErr w:type="spellEnd"/>
            <w:r w:rsidRPr="00024C1F">
              <w:rPr>
                <w:rFonts w:ascii="Times New Roman" w:eastAsia="微软雅黑" w:hAnsi="Times New Roman" w:cs="Times New Roman"/>
                <w:color w:val="000000"/>
                <w:kern w:val="0"/>
                <w:sz w:val="24"/>
                <w:szCs w:val="24"/>
              </w:rPr>
              <w:t>−</w:t>
            </w:r>
            <w:r w:rsidRPr="00024C1F">
              <w:rPr>
                <w:rFonts w:ascii="Times New Roman" w:eastAsia="等线" w:hAnsi="Times New Roman" w:cs="Times New Roman"/>
                <w:color w:val="000000"/>
                <w:kern w:val="0"/>
                <w:sz w:val="24"/>
                <w:szCs w:val="24"/>
              </w:rPr>
              <w:t>) recA13ara-14 proA2 lacY1 galK2 rpsL20xyl-5 mtl-1</w:t>
            </w:r>
            <w:r w:rsidR="00172DC5" w:rsidRPr="00024C1F">
              <w:rPr>
                <w:rFonts w:ascii="Times New Roman" w:eastAsia="等线" w:hAnsi="Times New Roman" w:cs="Times New Roman"/>
                <w:color w:val="000000"/>
                <w:kern w:val="0"/>
                <w:sz w:val="24"/>
                <w:szCs w:val="24"/>
              </w:rPr>
              <w:t>,</w:t>
            </w:r>
            <w:r w:rsidR="00024C1F" w:rsidRPr="00024C1F">
              <w:rPr>
                <w:rFonts w:ascii="Times New Roman" w:eastAsia="等线" w:hAnsi="Times New Roman" w:cs="Times New Roman"/>
                <w:color w:val="000000"/>
                <w:kern w:val="0"/>
                <w:sz w:val="24"/>
                <w:szCs w:val="24"/>
              </w:rPr>
              <w:t xml:space="preserve"> </w:t>
            </w:r>
            <w:r w:rsidR="00172DC5" w:rsidRPr="00024C1F">
              <w:rPr>
                <w:rFonts w:ascii="Times New Roman" w:eastAsia="等线" w:hAnsi="Times New Roman" w:cs="Times New Roman"/>
                <w:color w:val="000000"/>
                <w:kern w:val="0"/>
                <w:sz w:val="24"/>
                <w:szCs w:val="24"/>
              </w:rPr>
              <w:t>containing pRK2013</w:t>
            </w:r>
          </w:p>
        </w:tc>
        <w:tc>
          <w:tcPr>
            <w:tcW w:w="2410" w:type="dxa"/>
            <w:tcBorders>
              <w:top w:val="nil"/>
              <w:left w:val="single" w:sz="4" w:space="0" w:color="auto"/>
              <w:bottom w:val="nil"/>
            </w:tcBorders>
            <w:noWrap/>
            <w:vAlign w:val="center"/>
            <w:hideMark/>
          </w:tcPr>
          <w:p w14:paraId="5CC05FFC" w14:textId="77777777" w:rsidR="00FB46E8" w:rsidRPr="00053C1E" w:rsidRDefault="00FB46E8"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{"citationItems":[{"id":"ITEM-1","itemData":{"DOI":"10.1016/0022-2836(69)90288-5","ISSN":"00222836","abstract":"A complementation analysis of host-controlled modification and restriction of DNA by Escherichia coli has been carried out by examining the restriction and modification phenotypes of partial, permanent diploids containing various arrangements of wild type and mutant restriction and modification alleles. Intercistronic complementation was observed between three classes of restriction and modification mutants of E. coli B, indicating that at least three cistrons (the ram cistrons) are involved in the genetic control of the [restriction and modification of DNA. Mutations in one cistron (ramA) result in a loss of restriction activity but not in modification activity (r-m+). Mutations in a second cistron (ramC) result in a loss of restriction and modification activities (r-m-). Mutations in a third cistron result in a loss of modification activity and appear to be lethal unless accompanied by a mutation in the ramA or ramC cistrons. A fourth class of mutations, which are linked to the other ram cistrons and are expressed phenotypically as r-m- mutants, are trans dominant to the wild-type ram alleles. It is not known if this latter class of mutants represents a fourth cistron of the ram locus. Complementation was observed between E. coli K12 and B ramA and ramC mutations and the host specificity of the restored restriction activity was dependent on an intact ramC cistron. However, complementation was not detected between the P1 and K12 or P1 and B ram alleles. A general model for the genetic control of the restriction and modification properties of E. coli strains and their episomes is presented. © 1969.","author":[{"dropping-particle":"","family":"Boyer","given":"Herbert W.","non-dropping-particle":"","parse-names":false,"suffix":""},{"dropping-particle":"","family":"Roulland-dussoix","given":"Daisy","non-dropping-particle":"","parse-names":false,"suffix":""}],"container-title":"Journal of Molecular Biology","id":"ITEM-1","issue":"3","issued":{"date-parts":[["1969"]]},"title":"A complementation analysis of the restriction and modification of DNA in Escherichia coli","type":"article-journal","volume":"41"},"uris":["http://www.mendeley.com/documents/?uuid=fbc4826d-bc72-313a-a09f-b8c30839da1e"]}],"mendeley":{"formattedCitation":"(Boyer and Roulland-dussoix, 1969)","manualFormatting":"Boyer and Roulland-dussoix, 1969","plainTextFormattedCitation":"(Boyer and Roulland-dussoix, 1969)","previouslyFormattedCitation":"(Boyer and Roulland-dussoix, 1969)"},"properties":{"noteIndex":0},"schema":"https://github.com/citation-style-language/schema/raw/master/csl-citation.json"}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Boyer and Roulland-dussoix, 1969</w:t>
            </w:r>
            <w:r w:rsidRPr="00053C1E">
              <w:rPr>
                <w:rFonts w:ascii="Times New Roman" w:eastAsia="等线" w:hAnsi="Times New Roman" w:cs="Times New Roman"/>
                <w:color w:val="000000"/>
                <w:kern w:val="0"/>
                <w:sz w:val="24"/>
                <w:szCs w:val="24"/>
              </w:rPr>
              <w:fldChar w:fldCharType="end"/>
            </w:r>
          </w:p>
        </w:tc>
      </w:tr>
      <w:tr w:rsidR="00FB46E8" w:rsidRPr="00053C1E" w14:paraId="79624303" w14:textId="77777777" w:rsidTr="001918AE">
        <w:trPr>
          <w:trHeight w:val="324"/>
        </w:trPr>
        <w:tc>
          <w:tcPr>
            <w:tcW w:w="3681" w:type="dxa"/>
            <w:tcBorders>
              <w:top w:val="nil"/>
              <w:bottom w:val="nil"/>
              <w:right w:val="single" w:sz="4" w:space="0" w:color="auto"/>
            </w:tcBorders>
            <w:noWrap/>
            <w:vAlign w:val="center"/>
            <w:hideMark/>
          </w:tcPr>
          <w:p w14:paraId="394AEF87" w14:textId="77777777" w:rsidR="00FB46E8" w:rsidRPr="00053C1E" w:rsidRDefault="00FB46E8"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i/>
                <w:color w:val="000000"/>
                <w:kern w:val="0"/>
                <w:sz w:val="24"/>
                <w:szCs w:val="24"/>
              </w:rPr>
              <w:t>G. oxydans</w:t>
            </w:r>
            <w:r w:rsidRPr="00053C1E">
              <w:rPr>
                <w:rFonts w:ascii="Times New Roman" w:eastAsia="等线" w:hAnsi="Times New Roman" w:cs="Times New Roman"/>
                <w:color w:val="000000"/>
                <w:kern w:val="0"/>
                <w:sz w:val="24"/>
                <w:szCs w:val="24"/>
              </w:rPr>
              <w:t xml:space="preserve"> DSM2003</w:t>
            </w:r>
          </w:p>
        </w:tc>
        <w:tc>
          <w:tcPr>
            <w:tcW w:w="7654" w:type="dxa"/>
            <w:tcBorders>
              <w:top w:val="nil"/>
              <w:left w:val="single" w:sz="4" w:space="0" w:color="auto"/>
              <w:bottom w:val="nil"/>
              <w:right w:val="single" w:sz="4" w:space="0" w:color="auto"/>
            </w:tcBorders>
            <w:noWrap/>
            <w:vAlign w:val="center"/>
            <w:hideMark/>
          </w:tcPr>
          <w:p w14:paraId="0AD3D647" w14:textId="77777777" w:rsidR="00FB46E8" w:rsidRPr="00053C1E" w:rsidRDefault="00FB46E8"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Wild type, </w:t>
            </w:r>
            <w:proofErr w:type="spellStart"/>
            <w:r w:rsidRPr="00053C1E">
              <w:rPr>
                <w:rFonts w:ascii="Times New Roman" w:eastAsia="等线" w:hAnsi="Times New Roman" w:cs="Times New Roman"/>
                <w:color w:val="000000"/>
                <w:kern w:val="0"/>
                <w:sz w:val="24"/>
                <w:szCs w:val="24"/>
              </w:rPr>
              <w:t>Cefr</w:t>
            </w:r>
            <w:proofErr w:type="spellEnd"/>
          </w:p>
        </w:tc>
        <w:tc>
          <w:tcPr>
            <w:tcW w:w="2410" w:type="dxa"/>
            <w:tcBorders>
              <w:top w:val="nil"/>
              <w:left w:val="single" w:sz="4" w:space="0" w:color="auto"/>
              <w:bottom w:val="nil"/>
            </w:tcBorders>
            <w:noWrap/>
            <w:vAlign w:val="center"/>
            <w:hideMark/>
          </w:tcPr>
          <w:p w14:paraId="7BD01929" w14:textId="77777777" w:rsidR="00FB46E8" w:rsidRPr="00053C1E" w:rsidRDefault="00FB46E8"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DSM</w:t>
            </w:r>
          </w:p>
        </w:tc>
      </w:tr>
      <w:tr w:rsidR="00FB46E8" w:rsidRPr="00053C1E" w14:paraId="7028F350" w14:textId="77777777" w:rsidTr="001918AE">
        <w:trPr>
          <w:trHeight w:val="276"/>
        </w:trPr>
        <w:tc>
          <w:tcPr>
            <w:tcW w:w="3681" w:type="dxa"/>
            <w:tcBorders>
              <w:top w:val="nil"/>
              <w:bottom w:val="nil"/>
              <w:right w:val="single" w:sz="4" w:space="0" w:color="auto"/>
            </w:tcBorders>
            <w:noWrap/>
            <w:vAlign w:val="center"/>
            <w:hideMark/>
          </w:tcPr>
          <w:p w14:paraId="49B1B384" w14:textId="77777777" w:rsidR="00FB46E8" w:rsidRPr="00053C1E" w:rsidRDefault="00FB46E8"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i/>
                <w:color w:val="000000"/>
                <w:kern w:val="0"/>
                <w:sz w:val="24"/>
                <w:szCs w:val="24"/>
              </w:rPr>
              <w:t>G. oxydans</w:t>
            </w:r>
            <w:r w:rsidRPr="00053C1E">
              <w:rPr>
                <w:rFonts w:ascii="Times New Roman" w:eastAsia="等线" w:hAnsi="Times New Roman" w:cs="Times New Roman"/>
                <w:color w:val="000000"/>
                <w:kern w:val="0"/>
                <w:sz w:val="24"/>
                <w:szCs w:val="24"/>
              </w:rPr>
              <w:t>/pBBR</w:t>
            </w:r>
          </w:p>
        </w:tc>
        <w:tc>
          <w:tcPr>
            <w:tcW w:w="7654" w:type="dxa"/>
            <w:tcBorders>
              <w:top w:val="nil"/>
              <w:left w:val="single" w:sz="4" w:space="0" w:color="auto"/>
              <w:bottom w:val="nil"/>
              <w:right w:val="single" w:sz="4" w:space="0" w:color="auto"/>
            </w:tcBorders>
            <w:noWrap/>
            <w:vAlign w:val="center"/>
            <w:hideMark/>
          </w:tcPr>
          <w:p w14:paraId="4140984F" w14:textId="77777777" w:rsidR="00FB46E8" w:rsidRPr="00053C1E" w:rsidRDefault="00FB46E8"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DSM2003</w:t>
            </w:r>
            <w:r w:rsidRPr="00053C1E">
              <w:rPr>
                <w:rFonts w:ascii="Times New Roman" w:eastAsia="等线" w:hAnsi="Times New Roman" w:cs="Times New Roman"/>
                <w:color w:val="000000"/>
                <w:kern w:val="0"/>
                <w:sz w:val="24"/>
                <w:szCs w:val="24"/>
              </w:rPr>
              <w:t>，</w:t>
            </w:r>
            <w:r w:rsidRPr="00053C1E">
              <w:rPr>
                <w:rFonts w:ascii="Times New Roman" w:eastAsia="等线" w:hAnsi="Times New Roman" w:cs="Times New Roman"/>
                <w:color w:val="000000"/>
                <w:kern w:val="0"/>
                <w:sz w:val="24"/>
                <w:szCs w:val="24"/>
              </w:rPr>
              <w:t xml:space="preserve">containing </w:t>
            </w:r>
            <w:proofErr w:type="spellStart"/>
            <w:r w:rsidRPr="00053C1E">
              <w:rPr>
                <w:rFonts w:ascii="Times New Roman" w:eastAsia="等线" w:hAnsi="Times New Roman" w:cs="Times New Roman"/>
                <w:color w:val="000000"/>
                <w:kern w:val="0"/>
                <w:sz w:val="24"/>
                <w:szCs w:val="24"/>
              </w:rPr>
              <w:t>pBBR-P</w:t>
            </w:r>
            <w:r w:rsidRPr="00053C1E">
              <w:rPr>
                <w:rFonts w:ascii="Times New Roman" w:eastAsia="等线" w:hAnsi="Times New Roman" w:cs="Times New Roman"/>
                <w:color w:val="000000"/>
                <w:kern w:val="0"/>
                <w:sz w:val="24"/>
                <w:szCs w:val="24"/>
                <w:vertAlign w:val="subscript"/>
              </w:rPr>
              <w:t>tufb</w:t>
            </w:r>
            <w:r w:rsidRPr="00053C1E">
              <w:rPr>
                <w:rFonts w:ascii="Times New Roman" w:eastAsia="等线" w:hAnsi="Times New Roman" w:cs="Times New Roman"/>
                <w:color w:val="000000"/>
                <w:kern w:val="0"/>
                <w:sz w:val="24"/>
                <w:szCs w:val="24"/>
              </w:rPr>
              <w:t>;</w:t>
            </w:r>
            <w:proofErr w:type="gramStart"/>
            <w:r w:rsidRPr="00053C1E">
              <w:rPr>
                <w:rFonts w:ascii="Times New Roman" w:eastAsia="等线" w:hAnsi="Times New Roman" w:cs="Times New Roman"/>
                <w:color w:val="000000"/>
                <w:kern w:val="0"/>
                <w:sz w:val="24"/>
                <w:szCs w:val="24"/>
              </w:rPr>
              <w:t>Cef</w:t>
            </w:r>
            <w:r w:rsidRPr="00053C1E">
              <w:rPr>
                <w:rFonts w:ascii="Times New Roman" w:eastAsia="等线" w:hAnsi="Times New Roman" w:cs="Times New Roman"/>
                <w:color w:val="000000"/>
                <w:kern w:val="0"/>
                <w:sz w:val="24"/>
                <w:szCs w:val="24"/>
                <w:vertAlign w:val="superscript"/>
              </w:rPr>
              <w:t>r,</w:t>
            </w:r>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roofErr w:type="gramEnd"/>
          </w:p>
        </w:tc>
        <w:tc>
          <w:tcPr>
            <w:tcW w:w="2410" w:type="dxa"/>
            <w:tcBorders>
              <w:top w:val="nil"/>
              <w:left w:val="single" w:sz="4" w:space="0" w:color="auto"/>
              <w:bottom w:val="nil"/>
            </w:tcBorders>
            <w:noWrap/>
            <w:vAlign w:val="center"/>
            <w:hideMark/>
          </w:tcPr>
          <w:p w14:paraId="661FE1DE" w14:textId="77777777" w:rsidR="00FB46E8" w:rsidRPr="00053C1E" w:rsidRDefault="00FB46E8" w:rsidP="00053C1E">
            <w:pPr>
              <w:widowControl/>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43ED31F6" w14:textId="77777777" w:rsidTr="001918AE">
        <w:tc>
          <w:tcPr>
            <w:tcW w:w="3681" w:type="dxa"/>
            <w:tcBorders>
              <w:top w:val="nil"/>
              <w:bottom w:val="nil"/>
              <w:right w:val="single" w:sz="4" w:space="0" w:color="auto"/>
            </w:tcBorders>
            <w:vAlign w:val="center"/>
          </w:tcPr>
          <w:p w14:paraId="6E0B32F4"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i/>
                <w:sz w:val="24"/>
                <w:szCs w:val="24"/>
              </w:rPr>
              <w:t>G. oxydans</w:t>
            </w:r>
            <w:r w:rsidRPr="00053C1E">
              <w:rPr>
                <w:rFonts w:ascii="Times New Roman" w:eastAsia="宋体" w:hAnsi="Times New Roman" w:cs="Times New Roman"/>
                <w:bCs/>
                <w:sz w:val="24"/>
                <w:szCs w:val="24"/>
              </w:rPr>
              <w:t>/pBBR-mGDH</w:t>
            </w:r>
          </w:p>
        </w:tc>
        <w:tc>
          <w:tcPr>
            <w:tcW w:w="7654" w:type="dxa"/>
            <w:tcBorders>
              <w:top w:val="nil"/>
              <w:left w:val="single" w:sz="4" w:space="0" w:color="auto"/>
              <w:bottom w:val="nil"/>
              <w:right w:val="single" w:sz="4" w:space="0" w:color="auto"/>
            </w:tcBorders>
            <w:vAlign w:val="center"/>
          </w:tcPr>
          <w:p w14:paraId="3EAEB440"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等线" w:hAnsi="Times New Roman" w:cs="Times New Roman"/>
                <w:color w:val="000000"/>
                <w:kern w:val="0"/>
                <w:sz w:val="24"/>
                <w:szCs w:val="24"/>
              </w:rPr>
              <w:t>DSM2003</w:t>
            </w:r>
            <w:r w:rsidRPr="00053C1E">
              <w:rPr>
                <w:rFonts w:ascii="Times New Roman" w:eastAsia="等线" w:hAnsi="Times New Roman" w:cs="Times New Roman"/>
                <w:color w:val="000000"/>
                <w:kern w:val="0"/>
                <w:sz w:val="24"/>
                <w:szCs w:val="24"/>
              </w:rPr>
              <w:t>，</w:t>
            </w:r>
            <w:r w:rsidRPr="00053C1E">
              <w:rPr>
                <w:rFonts w:ascii="Times New Roman" w:eastAsia="等线" w:hAnsi="Times New Roman" w:cs="Times New Roman"/>
                <w:color w:val="000000"/>
                <w:kern w:val="0"/>
                <w:sz w:val="24"/>
                <w:szCs w:val="24"/>
              </w:rPr>
              <w:t>containing pBBR-P</w:t>
            </w:r>
            <w:r w:rsidRPr="00053C1E">
              <w:rPr>
                <w:rFonts w:ascii="Times New Roman" w:eastAsia="等线" w:hAnsi="Times New Roman" w:cs="Times New Roman"/>
                <w:color w:val="000000"/>
                <w:kern w:val="0"/>
                <w:sz w:val="24"/>
                <w:szCs w:val="24"/>
                <w:vertAlign w:val="subscript"/>
              </w:rPr>
              <w:t>tufb</w:t>
            </w:r>
            <w:r w:rsidRPr="00053C1E">
              <w:rPr>
                <w:rFonts w:ascii="Times New Roman" w:eastAsia="等线" w:hAnsi="Times New Roman" w:cs="Times New Roman"/>
                <w:color w:val="000000"/>
                <w:kern w:val="0"/>
                <w:sz w:val="24"/>
                <w:szCs w:val="24"/>
              </w:rPr>
              <w:t xml:space="preserve">-mGDH; </w:t>
            </w:r>
            <w:proofErr w:type="spellStart"/>
            <w:r w:rsidRPr="00053C1E">
              <w:rPr>
                <w:rFonts w:ascii="Times New Roman" w:eastAsia="等线" w:hAnsi="Times New Roman" w:cs="Times New Roman"/>
                <w:color w:val="000000"/>
                <w:kern w:val="0"/>
                <w:sz w:val="24"/>
                <w:szCs w:val="24"/>
              </w:rPr>
              <w:t>Cef</w:t>
            </w:r>
            <w:r w:rsidRPr="00053C1E">
              <w:rPr>
                <w:rFonts w:ascii="Times New Roman" w:eastAsia="等线" w:hAnsi="Times New Roman" w:cs="Times New Roman"/>
                <w:color w:val="000000"/>
                <w:kern w:val="0"/>
                <w:sz w:val="24"/>
                <w:szCs w:val="24"/>
                <w:vertAlign w:val="superscript"/>
              </w:rPr>
              <w:t>r</w:t>
            </w:r>
            <w:proofErr w:type="spellEnd"/>
            <w:r w:rsidRPr="00053C1E">
              <w:rPr>
                <w:rFonts w:ascii="Times New Roman" w:eastAsia="等线" w:hAnsi="Times New Roman" w:cs="Times New Roman"/>
                <w:color w:val="000000"/>
                <w:kern w:val="0"/>
                <w:sz w:val="24"/>
                <w:szCs w:val="24"/>
              </w:rPr>
              <w:t xml:space="preserve">,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4F45CD98"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6E2EFCA7" w14:textId="77777777" w:rsidTr="001918AE">
        <w:tc>
          <w:tcPr>
            <w:tcW w:w="3681" w:type="dxa"/>
            <w:tcBorders>
              <w:top w:val="nil"/>
              <w:bottom w:val="nil"/>
              <w:right w:val="single" w:sz="4" w:space="0" w:color="auto"/>
            </w:tcBorders>
            <w:vAlign w:val="center"/>
          </w:tcPr>
          <w:p w14:paraId="7DA279DD"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i/>
                <w:sz w:val="24"/>
                <w:szCs w:val="24"/>
              </w:rPr>
              <w:t>G. oxydans</w:t>
            </w:r>
            <w:r w:rsidRPr="00053C1E">
              <w:rPr>
                <w:rFonts w:ascii="Times New Roman" w:eastAsia="宋体" w:hAnsi="Times New Roman" w:cs="Times New Roman"/>
                <w:bCs/>
                <w:sz w:val="24"/>
                <w:szCs w:val="24"/>
              </w:rPr>
              <w:t>/pBBR-35-mGDH</w:t>
            </w:r>
          </w:p>
        </w:tc>
        <w:tc>
          <w:tcPr>
            <w:tcW w:w="7654" w:type="dxa"/>
            <w:tcBorders>
              <w:top w:val="nil"/>
              <w:left w:val="single" w:sz="4" w:space="0" w:color="auto"/>
              <w:bottom w:val="nil"/>
              <w:right w:val="single" w:sz="4" w:space="0" w:color="auto"/>
            </w:tcBorders>
            <w:vAlign w:val="center"/>
          </w:tcPr>
          <w:p w14:paraId="5D2A08C5"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DSM2003</w:t>
            </w:r>
            <w:r w:rsidRPr="00053C1E">
              <w:rPr>
                <w:rFonts w:ascii="Times New Roman" w:eastAsia="等线" w:hAnsi="Times New Roman" w:cs="Times New Roman"/>
                <w:color w:val="000000"/>
                <w:kern w:val="0"/>
                <w:sz w:val="24"/>
                <w:szCs w:val="24"/>
              </w:rPr>
              <w:t>，</w:t>
            </w:r>
            <w:r w:rsidRPr="00053C1E">
              <w:rPr>
                <w:rFonts w:ascii="Times New Roman" w:eastAsia="等线" w:hAnsi="Times New Roman" w:cs="Times New Roman"/>
                <w:color w:val="000000"/>
                <w:kern w:val="0"/>
                <w:sz w:val="24"/>
                <w:szCs w:val="24"/>
              </w:rPr>
              <w:t>containing pBBR-35-P</w:t>
            </w:r>
            <w:r w:rsidRPr="00053C1E">
              <w:rPr>
                <w:rFonts w:ascii="Times New Roman" w:eastAsia="等线" w:hAnsi="Times New Roman" w:cs="Times New Roman"/>
                <w:color w:val="000000"/>
                <w:kern w:val="0"/>
                <w:sz w:val="24"/>
                <w:szCs w:val="24"/>
                <w:vertAlign w:val="subscript"/>
              </w:rPr>
              <w:t>tufb</w:t>
            </w:r>
            <w:r w:rsidRPr="00053C1E">
              <w:rPr>
                <w:rFonts w:ascii="Times New Roman" w:eastAsia="等线" w:hAnsi="Times New Roman" w:cs="Times New Roman"/>
                <w:color w:val="000000"/>
                <w:kern w:val="0"/>
                <w:sz w:val="24"/>
                <w:szCs w:val="24"/>
              </w:rPr>
              <w:t xml:space="preserve">-mGDH; </w:t>
            </w:r>
            <w:proofErr w:type="spellStart"/>
            <w:r w:rsidRPr="00053C1E">
              <w:rPr>
                <w:rFonts w:ascii="Times New Roman" w:eastAsia="等线" w:hAnsi="Times New Roman" w:cs="Times New Roman"/>
                <w:color w:val="000000"/>
                <w:kern w:val="0"/>
                <w:sz w:val="24"/>
                <w:szCs w:val="24"/>
              </w:rPr>
              <w:t>Cef</w:t>
            </w:r>
            <w:r w:rsidRPr="00053C1E">
              <w:rPr>
                <w:rFonts w:ascii="Times New Roman" w:eastAsia="等线" w:hAnsi="Times New Roman" w:cs="Times New Roman"/>
                <w:color w:val="000000"/>
                <w:kern w:val="0"/>
                <w:sz w:val="24"/>
                <w:szCs w:val="24"/>
                <w:vertAlign w:val="superscript"/>
              </w:rPr>
              <w:t>r</w:t>
            </w:r>
            <w:proofErr w:type="spellEnd"/>
            <w:r w:rsidRPr="00053C1E">
              <w:rPr>
                <w:rFonts w:ascii="Times New Roman" w:eastAsia="等线" w:hAnsi="Times New Roman" w:cs="Times New Roman"/>
                <w:color w:val="000000"/>
                <w:kern w:val="0"/>
                <w:sz w:val="24"/>
                <w:szCs w:val="24"/>
              </w:rPr>
              <w:t xml:space="preserve">,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309F6694"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5E649341" w14:textId="77777777" w:rsidTr="001918AE">
        <w:tc>
          <w:tcPr>
            <w:tcW w:w="3681" w:type="dxa"/>
            <w:tcBorders>
              <w:top w:val="nil"/>
              <w:bottom w:val="nil"/>
              <w:right w:val="single" w:sz="4" w:space="0" w:color="auto"/>
            </w:tcBorders>
            <w:vAlign w:val="center"/>
          </w:tcPr>
          <w:p w14:paraId="1B9F780C"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i/>
                <w:sz w:val="24"/>
                <w:szCs w:val="24"/>
              </w:rPr>
              <w:t>G. oxydans</w:t>
            </w:r>
            <w:r w:rsidRPr="00053C1E">
              <w:rPr>
                <w:rFonts w:ascii="Times New Roman" w:eastAsia="宋体" w:hAnsi="Times New Roman" w:cs="Times New Roman"/>
                <w:bCs/>
                <w:sz w:val="24"/>
                <w:szCs w:val="24"/>
              </w:rPr>
              <w:t>/pBBR-10-mGDH</w:t>
            </w:r>
          </w:p>
        </w:tc>
        <w:tc>
          <w:tcPr>
            <w:tcW w:w="7654" w:type="dxa"/>
            <w:tcBorders>
              <w:top w:val="nil"/>
              <w:left w:val="single" w:sz="4" w:space="0" w:color="auto"/>
              <w:bottom w:val="nil"/>
              <w:right w:val="single" w:sz="4" w:space="0" w:color="auto"/>
            </w:tcBorders>
            <w:vAlign w:val="center"/>
          </w:tcPr>
          <w:p w14:paraId="4FCD350E"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DSM2003</w:t>
            </w:r>
            <w:r w:rsidRPr="00053C1E">
              <w:rPr>
                <w:rFonts w:ascii="Times New Roman" w:eastAsia="等线" w:hAnsi="Times New Roman" w:cs="Times New Roman"/>
                <w:color w:val="000000"/>
                <w:kern w:val="0"/>
                <w:sz w:val="24"/>
                <w:szCs w:val="24"/>
              </w:rPr>
              <w:t>，</w:t>
            </w:r>
            <w:r w:rsidRPr="00053C1E">
              <w:rPr>
                <w:rFonts w:ascii="Times New Roman" w:eastAsia="等线" w:hAnsi="Times New Roman" w:cs="Times New Roman"/>
                <w:color w:val="000000"/>
                <w:kern w:val="0"/>
                <w:sz w:val="24"/>
                <w:szCs w:val="24"/>
              </w:rPr>
              <w:t>containing pBBR-10-P</w:t>
            </w:r>
            <w:r w:rsidRPr="00053C1E">
              <w:rPr>
                <w:rFonts w:ascii="Times New Roman" w:eastAsia="等线" w:hAnsi="Times New Roman" w:cs="Times New Roman"/>
                <w:color w:val="000000"/>
                <w:kern w:val="0"/>
                <w:sz w:val="24"/>
                <w:szCs w:val="24"/>
                <w:vertAlign w:val="subscript"/>
              </w:rPr>
              <w:t>tufb</w:t>
            </w:r>
            <w:r w:rsidRPr="00053C1E">
              <w:rPr>
                <w:rFonts w:ascii="Times New Roman" w:eastAsia="等线" w:hAnsi="Times New Roman" w:cs="Times New Roman"/>
                <w:color w:val="000000"/>
                <w:kern w:val="0"/>
                <w:sz w:val="24"/>
                <w:szCs w:val="24"/>
              </w:rPr>
              <w:t xml:space="preserve">-mGDH; </w:t>
            </w:r>
            <w:proofErr w:type="spellStart"/>
            <w:r w:rsidRPr="00053C1E">
              <w:rPr>
                <w:rFonts w:ascii="Times New Roman" w:eastAsia="等线" w:hAnsi="Times New Roman" w:cs="Times New Roman"/>
                <w:color w:val="000000"/>
                <w:kern w:val="0"/>
                <w:sz w:val="24"/>
                <w:szCs w:val="24"/>
              </w:rPr>
              <w:t>Cef</w:t>
            </w:r>
            <w:r w:rsidRPr="00053C1E">
              <w:rPr>
                <w:rFonts w:ascii="Times New Roman" w:eastAsia="等线" w:hAnsi="Times New Roman" w:cs="Times New Roman"/>
                <w:color w:val="000000"/>
                <w:kern w:val="0"/>
                <w:sz w:val="24"/>
                <w:szCs w:val="24"/>
                <w:vertAlign w:val="superscript"/>
              </w:rPr>
              <w:t>r</w:t>
            </w:r>
            <w:proofErr w:type="spellEnd"/>
            <w:r w:rsidRPr="00053C1E">
              <w:rPr>
                <w:rFonts w:ascii="Times New Roman" w:eastAsia="等线" w:hAnsi="Times New Roman" w:cs="Times New Roman"/>
                <w:color w:val="000000"/>
                <w:kern w:val="0"/>
                <w:sz w:val="24"/>
                <w:szCs w:val="24"/>
              </w:rPr>
              <w:t>,</w:t>
            </w:r>
            <w:r w:rsidRPr="00053C1E">
              <w:rPr>
                <w:rFonts w:ascii="Times New Roman" w:eastAsia="等线" w:hAnsi="Times New Roman" w:cs="Times New Roman"/>
                <w:color w:val="000000"/>
                <w:kern w:val="0"/>
                <w:sz w:val="24"/>
                <w:szCs w:val="24"/>
                <w:vertAlign w:val="superscript"/>
              </w:rPr>
              <w:t xml:space="preserve">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0E794BFB"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0602F863" w14:textId="77777777" w:rsidTr="001918AE">
        <w:tc>
          <w:tcPr>
            <w:tcW w:w="3681" w:type="dxa"/>
            <w:tcBorders>
              <w:top w:val="nil"/>
              <w:bottom w:val="nil"/>
              <w:right w:val="single" w:sz="4" w:space="0" w:color="auto"/>
            </w:tcBorders>
            <w:vAlign w:val="center"/>
          </w:tcPr>
          <w:p w14:paraId="537211DC"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i/>
                <w:sz w:val="24"/>
                <w:szCs w:val="24"/>
              </w:rPr>
              <w:t>G. oxydans</w:t>
            </w:r>
            <w:r w:rsidRPr="00053C1E">
              <w:rPr>
                <w:rFonts w:ascii="Times New Roman" w:eastAsia="宋体" w:hAnsi="Times New Roman" w:cs="Times New Roman"/>
                <w:bCs/>
                <w:sz w:val="24"/>
                <w:szCs w:val="24"/>
              </w:rPr>
              <w:t>/pBBR-R35-mGDH</w:t>
            </w:r>
          </w:p>
        </w:tc>
        <w:tc>
          <w:tcPr>
            <w:tcW w:w="7654" w:type="dxa"/>
            <w:tcBorders>
              <w:top w:val="nil"/>
              <w:left w:val="single" w:sz="4" w:space="0" w:color="auto"/>
              <w:bottom w:val="nil"/>
              <w:right w:val="single" w:sz="4" w:space="0" w:color="auto"/>
            </w:tcBorders>
            <w:vAlign w:val="center"/>
          </w:tcPr>
          <w:p w14:paraId="5A23F851"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DSM2003</w:t>
            </w:r>
            <w:r w:rsidRPr="00053C1E">
              <w:rPr>
                <w:rFonts w:ascii="Times New Roman" w:eastAsia="等线" w:hAnsi="Times New Roman" w:cs="Times New Roman"/>
                <w:color w:val="000000"/>
                <w:kern w:val="0"/>
                <w:sz w:val="24"/>
                <w:szCs w:val="24"/>
              </w:rPr>
              <w:t>，</w:t>
            </w:r>
            <w:r w:rsidRPr="00053C1E">
              <w:rPr>
                <w:rFonts w:ascii="Times New Roman" w:eastAsia="等线" w:hAnsi="Times New Roman" w:cs="Times New Roman"/>
                <w:color w:val="000000"/>
                <w:kern w:val="0"/>
                <w:sz w:val="24"/>
                <w:szCs w:val="24"/>
              </w:rPr>
              <w:t>containing pBBR-R35-P</w:t>
            </w:r>
            <w:r w:rsidRPr="00053C1E">
              <w:rPr>
                <w:rFonts w:ascii="Times New Roman" w:eastAsia="等线" w:hAnsi="Times New Roman" w:cs="Times New Roman"/>
                <w:color w:val="000000"/>
                <w:kern w:val="0"/>
                <w:sz w:val="24"/>
                <w:szCs w:val="24"/>
                <w:vertAlign w:val="subscript"/>
              </w:rPr>
              <w:t>tufb</w:t>
            </w:r>
            <w:r w:rsidRPr="00053C1E">
              <w:rPr>
                <w:rFonts w:ascii="Times New Roman" w:eastAsia="等线" w:hAnsi="Times New Roman" w:cs="Times New Roman"/>
                <w:color w:val="000000"/>
                <w:kern w:val="0"/>
                <w:sz w:val="24"/>
                <w:szCs w:val="24"/>
              </w:rPr>
              <w:t xml:space="preserve">-mGDH; </w:t>
            </w:r>
            <w:proofErr w:type="spellStart"/>
            <w:r w:rsidRPr="00053C1E">
              <w:rPr>
                <w:rFonts w:ascii="Times New Roman" w:eastAsia="等线" w:hAnsi="Times New Roman" w:cs="Times New Roman"/>
                <w:color w:val="000000"/>
                <w:kern w:val="0"/>
                <w:sz w:val="24"/>
                <w:szCs w:val="24"/>
              </w:rPr>
              <w:t>Cef</w:t>
            </w:r>
            <w:r w:rsidRPr="00053C1E">
              <w:rPr>
                <w:rFonts w:ascii="Times New Roman" w:eastAsia="等线" w:hAnsi="Times New Roman" w:cs="Times New Roman"/>
                <w:color w:val="000000"/>
                <w:kern w:val="0"/>
                <w:sz w:val="24"/>
                <w:szCs w:val="24"/>
                <w:vertAlign w:val="superscript"/>
              </w:rPr>
              <w:t>r</w:t>
            </w:r>
            <w:proofErr w:type="spellEnd"/>
            <w:r w:rsidRPr="00053C1E">
              <w:rPr>
                <w:rFonts w:ascii="Times New Roman" w:eastAsia="等线" w:hAnsi="Times New Roman" w:cs="Times New Roman"/>
                <w:color w:val="000000"/>
                <w:kern w:val="0"/>
                <w:sz w:val="24"/>
                <w:szCs w:val="24"/>
              </w:rPr>
              <w:t xml:space="preserve">,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30FA1BA3"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1EABCC02" w14:textId="77777777" w:rsidTr="001918AE">
        <w:tc>
          <w:tcPr>
            <w:tcW w:w="3681" w:type="dxa"/>
            <w:tcBorders>
              <w:top w:val="nil"/>
              <w:bottom w:val="nil"/>
              <w:right w:val="single" w:sz="4" w:space="0" w:color="auto"/>
            </w:tcBorders>
            <w:vAlign w:val="center"/>
          </w:tcPr>
          <w:p w14:paraId="3AFF9BF9"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i/>
                <w:sz w:val="24"/>
                <w:szCs w:val="24"/>
              </w:rPr>
              <w:t>G. oxydans</w:t>
            </w:r>
            <w:r w:rsidRPr="00053C1E">
              <w:rPr>
                <w:rFonts w:ascii="Times New Roman" w:eastAsia="宋体" w:hAnsi="Times New Roman" w:cs="Times New Roman"/>
                <w:bCs/>
                <w:sz w:val="24"/>
                <w:szCs w:val="24"/>
              </w:rPr>
              <w:t>/pBBR-R10-mGDH</w:t>
            </w:r>
          </w:p>
        </w:tc>
        <w:tc>
          <w:tcPr>
            <w:tcW w:w="7654" w:type="dxa"/>
            <w:tcBorders>
              <w:top w:val="nil"/>
              <w:left w:val="single" w:sz="4" w:space="0" w:color="auto"/>
              <w:bottom w:val="nil"/>
              <w:right w:val="single" w:sz="4" w:space="0" w:color="auto"/>
            </w:tcBorders>
            <w:vAlign w:val="center"/>
          </w:tcPr>
          <w:p w14:paraId="7B0F6729"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DSM2003</w:t>
            </w:r>
            <w:r w:rsidRPr="00053C1E">
              <w:rPr>
                <w:rFonts w:ascii="Times New Roman" w:eastAsia="等线" w:hAnsi="Times New Roman" w:cs="Times New Roman"/>
                <w:color w:val="000000"/>
                <w:kern w:val="0"/>
                <w:sz w:val="24"/>
                <w:szCs w:val="24"/>
              </w:rPr>
              <w:t>，</w:t>
            </w:r>
            <w:r w:rsidRPr="00053C1E">
              <w:rPr>
                <w:rFonts w:ascii="Times New Roman" w:eastAsia="等线" w:hAnsi="Times New Roman" w:cs="Times New Roman"/>
                <w:color w:val="000000"/>
                <w:kern w:val="0"/>
                <w:sz w:val="24"/>
                <w:szCs w:val="24"/>
              </w:rPr>
              <w:t>containing pBBR-R10-P</w:t>
            </w:r>
            <w:r w:rsidRPr="00053C1E">
              <w:rPr>
                <w:rFonts w:ascii="Times New Roman" w:eastAsia="等线" w:hAnsi="Times New Roman" w:cs="Times New Roman"/>
                <w:color w:val="000000"/>
                <w:kern w:val="0"/>
                <w:sz w:val="24"/>
                <w:szCs w:val="24"/>
                <w:vertAlign w:val="subscript"/>
              </w:rPr>
              <w:t>tufb</w:t>
            </w:r>
            <w:r w:rsidRPr="00053C1E">
              <w:rPr>
                <w:rFonts w:ascii="Times New Roman" w:eastAsia="等线" w:hAnsi="Times New Roman" w:cs="Times New Roman"/>
                <w:color w:val="000000"/>
                <w:kern w:val="0"/>
                <w:sz w:val="24"/>
                <w:szCs w:val="24"/>
              </w:rPr>
              <w:t xml:space="preserve">-mGDH; </w:t>
            </w:r>
            <w:proofErr w:type="spellStart"/>
            <w:r w:rsidRPr="00053C1E">
              <w:rPr>
                <w:rFonts w:ascii="Times New Roman" w:eastAsia="等线" w:hAnsi="Times New Roman" w:cs="Times New Roman"/>
                <w:color w:val="000000"/>
                <w:kern w:val="0"/>
                <w:sz w:val="24"/>
                <w:szCs w:val="24"/>
              </w:rPr>
              <w:t>Cef</w:t>
            </w:r>
            <w:r w:rsidRPr="00053C1E">
              <w:rPr>
                <w:rFonts w:ascii="Times New Roman" w:eastAsia="等线" w:hAnsi="Times New Roman" w:cs="Times New Roman"/>
                <w:color w:val="000000"/>
                <w:kern w:val="0"/>
                <w:sz w:val="24"/>
                <w:szCs w:val="24"/>
                <w:vertAlign w:val="superscript"/>
              </w:rPr>
              <w:t>r</w:t>
            </w:r>
            <w:proofErr w:type="spellEnd"/>
            <w:r w:rsidRPr="00053C1E">
              <w:rPr>
                <w:rFonts w:ascii="Times New Roman" w:eastAsia="等线" w:hAnsi="Times New Roman" w:cs="Times New Roman"/>
                <w:color w:val="000000"/>
                <w:kern w:val="0"/>
                <w:sz w:val="24"/>
                <w:szCs w:val="24"/>
              </w:rPr>
              <w:t xml:space="preserve">,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18F58995"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7DC1FB49" w14:textId="77777777" w:rsidTr="001918AE">
        <w:tc>
          <w:tcPr>
            <w:tcW w:w="3681" w:type="dxa"/>
            <w:tcBorders>
              <w:top w:val="nil"/>
              <w:bottom w:val="nil"/>
              <w:right w:val="single" w:sz="4" w:space="0" w:color="auto"/>
            </w:tcBorders>
            <w:vAlign w:val="center"/>
          </w:tcPr>
          <w:p w14:paraId="3FBE2904"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i/>
                <w:sz w:val="24"/>
                <w:szCs w:val="24"/>
              </w:rPr>
              <w:t>G. oxydans</w:t>
            </w:r>
            <w:r w:rsidRPr="00053C1E">
              <w:rPr>
                <w:rFonts w:ascii="Times New Roman" w:eastAsia="宋体" w:hAnsi="Times New Roman" w:cs="Times New Roman"/>
                <w:bCs/>
                <w:sz w:val="24"/>
                <w:szCs w:val="24"/>
              </w:rPr>
              <w:t>/pBBR-3510-mGDH</w:t>
            </w:r>
          </w:p>
        </w:tc>
        <w:tc>
          <w:tcPr>
            <w:tcW w:w="7654" w:type="dxa"/>
            <w:tcBorders>
              <w:top w:val="nil"/>
              <w:left w:val="single" w:sz="4" w:space="0" w:color="auto"/>
              <w:bottom w:val="nil"/>
              <w:right w:val="single" w:sz="4" w:space="0" w:color="auto"/>
            </w:tcBorders>
            <w:vAlign w:val="center"/>
          </w:tcPr>
          <w:p w14:paraId="7D385272"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DSM2003</w:t>
            </w:r>
            <w:r w:rsidRPr="00053C1E">
              <w:rPr>
                <w:rFonts w:ascii="Times New Roman" w:eastAsia="等线" w:hAnsi="Times New Roman" w:cs="Times New Roman"/>
                <w:color w:val="000000"/>
                <w:kern w:val="0"/>
                <w:sz w:val="24"/>
                <w:szCs w:val="24"/>
              </w:rPr>
              <w:t>，</w:t>
            </w:r>
            <w:r w:rsidRPr="00053C1E">
              <w:rPr>
                <w:rFonts w:ascii="Times New Roman" w:eastAsia="等线" w:hAnsi="Times New Roman" w:cs="Times New Roman"/>
                <w:color w:val="000000"/>
                <w:kern w:val="0"/>
                <w:sz w:val="24"/>
                <w:szCs w:val="24"/>
              </w:rPr>
              <w:t>containing pBBR-3510-P</w:t>
            </w:r>
            <w:r w:rsidRPr="00053C1E">
              <w:rPr>
                <w:rFonts w:ascii="Times New Roman" w:eastAsia="等线" w:hAnsi="Times New Roman" w:cs="Times New Roman"/>
                <w:color w:val="000000"/>
                <w:kern w:val="0"/>
                <w:sz w:val="24"/>
                <w:szCs w:val="24"/>
                <w:vertAlign w:val="subscript"/>
              </w:rPr>
              <w:t>tufb</w:t>
            </w:r>
            <w:r w:rsidRPr="00053C1E">
              <w:rPr>
                <w:rFonts w:ascii="Times New Roman" w:eastAsia="等线" w:hAnsi="Times New Roman" w:cs="Times New Roman"/>
                <w:color w:val="000000"/>
                <w:kern w:val="0"/>
                <w:sz w:val="24"/>
                <w:szCs w:val="24"/>
              </w:rPr>
              <w:t xml:space="preserve">-mGDH; </w:t>
            </w:r>
            <w:proofErr w:type="spellStart"/>
            <w:r w:rsidRPr="00053C1E">
              <w:rPr>
                <w:rFonts w:ascii="Times New Roman" w:eastAsia="等线" w:hAnsi="Times New Roman" w:cs="Times New Roman"/>
                <w:color w:val="000000"/>
                <w:kern w:val="0"/>
                <w:sz w:val="24"/>
                <w:szCs w:val="24"/>
              </w:rPr>
              <w:t>Cef</w:t>
            </w:r>
            <w:r w:rsidRPr="00053C1E">
              <w:rPr>
                <w:rFonts w:ascii="Times New Roman" w:eastAsia="等线" w:hAnsi="Times New Roman" w:cs="Times New Roman"/>
                <w:color w:val="000000"/>
                <w:kern w:val="0"/>
                <w:sz w:val="24"/>
                <w:szCs w:val="24"/>
                <w:vertAlign w:val="superscript"/>
              </w:rPr>
              <w:t>r</w:t>
            </w:r>
            <w:proofErr w:type="spellEnd"/>
            <w:r w:rsidRPr="00053C1E">
              <w:rPr>
                <w:rFonts w:ascii="Times New Roman" w:eastAsia="等线" w:hAnsi="Times New Roman" w:cs="Times New Roman"/>
                <w:color w:val="000000"/>
                <w:kern w:val="0"/>
                <w:sz w:val="24"/>
                <w:szCs w:val="24"/>
              </w:rPr>
              <w:t xml:space="preserve">,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74BFD101"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4247C59E" w14:textId="77777777" w:rsidTr="001918AE">
        <w:tc>
          <w:tcPr>
            <w:tcW w:w="3681" w:type="dxa"/>
            <w:tcBorders>
              <w:top w:val="nil"/>
              <w:bottom w:val="single" w:sz="4" w:space="0" w:color="auto"/>
              <w:right w:val="single" w:sz="4" w:space="0" w:color="auto"/>
            </w:tcBorders>
            <w:vAlign w:val="center"/>
          </w:tcPr>
          <w:p w14:paraId="15D21D54"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i/>
                <w:sz w:val="24"/>
                <w:szCs w:val="24"/>
              </w:rPr>
              <w:t>G. oxydans</w:t>
            </w:r>
            <w:r w:rsidRPr="00053C1E">
              <w:rPr>
                <w:rFonts w:ascii="Times New Roman" w:eastAsia="宋体" w:hAnsi="Times New Roman" w:cs="Times New Roman"/>
                <w:bCs/>
                <w:sz w:val="24"/>
                <w:szCs w:val="24"/>
              </w:rPr>
              <w:t>/pBBR-R3510-mGDH</w:t>
            </w:r>
          </w:p>
        </w:tc>
        <w:tc>
          <w:tcPr>
            <w:tcW w:w="7654" w:type="dxa"/>
            <w:tcBorders>
              <w:top w:val="nil"/>
              <w:left w:val="single" w:sz="4" w:space="0" w:color="auto"/>
              <w:bottom w:val="single" w:sz="4" w:space="0" w:color="auto"/>
              <w:right w:val="single" w:sz="4" w:space="0" w:color="auto"/>
            </w:tcBorders>
            <w:vAlign w:val="center"/>
          </w:tcPr>
          <w:p w14:paraId="38BBD218"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DSM2003</w:t>
            </w:r>
            <w:r w:rsidRPr="00053C1E">
              <w:rPr>
                <w:rFonts w:ascii="Times New Roman" w:eastAsia="等线" w:hAnsi="Times New Roman" w:cs="Times New Roman"/>
                <w:color w:val="000000"/>
                <w:kern w:val="0"/>
                <w:sz w:val="24"/>
                <w:szCs w:val="24"/>
              </w:rPr>
              <w:t>，</w:t>
            </w:r>
            <w:r w:rsidRPr="00053C1E">
              <w:rPr>
                <w:rFonts w:ascii="Times New Roman" w:eastAsia="等线" w:hAnsi="Times New Roman" w:cs="Times New Roman"/>
                <w:color w:val="000000"/>
                <w:kern w:val="0"/>
                <w:sz w:val="24"/>
                <w:szCs w:val="24"/>
              </w:rPr>
              <w:t>containing pBBR-R3510-P</w:t>
            </w:r>
            <w:r w:rsidRPr="00053C1E">
              <w:rPr>
                <w:rFonts w:ascii="Times New Roman" w:eastAsia="等线" w:hAnsi="Times New Roman" w:cs="Times New Roman"/>
                <w:color w:val="000000"/>
                <w:kern w:val="0"/>
                <w:sz w:val="24"/>
                <w:szCs w:val="24"/>
                <w:vertAlign w:val="subscript"/>
              </w:rPr>
              <w:t>tufb</w:t>
            </w:r>
            <w:r w:rsidRPr="00053C1E">
              <w:rPr>
                <w:rFonts w:ascii="Times New Roman" w:eastAsia="等线" w:hAnsi="Times New Roman" w:cs="Times New Roman"/>
                <w:color w:val="000000"/>
                <w:kern w:val="0"/>
                <w:sz w:val="24"/>
                <w:szCs w:val="24"/>
              </w:rPr>
              <w:t xml:space="preserve">-mGDH; </w:t>
            </w:r>
            <w:proofErr w:type="spellStart"/>
            <w:r w:rsidRPr="00053C1E">
              <w:rPr>
                <w:rFonts w:ascii="Times New Roman" w:eastAsia="等线" w:hAnsi="Times New Roman" w:cs="Times New Roman"/>
                <w:color w:val="000000"/>
                <w:kern w:val="0"/>
                <w:sz w:val="24"/>
                <w:szCs w:val="24"/>
              </w:rPr>
              <w:t>Cef</w:t>
            </w:r>
            <w:r w:rsidRPr="00053C1E">
              <w:rPr>
                <w:rFonts w:ascii="Times New Roman" w:eastAsia="等线" w:hAnsi="Times New Roman" w:cs="Times New Roman"/>
                <w:color w:val="000000"/>
                <w:kern w:val="0"/>
                <w:sz w:val="24"/>
                <w:szCs w:val="24"/>
                <w:vertAlign w:val="superscript"/>
              </w:rPr>
              <w:t>r</w:t>
            </w:r>
            <w:proofErr w:type="spellEnd"/>
            <w:r w:rsidRPr="00053C1E">
              <w:rPr>
                <w:rFonts w:ascii="Times New Roman" w:eastAsia="等线" w:hAnsi="Times New Roman" w:cs="Times New Roman"/>
                <w:color w:val="000000"/>
                <w:kern w:val="0"/>
                <w:sz w:val="24"/>
                <w:szCs w:val="24"/>
              </w:rPr>
              <w:t xml:space="preserve">,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single" w:sz="4" w:space="0" w:color="auto"/>
            </w:tcBorders>
            <w:vAlign w:val="center"/>
          </w:tcPr>
          <w:p w14:paraId="1877AD80"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12960133" w14:textId="77777777" w:rsidTr="001918AE">
        <w:tc>
          <w:tcPr>
            <w:tcW w:w="3681" w:type="dxa"/>
            <w:tcBorders>
              <w:top w:val="single" w:sz="4" w:space="0" w:color="auto"/>
              <w:bottom w:val="single" w:sz="4" w:space="0" w:color="auto"/>
              <w:right w:val="single" w:sz="4" w:space="0" w:color="auto"/>
            </w:tcBorders>
            <w:vAlign w:val="center"/>
          </w:tcPr>
          <w:p w14:paraId="56750820" w14:textId="77777777" w:rsidR="00FB46E8" w:rsidRPr="00053C1E" w:rsidRDefault="00FB46E8" w:rsidP="00053C1E">
            <w:pPr>
              <w:spacing w:line="300" w:lineRule="auto"/>
              <w:jc w:val="center"/>
              <w:rPr>
                <w:rFonts w:ascii="Times New Roman" w:eastAsia="宋体" w:hAnsi="Times New Roman" w:cs="Times New Roman"/>
                <w:b/>
                <w:sz w:val="24"/>
                <w:szCs w:val="24"/>
              </w:rPr>
            </w:pPr>
            <w:r w:rsidRPr="00053C1E">
              <w:rPr>
                <w:rFonts w:ascii="Times New Roman" w:eastAsia="宋体" w:hAnsi="Times New Roman" w:cs="Times New Roman"/>
                <w:b/>
                <w:sz w:val="24"/>
                <w:szCs w:val="24"/>
              </w:rPr>
              <w:t>Plasmid</w:t>
            </w:r>
          </w:p>
        </w:tc>
        <w:tc>
          <w:tcPr>
            <w:tcW w:w="7654" w:type="dxa"/>
            <w:tcBorders>
              <w:top w:val="single" w:sz="4" w:space="0" w:color="auto"/>
              <w:left w:val="single" w:sz="4" w:space="0" w:color="auto"/>
              <w:bottom w:val="single" w:sz="4" w:space="0" w:color="auto"/>
              <w:right w:val="single" w:sz="4" w:space="0" w:color="auto"/>
            </w:tcBorders>
            <w:vAlign w:val="center"/>
          </w:tcPr>
          <w:p w14:paraId="62C5A9A3" w14:textId="77777777" w:rsidR="00FB46E8" w:rsidRPr="00053C1E" w:rsidRDefault="00FB46E8" w:rsidP="00053C1E">
            <w:pPr>
              <w:spacing w:line="300" w:lineRule="auto"/>
              <w:jc w:val="center"/>
              <w:rPr>
                <w:rFonts w:ascii="Times New Roman" w:eastAsia="等线" w:hAnsi="Times New Roman" w:cs="Times New Roman"/>
                <w:b/>
                <w:color w:val="000000"/>
                <w:kern w:val="0"/>
                <w:sz w:val="24"/>
                <w:szCs w:val="24"/>
              </w:rPr>
            </w:pPr>
            <w:r w:rsidRPr="00053C1E">
              <w:rPr>
                <w:rFonts w:ascii="Times New Roman" w:eastAsia="宋体" w:hAnsi="Times New Roman" w:cs="Times New Roman"/>
                <w:b/>
                <w:sz w:val="24"/>
                <w:szCs w:val="24"/>
              </w:rPr>
              <w:t>Description</w:t>
            </w:r>
          </w:p>
        </w:tc>
        <w:tc>
          <w:tcPr>
            <w:tcW w:w="2410" w:type="dxa"/>
            <w:tcBorders>
              <w:top w:val="single" w:sz="4" w:space="0" w:color="auto"/>
              <w:left w:val="single" w:sz="4" w:space="0" w:color="auto"/>
              <w:bottom w:val="single" w:sz="4" w:space="0" w:color="auto"/>
            </w:tcBorders>
            <w:vAlign w:val="center"/>
          </w:tcPr>
          <w:p w14:paraId="5409AF46" w14:textId="77777777" w:rsidR="00FB46E8" w:rsidRPr="00053C1E" w:rsidRDefault="00FB46E8" w:rsidP="00053C1E">
            <w:pPr>
              <w:spacing w:line="300" w:lineRule="auto"/>
              <w:jc w:val="center"/>
              <w:rPr>
                <w:rFonts w:ascii="Times New Roman" w:eastAsia="等线" w:hAnsi="Times New Roman" w:cs="Times New Roman"/>
                <w:b/>
                <w:color w:val="000000"/>
                <w:kern w:val="0"/>
                <w:sz w:val="24"/>
                <w:szCs w:val="24"/>
              </w:rPr>
            </w:pPr>
            <w:r w:rsidRPr="00053C1E">
              <w:rPr>
                <w:rFonts w:ascii="Times New Roman" w:eastAsia="宋体" w:hAnsi="Times New Roman" w:cs="Times New Roman"/>
                <w:b/>
                <w:sz w:val="24"/>
                <w:szCs w:val="24"/>
              </w:rPr>
              <w:t>Reference</w:t>
            </w:r>
          </w:p>
        </w:tc>
      </w:tr>
      <w:tr w:rsidR="00FB46E8" w:rsidRPr="00053C1E" w14:paraId="6D5BC2F1" w14:textId="77777777" w:rsidTr="00172DC5">
        <w:trPr>
          <w:trHeight w:val="557"/>
        </w:trPr>
        <w:tc>
          <w:tcPr>
            <w:tcW w:w="3681" w:type="dxa"/>
            <w:tcBorders>
              <w:top w:val="single" w:sz="4" w:space="0" w:color="auto"/>
              <w:bottom w:val="nil"/>
              <w:right w:val="single" w:sz="4" w:space="0" w:color="auto"/>
            </w:tcBorders>
            <w:vAlign w:val="center"/>
          </w:tcPr>
          <w:p w14:paraId="1FB8C32B"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等线" w:hAnsi="Times New Roman" w:cs="Times New Roman"/>
                <w:color w:val="000000"/>
                <w:kern w:val="0"/>
                <w:sz w:val="24"/>
                <w:szCs w:val="24"/>
              </w:rPr>
              <w:t>pBBR1MCS5</w:t>
            </w:r>
          </w:p>
        </w:tc>
        <w:tc>
          <w:tcPr>
            <w:tcW w:w="7654" w:type="dxa"/>
            <w:tcBorders>
              <w:top w:val="single" w:sz="4" w:space="0" w:color="auto"/>
              <w:left w:val="single" w:sz="4" w:space="0" w:color="auto"/>
              <w:bottom w:val="nil"/>
              <w:right w:val="single" w:sz="4" w:space="0" w:color="auto"/>
            </w:tcBorders>
            <w:vAlign w:val="center"/>
          </w:tcPr>
          <w:p w14:paraId="0E240099"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single" w:sz="4" w:space="0" w:color="auto"/>
              <w:left w:val="single" w:sz="4" w:space="0" w:color="auto"/>
              <w:bottom w:val="nil"/>
            </w:tcBorders>
            <w:vAlign w:val="center"/>
          </w:tcPr>
          <w:p w14:paraId="163794FF" w14:textId="7367E1C4"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{"citationItems":[{"id":"ITEM-1","itemData":{"DOI":"10.1016/0378-1119(95)00584-1","ISSN":"03781119","abstract":"Four new antibiotic-resistant derivatives of the broad-host-range (bhr) cloning vector pBBR1MCS have been constructed. These new plasmids have several advantages over many of the currently available bhr vectors in that: (i) they are relatively small (&lt; 5.3 kb), (ii) they possess an extended multiple cloning site (MCS), (iii) they allow direct selection of recombinant plasmid molecules in Escherichia coli via disruption of the LacZα peptide, (iv) they are mobilizable when the RK2 transfer functions are provided in trans and (v) they are compatible with IncP, IncQ and IncW group plasmids, as well as with ColE1- and P15a-based replicons. © 1995.","author":[{"dropping-particle":"","family":"Kovach","given":"Michael E.","non-dropping-particle":"","parse-names":false,"suffix":""},{"dropping-particle":"","family":"Elzer","given":"Philip H.","non-dropping-particle":"","parse-names":false,"suffix":""},{"dropping-particle":"","family":"Steven Hill","given":"D.","non-dropping-particle":"","parse-names":false,"suffix":""},{"dropping-particle":"","family":"Robertson","given":"Gregory T.","non-dropping-particle":"","parse-names":false,"suffix":""},{"dropping-particle":"","family":"Farris","given":"Michael A.","non-dropping-particle":"","parse-names":false,"suffix":""},{"dropping-particle":"","family":"Roop","given":"R. Martin","non-dropping-particle":"","parse-names":false,"suffix":""},{"dropping-particle":"","family":"Peterson","given":"Kenneth M.","non-dropping-particle":"","parse-names":false,"suffix":""}],"container-title":"Gene","id":"ITEM-1","issue":"1","issued":{"date-parts":[["1995"]]},"title":"Four new derivatives of the broad-host-range cloning vector pBBR1MCS, carrying different antibiotic-resistance cassettes","type":"article-journal","volume":"166"},"uris":["http://www.mendeley.com/documents/?uuid=39ffae59-45e0-315e-9369-c2a5cc47e86a"]}],"mendeley":{"formattedCitation":"(Kovach et al., 1995)","manualFormatting":"Kovach et al., 1995","plainTextFormattedCitation":"(Kovach et al., 1995)","previouslyFormattedCitation":"(Kovach et al., 1995)"},"properties":{"noteIndex":0},"schema":"https://github.com/citation-style-language/schema/raw/master/csl-citation.json"}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Kovach et al., 1995</w:t>
            </w:r>
            <w:r w:rsidRPr="00053C1E">
              <w:rPr>
                <w:rFonts w:ascii="Times New Roman" w:eastAsia="等线" w:hAnsi="Times New Roman" w:cs="Times New Roman"/>
                <w:color w:val="000000"/>
                <w:kern w:val="0"/>
                <w:sz w:val="24"/>
                <w:szCs w:val="24"/>
              </w:rPr>
              <w:fldChar w:fldCharType="end"/>
            </w:r>
          </w:p>
        </w:tc>
      </w:tr>
      <w:tr w:rsidR="00FB46E8" w:rsidRPr="00053C1E" w14:paraId="0807DFD4" w14:textId="77777777" w:rsidTr="001918AE">
        <w:tc>
          <w:tcPr>
            <w:tcW w:w="3681" w:type="dxa"/>
            <w:tcBorders>
              <w:top w:val="nil"/>
              <w:bottom w:val="nil"/>
              <w:right w:val="single" w:sz="4" w:space="0" w:color="auto"/>
            </w:tcBorders>
            <w:vAlign w:val="center"/>
          </w:tcPr>
          <w:p w14:paraId="74527C40"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等线" w:hAnsi="Times New Roman" w:cs="Times New Roman"/>
                <w:color w:val="000000"/>
                <w:kern w:val="0"/>
                <w:sz w:val="24"/>
                <w:szCs w:val="24"/>
              </w:rPr>
              <w:t>pRK2013</w:t>
            </w:r>
          </w:p>
        </w:tc>
        <w:tc>
          <w:tcPr>
            <w:tcW w:w="7654" w:type="dxa"/>
            <w:tcBorders>
              <w:top w:val="nil"/>
              <w:left w:val="single" w:sz="4" w:space="0" w:color="auto"/>
              <w:bottom w:val="nil"/>
              <w:right w:val="single" w:sz="4" w:space="0" w:color="auto"/>
            </w:tcBorders>
            <w:vAlign w:val="center"/>
          </w:tcPr>
          <w:p w14:paraId="1B75A840"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Helper plasmid, </w:t>
            </w:r>
            <w:proofErr w:type="spellStart"/>
            <w:r w:rsidRPr="00053C1E">
              <w:rPr>
                <w:rFonts w:ascii="Times New Roman" w:eastAsia="等线" w:hAnsi="Times New Roman" w:cs="Times New Roman"/>
                <w:color w:val="000000"/>
                <w:kern w:val="0"/>
                <w:sz w:val="24"/>
                <w:szCs w:val="24"/>
              </w:rPr>
              <w:t>Km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0BC4629D"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ATCC</w:t>
            </w:r>
          </w:p>
        </w:tc>
      </w:tr>
      <w:tr w:rsidR="00FB46E8" w:rsidRPr="00053C1E" w14:paraId="57F88B5D" w14:textId="77777777" w:rsidTr="001918AE">
        <w:tc>
          <w:tcPr>
            <w:tcW w:w="3681" w:type="dxa"/>
            <w:tcBorders>
              <w:top w:val="nil"/>
              <w:bottom w:val="nil"/>
              <w:right w:val="single" w:sz="4" w:space="0" w:color="auto"/>
            </w:tcBorders>
            <w:vAlign w:val="center"/>
          </w:tcPr>
          <w:p w14:paraId="312283BC"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pBBR-35</w:t>
            </w:r>
          </w:p>
        </w:tc>
        <w:tc>
          <w:tcPr>
            <w:tcW w:w="7654" w:type="dxa"/>
            <w:tcBorders>
              <w:top w:val="nil"/>
              <w:left w:val="single" w:sz="4" w:space="0" w:color="auto"/>
              <w:bottom w:val="nil"/>
              <w:right w:val="single" w:sz="4" w:space="0" w:color="auto"/>
            </w:tcBorders>
            <w:vAlign w:val="center"/>
          </w:tcPr>
          <w:p w14:paraId="14249439"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The derivate of pBBR1MCS5,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5A5708C6"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{"citationItems":[{"id":"ITEM-1","itemData":{"DOI":"10.1021/acs.jafc.5b01652","ISSN":"15205118","abstract":"2-Keto-d-gluconic acid (2KGA), a precursor of the important food antioxidant erythorbic acid, can be produced by Gluconobacter oxidans. To genetically engineer G. oxidans for improved 2KGA production, six new expression vectors with increased copy numbers based on pBBR1MCS-5 were constructed via rational mutagenesis. The utility of the mutant vectors was demonstrated by the increased ga2dh mRNA abundance, enzyme activity, and 2KGA production when the ga2dh gene was overexpressed using these vectors. Among the obtained constructs, G. oxidans/pBBR-3510-ga2dh displayed the highest oxidative activity toward gluconic acid (GA). In a batch biotransformation process, the G. oxidans/pBBR-3510-ga2dh strain exhibited 2KGA productivity (0.63 g/g CWW/h) higher than that obtained using strain G. oxidans/pBBR-ga2dh (0.40 g/g CWW/h). When sufficient oxygen was supplied during the biotransformation, up to 480 g/L GA was exhausted in 45 h by the G. oxidans/pBBR-3510-ga2dh strain and approximately 486 g/L 2KGA was produced, generating the productivity of 0.54 g/g CWW/h.","author":[{"dropping-particle":"","family":"Shi","given":"Yuan Yuan","non-dropping-particle":"","parse-names":false,"suffix":""},{"dropping-particle":"","family":"Li","given":"Ke Fei","non-dropping-particle":"","parse-names":false,"suffix":""},{"dropping-particle":"","family":"Lin","given":"Jin Ping","non-dropping-particle":"","parse-names":false,"suffix":""},{"dropping-particle":"","family":"Yang","given":"Sheng Li","non-dropping-particle":"","parse-names":false,"suffix":""},{"dropping-particle":"","family":"Wei","given":"Dong Zhi","non-dropping-particle":"","parse-names":false,"suffix":""}],"container-title":"Journal of Agricultural and Food Chemistry","id":"ITEM-1","issue":"22","issued":{"date-parts":[["2015"]]},"title":"Engineered Expression Vectors Significantly Enhanced the Production of 2-Keto-D-gluconic Acid by Gluconobacter oxidans","type":"article-journal","volume":"63"},"uris":["http://www.mendeley.com/documents/?uuid=f3831850-3b35-32d1-a1b5-2d8cbbf93a6f"]}],"mendeley":{"formattedCitation":"(Shi et al., 2015)","manualFormatting":"Shi et al., 2015","plainTextFormattedCitation":"(Shi et al., 2015)","previouslyFormattedCitation":"(Shi et al., 2015)"},"properties":{"noteIndex":0},"schema":"https://github.com/citation-style-language/schema/raw/master/csl-citation.json"}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Shi et al., 2015</w:t>
            </w:r>
            <w:r w:rsidRPr="00053C1E">
              <w:rPr>
                <w:rFonts w:ascii="Times New Roman" w:eastAsia="等线" w:hAnsi="Times New Roman" w:cs="Times New Roman"/>
                <w:color w:val="000000"/>
                <w:kern w:val="0"/>
                <w:sz w:val="24"/>
                <w:szCs w:val="24"/>
              </w:rPr>
              <w:fldChar w:fldCharType="end"/>
            </w:r>
          </w:p>
        </w:tc>
      </w:tr>
      <w:tr w:rsidR="00FB46E8" w:rsidRPr="00053C1E" w14:paraId="339C7E49" w14:textId="77777777" w:rsidTr="001918AE">
        <w:tc>
          <w:tcPr>
            <w:tcW w:w="3681" w:type="dxa"/>
            <w:tcBorders>
              <w:top w:val="nil"/>
              <w:bottom w:val="nil"/>
              <w:right w:val="single" w:sz="4" w:space="0" w:color="auto"/>
            </w:tcBorders>
            <w:vAlign w:val="center"/>
          </w:tcPr>
          <w:p w14:paraId="75075D27"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pBBR-10</w:t>
            </w:r>
          </w:p>
        </w:tc>
        <w:tc>
          <w:tcPr>
            <w:tcW w:w="7654" w:type="dxa"/>
            <w:tcBorders>
              <w:top w:val="nil"/>
              <w:left w:val="single" w:sz="4" w:space="0" w:color="auto"/>
              <w:bottom w:val="nil"/>
              <w:right w:val="single" w:sz="4" w:space="0" w:color="auto"/>
            </w:tcBorders>
            <w:vAlign w:val="center"/>
          </w:tcPr>
          <w:p w14:paraId="368D905D"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The derivate of pBBR1MCS5,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6FE8088A"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{"citationItems":[{"id":"ITEM-1","itemData":{"DOI":"10.1021/acs.jafc.5b01652","ISSN":"15205118","abstract":"2-Keto-d-gluconic acid (2KGA), a precursor of the important food antioxidant erythorbic acid, can be produced by Gluconobacter oxidans. To genetically engineer G. oxidans for improved 2KGA production, six new expression vectors with increased copy numbers based on pBBR1MCS-5 were constructed via rational mutagenesis. The utility of the mutant vectors was demonstrated by the increased ga2dh mRNA abundance, enzyme activity, and 2KGA production when the ga2dh gene was overexpressed using these vectors. Among the obtained constructs, G. oxidans/pBBR-3510-ga2dh displayed the highest oxidative activity toward gluconic acid (GA). In a batch biotransformation process, the G. oxidans/pBBR-3510-ga2dh strain exhibited 2KGA productivity (0.63 g/g CWW/h) higher than that obtained using strain G. oxidans/pBBR-ga2dh (0.40 g/g CWW/h). When sufficient oxygen was supplied during the biotransformation, up to 480 g/L GA was exhausted in 45 h by the G. oxidans/pBBR-3510-ga2dh strain and approximately 486 g/L 2KGA was produced, generating the productivity of 0.54 g/g CWW/h.","author":[{"dropping-particle":"","family":"Shi","given":"Yuan Yuan","non-dropping-particle":"","parse-names":false,"suffix":""},{"dropping-particle":"","family":"Li","given":"Ke Fei","non-dropping-particle":"","parse-names":false,"suffix":""},{"dropping-particle":"","family":"Lin","given":"Jin Ping","non-dropping-particle":"","parse-names":false,"suffix":""},{"dropping-particle":"","family":"Yang","given":"Sheng Li","non-dropping-particle":"","parse-names":false,"suffix":""},{"dropping-particle":"","family":"Wei","given":"Dong Zhi","non-dropping-particle":"","parse-names":false,"suffix":""}],"container-title":"Journal of Agricultural and Food Chemistry","id":"ITEM-1","issue":"22","issued":{"date-parts":[["2015"]]},"title":"Engineered Expression Vectors Significantly Enhanced the Production of 2-Keto-D-gluconic Acid by Gluconobacter oxidans","type":"article-journal","volume":"63"},"uris":["http://www.mendeley.com/documents/?uuid=f3831850-3b35-32d1-a1b5-2d8cbbf93a6f"]}],"mendeley":{"formattedCitation":"(Shi et al., 2015)","manualFormatting":"Shi et al., 2015","plainTextFormattedCitation":"(Shi et al., 2015)","previouslyFormattedCitation":"(Shi et al., 2015)"},"properties":{"noteIndex":0},"schema":"https://github.com/citation-style-language/schema/raw/master/csl-citation.json"}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Shi et al., 2015</w:t>
            </w:r>
            <w:r w:rsidRPr="00053C1E">
              <w:rPr>
                <w:rFonts w:ascii="Times New Roman" w:eastAsia="等线" w:hAnsi="Times New Roman" w:cs="Times New Roman"/>
                <w:color w:val="000000"/>
                <w:kern w:val="0"/>
                <w:sz w:val="24"/>
                <w:szCs w:val="24"/>
              </w:rPr>
              <w:fldChar w:fldCharType="end"/>
            </w:r>
          </w:p>
        </w:tc>
      </w:tr>
      <w:tr w:rsidR="00FB46E8" w:rsidRPr="00053C1E" w14:paraId="005237DF" w14:textId="77777777" w:rsidTr="001918AE">
        <w:tc>
          <w:tcPr>
            <w:tcW w:w="3681" w:type="dxa"/>
            <w:tcBorders>
              <w:top w:val="nil"/>
              <w:bottom w:val="nil"/>
              <w:right w:val="single" w:sz="4" w:space="0" w:color="auto"/>
            </w:tcBorders>
            <w:vAlign w:val="center"/>
          </w:tcPr>
          <w:p w14:paraId="15A57C95"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lastRenderedPageBreak/>
              <w:t>pBBR-R35</w:t>
            </w:r>
          </w:p>
        </w:tc>
        <w:tc>
          <w:tcPr>
            <w:tcW w:w="7654" w:type="dxa"/>
            <w:tcBorders>
              <w:top w:val="nil"/>
              <w:left w:val="single" w:sz="4" w:space="0" w:color="auto"/>
              <w:bottom w:val="nil"/>
              <w:right w:val="single" w:sz="4" w:space="0" w:color="auto"/>
            </w:tcBorders>
            <w:vAlign w:val="center"/>
          </w:tcPr>
          <w:p w14:paraId="08A90D3D"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The derivate of pBBR1MCS5,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586D9DF9"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{"citationItems":[{"id":"ITEM-1","itemData":{"DOI":"10.1021/acs.jafc.5b01652","ISSN":"15205118","abstract":"2-Keto-d-gluconic acid (2KGA), a precursor of the important food antioxidant erythorbic acid, can be produced by Gluconobacter oxidans. To genetically engineer G. oxidans for improved 2KGA production, six new expression vectors with increased copy numbers based on pBBR1MCS-5 were constructed via rational mutagenesis. The utility of the mutant vectors was demonstrated by the increased ga2dh mRNA abundance, enzyme activity, and 2KGA production when the ga2dh gene was overexpressed using these vectors. Among the obtained constructs, G. oxidans/pBBR-3510-ga2dh displayed the highest oxidative activity toward gluconic acid (GA). In a batch biotransformation process, the G. oxidans/pBBR-3510-ga2dh strain exhibited 2KGA productivity (0.63 g/g CWW/h) higher than that obtained using strain G. oxidans/pBBR-ga2dh (0.40 g/g CWW/h). When sufficient oxygen was supplied during the biotransformation, up to 480 g/L GA was exhausted in 45 h by the G. oxidans/pBBR-3510-ga2dh strain and approximately 486 g/L 2KGA was produced, generating the productivity of 0.54 g/g CWW/h.","author":[{"dropping-particle":"","family":"Shi","given":"Yuan Yuan","non-dropping-particle":"","parse-names":false,"suffix":""},{"dropping-particle":"","family":"Li","given":"Ke Fei","non-dropping-particle":"","parse-names":false,"suffix":""},{"dropping-particle":"","family":"Lin","given":"Jin Ping","non-dropping-particle":"","parse-names":false,"suffix":""},{"dropping-particle":"","family":"Yang","given":"Sheng Li","non-dropping-particle":"","parse-names":false,"suffix":""},{"dropping-particle":"","family":"Wei","given":"Dong Zhi","non-dropping-particle":"","parse-names":false,"suffix":""}],"container-title":"Journal of Agricultural and Food Chemistry","id":"ITEM-1","issue":"22","issued":{"date-parts":[["2015"]]},"title":"Engineered Expression Vectors Significantly Enhanced the Production of 2-Keto-D-gluconic Acid by Gluconobacter oxidans","type":"article-journal","volume":"63"},"uris":["http://www.mendeley.com/documents/?uuid=f3831850-3b35-32d1-a1b5-2d8cbbf93a6f"]}],"mendeley":{"formattedCitation":"(Shi et al., 2015)","manualFormatting":"Shi et al., 2015","plainTextFormattedCitation":"(Shi et al., 2015)","previouslyFormattedCitation":"(Shi et al., 2015)"},"properties":{"noteIndex":0},"schema":"https://github.com/citation-style-language/schema/raw/master/csl-citation.json"}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Shi et al., 2015</w:t>
            </w:r>
            <w:r w:rsidRPr="00053C1E">
              <w:rPr>
                <w:rFonts w:ascii="Times New Roman" w:eastAsia="等线" w:hAnsi="Times New Roman" w:cs="Times New Roman"/>
                <w:color w:val="000000"/>
                <w:kern w:val="0"/>
                <w:sz w:val="24"/>
                <w:szCs w:val="24"/>
              </w:rPr>
              <w:fldChar w:fldCharType="end"/>
            </w:r>
          </w:p>
        </w:tc>
      </w:tr>
      <w:tr w:rsidR="00FB46E8" w:rsidRPr="00053C1E" w14:paraId="3C0EFC6C" w14:textId="77777777" w:rsidTr="001918AE">
        <w:tc>
          <w:tcPr>
            <w:tcW w:w="3681" w:type="dxa"/>
            <w:tcBorders>
              <w:top w:val="nil"/>
              <w:bottom w:val="nil"/>
              <w:right w:val="single" w:sz="4" w:space="0" w:color="auto"/>
            </w:tcBorders>
            <w:vAlign w:val="center"/>
          </w:tcPr>
          <w:p w14:paraId="6D361464"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pBBR-R10</w:t>
            </w:r>
          </w:p>
        </w:tc>
        <w:tc>
          <w:tcPr>
            <w:tcW w:w="7654" w:type="dxa"/>
            <w:tcBorders>
              <w:top w:val="nil"/>
              <w:left w:val="single" w:sz="4" w:space="0" w:color="auto"/>
              <w:bottom w:val="nil"/>
              <w:right w:val="single" w:sz="4" w:space="0" w:color="auto"/>
            </w:tcBorders>
            <w:vAlign w:val="center"/>
          </w:tcPr>
          <w:p w14:paraId="4EB92AE1"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The derivate of pBBR1MCS5,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30AEC6D7"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{"citationItems":[{"id":"ITEM-1","itemData":{"DOI":"10.1021/acs.jafc.5b01652","ISSN":"15205118","abstract":"2-Keto-d-gluconic acid (2KGA), a precursor of the important food antioxidant erythorbic acid, can be produced by Gluconobacter oxidans. To genetically engineer G. oxidans for improved 2KGA production, six new expression vectors with increased copy numbers based on pBBR1MCS-5 were constructed via rational mutagenesis. The utility of the mutant vectors was demonstrated by the increased ga2dh mRNA abundance, enzyme activity, and 2KGA production when the ga2dh gene was overexpressed using these vectors. Among the obtained constructs, G. oxidans/pBBR-3510-ga2dh displayed the highest oxidative activity toward gluconic acid (GA). In a batch biotransformation process, the G. oxidans/pBBR-3510-ga2dh strain exhibited 2KGA productivity (0.63 g/g CWW/h) higher than that obtained using strain G. oxidans/pBBR-ga2dh (0.40 g/g CWW/h). When sufficient oxygen was supplied during the biotransformation, up to 480 g/L GA was exhausted in 45 h by the G. oxidans/pBBR-3510-ga2dh strain and approximately 486 g/L 2KGA was produced, generating the productivity of 0.54 g/g CWW/h.","author":[{"dropping-particle":"","family":"Shi","given":"Yuan Yuan","non-dropping-particle":"","parse-names":false,"suffix":""},{"dropping-particle":"","family":"Li","given":"Ke Fei","non-dropping-particle":"","parse-names":false,"suffix":""},{"dropping-particle":"","family":"Lin","given":"Jin Ping","non-dropping-particle":"","parse-names":false,"suffix":""},{"dropping-particle":"","family":"Yang","given":"Sheng Li","non-dropping-particle":"","parse-names":false,"suffix":""},{"dropping-particle":"","family":"Wei","given":"Dong Zhi","non-dropping-particle":"","parse-names":false,"suffix":""}],"container-title":"Journal of Agricultural and Food Chemistry","id":"ITEM-1","issue":"22","issued":{"date-parts":[["2015"]]},"title":"Engineered Expression Vectors Significantly Enhanced the Production of 2-Keto-D-gluconic Acid by Gluconobacter oxidans","type":"article-journal","volume":"63"},"uris":["http://www.mendeley.com/documents/?uuid=f3831850-3b35-32d1-a1b5-2d8cbbf93a6f"]}],"mendeley":{"formattedCitation":"(Shi et al., 2015)","manualFormatting":"Shi et al., 2015","plainTextFormattedCitation":"(Shi et al., 2015)","previouslyFormattedCitation":"(Shi et al., 2015)"},"properties":{"noteIndex":0},"schema":"https://github.com/citation-style-language/schema/raw/master/csl-citation.json"}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Shi et al., 2015</w:t>
            </w:r>
            <w:r w:rsidRPr="00053C1E">
              <w:rPr>
                <w:rFonts w:ascii="Times New Roman" w:eastAsia="等线" w:hAnsi="Times New Roman" w:cs="Times New Roman"/>
                <w:color w:val="000000"/>
                <w:kern w:val="0"/>
                <w:sz w:val="24"/>
                <w:szCs w:val="24"/>
              </w:rPr>
              <w:fldChar w:fldCharType="end"/>
            </w:r>
          </w:p>
        </w:tc>
      </w:tr>
      <w:tr w:rsidR="00FB46E8" w:rsidRPr="00053C1E" w14:paraId="214616EE" w14:textId="77777777" w:rsidTr="001918AE">
        <w:tc>
          <w:tcPr>
            <w:tcW w:w="3681" w:type="dxa"/>
            <w:tcBorders>
              <w:top w:val="nil"/>
              <w:bottom w:val="nil"/>
              <w:right w:val="single" w:sz="4" w:space="0" w:color="auto"/>
            </w:tcBorders>
            <w:vAlign w:val="center"/>
          </w:tcPr>
          <w:p w14:paraId="25F69EAB"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pBBR-3510</w:t>
            </w:r>
          </w:p>
        </w:tc>
        <w:tc>
          <w:tcPr>
            <w:tcW w:w="7654" w:type="dxa"/>
            <w:tcBorders>
              <w:top w:val="nil"/>
              <w:left w:val="single" w:sz="4" w:space="0" w:color="auto"/>
              <w:bottom w:val="nil"/>
              <w:right w:val="single" w:sz="4" w:space="0" w:color="auto"/>
            </w:tcBorders>
            <w:vAlign w:val="center"/>
          </w:tcPr>
          <w:p w14:paraId="0131BB06"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The derivate of pBBR1MCS5,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6BE091CB"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{"citationItems":[{"id":"ITEM-1","itemData":{"DOI":"10.1021/acs.jafc.5b01652","ISSN":"15205118","abstract":"2-Keto-d-gluconic acid (2KGA), a precursor of the important food antioxidant erythorbic acid, can be produced by Gluconobacter oxidans. To genetically engineer G. oxidans for improved 2KGA production, six new expression vectors with increased copy numbers based on pBBR1MCS-5 were constructed via rational mutagenesis. The utility of the mutant vectors was demonstrated by the increased ga2dh mRNA abundance, enzyme activity, and 2KGA production when the ga2dh gene was overexpressed using these vectors. Among the obtained constructs, G. oxidans/pBBR-3510-ga2dh displayed the highest oxidative activity toward gluconic acid (GA). In a batch biotransformation process, the G. oxidans/pBBR-3510-ga2dh strain exhibited 2KGA productivity (0.63 g/g CWW/h) higher than that obtained using strain G. oxidans/pBBR-ga2dh (0.40 g/g CWW/h). When sufficient oxygen was supplied during the biotransformation, up to 480 g/L GA was exhausted in 45 h by the G. oxidans/pBBR-3510-ga2dh strain and approximately 486 g/L 2KGA was produced, generating the productivity of 0.54 g/g CWW/h.","author":[{"dropping-particle":"","family":"Shi","given":"Yuan Yuan","non-dropping-particle":"","parse-names":false,"suffix":""},{"dropping-particle":"","family":"Li","given":"Ke Fei","non-dropping-particle":"","parse-names":false,"suffix":""},{"dropping-particle":"","family":"Lin","given":"Jin Ping","non-dropping-particle":"","parse-names":false,"suffix":""},{"dropping-particle":"","family":"Yang","given":"Sheng Li","non-dropping-particle":"","parse-names":false,"suffix":""},{"dropping-particle":"","family":"Wei","given":"Dong Zhi","non-dropping-particle":"","parse-names":false,"suffix":""}],"container-title":"Journal of Agricultural and Food Chemistry","id":"ITEM-1","issue":"22","issued":{"date-parts":[["2015"]]},"title":"Engineered Expression Vectors Significantly Enhanced the Production of 2-Keto-D-gluconic Acid by Gluconobacter oxidans","type":"article-journal","volume":"63"},"uris":["http://www.mendeley.com/documents/?uuid=f3831850-3b35-32d1-a1b5-2d8cbbf93a6f"]}],"mendeley":{"formattedCitation":"(Shi et al., 2015)","manualFormatting":"Shi et al., 2015","plainTextFormattedCitation":"(Shi et al., 2015)","previouslyFormattedCitation":"(Shi et al., 2015)"},"properties":{"noteIndex":0},"schema":"https://github.com/citation-style-language/schema/raw/master/csl-citation.json"}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Shi et al., 2015</w:t>
            </w:r>
            <w:r w:rsidRPr="00053C1E">
              <w:rPr>
                <w:rFonts w:ascii="Times New Roman" w:eastAsia="等线" w:hAnsi="Times New Roman" w:cs="Times New Roman"/>
                <w:color w:val="000000"/>
                <w:kern w:val="0"/>
                <w:sz w:val="24"/>
                <w:szCs w:val="24"/>
              </w:rPr>
              <w:fldChar w:fldCharType="end"/>
            </w:r>
          </w:p>
        </w:tc>
      </w:tr>
      <w:tr w:rsidR="00FB46E8" w:rsidRPr="00053C1E" w14:paraId="2769FA6D" w14:textId="77777777" w:rsidTr="001918AE">
        <w:tc>
          <w:tcPr>
            <w:tcW w:w="3681" w:type="dxa"/>
            <w:tcBorders>
              <w:top w:val="nil"/>
              <w:bottom w:val="nil"/>
              <w:right w:val="single" w:sz="4" w:space="0" w:color="auto"/>
            </w:tcBorders>
            <w:vAlign w:val="center"/>
          </w:tcPr>
          <w:p w14:paraId="18EA62FC"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pBBR-R3510</w:t>
            </w:r>
          </w:p>
        </w:tc>
        <w:tc>
          <w:tcPr>
            <w:tcW w:w="7654" w:type="dxa"/>
            <w:tcBorders>
              <w:top w:val="nil"/>
              <w:left w:val="single" w:sz="4" w:space="0" w:color="auto"/>
              <w:bottom w:val="nil"/>
              <w:right w:val="single" w:sz="4" w:space="0" w:color="auto"/>
            </w:tcBorders>
            <w:vAlign w:val="center"/>
          </w:tcPr>
          <w:p w14:paraId="72E40BB3"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The derivate of pBBR1MCS5, </w:t>
            </w:r>
            <w:proofErr w:type="spellStart"/>
            <w:r w:rsidRPr="00053C1E">
              <w:rPr>
                <w:rFonts w:ascii="Times New Roman" w:eastAsia="等线" w:hAnsi="Times New Roman" w:cs="Times New Roman"/>
                <w:color w:val="000000"/>
                <w:kern w:val="0"/>
                <w:sz w:val="24"/>
                <w:szCs w:val="24"/>
              </w:rPr>
              <w:t>Gm</w:t>
            </w:r>
            <w:r w:rsidRPr="00053C1E">
              <w:rPr>
                <w:rFonts w:ascii="Times New Roman" w:eastAsia="等线" w:hAnsi="Times New Roman" w:cs="Times New Roman"/>
                <w:color w:val="000000"/>
                <w:kern w:val="0"/>
                <w:sz w:val="24"/>
                <w:szCs w:val="24"/>
                <w:vertAlign w:val="superscript"/>
              </w:rPr>
              <w:t>r</w:t>
            </w:r>
            <w:proofErr w:type="spellEnd"/>
          </w:p>
        </w:tc>
        <w:tc>
          <w:tcPr>
            <w:tcW w:w="2410" w:type="dxa"/>
            <w:tcBorders>
              <w:top w:val="nil"/>
              <w:left w:val="single" w:sz="4" w:space="0" w:color="auto"/>
              <w:bottom w:val="nil"/>
            </w:tcBorders>
            <w:vAlign w:val="center"/>
          </w:tcPr>
          <w:p w14:paraId="31A1CE09"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begin" w:fldLock="1"/>
            </w:r>
            <w:r w:rsidRPr="00053C1E">
              <w:rPr>
                <w:rFonts w:ascii="Times New Roman" w:eastAsia="等线" w:hAnsi="Times New Roman" w:cs="Times New Roman"/>
                <w:color w:val="000000"/>
                <w:kern w:val="0"/>
                <w:sz w:val="24"/>
                <w:szCs w:val="24"/>
              </w:rPr>
              <w:instrText>ADDIN CSL_CITATION {"citationItems":[{"id":"ITEM-1","itemData":{"DOI":"10.1021/acs.jafc.5b01652","ISSN":"15205118","abstract":"2-Keto-d-gluconic acid (2KGA), a precursor of the important food antioxidant erythorbic acid, can be produced by Gluconobacter oxidans. To genetically engineer G. oxidans for improved 2KGA production, six new expression vectors with increased copy numbers based on pBBR1MCS-5 were constructed via rational mutagenesis. The utility of the mutant vectors was demonstrated by the increased ga2dh mRNA abundance, enzyme activity, and 2KGA production when the ga2dh gene was overexpressed using these vectors. Among the obtained constructs, G. oxidans/pBBR-3510-ga2dh displayed the highest oxidative activity toward gluconic acid (GA). In a batch biotransformation process, the G. oxidans/pBBR-3510-ga2dh strain exhibited 2KGA productivity (0.63 g/g CWW/h) higher than that obtained using strain G. oxidans/pBBR-ga2dh (0.40 g/g CWW/h). When sufficient oxygen was supplied during the biotransformation, up to 480 g/L GA was exhausted in 45 h by the G. oxidans/pBBR-3510-ga2dh strain and approximately 486 g/L 2KGA was produced, generating the productivity of 0.54 g/g CWW/h.","author":[{"dropping-particle":"","family":"Shi","given":"Yuan Yuan","non-dropping-particle":"","parse-names":false,"suffix":""},{"dropping-particle":"","family":"Li","given":"Ke Fei","non-dropping-particle":"","parse-names":false,"suffix":""},{"dropping-particle":"","family":"Lin","given":"Jin Ping","non-dropping-particle":"","parse-names":false,"suffix":""},{"dropping-particle":"","family":"Yang","given":"Sheng Li","non-dropping-particle":"","parse-names":false,"suffix":""},{"dropping-particle":"","family":"Wei","given":"Dong Zhi","non-dropping-particle":"","parse-names":false,"suffix":""}],"container-title":"Journal of Agricultural and Food Chemistry","id":"ITEM-1","issue":"22","issued":{"date-parts":[["2015"]]},"title":"Engineered Expression Vectors Significantly Enhanced the Production of 2-Keto-D-gluconic Acid by Gluconobacter oxidans","type":"article-journal","volume":"63"},"uris":["http://www.mendeley.com/documents/?uuid=f3831850-3b35-32d1-a1b5-2d8cbbf93a6f"]}],"mendeley":{"formattedCitation":"(Shi et al., 2015)","manualFormatting":"Shi et al., 2015","plainTextFormattedCitation":"(Shi et al., 2015)","previouslyFormattedCitation":"(Shi et al., 2015)"},"properties":{"noteIndex":0},"schema":"https://github.com/citation-style-language/schema/raw/master/csl-citation.json"}</w:instrText>
            </w:r>
            <w:r w:rsidRPr="00053C1E">
              <w:rPr>
                <w:rFonts w:ascii="Times New Roman" w:eastAsia="等线" w:hAnsi="Times New Roman" w:cs="Times New Roman"/>
                <w:color w:val="000000"/>
                <w:kern w:val="0"/>
                <w:sz w:val="24"/>
                <w:szCs w:val="24"/>
              </w:rPr>
              <w:fldChar w:fldCharType="separate"/>
            </w:r>
            <w:r w:rsidRPr="00053C1E">
              <w:rPr>
                <w:rFonts w:ascii="Times New Roman" w:eastAsia="等线" w:hAnsi="Times New Roman" w:cs="Times New Roman"/>
                <w:noProof/>
                <w:color w:val="000000"/>
                <w:kern w:val="0"/>
                <w:sz w:val="24"/>
                <w:szCs w:val="24"/>
              </w:rPr>
              <w:t>Shi et al., 2015</w:t>
            </w:r>
            <w:r w:rsidRPr="00053C1E">
              <w:rPr>
                <w:rFonts w:ascii="Times New Roman" w:eastAsia="等线" w:hAnsi="Times New Roman" w:cs="Times New Roman"/>
                <w:color w:val="000000"/>
                <w:kern w:val="0"/>
                <w:sz w:val="24"/>
                <w:szCs w:val="24"/>
              </w:rPr>
              <w:fldChar w:fldCharType="end"/>
            </w:r>
          </w:p>
        </w:tc>
      </w:tr>
      <w:tr w:rsidR="00FB46E8" w:rsidRPr="00053C1E" w14:paraId="35EB1E3C" w14:textId="77777777" w:rsidTr="001918AE">
        <w:tc>
          <w:tcPr>
            <w:tcW w:w="3681" w:type="dxa"/>
            <w:tcBorders>
              <w:top w:val="nil"/>
              <w:bottom w:val="nil"/>
              <w:right w:val="single" w:sz="4" w:space="0" w:color="auto"/>
            </w:tcBorders>
            <w:vAlign w:val="center"/>
          </w:tcPr>
          <w:p w14:paraId="27B8E232"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pBBR-P</w:t>
            </w:r>
            <w:r w:rsidRPr="00053C1E">
              <w:rPr>
                <w:rFonts w:ascii="Times New Roman" w:eastAsia="宋体" w:hAnsi="Times New Roman" w:cs="Times New Roman"/>
                <w:bCs/>
                <w:sz w:val="24"/>
                <w:szCs w:val="24"/>
                <w:vertAlign w:val="subscript"/>
              </w:rPr>
              <w:t>tufb</w:t>
            </w:r>
          </w:p>
        </w:tc>
        <w:tc>
          <w:tcPr>
            <w:tcW w:w="7654" w:type="dxa"/>
            <w:tcBorders>
              <w:top w:val="nil"/>
              <w:left w:val="single" w:sz="4" w:space="0" w:color="auto"/>
              <w:bottom w:val="nil"/>
              <w:right w:val="single" w:sz="4" w:space="0" w:color="auto"/>
            </w:tcBorders>
            <w:vAlign w:val="center"/>
          </w:tcPr>
          <w:p w14:paraId="7ACA4D49"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pBBR1MCS5 containing promoter </w:t>
            </w:r>
            <w:proofErr w:type="spellStart"/>
            <w:r w:rsidRPr="00053C1E">
              <w:rPr>
                <w:rFonts w:ascii="Times New Roman" w:eastAsia="等线" w:hAnsi="Times New Roman" w:cs="Times New Roman"/>
                <w:color w:val="000000"/>
                <w:kern w:val="0"/>
                <w:sz w:val="24"/>
                <w:szCs w:val="24"/>
              </w:rPr>
              <w:t>tufb</w:t>
            </w:r>
            <w:proofErr w:type="spellEnd"/>
            <w:r w:rsidRPr="00053C1E">
              <w:rPr>
                <w:rFonts w:ascii="Times New Roman" w:eastAsia="等线" w:hAnsi="Times New Roman" w:cs="Times New Roman"/>
                <w:color w:val="000000"/>
                <w:kern w:val="0"/>
                <w:sz w:val="24"/>
                <w:szCs w:val="24"/>
              </w:rPr>
              <w:t xml:space="preserve"> from </w:t>
            </w:r>
            <w:r w:rsidRPr="00053C1E">
              <w:rPr>
                <w:rFonts w:ascii="Times New Roman" w:eastAsia="等线" w:hAnsi="Times New Roman" w:cs="Times New Roman"/>
                <w:i/>
                <w:color w:val="000000"/>
                <w:kern w:val="0"/>
                <w:sz w:val="24"/>
                <w:szCs w:val="24"/>
              </w:rPr>
              <w:t>G. oxydans</w:t>
            </w:r>
            <w:r w:rsidRPr="00053C1E">
              <w:rPr>
                <w:rFonts w:ascii="Times New Roman" w:eastAsia="等线" w:hAnsi="Times New Roman" w:cs="Times New Roman"/>
                <w:color w:val="000000"/>
                <w:kern w:val="0"/>
                <w:sz w:val="24"/>
                <w:szCs w:val="24"/>
              </w:rPr>
              <w:t xml:space="preserve"> 621H</w:t>
            </w:r>
          </w:p>
        </w:tc>
        <w:tc>
          <w:tcPr>
            <w:tcW w:w="2410" w:type="dxa"/>
            <w:tcBorders>
              <w:top w:val="nil"/>
              <w:left w:val="single" w:sz="4" w:space="0" w:color="auto"/>
              <w:bottom w:val="nil"/>
            </w:tcBorders>
            <w:vAlign w:val="center"/>
          </w:tcPr>
          <w:p w14:paraId="3E03E168"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17062EA9" w14:textId="77777777" w:rsidTr="001918AE">
        <w:tc>
          <w:tcPr>
            <w:tcW w:w="3681" w:type="dxa"/>
            <w:tcBorders>
              <w:top w:val="nil"/>
              <w:bottom w:val="nil"/>
              <w:right w:val="single" w:sz="4" w:space="0" w:color="auto"/>
            </w:tcBorders>
            <w:vAlign w:val="center"/>
          </w:tcPr>
          <w:p w14:paraId="17F3BA44"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pBBR-P</w:t>
            </w:r>
            <w:r w:rsidRPr="00053C1E">
              <w:rPr>
                <w:rFonts w:ascii="Times New Roman" w:eastAsia="宋体" w:hAnsi="Times New Roman" w:cs="Times New Roman"/>
                <w:bCs/>
                <w:sz w:val="24"/>
                <w:szCs w:val="24"/>
                <w:vertAlign w:val="subscript"/>
              </w:rPr>
              <w:t>tufb</w:t>
            </w:r>
            <w:r w:rsidRPr="00053C1E">
              <w:rPr>
                <w:rFonts w:ascii="Times New Roman" w:eastAsia="宋体" w:hAnsi="Times New Roman" w:cs="Times New Roman"/>
                <w:bCs/>
                <w:sz w:val="24"/>
                <w:szCs w:val="24"/>
              </w:rPr>
              <w:t>-mGDH</w:t>
            </w:r>
          </w:p>
        </w:tc>
        <w:tc>
          <w:tcPr>
            <w:tcW w:w="7654" w:type="dxa"/>
            <w:tcBorders>
              <w:top w:val="nil"/>
              <w:left w:val="single" w:sz="4" w:space="0" w:color="auto"/>
              <w:bottom w:val="nil"/>
              <w:right w:val="single" w:sz="4" w:space="0" w:color="auto"/>
            </w:tcBorders>
            <w:vAlign w:val="center"/>
          </w:tcPr>
          <w:p w14:paraId="7C3D8DB4"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pBBR1MCS5 derivate expressing mgdh under the control of promoter </w:t>
            </w:r>
            <w:proofErr w:type="spellStart"/>
            <w:r w:rsidRPr="00053C1E">
              <w:rPr>
                <w:rFonts w:ascii="Times New Roman" w:eastAsia="等线" w:hAnsi="Times New Roman" w:cs="Times New Roman"/>
                <w:color w:val="000000"/>
                <w:kern w:val="0"/>
                <w:sz w:val="24"/>
                <w:szCs w:val="24"/>
              </w:rPr>
              <w:t>tufb</w:t>
            </w:r>
            <w:proofErr w:type="spellEnd"/>
          </w:p>
        </w:tc>
        <w:tc>
          <w:tcPr>
            <w:tcW w:w="2410" w:type="dxa"/>
            <w:tcBorders>
              <w:top w:val="nil"/>
              <w:left w:val="single" w:sz="4" w:space="0" w:color="auto"/>
              <w:bottom w:val="nil"/>
            </w:tcBorders>
            <w:vAlign w:val="center"/>
          </w:tcPr>
          <w:p w14:paraId="60722BC6"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4332A33D" w14:textId="77777777" w:rsidTr="001918AE">
        <w:tc>
          <w:tcPr>
            <w:tcW w:w="3681" w:type="dxa"/>
            <w:tcBorders>
              <w:top w:val="nil"/>
              <w:bottom w:val="nil"/>
              <w:right w:val="single" w:sz="4" w:space="0" w:color="auto"/>
            </w:tcBorders>
            <w:vAlign w:val="center"/>
          </w:tcPr>
          <w:p w14:paraId="6338DA2A"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pBBR-35-P</w:t>
            </w:r>
            <w:r w:rsidRPr="00053C1E">
              <w:rPr>
                <w:rFonts w:ascii="Times New Roman" w:eastAsia="宋体" w:hAnsi="Times New Roman" w:cs="Times New Roman"/>
                <w:bCs/>
                <w:sz w:val="24"/>
                <w:szCs w:val="24"/>
                <w:vertAlign w:val="subscript"/>
              </w:rPr>
              <w:t>tufb</w:t>
            </w:r>
            <w:r w:rsidRPr="00053C1E">
              <w:rPr>
                <w:rFonts w:ascii="Times New Roman" w:eastAsia="宋体" w:hAnsi="Times New Roman" w:cs="Times New Roman"/>
                <w:bCs/>
                <w:sz w:val="24"/>
                <w:szCs w:val="24"/>
              </w:rPr>
              <w:t>-mGDH</w:t>
            </w:r>
          </w:p>
        </w:tc>
        <w:tc>
          <w:tcPr>
            <w:tcW w:w="7654" w:type="dxa"/>
            <w:tcBorders>
              <w:top w:val="nil"/>
              <w:left w:val="single" w:sz="4" w:space="0" w:color="auto"/>
              <w:bottom w:val="nil"/>
              <w:right w:val="single" w:sz="4" w:space="0" w:color="auto"/>
            </w:tcBorders>
            <w:vAlign w:val="center"/>
          </w:tcPr>
          <w:p w14:paraId="1716761F"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pBBR-35 derivate expressing mgdh under the control of promoter </w:t>
            </w:r>
            <w:proofErr w:type="spellStart"/>
            <w:r w:rsidRPr="00053C1E">
              <w:rPr>
                <w:rFonts w:ascii="Times New Roman" w:eastAsia="等线" w:hAnsi="Times New Roman" w:cs="Times New Roman"/>
                <w:color w:val="000000"/>
                <w:kern w:val="0"/>
                <w:sz w:val="24"/>
                <w:szCs w:val="24"/>
              </w:rPr>
              <w:t>tufb</w:t>
            </w:r>
            <w:proofErr w:type="spellEnd"/>
          </w:p>
        </w:tc>
        <w:tc>
          <w:tcPr>
            <w:tcW w:w="2410" w:type="dxa"/>
            <w:tcBorders>
              <w:top w:val="nil"/>
              <w:left w:val="single" w:sz="4" w:space="0" w:color="auto"/>
              <w:bottom w:val="nil"/>
            </w:tcBorders>
            <w:vAlign w:val="center"/>
          </w:tcPr>
          <w:p w14:paraId="53BE3636"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4B5199A2" w14:textId="77777777" w:rsidTr="001918AE">
        <w:tc>
          <w:tcPr>
            <w:tcW w:w="3681" w:type="dxa"/>
            <w:tcBorders>
              <w:top w:val="nil"/>
              <w:bottom w:val="nil"/>
              <w:right w:val="single" w:sz="4" w:space="0" w:color="auto"/>
            </w:tcBorders>
            <w:vAlign w:val="center"/>
          </w:tcPr>
          <w:p w14:paraId="08AD2B0A"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pBBR-10-P</w:t>
            </w:r>
            <w:r w:rsidRPr="00053C1E">
              <w:rPr>
                <w:rFonts w:ascii="Times New Roman" w:eastAsia="宋体" w:hAnsi="Times New Roman" w:cs="Times New Roman"/>
                <w:bCs/>
                <w:sz w:val="24"/>
                <w:szCs w:val="24"/>
                <w:vertAlign w:val="subscript"/>
              </w:rPr>
              <w:t>tufb</w:t>
            </w:r>
            <w:r w:rsidRPr="00053C1E">
              <w:rPr>
                <w:rFonts w:ascii="Times New Roman" w:eastAsia="宋体" w:hAnsi="Times New Roman" w:cs="Times New Roman"/>
                <w:bCs/>
                <w:sz w:val="24"/>
                <w:szCs w:val="24"/>
              </w:rPr>
              <w:t>-mGDH</w:t>
            </w:r>
          </w:p>
        </w:tc>
        <w:tc>
          <w:tcPr>
            <w:tcW w:w="7654" w:type="dxa"/>
            <w:tcBorders>
              <w:top w:val="nil"/>
              <w:left w:val="single" w:sz="4" w:space="0" w:color="auto"/>
              <w:bottom w:val="nil"/>
              <w:right w:val="single" w:sz="4" w:space="0" w:color="auto"/>
            </w:tcBorders>
            <w:vAlign w:val="center"/>
          </w:tcPr>
          <w:p w14:paraId="7658C3DF"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pBBR-10 derivate expressing mgdh under the control of promoter </w:t>
            </w:r>
            <w:proofErr w:type="spellStart"/>
            <w:r w:rsidRPr="00053C1E">
              <w:rPr>
                <w:rFonts w:ascii="Times New Roman" w:eastAsia="等线" w:hAnsi="Times New Roman" w:cs="Times New Roman"/>
                <w:color w:val="000000"/>
                <w:kern w:val="0"/>
                <w:sz w:val="24"/>
                <w:szCs w:val="24"/>
              </w:rPr>
              <w:t>tufb</w:t>
            </w:r>
            <w:proofErr w:type="spellEnd"/>
          </w:p>
        </w:tc>
        <w:tc>
          <w:tcPr>
            <w:tcW w:w="2410" w:type="dxa"/>
            <w:tcBorders>
              <w:top w:val="nil"/>
              <w:left w:val="single" w:sz="4" w:space="0" w:color="auto"/>
              <w:bottom w:val="nil"/>
            </w:tcBorders>
            <w:vAlign w:val="center"/>
          </w:tcPr>
          <w:p w14:paraId="465F266A"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045BAFA3" w14:textId="77777777" w:rsidTr="001918AE">
        <w:tc>
          <w:tcPr>
            <w:tcW w:w="3681" w:type="dxa"/>
            <w:tcBorders>
              <w:top w:val="nil"/>
              <w:bottom w:val="nil"/>
              <w:right w:val="single" w:sz="4" w:space="0" w:color="auto"/>
            </w:tcBorders>
            <w:vAlign w:val="center"/>
          </w:tcPr>
          <w:p w14:paraId="147FAFA0"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pBBR-R35-P</w:t>
            </w:r>
            <w:r w:rsidRPr="00053C1E">
              <w:rPr>
                <w:rFonts w:ascii="Times New Roman" w:eastAsia="宋体" w:hAnsi="Times New Roman" w:cs="Times New Roman"/>
                <w:bCs/>
                <w:sz w:val="24"/>
                <w:szCs w:val="24"/>
                <w:vertAlign w:val="subscript"/>
              </w:rPr>
              <w:t>tufb</w:t>
            </w:r>
            <w:r w:rsidRPr="00053C1E">
              <w:rPr>
                <w:rFonts w:ascii="Times New Roman" w:eastAsia="宋体" w:hAnsi="Times New Roman" w:cs="Times New Roman"/>
                <w:bCs/>
                <w:sz w:val="24"/>
                <w:szCs w:val="24"/>
              </w:rPr>
              <w:t>-mGDH</w:t>
            </w:r>
          </w:p>
        </w:tc>
        <w:tc>
          <w:tcPr>
            <w:tcW w:w="7654" w:type="dxa"/>
            <w:tcBorders>
              <w:top w:val="nil"/>
              <w:left w:val="single" w:sz="4" w:space="0" w:color="auto"/>
              <w:bottom w:val="nil"/>
              <w:right w:val="single" w:sz="4" w:space="0" w:color="auto"/>
            </w:tcBorders>
            <w:vAlign w:val="center"/>
          </w:tcPr>
          <w:p w14:paraId="01814374"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pBBR-R35 derivate expressing mgdh under the control of promoter </w:t>
            </w:r>
            <w:proofErr w:type="spellStart"/>
            <w:r w:rsidRPr="00053C1E">
              <w:rPr>
                <w:rFonts w:ascii="Times New Roman" w:eastAsia="等线" w:hAnsi="Times New Roman" w:cs="Times New Roman"/>
                <w:color w:val="000000"/>
                <w:kern w:val="0"/>
                <w:sz w:val="24"/>
                <w:szCs w:val="24"/>
              </w:rPr>
              <w:t>tufb</w:t>
            </w:r>
            <w:proofErr w:type="spellEnd"/>
          </w:p>
        </w:tc>
        <w:tc>
          <w:tcPr>
            <w:tcW w:w="2410" w:type="dxa"/>
            <w:tcBorders>
              <w:top w:val="nil"/>
              <w:left w:val="single" w:sz="4" w:space="0" w:color="auto"/>
              <w:bottom w:val="nil"/>
            </w:tcBorders>
            <w:vAlign w:val="center"/>
          </w:tcPr>
          <w:p w14:paraId="570560B4"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5BA1EC2D" w14:textId="77777777" w:rsidTr="001918AE">
        <w:tc>
          <w:tcPr>
            <w:tcW w:w="3681" w:type="dxa"/>
            <w:tcBorders>
              <w:top w:val="nil"/>
              <w:bottom w:val="nil"/>
              <w:right w:val="single" w:sz="4" w:space="0" w:color="auto"/>
            </w:tcBorders>
            <w:vAlign w:val="center"/>
          </w:tcPr>
          <w:p w14:paraId="4C6DC1C7"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pBBR-R10-P</w:t>
            </w:r>
            <w:r w:rsidRPr="00053C1E">
              <w:rPr>
                <w:rFonts w:ascii="Times New Roman" w:eastAsia="宋体" w:hAnsi="Times New Roman" w:cs="Times New Roman"/>
                <w:bCs/>
                <w:sz w:val="24"/>
                <w:szCs w:val="24"/>
                <w:vertAlign w:val="subscript"/>
              </w:rPr>
              <w:t>tufb</w:t>
            </w:r>
            <w:r w:rsidRPr="00053C1E">
              <w:rPr>
                <w:rFonts w:ascii="Times New Roman" w:eastAsia="宋体" w:hAnsi="Times New Roman" w:cs="Times New Roman"/>
                <w:bCs/>
                <w:sz w:val="24"/>
                <w:szCs w:val="24"/>
              </w:rPr>
              <w:t>-mGDH</w:t>
            </w:r>
          </w:p>
        </w:tc>
        <w:tc>
          <w:tcPr>
            <w:tcW w:w="7654" w:type="dxa"/>
            <w:tcBorders>
              <w:top w:val="nil"/>
              <w:left w:val="single" w:sz="4" w:space="0" w:color="auto"/>
              <w:bottom w:val="nil"/>
              <w:right w:val="single" w:sz="4" w:space="0" w:color="auto"/>
            </w:tcBorders>
            <w:vAlign w:val="center"/>
          </w:tcPr>
          <w:p w14:paraId="29AFC6A9"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pBBR-R10 derivate expressing mgdh under the control of promoter </w:t>
            </w:r>
            <w:proofErr w:type="spellStart"/>
            <w:r w:rsidRPr="00053C1E">
              <w:rPr>
                <w:rFonts w:ascii="Times New Roman" w:eastAsia="等线" w:hAnsi="Times New Roman" w:cs="Times New Roman"/>
                <w:color w:val="000000"/>
                <w:kern w:val="0"/>
                <w:sz w:val="24"/>
                <w:szCs w:val="24"/>
              </w:rPr>
              <w:t>tufb</w:t>
            </w:r>
            <w:proofErr w:type="spellEnd"/>
          </w:p>
        </w:tc>
        <w:tc>
          <w:tcPr>
            <w:tcW w:w="2410" w:type="dxa"/>
            <w:tcBorders>
              <w:top w:val="nil"/>
              <w:left w:val="single" w:sz="4" w:space="0" w:color="auto"/>
              <w:bottom w:val="nil"/>
            </w:tcBorders>
            <w:vAlign w:val="center"/>
          </w:tcPr>
          <w:p w14:paraId="5765134A"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4A6C4749" w14:textId="77777777" w:rsidTr="001918AE">
        <w:tc>
          <w:tcPr>
            <w:tcW w:w="3681" w:type="dxa"/>
            <w:tcBorders>
              <w:top w:val="nil"/>
              <w:bottom w:val="nil"/>
              <w:right w:val="single" w:sz="4" w:space="0" w:color="auto"/>
            </w:tcBorders>
            <w:vAlign w:val="center"/>
          </w:tcPr>
          <w:p w14:paraId="6DEE6292"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pBBR-3510-P</w:t>
            </w:r>
            <w:r w:rsidRPr="00053C1E">
              <w:rPr>
                <w:rFonts w:ascii="Times New Roman" w:eastAsia="宋体" w:hAnsi="Times New Roman" w:cs="Times New Roman"/>
                <w:bCs/>
                <w:sz w:val="24"/>
                <w:szCs w:val="24"/>
                <w:vertAlign w:val="subscript"/>
              </w:rPr>
              <w:t>tufb</w:t>
            </w:r>
            <w:r w:rsidRPr="00053C1E">
              <w:rPr>
                <w:rFonts w:ascii="Times New Roman" w:eastAsia="宋体" w:hAnsi="Times New Roman" w:cs="Times New Roman"/>
                <w:bCs/>
                <w:sz w:val="24"/>
                <w:szCs w:val="24"/>
              </w:rPr>
              <w:t>-mGDH</w:t>
            </w:r>
          </w:p>
        </w:tc>
        <w:tc>
          <w:tcPr>
            <w:tcW w:w="7654" w:type="dxa"/>
            <w:tcBorders>
              <w:top w:val="nil"/>
              <w:left w:val="single" w:sz="4" w:space="0" w:color="auto"/>
              <w:bottom w:val="nil"/>
              <w:right w:val="single" w:sz="4" w:space="0" w:color="auto"/>
            </w:tcBorders>
            <w:vAlign w:val="center"/>
          </w:tcPr>
          <w:p w14:paraId="6D486E47"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pBBR-3510 derivate expressing mgdh under the control of promoter </w:t>
            </w:r>
            <w:proofErr w:type="spellStart"/>
            <w:r w:rsidRPr="00053C1E">
              <w:rPr>
                <w:rFonts w:ascii="Times New Roman" w:eastAsia="等线" w:hAnsi="Times New Roman" w:cs="Times New Roman"/>
                <w:color w:val="000000"/>
                <w:kern w:val="0"/>
                <w:sz w:val="24"/>
                <w:szCs w:val="24"/>
              </w:rPr>
              <w:t>tufb</w:t>
            </w:r>
            <w:proofErr w:type="spellEnd"/>
          </w:p>
        </w:tc>
        <w:tc>
          <w:tcPr>
            <w:tcW w:w="2410" w:type="dxa"/>
            <w:tcBorders>
              <w:top w:val="nil"/>
              <w:left w:val="single" w:sz="4" w:space="0" w:color="auto"/>
              <w:bottom w:val="nil"/>
            </w:tcBorders>
            <w:vAlign w:val="center"/>
          </w:tcPr>
          <w:p w14:paraId="0EBB81B9"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15A6F3C4" w14:textId="77777777" w:rsidTr="001918AE">
        <w:tc>
          <w:tcPr>
            <w:tcW w:w="3681" w:type="dxa"/>
            <w:tcBorders>
              <w:top w:val="nil"/>
              <w:bottom w:val="single" w:sz="4" w:space="0" w:color="auto"/>
              <w:right w:val="single" w:sz="4" w:space="0" w:color="auto"/>
            </w:tcBorders>
            <w:vAlign w:val="center"/>
          </w:tcPr>
          <w:p w14:paraId="36F79463"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宋体" w:hAnsi="Times New Roman" w:cs="Times New Roman"/>
                <w:bCs/>
                <w:sz w:val="24"/>
                <w:szCs w:val="24"/>
              </w:rPr>
              <w:t>pBBR-R3510-P</w:t>
            </w:r>
            <w:r w:rsidRPr="00053C1E">
              <w:rPr>
                <w:rFonts w:ascii="Times New Roman" w:eastAsia="宋体" w:hAnsi="Times New Roman" w:cs="Times New Roman"/>
                <w:bCs/>
                <w:sz w:val="24"/>
                <w:szCs w:val="24"/>
                <w:vertAlign w:val="subscript"/>
              </w:rPr>
              <w:t>tufb</w:t>
            </w:r>
            <w:r w:rsidRPr="00053C1E">
              <w:rPr>
                <w:rFonts w:ascii="Times New Roman" w:eastAsia="宋体" w:hAnsi="Times New Roman" w:cs="Times New Roman"/>
                <w:bCs/>
                <w:sz w:val="24"/>
                <w:szCs w:val="24"/>
              </w:rPr>
              <w:t>-mGDH</w:t>
            </w:r>
          </w:p>
        </w:tc>
        <w:tc>
          <w:tcPr>
            <w:tcW w:w="7654" w:type="dxa"/>
            <w:tcBorders>
              <w:top w:val="nil"/>
              <w:left w:val="single" w:sz="4" w:space="0" w:color="auto"/>
              <w:bottom w:val="single" w:sz="4" w:space="0" w:color="auto"/>
              <w:right w:val="single" w:sz="4" w:space="0" w:color="auto"/>
            </w:tcBorders>
            <w:vAlign w:val="center"/>
          </w:tcPr>
          <w:p w14:paraId="53045DC6"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 xml:space="preserve">pBBR-R3510 derivate expressing mgdh under the control of promoter </w:t>
            </w:r>
            <w:proofErr w:type="spellStart"/>
            <w:r w:rsidRPr="00053C1E">
              <w:rPr>
                <w:rFonts w:ascii="Times New Roman" w:eastAsia="等线" w:hAnsi="Times New Roman" w:cs="Times New Roman"/>
                <w:color w:val="000000"/>
                <w:kern w:val="0"/>
                <w:sz w:val="24"/>
                <w:szCs w:val="24"/>
              </w:rPr>
              <w:t>tufb</w:t>
            </w:r>
            <w:proofErr w:type="spellEnd"/>
          </w:p>
        </w:tc>
        <w:tc>
          <w:tcPr>
            <w:tcW w:w="2410" w:type="dxa"/>
            <w:tcBorders>
              <w:top w:val="nil"/>
              <w:left w:val="single" w:sz="4" w:space="0" w:color="auto"/>
              <w:bottom w:val="single" w:sz="4" w:space="0" w:color="auto"/>
            </w:tcBorders>
            <w:vAlign w:val="center"/>
          </w:tcPr>
          <w:p w14:paraId="698E5D87"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t>This study</w:t>
            </w:r>
          </w:p>
        </w:tc>
      </w:tr>
      <w:tr w:rsidR="00FB46E8" w:rsidRPr="00053C1E" w14:paraId="5D8B09F3" w14:textId="77777777" w:rsidTr="00053C1E">
        <w:trPr>
          <w:trHeight w:val="914"/>
        </w:trPr>
        <w:tc>
          <w:tcPr>
            <w:tcW w:w="3681" w:type="dxa"/>
            <w:tcBorders>
              <w:top w:val="single" w:sz="4" w:space="0" w:color="auto"/>
              <w:bottom w:val="single" w:sz="4" w:space="0" w:color="auto"/>
              <w:right w:val="single" w:sz="4" w:space="0" w:color="auto"/>
            </w:tcBorders>
            <w:vAlign w:val="center"/>
          </w:tcPr>
          <w:p w14:paraId="40E25303"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等线" w:hAnsi="Times New Roman" w:cs="Times New Roman"/>
                <w:b/>
                <w:bCs/>
                <w:color w:val="000000"/>
                <w:kern w:val="0"/>
                <w:sz w:val="24"/>
                <w:szCs w:val="24"/>
              </w:rPr>
              <w:t>Primer</w:t>
            </w:r>
          </w:p>
        </w:tc>
        <w:tc>
          <w:tcPr>
            <w:tcW w:w="7654" w:type="dxa"/>
            <w:tcBorders>
              <w:top w:val="single" w:sz="4" w:space="0" w:color="auto"/>
              <w:left w:val="single" w:sz="4" w:space="0" w:color="auto"/>
              <w:bottom w:val="single" w:sz="4" w:space="0" w:color="auto"/>
              <w:right w:val="single" w:sz="4" w:space="0" w:color="auto"/>
            </w:tcBorders>
            <w:vAlign w:val="center"/>
          </w:tcPr>
          <w:p w14:paraId="45976565"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b/>
                <w:bCs/>
                <w:color w:val="000000"/>
                <w:kern w:val="0"/>
                <w:sz w:val="24"/>
                <w:szCs w:val="24"/>
              </w:rPr>
              <w:t>Sequences of Primer (5‘-3’)</w:t>
            </w:r>
          </w:p>
        </w:tc>
        <w:tc>
          <w:tcPr>
            <w:tcW w:w="2410" w:type="dxa"/>
            <w:tcBorders>
              <w:top w:val="single" w:sz="4" w:space="0" w:color="auto"/>
              <w:left w:val="single" w:sz="4" w:space="0" w:color="auto"/>
              <w:bottom w:val="single" w:sz="4" w:space="0" w:color="auto"/>
            </w:tcBorders>
            <w:vAlign w:val="center"/>
          </w:tcPr>
          <w:p w14:paraId="5C199C38"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bookmarkStart w:id="3" w:name="_Hlk70585623"/>
            <w:r w:rsidRPr="00053C1E">
              <w:rPr>
                <w:rFonts w:ascii="Times New Roman" w:eastAsia="等线" w:hAnsi="Times New Roman" w:cs="Times New Roman"/>
                <w:b/>
                <w:bCs/>
                <w:color w:val="000000"/>
                <w:kern w:val="0"/>
                <w:sz w:val="24"/>
                <w:szCs w:val="24"/>
              </w:rPr>
              <w:t>Restriction</w:t>
            </w:r>
            <w:r w:rsidRPr="00053C1E">
              <w:rPr>
                <w:sz w:val="24"/>
                <w:szCs w:val="24"/>
              </w:rPr>
              <w:t xml:space="preserve"> </w:t>
            </w:r>
            <w:proofErr w:type="spellStart"/>
            <w:r w:rsidRPr="00053C1E">
              <w:rPr>
                <w:rFonts w:ascii="Times New Roman" w:eastAsia="等线" w:hAnsi="Times New Roman" w:cs="Times New Roman"/>
                <w:b/>
                <w:bCs/>
                <w:color w:val="000000"/>
                <w:kern w:val="0"/>
                <w:sz w:val="24"/>
                <w:szCs w:val="24"/>
              </w:rPr>
              <w:t>endonuclease</w:t>
            </w:r>
            <w:bookmarkEnd w:id="3"/>
            <w:r w:rsidRPr="00053C1E">
              <w:rPr>
                <w:rFonts w:ascii="Times New Roman" w:eastAsia="等线" w:hAnsi="Times New Roman" w:cs="Times New Roman" w:hint="eastAsia"/>
                <w:b/>
                <w:bCs/>
                <w:color w:val="000000"/>
                <w:kern w:val="0"/>
                <w:sz w:val="24"/>
                <w:szCs w:val="24"/>
                <w:vertAlign w:val="superscript"/>
              </w:rPr>
              <w:t>a</w:t>
            </w:r>
            <w:proofErr w:type="spellEnd"/>
          </w:p>
        </w:tc>
      </w:tr>
      <w:tr w:rsidR="00FB46E8" w:rsidRPr="00053C1E" w14:paraId="22BB1C86" w14:textId="77777777" w:rsidTr="001918AE">
        <w:tc>
          <w:tcPr>
            <w:tcW w:w="3681" w:type="dxa"/>
            <w:tcBorders>
              <w:top w:val="single" w:sz="4" w:space="0" w:color="auto"/>
              <w:left w:val="single" w:sz="4" w:space="0" w:color="auto"/>
              <w:bottom w:val="nil"/>
              <w:right w:val="single" w:sz="4" w:space="0" w:color="auto"/>
            </w:tcBorders>
            <w:vAlign w:val="bottom"/>
          </w:tcPr>
          <w:p w14:paraId="3A09A7EA" w14:textId="77777777" w:rsidR="00FB46E8" w:rsidRPr="00053C1E" w:rsidRDefault="00FB46E8" w:rsidP="00053C1E">
            <w:pPr>
              <w:spacing w:line="300" w:lineRule="auto"/>
              <w:jc w:val="center"/>
              <w:rPr>
                <w:rFonts w:ascii="Times New Roman" w:eastAsia="宋体" w:hAnsi="Times New Roman" w:cs="Times New Roman"/>
                <w:bCs/>
                <w:sz w:val="24"/>
                <w:szCs w:val="24"/>
              </w:rPr>
            </w:pPr>
            <w:proofErr w:type="spellStart"/>
            <w:r w:rsidRPr="00053C1E">
              <w:rPr>
                <w:rFonts w:ascii="Times New Roman" w:eastAsia="等线" w:hAnsi="Times New Roman" w:cs="Times New Roman"/>
                <w:color w:val="000000"/>
                <w:sz w:val="24"/>
                <w:szCs w:val="24"/>
              </w:rPr>
              <w:t>tufb</w:t>
            </w:r>
            <w:proofErr w:type="spellEnd"/>
            <w:r w:rsidRPr="00053C1E">
              <w:rPr>
                <w:rFonts w:ascii="Times New Roman" w:eastAsia="等线" w:hAnsi="Times New Roman" w:cs="Times New Roman"/>
                <w:color w:val="000000"/>
                <w:sz w:val="24"/>
                <w:szCs w:val="24"/>
              </w:rPr>
              <w:t>-f</w:t>
            </w:r>
          </w:p>
        </w:tc>
        <w:tc>
          <w:tcPr>
            <w:tcW w:w="7654" w:type="dxa"/>
            <w:tcBorders>
              <w:top w:val="single" w:sz="4" w:space="0" w:color="auto"/>
              <w:left w:val="single" w:sz="4" w:space="0" w:color="auto"/>
              <w:bottom w:val="nil"/>
              <w:right w:val="single" w:sz="4" w:space="0" w:color="auto"/>
            </w:tcBorders>
            <w:vAlign w:val="bottom"/>
          </w:tcPr>
          <w:p w14:paraId="1F7B806B"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sz w:val="24"/>
                <w:szCs w:val="24"/>
              </w:rPr>
              <w:t>ACT</w:t>
            </w:r>
            <w:r w:rsidRPr="00053C1E">
              <w:rPr>
                <w:rFonts w:ascii="Times New Roman" w:eastAsia="等线" w:hAnsi="Times New Roman" w:cs="Times New Roman"/>
                <w:color w:val="000000"/>
                <w:sz w:val="24"/>
                <w:szCs w:val="24"/>
                <w:u w:val="single"/>
              </w:rPr>
              <w:t>GAGCTC</w:t>
            </w:r>
            <w:r w:rsidRPr="00053C1E">
              <w:rPr>
                <w:rFonts w:ascii="Times New Roman" w:eastAsia="等线" w:hAnsi="Times New Roman" w:cs="Times New Roman"/>
                <w:color w:val="000000"/>
                <w:sz w:val="24"/>
                <w:szCs w:val="24"/>
              </w:rPr>
              <w:t xml:space="preserve">CGATGGTAAGAAATCCACTGC </w:t>
            </w:r>
          </w:p>
        </w:tc>
        <w:tc>
          <w:tcPr>
            <w:tcW w:w="2410" w:type="dxa"/>
            <w:tcBorders>
              <w:top w:val="single" w:sz="4" w:space="0" w:color="auto"/>
              <w:left w:val="single" w:sz="4" w:space="0" w:color="auto"/>
              <w:bottom w:val="nil"/>
              <w:right w:val="single" w:sz="4" w:space="0" w:color="auto"/>
            </w:tcBorders>
            <w:vAlign w:val="bottom"/>
          </w:tcPr>
          <w:p w14:paraId="5FFA5C7D" w14:textId="3A1F5AF8" w:rsidR="00FB46E8" w:rsidRPr="00053C1E" w:rsidRDefault="00FB46E8" w:rsidP="00053C1E">
            <w:pPr>
              <w:spacing w:line="300" w:lineRule="auto"/>
              <w:jc w:val="center"/>
              <w:rPr>
                <w:rFonts w:ascii="Times New Roman" w:eastAsia="等线" w:hAnsi="Times New Roman" w:cs="Times New Roman"/>
                <w:color w:val="000000"/>
                <w:kern w:val="0"/>
                <w:sz w:val="24"/>
                <w:szCs w:val="24"/>
              </w:rPr>
            </w:pPr>
            <w:proofErr w:type="spellStart"/>
            <w:r w:rsidRPr="00AD59C3">
              <w:rPr>
                <w:rFonts w:ascii="Times New Roman" w:eastAsia="等线" w:hAnsi="Times New Roman" w:cs="Times New Roman"/>
                <w:i/>
                <w:iCs/>
                <w:color w:val="000000"/>
                <w:sz w:val="24"/>
                <w:szCs w:val="24"/>
              </w:rPr>
              <w:t>Sac</w:t>
            </w:r>
            <w:r w:rsidRPr="00053C1E">
              <w:rPr>
                <w:rFonts w:ascii="Times New Roman" w:eastAsia="等线" w:hAnsi="Times New Roman" w:cs="Times New Roman"/>
                <w:color w:val="000000"/>
                <w:sz w:val="24"/>
                <w:szCs w:val="24"/>
              </w:rPr>
              <w:t>I</w:t>
            </w:r>
            <w:proofErr w:type="spellEnd"/>
          </w:p>
        </w:tc>
      </w:tr>
      <w:tr w:rsidR="00FB46E8" w:rsidRPr="00053C1E" w14:paraId="6D362E21" w14:textId="77777777" w:rsidTr="001918AE">
        <w:tc>
          <w:tcPr>
            <w:tcW w:w="3681" w:type="dxa"/>
            <w:tcBorders>
              <w:top w:val="nil"/>
              <w:left w:val="single" w:sz="4" w:space="0" w:color="auto"/>
              <w:bottom w:val="nil"/>
              <w:right w:val="single" w:sz="4" w:space="0" w:color="auto"/>
            </w:tcBorders>
            <w:vAlign w:val="bottom"/>
          </w:tcPr>
          <w:p w14:paraId="7F4216D8" w14:textId="77777777" w:rsidR="00FB46E8" w:rsidRPr="00053C1E" w:rsidRDefault="00FB46E8" w:rsidP="00053C1E">
            <w:pPr>
              <w:spacing w:line="300" w:lineRule="auto"/>
              <w:jc w:val="center"/>
              <w:rPr>
                <w:rFonts w:ascii="Times New Roman" w:eastAsia="宋体" w:hAnsi="Times New Roman" w:cs="Times New Roman"/>
                <w:bCs/>
                <w:sz w:val="24"/>
                <w:szCs w:val="24"/>
              </w:rPr>
            </w:pPr>
            <w:proofErr w:type="spellStart"/>
            <w:r w:rsidRPr="00053C1E">
              <w:rPr>
                <w:rFonts w:ascii="Times New Roman" w:eastAsia="等线" w:hAnsi="Times New Roman" w:cs="Times New Roman"/>
                <w:color w:val="000000"/>
                <w:sz w:val="24"/>
                <w:szCs w:val="24"/>
              </w:rPr>
              <w:t>tufb</w:t>
            </w:r>
            <w:proofErr w:type="spellEnd"/>
            <w:r w:rsidRPr="00053C1E">
              <w:rPr>
                <w:rFonts w:ascii="Times New Roman" w:eastAsia="等线" w:hAnsi="Times New Roman" w:cs="Times New Roman"/>
                <w:color w:val="000000"/>
                <w:sz w:val="24"/>
                <w:szCs w:val="24"/>
              </w:rPr>
              <w:t>-r</w:t>
            </w:r>
          </w:p>
        </w:tc>
        <w:tc>
          <w:tcPr>
            <w:tcW w:w="7654" w:type="dxa"/>
            <w:tcBorders>
              <w:top w:val="nil"/>
              <w:left w:val="single" w:sz="4" w:space="0" w:color="auto"/>
              <w:bottom w:val="nil"/>
              <w:right w:val="single" w:sz="4" w:space="0" w:color="auto"/>
            </w:tcBorders>
            <w:vAlign w:val="bottom"/>
          </w:tcPr>
          <w:p w14:paraId="25735854"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sz w:val="24"/>
                <w:szCs w:val="24"/>
              </w:rPr>
              <w:t>ATA</w:t>
            </w:r>
            <w:r w:rsidRPr="00053C1E">
              <w:rPr>
                <w:rFonts w:ascii="Times New Roman" w:eastAsia="等线" w:hAnsi="Times New Roman" w:cs="Times New Roman"/>
                <w:color w:val="000000"/>
                <w:sz w:val="24"/>
                <w:szCs w:val="24"/>
                <w:u w:val="single"/>
              </w:rPr>
              <w:t>TCTAGA</w:t>
            </w:r>
            <w:r w:rsidRPr="00053C1E">
              <w:rPr>
                <w:rFonts w:ascii="Times New Roman" w:eastAsia="等线" w:hAnsi="Times New Roman" w:cs="Times New Roman"/>
                <w:color w:val="000000"/>
                <w:sz w:val="24"/>
                <w:szCs w:val="24"/>
              </w:rPr>
              <w:t>CCAAAACCCCGCTCCACC</w:t>
            </w:r>
          </w:p>
        </w:tc>
        <w:tc>
          <w:tcPr>
            <w:tcW w:w="2410" w:type="dxa"/>
            <w:tcBorders>
              <w:top w:val="nil"/>
              <w:left w:val="single" w:sz="4" w:space="0" w:color="auto"/>
              <w:bottom w:val="nil"/>
              <w:right w:val="single" w:sz="4" w:space="0" w:color="auto"/>
            </w:tcBorders>
            <w:vAlign w:val="bottom"/>
          </w:tcPr>
          <w:p w14:paraId="55104BBB"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proofErr w:type="spellStart"/>
            <w:r w:rsidRPr="00AD59C3">
              <w:rPr>
                <w:rFonts w:ascii="Times New Roman" w:eastAsia="等线" w:hAnsi="Times New Roman" w:cs="Times New Roman"/>
                <w:i/>
                <w:iCs/>
                <w:color w:val="000000"/>
                <w:sz w:val="24"/>
                <w:szCs w:val="24"/>
              </w:rPr>
              <w:t>Xba</w:t>
            </w:r>
            <w:r w:rsidRPr="00053C1E">
              <w:rPr>
                <w:rFonts w:ascii="Times New Roman" w:eastAsia="等线" w:hAnsi="Times New Roman" w:cs="Times New Roman"/>
                <w:color w:val="000000"/>
                <w:sz w:val="24"/>
                <w:szCs w:val="24"/>
              </w:rPr>
              <w:t>I</w:t>
            </w:r>
            <w:proofErr w:type="spellEnd"/>
          </w:p>
        </w:tc>
      </w:tr>
      <w:tr w:rsidR="00FB46E8" w:rsidRPr="00053C1E" w14:paraId="18B7F8E2" w14:textId="77777777" w:rsidTr="001918AE">
        <w:tc>
          <w:tcPr>
            <w:tcW w:w="3681" w:type="dxa"/>
            <w:tcBorders>
              <w:top w:val="nil"/>
              <w:left w:val="single" w:sz="4" w:space="0" w:color="auto"/>
              <w:bottom w:val="nil"/>
              <w:right w:val="single" w:sz="4" w:space="0" w:color="auto"/>
            </w:tcBorders>
            <w:vAlign w:val="bottom"/>
          </w:tcPr>
          <w:p w14:paraId="5294A917" w14:textId="77777777" w:rsidR="00FB46E8" w:rsidRPr="00053C1E" w:rsidRDefault="00FB46E8" w:rsidP="00053C1E">
            <w:pPr>
              <w:spacing w:line="300" w:lineRule="auto"/>
              <w:jc w:val="center"/>
              <w:rPr>
                <w:rFonts w:ascii="Times New Roman" w:eastAsia="宋体" w:hAnsi="Times New Roman" w:cs="Times New Roman"/>
                <w:bCs/>
                <w:sz w:val="24"/>
                <w:szCs w:val="24"/>
              </w:rPr>
            </w:pPr>
            <w:proofErr w:type="spellStart"/>
            <w:r w:rsidRPr="00053C1E">
              <w:rPr>
                <w:rFonts w:ascii="Times New Roman" w:eastAsia="等线" w:hAnsi="Times New Roman" w:cs="Times New Roman"/>
                <w:color w:val="000000"/>
                <w:sz w:val="24"/>
                <w:szCs w:val="24"/>
              </w:rPr>
              <w:t>gdh</w:t>
            </w:r>
            <w:proofErr w:type="spellEnd"/>
            <w:r w:rsidRPr="00053C1E">
              <w:rPr>
                <w:rFonts w:ascii="Times New Roman" w:eastAsia="等线" w:hAnsi="Times New Roman" w:cs="Times New Roman"/>
                <w:color w:val="000000"/>
                <w:sz w:val="24"/>
                <w:szCs w:val="24"/>
              </w:rPr>
              <w:t>-f</w:t>
            </w:r>
          </w:p>
        </w:tc>
        <w:tc>
          <w:tcPr>
            <w:tcW w:w="7654" w:type="dxa"/>
            <w:tcBorders>
              <w:top w:val="nil"/>
              <w:left w:val="single" w:sz="4" w:space="0" w:color="auto"/>
              <w:bottom w:val="nil"/>
              <w:right w:val="single" w:sz="4" w:space="0" w:color="auto"/>
            </w:tcBorders>
            <w:vAlign w:val="bottom"/>
          </w:tcPr>
          <w:p w14:paraId="2C27AFFF"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sz w:val="24"/>
                <w:szCs w:val="24"/>
              </w:rPr>
              <w:t>AAC</w:t>
            </w:r>
            <w:r w:rsidRPr="00053C1E">
              <w:rPr>
                <w:rFonts w:ascii="Times New Roman" w:eastAsia="等线" w:hAnsi="Times New Roman" w:cs="Times New Roman"/>
                <w:color w:val="000000"/>
                <w:sz w:val="24"/>
                <w:szCs w:val="24"/>
                <w:u w:val="single"/>
              </w:rPr>
              <w:t>TCTAGA</w:t>
            </w:r>
            <w:r w:rsidRPr="00053C1E">
              <w:rPr>
                <w:rFonts w:ascii="Times New Roman" w:eastAsia="等线" w:hAnsi="Times New Roman" w:cs="Times New Roman"/>
                <w:color w:val="000000"/>
                <w:sz w:val="24"/>
                <w:szCs w:val="24"/>
              </w:rPr>
              <w:t>AGGAACATCATGAGCACAAC</w:t>
            </w:r>
          </w:p>
        </w:tc>
        <w:tc>
          <w:tcPr>
            <w:tcW w:w="2410" w:type="dxa"/>
            <w:tcBorders>
              <w:top w:val="nil"/>
              <w:left w:val="single" w:sz="4" w:space="0" w:color="auto"/>
              <w:bottom w:val="nil"/>
              <w:right w:val="single" w:sz="4" w:space="0" w:color="auto"/>
            </w:tcBorders>
            <w:vAlign w:val="bottom"/>
          </w:tcPr>
          <w:p w14:paraId="09979EE9"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proofErr w:type="spellStart"/>
            <w:r w:rsidRPr="00AD59C3">
              <w:rPr>
                <w:rFonts w:ascii="Times New Roman" w:eastAsia="等线" w:hAnsi="Times New Roman" w:cs="Times New Roman"/>
                <w:i/>
                <w:iCs/>
                <w:color w:val="000000"/>
                <w:sz w:val="24"/>
                <w:szCs w:val="24"/>
              </w:rPr>
              <w:t>Xba</w:t>
            </w:r>
            <w:r w:rsidRPr="00053C1E">
              <w:rPr>
                <w:rFonts w:ascii="Times New Roman" w:eastAsia="等线" w:hAnsi="Times New Roman" w:cs="Times New Roman"/>
                <w:color w:val="000000"/>
                <w:sz w:val="24"/>
                <w:szCs w:val="24"/>
              </w:rPr>
              <w:t>I</w:t>
            </w:r>
            <w:proofErr w:type="spellEnd"/>
          </w:p>
        </w:tc>
      </w:tr>
      <w:tr w:rsidR="00FB46E8" w:rsidRPr="00053C1E" w14:paraId="7159F3A8" w14:textId="77777777" w:rsidTr="001918AE">
        <w:tc>
          <w:tcPr>
            <w:tcW w:w="3681" w:type="dxa"/>
            <w:tcBorders>
              <w:top w:val="nil"/>
              <w:left w:val="single" w:sz="4" w:space="0" w:color="auto"/>
              <w:bottom w:val="nil"/>
              <w:right w:val="single" w:sz="4" w:space="0" w:color="auto"/>
            </w:tcBorders>
            <w:vAlign w:val="bottom"/>
          </w:tcPr>
          <w:p w14:paraId="64D3BE55" w14:textId="77777777" w:rsidR="00FB46E8" w:rsidRPr="00053C1E" w:rsidRDefault="00FB46E8" w:rsidP="00053C1E">
            <w:pPr>
              <w:spacing w:line="300" w:lineRule="auto"/>
              <w:jc w:val="center"/>
              <w:rPr>
                <w:rFonts w:ascii="Times New Roman" w:eastAsia="宋体" w:hAnsi="Times New Roman" w:cs="Times New Roman"/>
                <w:bCs/>
                <w:sz w:val="24"/>
                <w:szCs w:val="24"/>
              </w:rPr>
            </w:pPr>
            <w:proofErr w:type="spellStart"/>
            <w:r w:rsidRPr="00053C1E">
              <w:rPr>
                <w:rFonts w:ascii="Times New Roman" w:eastAsia="等线" w:hAnsi="Times New Roman" w:cs="Times New Roman"/>
                <w:color w:val="000000"/>
                <w:sz w:val="24"/>
                <w:szCs w:val="24"/>
              </w:rPr>
              <w:t>gdh</w:t>
            </w:r>
            <w:proofErr w:type="spellEnd"/>
            <w:r w:rsidRPr="00053C1E">
              <w:rPr>
                <w:rFonts w:ascii="Times New Roman" w:eastAsia="等线" w:hAnsi="Times New Roman" w:cs="Times New Roman"/>
                <w:color w:val="000000"/>
                <w:sz w:val="24"/>
                <w:szCs w:val="24"/>
              </w:rPr>
              <w:t>-r</w:t>
            </w:r>
          </w:p>
        </w:tc>
        <w:tc>
          <w:tcPr>
            <w:tcW w:w="7654" w:type="dxa"/>
            <w:tcBorders>
              <w:top w:val="nil"/>
              <w:left w:val="single" w:sz="4" w:space="0" w:color="auto"/>
              <w:bottom w:val="nil"/>
              <w:right w:val="single" w:sz="4" w:space="0" w:color="auto"/>
            </w:tcBorders>
            <w:vAlign w:val="bottom"/>
          </w:tcPr>
          <w:p w14:paraId="2A39A09E"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sz w:val="24"/>
                <w:szCs w:val="24"/>
              </w:rPr>
              <w:t>GAG</w:t>
            </w:r>
            <w:r w:rsidRPr="00053C1E">
              <w:rPr>
                <w:rFonts w:ascii="Times New Roman" w:eastAsia="等线" w:hAnsi="Times New Roman" w:cs="Times New Roman"/>
                <w:color w:val="000000"/>
                <w:sz w:val="24"/>
                <w:szCs w:val="24"/>
                <w:u w:val="single"/>
              </w:rPr>
              <w:t>GAATTC</w:t>
            </w:r>
            <w:r w:rsidRPr="00053C1E">
              <w:rPr>
                <w:rFonts w:ascii="Times New Roman" w:eastAsia="等线" w:hAnsi="Times New Roman" w:cs="Times New Roman"/>
                <w:color w:val="000000"/>
                <w:sz w:val="24"/>
                <w:szCs w:val="24"/>
              </w:rPr>
              <w:t>GTCAGATCATTTCTGATCG</w:t>
            </w:r>
          </w:p>
        </w:tc>
        <w:tc>
          <w:tcPr>
            <w:tcW w:w="2410" w:type="dxa"/>
            <w:tcBorders>
              <w:top w:val="nil"/>
              <w:left w:val="single" w:sz="4" w:space="0" w:color="auto"/>
              <w:bottom w:val="nil"/>
              <w:right w:val="single" w:sz="4" w:space="0" w:color="auto"/>
            </w:tcBorders>
            <w:vAlign w:val="bottom"/>
          </w:tcPr>
          <w:p w14:paraId="7FD389C9"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proofErr w:type="spellStart"/>
            <w:r w:rsidRPr="00AD59C3">
              <w:rPr>
                <w:rFonts w:ascii="Times New Roman" w:eastAsia="等线" w:hAnsi="Times New Roman" w:cs="Times New Roman"/>
                <w:i/>
                <w:iCs/>
                <w:color w:val="000000"/>
                <w:sz w:val="24"/>
                <w:szCs w:val="24"/>
              </w:rPr>
              <w:t>EcoR</w:t>
            </w:r>
            <w:r w:rsidRPr="00053C1E">
              <w:rPr>
                <w:rFonts w:ascii="Times New Roman" w:eastAsia="等线" w:hAnsi="Times New Roman" w:cs="Times New Roman"/>
                <w:color w:val="000000"/>
                <w:sz w:val="24"/>
                <w:szCs w:val="24"/>
              </w:rPr>
              <w:t>I</w:t>
            </w:r>
            <w:proofErr w:type="spellEnd"/>
          </w:p>
        </w:tc>
      </w:tr>
      <w:tr w:rsidR="00FB46E8" w:rsidRPr="00053C1E" w14:paraId="182A9858" w14:textId="77777777" w:rsidTr="001918AE">
        <w:tc>
          <w:tcPr>
            <w:tcW w:w="3681" w:type="dxa"/>
            <w:tcBorders>
              <w:top w:val="nil"/>
              <w:left w:val="single" w:sz="4" w:space="0" w:color="auto"/>
              <w:bottom w:val="nil"/>
              <w:right w:val="single" w:sz="4" w:space="0" w:color="auto"/>
            </w:tcBorders>
            <w:vAlign w:val="bottom"/>
          </w:tcPr>
          <w:p w14:paraId="22E555D1" w14:textId="77777777" w:rsidR="00FB46E8" w:rsidRPr="00053C1E" w:rsidRDefault="00FB46E8" w:rsidP="00053C1E">
            <w:pPr>
              <w:spacing w:line="300" w:lineRule="auto"/>
              <w:jc w:val="center"/>
              <w:rPr>
                <w:rFonts w:ascii="Times New Roman" w:eastAsia="宋体" w:hAnsi="Times New Roman" w:cs="Times New Roman"/>
                <w:bCs/>
                <w:sz w:val="24"/>
                <w:szCs w:val="24"/>
              </w:rPr>
            </w:pPr>
            <w:r w:rsidRPr="00053C1E">
              <w:rPr>
                <w:rFonts w:ascii="Times New Roman" w:eastAsia="等线" w:hAnsi="Times New Roman" w:cs="Times New Roman"/>
                <w:color w:val="000000"/>
                <w:sz w:val="24"/>
                <w:szCs w:val="24"/>
              </w:rPr>
              <w:t>q16s-f</w:t>
            </w:r>
          </w:p>
        </w:tc>
        <w:tc>
          <w:tcPr>
            <w:tcW w:w="7654" w:type="dxa"/>
            <w:tcBorders>
              <w:top w:val="nil"/>
              <w:left w:val="single" w:sz="4" w:space="0" w:color="auto"/>
              <w:bottom w:val="nil"/>
              <w:right w:val="single" w:sz="4" w:space="0" w:color="auto"/>
            </w:tcBorders>
            <w:vAlign w:val="bottom"/>
          </w:tcPr>
          <w:p w14:paraId="5319E80D"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sz w:val="24"/>
                <w:szCs w:val="24"/>
              </w:rPr>
              <w:tab/>
              <w:t>GCGGTTGTTACAGTCAGATG</w:t>
            </w:r>
          </w:p>
        </w:tc>
        <w:tc>
          <w:tcPr>
            <w:tcW w:w="2410" w:type="dxa"/>
            <w:tcBorders>
              <w:top w:val="nil"/>
              <w:left w:val="single" w:sz="4" w:space="0" w:color="auto"/>
              <w:bottom w:val="nil"/>
              <w:right w:val="single" w:sz="4" w:space="0" w:color="auto"/>
            </w:tcBorders>
            <w:vAlign w:val="bottom"/>
          </w:tcPr>
          <w:p w14:paraId="23E80C3F"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p>
        </w:tc>
      </w:tr>
      <w:tr w:rsidR="00FB46E8" w:rsidRPr="00053C1E" w14:paraId="2FD9BBB4" w14:textId="77777777" w:rsidTr="001918AE">
        <w:tc>
          <w:tcPr>
            <w:tcW w:w="3681" w:type="dxa"/>
            <w:tcBorders>
              <w:top w:val="nil"/>
              <w:left w:val="single" w:sz="4" w:space="0" w:color="auto"/>
              <w:bottom w:val="nil"/>
              <w:right w:val="single" w:sz="4" w:space="0" w:color="auto"/>
            </w:tcBorders>
            <w:vAlign w:val="bottom"/>
          </w:tcPr>
          <w:p w14:paraId="35231813" w14:textId="77777777" w:rsidR="00FB46E8" w:rsidRPr="00053C1E" w:rsidRDefault="00FB46E8" w:rsidP="00053C1E">
            <w:pPr>
              <w:spacing w:line="300" w:lineRule="auto"/>
              <w:jc w:val="center"/>
              <w:rPr>
                <w:rFonts w:ascii="Times New Roman" w:eastAsia="等线" w:hAnsi="Times New Roman" w:cs="Times New Roman"/>
                <w:color w:val="000000"/>
                <w:sz w:val="24"/>
                <w:szCs w:val="24"/>
              </w:rPr>
            </w:pPr>
            <w:r w:rsidRPr="00053C1E">
              <w:rPr>
                <w:rFonts w:ascii="Times New Roman" w:eastAsia="等线" w:hAnsi="Times New Roman" w:cs="Times New Roman"/>
                <w:color w:val="000000"/>
                <w:sz w:val="24"/>
                <w:szCs w:val="24"/>
              </w:rPr>
              <w:t>q16s-r</w:t>
            </w:r>
          </w:p>
        </w:tc>
        <w:tc>
          <w:tcPr>
            <w:tcW w:w="7654" w:type="dxa"/>
            <w:tcBorders>
              <w:top w:val="nil"/>
              <w:left w:val="single" w:sz="4" w:space="0" w:color="auto"/>
              <w:bottom w:val="nil"/>
              <w:right w:val="single" w:sz="4" w:space="0" w:color="auto"/>
            </w:tcBorders>
            <w:vAlign w:val="bottom"/>
          </w:tcPr>
          <w:p w14:paraId="1E5F5BE8" w14:textId="77777777" w:rsidR="00FB46E8" w:rsidRPr="00053C1E" w:rsidRDefault="00FB46E8" w:rsidP="00053C1E">
            <w:pPr>
              <w:spacing w:line="300" w:lineRule="auto"/>
              <w:jc w:val="center"/>
              <w:rPr>
                <w:rFonts w:ascii="Times New Roman" w:eastAsia="等线" w:hAnsi="Times New Roman" w:cs="Times New Roman"/>
                <w:color w:val="000000"/>
                <w:sz w:val="24"/>
                <w:szCs w:val="24"/>
              </w:rPr>
            </w:pPr>
            <w:r w:rsidRPr="00053C1E">
              <w:rPr>
                <w:rFonts w:ascii="Times New Roman" w:eastAsia="等线" w:hAnsi="Times New Roman" w:cs="Times New Roman"/>
                <w:color w:val="000000"/>
                <w:sz w:val="24"/>
                <w:szCs w:val="24"/>
              </w:rPr>
              <w:t>GCCTCAGCGTCAGTATCG</w:t>
            </w:r>
          </w:p>
        </w:tc>
        <w:tc>
          <w:tcPr>
            <w:tcW w:w="2410" w:type="dxa"/>
            <w:tcBorders>
              <w:top w:val="nil"/>
              <w:left w:val="single" w:sz="4" w:space="0" w:color="auto"/>
              <w:bottom w:val="nil"/>
              <w:right w:val="single" w:sz="4" w:space="0" w:color="auto"/>
            </w:tcBorders>
            <w:vAlign w:val="bottom"/>
          </w:tcPr>
          <w:p w14:paraId="4B55A64D"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p>
        </w:tc>
      </w:tr>
      <w:tr w:rsidR="00FB46E8" w:rsidRPr="00053C1E" w14:paraId="54883638" w14:textId="77777777" w:rsidTr="001918AE">
        <w:tc>
          <w:tcPr>
            <w:tcW w:w="3681" w:type="dxa"/>
            <w:tcBorders>
              <w:top w:val="nil"/>
              <w:left w:val="single" w:sz="4" w:space="0" w:color="auto"/>
              <w:bottom w:val="nil"/>
              <w:right w:val="single" w:sz="4" w:space="0" w:color="auto"/>
            </w:tcBorders>
            <w:vAlign w:val="bottom"/>
          </w:tcPr>
          <w:p w14:paraId="4F02B92A" w14:textId="77777777" w:rsidR="00FB46E8" w:rsidRPr="00053C1E" w:rsidRDefault="00FB46E8" w:rsidP="00053C1E">
            <w:pPr>
              <w:spacing w:line="300" w:lineRule="auto"/>
              <w:jc w:val="center"/>
              <w:rPr>
                <w:rFonts w:ascii="Times New Roman" w:eastAsia="等线" w:hAnsi="Times New Roman" w:cs="Times New Roman"/>
                <w:color w:val="000000"/>
                <w:sz w:val="24"/>
                <w:szCs w:val="24"/>
              </w:rPr>
            </w:pPr>
            <w:r w:rsidRPr="00053C1E">
              <w:rPr>
                <w:rFonts w:ascii="Times New Roman" w:eastAsia="等线" w:hAnsi="Times New Roman" w:cs="Times New Roman"/>
                <w:color w:val="000000"/>
                <w:sz w:val="24"/>
                <w:szCs w:val="24"/>
              </w:rPr>
              <w:t>qGox0265-f</w:t>
            </w:r>
          </w:p>
        </w:tc>
        <w:tc>
          <w:tcPr>
            <w:tcW w:w="7654" w:type="dxa"/>
            <w:tcBorders>
              <w:top w:val="nil"/>
              <w:left w:val="single" w:sz="4" w:space="0" w:color="auto"/>
              <w:bottom w:val="nil"/>
              <w:right w:val="single" w:sz="4" w:space="0" w:color="auto"/>
            </w:tcBorders>
            <w:vAlign w:val="bottom"/>
          </w:tcPr>
          <w:p w14:paraId="368652C1" w14:textId="77777777" w:rsidR="00FB46E8" w:rsidRPr="00053C1E" w:rsidRDefault="00FB46E8" w:rsidP="00053C1E">
            <w:pPr>
              <w:spacing w:line="300" w:lineRule="auto"/>
              <w:jc w:val="center"/>
              <w:rPr>
                <w:rFonts w:ascii="Times New Roman" w:eastAsia="等线" w:hAnsi="Times New Roman" w:cs="Times New Roman"/>
                <w:color w:val="000000"/>
                <w:sz w:val="24"/>
                <w:szCs w:val="24"/>
              </w:rPr>
            </w:pPr>
            <w:r w:rsidRPr="00053C1E">
              <w:rPr>
                <w:rFonts w:ascii="Times New Roman" w:eastAsia="等线" w:hAnsi="Times New Roman" w:cs="Times New Roman"/>
                <w:color w:val="000000"/>
                <w:sz w:val="24"/>
                <w:szCs w:val="24"/>
              </w:rPr>
              <w:t>AGATCAACGCGTCCAACGTC</w:t>
            </w:r>
          </w:p>
        </w:tc>
        <w:tc>
          <w:tcPr>
            <w:tcW w:w="2410" w:type="dxa"/>
            <w:tcBorders>
              <w:top w:val="nil"/>
              <w:left w:val="single" w:sz="4" w:space="0" w:color="auto"/>
              <w:bottom w:val="nil"/>
              <w:right w:val="single" w:sz="4" w:space="0" w:color="auto"/>
            </w:tcBorders>
            <w:vAlign w:val="bottom"/>
          </w:tcPr>
          <w:p w14:paraId="5A218F6D"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p>
        </w:tc>
      </w:tr>
      <w:tr w:rsidR="00FB46E8" w:rsidRPr="00053C1E" w14:paraId="4531958D" w14:textId="77777777" w:rsidTr="00053C1E">
        <w:trPr>
          <w:trHeight w:val="60"/>
        </w:trPr>
        <w:tc>
          <w:tcPr>
            <w:tcW w:w="3681" w:type="dxa"/>
            <w:tcBorders>
              <w:top w:val="nil"/>
              <w:left w:val="single" w:sz="4" w:space="0" w:color="auto"/>
              <w:bottom w:val="single" w:sz="4" w:space="0" w:color="auto"/>
              <w:right w:val="single" w:sz="4" w:space="0" w:color="auto"/>
            </w:tcBorders>
            <w:vAlign w:val="bottom"/>
          </w:tcPr>
          <w:p w14:paraId="0894D239" w14:textId="77777777" w:rsidR="00FB46E8" w:rsidRPr="00053C1E" w:rsidRDefault="00FB46E8" w:rsidP="00053C1E">
            <w:pPr>
              <w:spacing w:line="300" w:lineRule="auto"/>
              <w:jc w:val="center"/>
              <w:rPr>
                <w:rFonts w:ascii="Times New Roman" w:eastAsia="等线" w:hAnsi="Times New Roman" w:cs="Times New Roman"/>
                <w:color w:val="000000"/>
                <w:sz w:val="24"/>
                <w:szCs w:val="24"/>
              </w:rPr>
            </w:pPr>
            <w:r w:rsidRPr="00053C1E">
              <w:rPr>
                <w:rFonts w:ascii="Times New Roman" w:eastAsia="等线" w:hAnsi="Times New Roman" w:cs="Times New Roman"/>
                <w:color w:val="000000"/>
                <w:sz w:val="24"/>
                <w:szCs w:val="24"/>
              </w:rPr>
              <w:t>qGox0265-r</w:t>
            </w:r>
          </w:p>
        </w:tc>
        <w:tc>
          <w:tcPr>
            <w:tcW w:w="7654" w:type="dxa"/>
            <w:tcBorders>
              <w:top w:val="nil"/>
              <w:left w:val="single" w:sz="4" w:space="0" w:color="auto"/>
              <w:bottom w:val="single" w:sz="4" w:space="0" w:color="auto"/>
              <w:right w:val="single" w:sz="4" w:space="0" w:color="auto"/>
            </w:tcBorders>
            <w:vAlign w:val="bottom"/>
          </w:tcPr>
          <w:p w14:paraId="505179F2" w14:textId="77777777" w:rsidR="00FB46E8" w:rsidRPr="00053C1E" w:rsidRDefault="00FB46E8" w:rsidP="00053C1E">
            <w:pPr>
              <w:spacing w:line="300" w:lineRule="auto"/>
              <w:jc w:val="center"/>
              <w:rPr>
                <w:rFonts w:ascii="Times New Roman" w:eastAsia="等线" w:hAnsi="Times New Roman" w:cs="Times New Roman"/>
                <w:color w:val="000000"/>
                <w:sz w:val="24"/>
                <w:szCs w:val="24"/>
              </w:rPr>
            </w:pPr>
            <w:r w:rsidRPr="00053C1E">
              <w:rPr>
                <w:rFonts w:ascii="Times New Roman" w:eastAsia="等线" w:hAnsi="Times New Roman" w:cs="Times New Roman"/>
                <w:color w:val="000000"/>
                <w:sz w:val="24"/>
                <w:szCs w:val="24"/>
              </w:rPr>
              <w:t>CACCATCAACCGCAAACAGC</w:t>
            </w:r>
          </w:p>
        </w:tc>
        <w:tc>
          <w:tcPr>
            <w:tcW w:w="2410" w:type="dxa"/>
            <w:tcBorders>
              <w:top w:val="nil"/>
              <w:left w:val="single" w:sz="4" w:space="0" w:color="auto"/>
              <w:bottom w:val="single" w:sz="4" w:space="0" w:color="auto"/>
              <w:right w:val="single" w:sz="4" w:space="0" w:color="auto"/>
            </w:tcBorders>
            <w:vAlign w:val="bottom"/>
          </w:tcPr>
          <w:p w14:paraId="60C01D51" w14:textId="77777777" w:rsidR="00FB46E8" w:rsidRPr="00053C1E" w:rsidRDefault="00FB46E8" w:rsidP="00053C1E">
            <w:pPr>
              <w:spacing w:line="300" w:lineRule="auto"/>
              <w:jc w:val="center"/>
              <w:rPr>
                <w:rFonts w:ascii="Times New Roman" w:eastAsia="等线" w:hAnsi="Times New Roman" w:cs="Times New Roman"/>
                <w:color w:val="000000"/>
                <w:kern w:val="0"/>
                <w:sz w:val="24"/>
                <w:szCs w:val="24"/>
              </w:rPr>
            </w:pPr>
          </w:p>
        </w:tc>
      </w:tr>
    </w:tbl>
    <w:p w14:paraId="2EFB585E" w14:textId="77777777" w:rsidR="00FB46E8" w:rsidRDefault="00FB46E8" w:rsidP="009C1945">
      <w:pPr>
        <w:spacing w:line="480" w:lineRule="auto"/>
        <w:rPr>
          <w:rFonts w:ascii="Times New Roman" w:eastAsia="宋体" w:hAnsi="Times New Roman" w:cs="Times New Roman"/>
          <w:sz w:val="24"/>
          <w:szCs w:val="24"/>
        </w:rPr>
      </w:pPr>
      <w:r w:rsidRPr="00053C1E">
        <w:rPr>
          <w:rFonts w:ascii="Times New Roman" w:eastAsia="宋体" w:hAnsi="Times New Roman" w:cs="Times New Roman" w:hint="eastAsia"/>
          <w:sz w:val="24"/>
          <w:szCs w:val="24"/>
          <w:vertAlign w:val="superscript"/>
        </w:rPr>
        <w:t>a</w:t>
      </w:r>
      <w:r w:rsidRPr="00053C1E">
        <w:rPr>
          <w:rFonts w:ascii="Times New Roman" w:eastAsia="宋体" w:hAnsi="Times New Roman" w:cs="Times New Roman"/>
          <w:sz w:val="24"/>
          <w:szCs w:val="24"/>
        </w:rPr>
        <w:t xml:space="preserve"> Restriction endonuclease sites underlined</w:t>
      </w:r>
    </w:p>
    <w:p w14:paraId="1AAF8DF6" w14:textId="472D46A1" w:rsidR="009C1945" w:rsidRPr="00053C1E" w:rsidRDefault="009C1945" w:rsidP="009C1945">
      <w:pPr>
        <w:spacing w:line="480" w:lineRule="auto"/>
        <w:rPr>
          <w:rFonts w:ascii="Times New Roman" w:hAnsi="Times New Roman" w:cs="Times New Roman"/>
          <w:b/>
          <w:sz w:val="24"/>
          <w:szCs w:val="24"/>
        </w:rPr>
        <w:sectPr w:rsidR="009C1945" w:rsidRPr="00053C1E" w:rsidSect="009C1945">
          <w:pgSz w:w="16838" w:h="11906" w:orient="landscape"/>
          <w:pgMar w:top="1797" w:right="1440" w:bottom="1797" w:left="1440" w:header="851" w:footer="992" w:gutter="0"/>
          <w:lnNumType w:countBy="1" w:restart="continuous"/>
          <w:cols w:space="425"/>
          <w:docGrid w:linePitch="312"/>
        </w:sectPr>
      </w:pPr>
    </w:p>
    <w:p w14:paraId="5BE5E44B" w14:textId="27475519" w:rsidR="00FB46E8" w:rsidRPr="00053C1E" w:rsidRDefault="00B74090" w:rsidP="00053C1E">
      <w:pPr>
        <w:spacing w:line="480" w:lineRule="auto"/>
        <w:rPr>
          <w:rFonts w:ascii="Times New Roman" w:hAnsi="Times New Roman" w:cs="Times New Roman"/>
          <w:sz w:val="24"/>
          <w:szCs w:val="24"/>
        </w:rPr>
      </w:pPr>
      <w:r>
        <w:rPr>
          <w:noProof/>
        </w:rPr>
        <w:lastRenderedPageBreak/>
        <w:drawing>
          <wp:inline distT="0" distB="0" distL="0" distR="0" wp14:anchorId="76987905" wp14:editId="303830F6">
            <wp:extent cx="5278120" cy="4576445"/>
            <wp:effectExtent l="0" t="0" r="0" b="0"/>
            <wp:docPr id="4" name="图形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96DAC541-7B7A-43D3-8B79-37D633B846F1}">
                          <asvg:svgBlip xmlns:asvg="http://schemas.microsoft.com/office/drawing/2016/SVG/main" r:embed="rId10"/>
                        </a:ext>
                      </a:extLst>
                    </a:blip>
                    <a:stretch>
                      <a:fillRect/>
                    </a:stretch>
                  </pic:blipFill>
                  <pic:spPr>
                    <a:xfrm>
                      <a:off x="0" y="0"/>
                      <a:ext cx="5278120" cy="4576445"/>
                    </a:xfrm>
                    <a:prstGeom prst="rect">
                      <a:avLst/>
                    </a:prstGeom>
                  </pic:spPr>
                </pic:pic>
              </a:graphicData>
            </a:graphic>
          </wp:inline>
        </w:drawing>
      </w:r>
    </w:p>
    <w:p w14:paraId="3C437C40" w14:textId="78EF93D2" w:rsidR="00FB46E8" w:rsidRPr="00053C1E" w:rsidRDefault="002F22EF" w:rsidP="00053C1E">
      <w:pPr>
        <w:widowControl/>
        <w:spacing w:line="480" w:lineRule="auto"/>
        <w:rPr>
          <w:rFonts w:ascii="Times New Roman" w:eastAsia="宋体" w:hAnsi="Times New Roman" w:cs="Times New Roman"/>
          <w:bCs/>
          <w:sz w:val="24"/>
          <w:szCs w:val="24"/>
        </w:rPr>
      </w:pPr>
      <w:r>
        <w:rPr>
          <w:rFonts w:ascii="Times New Roman" w:eastAsia="宋体" w:hAnsi="Times New Roman" w:cs="Times New Roman"/>
          <w:b/>
          <w:sz w:val="24"/>
          <w:szCs w:val="24"/>
        </w:rPr>
        <w:t>Figure</w:t>
      </w:r>
      <w:r w:rsidR="00FB46E8" w:rsidRPr="00053C1E">
        <w:rPr>
          <w:rFonts w:ascii="Times New Roman" w:eastAsia="宋体" w:hAnsi="Times New Roman" w:cs="Times New Roman"/>
          <w:b/>
          <w:sz w:val="24"/>
          <w:szCs w:val="24"/>
        </w:rPr>
        <w:t xml:space="preserve"> S</w:t>
      </w:r>
      <w:r w:rsidR="00053C1E">
        <w:rPr>
          <w:rFonts w:ascii="Times New Roman" w:eastAsia="宋体" w:hAnsi="Times New Roman" w:cs="Times New Roman"/>
          <w:b/>
          <w:sz w:val="24"/>
          <w:szCs w:val="24"/>
        </w:rPr>
        <w:t>1</w:t>
      </w:r>
      <w:r w:rsidR="00FB46E8" w:rsidRPr="00053C1E">
        <w:rPr>
          <w:rFonts w:ascii="Times New Roman" w:eastAsia="宋体" w:hAnsi="Times New Roman" w:cs="Times New Roman"/>
          <w:b/>
          <w:sz w:val="24"/>
          <w:szCs w:val="24"/>
        </w:rPr>
        <w:t xml:space="preserve"> </w:t>
      </w:r>
      <w:r w:rsidR="00FB46E8" w:rsidRPr="00053C1E">
        <w:rPr>
          <w:rFonts w:ascii="Times New Roman" w:eastAsia="宋体" w:hAnsi="Times New Roman" w:cs="Times New Roman"/>
          <w:bCs/>
          <w:sz w:val="24"/>
          <w:szCs w:val="24"/>
        </w:rPr>
        <w:t xml:space="preserve">Comparison of </w:t>
      </w:r>
      <w:r w:rsidR="000D5C41">
        <w:rPr>
          <w:rFonts w:ascii="Times New Roman" w:eastAsia="宋体" w:hAnsi="Times New Roman" w:cs="Times New Roman" w:hint="eastAsia"/>
          <w:bCs/>
          <w:sz w:val="24"/>
          <w:szCs w:val="24"/>
        </w:rPr>
        <w:t>D-</w:t>
      </w:r>
      <w:r w:rsidR="00FB46E8" w:rsidRPr="00053C1E">
        <w:rPr>
          <w:rFonts w:ascii="Times New Roman" w:eastAsia="宋体" w:hAnsi="Times New Roman" w:cs="Times New Roman"/>
          <w:bCs/>
          <w:sz w:val="24"/>
          <w:szCs w:val="24"/>
        </w:rPr>
        <w:t xml:space="preserve">xylonic acid productions </w:t>
      </w:r>
      <w:r w:rsidR="00024C1F">
        <w:rPr>
          <w:rFonts w:ascii="Times New Roman" w:eastAsia="宋体" w:hAnsi="Times New Roman" w:cs="Times New Roman" w:hint="eastAsia"/>
          <w:bCs/>
          <w:sz w:val="24"/>
          <w:szCs w:val="24"/>
        </w:rPr>
        <w:t>by</w:t>
      </w:r>
      <w:r w:rsidR="00024C1F">
        <w:rPr>
          <w:rFonts w:ascii="Times New Roman" w:eastAsia="宋体" w:hAnsi="Times New Roman" w:cs="Times New Roman"/>
          <w:bCs/>
          <w:sz w:val="24"/>
          <w:szCs w:val="24"/>
        </w:rPr>
        <w:t xml:space="preserve"> </w:t>
      </w:r>
      <w:r w:rsidR="00024C1F">
        <w:rPr>
          <w:rFonts w:ascii="Times New Roman" w:eastAsia="宋体" w:hAnsi="Times New Roman" w:cs="Times New Roman" w:hint="eastAsia"/>
          <w:bCs/>
          <w:sz w:val="24"/>
          <w:szCs w:val="24"/>
        </w:rPr>
        <w:t>different</w:t>
      </w:r>
      <w:r w:rsidR="00FB46E8" w:rsidRPr="00053C1E">
        <w:rPr>
          <w:rFonts w:ascii="Times New Roman" w:eastAsia="宋体" w:hAnsi="Times New Roman" w:cs="Times New Roman"/>
          <w:bCs/>
          <w:sz w:val="24"/>
          <w:szCs w:val="24"/>
        </w:rPr>
        <w:t xml:space="preserve"> </w:t>
      </w:r>
      <w:r w:rsidR="00FB46E8" w:rsidRPr="00AD59C3">
        <w:rPr>
          <w:rFonts w:ascii="Times New Roman" w:eastAsia="宋体" w:hAnsi="Times New Roman" w:cs="Times New Roman"/>
          <w:bCs/>
          <w:i/>
          <w:iCs/>
          <w:sz w:val="24"/>
          <w:szCs w:val="24"/>
        </w:rPr>
        <w:t>G. oxydans</w:t>
      </w:r>
      <w:r w:rsidR="00FB46E8" w:rsidRPr="00053C1E">
        <w:rPr>
          <w:rFonts w:ascii="Times New Roman" w:eastAsia="宋体" w:hAnsi="Times New Roman" w:cs="Times New Roman"/>
          <w:bCs/>
          <w:sz w:val="24"/>
          <w:szCs w:val="24"/>
        </w:rPr>
        <w:t xml:space="preserve"> strains.</w:t>
      </w:r>
    </w:p>
    <w:p w14:paraId="4D17037A" w14:textId="0D8FE645" w:rsidR="00FB46E8" w:rsidRPr="00053C1E" w:rsidRDefault="00FB46E8" w:rsidP="009C1945">
      <w:pPr>
        <w:spacing w:line="480" w:lineRule="auto"/>
        <w:rPr>
          <w:rFonts w:ascii="Times New Roman" w:eastAsia="宋体" w:hAnsi="Times New Roman" w:cs="Times New Roman"/>
          <w:b/>
          <w:sz w:val="24"/>
          <w:szCs w:val="24"/>
        </w:rPr>
      </w:pPr>
      <w:r w:rsidRPr="00053C1E">
        <w:rPr>
          <w:rFonts w:ascii="Times New Roman" w:eastAsia="宋体" w:hAnsi="Times New Roman" w:cs="Times New Roman"/>
          <w:bCs/>
          <w:sz w:val="24"/>
          <w:szCs w:val="24"/>
        </w:rPr>
        <w:t>T</w:t>
      </w:r>
      <w:r w:rsidRPr="00053C1E">
        <w:rPr>
          <w:rFonts w:ascii="Times New Roman" w:eastAsia="宋体" w:hAnsi="Times New Roman" w:cs="Times New Roman" w:hint="eastAsia"/>
          <w:bCs/>
          <w:sz w:val="24"/>
          <w:szCs w:val="24"/>
        </w:rPr>
        <w:t>he</w:t>
      </w:r>
      <w:r w:rsidRPr="00053C1E">
        <w:rPr>
          <w:rFonts w:ascii="Times New Roman" w:eastAsia="宋体" w:hAnsi="Times New Roman" w:cs="Times New Roman"/>
          <w:bCs/>
          <w:sz w:val="24"/>
          <w:szCs w:val="24"/>
        </w:rPr>
        <w:t xml:space="preserve"> </w:t>
      </w:r>
      <w:r w:rsidR="00F108F8" w:rsidRPr="00053C1E">
        <w:rPr>
          <w:rFonts w:ascii="Times New Roman" w:eastAsia="宋体" w:hAnsi="Times New Roman" w:cs="Times New Roman"/>
          <w:bCs/>
          <w:sz w:val="24"/>
          <w:szCs w:val="24"/>
        </w:rPr>
        <w:t>conversions</w:t>
      </w:r>
      <w:r w:rsidRPr="00053C1E">
        <w:rPr>
          <w:rFonts w:ascii="Times New Roman" w:eastAsia="宋体" w:hAnsi="Times New Roman" w:cs="Times New Roman"/>
          <w:bCs/>
          <w:sz w:val="24"/>
          <w:szCs w:val="24"/>
        </w:rPr>
        <w:t xml:space="preserve"> </w:t>
      </w:r>
      <w:r w:rsidRPr="00053C1E">
        <w:rPr>
          <w:rFonts w:ascii="Times New Roman" w:eastAsia="宋体" w:hAnsi="Times New Roman" w:cs="Times New Roman" w:hint="eastAsia"/>
          <w:bCs/>
          <w:sz w:val="24"/>
          <w:szCs w:val="24"/>
        </w:rPr>
        <w:t>w</w:t>
      </w:r>
      <w:r w:rsidR="00F108F8" w:rsidRPr="00053C1E">
        <w:rPr>
          <w:rFonts w:ascii="Times New Roman" w:eastAsia="宋体" w:hAnsi="Times New Roman" w:cs="Times New Roman"/>
          <w:bCs/>
          <w:sz w:val="24"/>
          <w:szCs w:val="24"/>
        </w:rPr>
        <w:t>ere</w:t>
      </w:r>
      <w:r w:rsidRPr="00053C1E">
        <w:rPr>
          <w:rFonts w:ascii="Times New Roman" w:eastAsia="宋体" w:hAnsi="Times New Roman" w:cs="Times New Roman"/>
          <w:bCs/>
          <w:sz w:val="24"/>
          <w:szCs w:val="24"/>
        </w:rPr>
        <w:t xml:space="preserve"> carried out in shake flasks at </w:t>
      </w:r>
      <w:r w:rsidRPr="00053C1E">
        <w:rPr>
          <w:rFonts w:ascii="Times New Roman" w:hAnsi="Times New Roman" w:cs="Times New Roman"/>
          <w:bCs/>
          <w:sz w:val="24"/>
          <w:szCs w:val="24"/>
        </w:rPr>
        <w:t>30℃</w:t>
      </w:r>
      <w:r w:rsidR="00F108F8" w:rsidRPr="00053C1E">
        <w:rPr>
          <w:rFonts w:ascii="Times New Roman" w:hAnsi="Times New Roman" w:cs="Times New Roman"/>
          <w:bCs/>
          <w:sz w:val="24"/>
          <w:szCs w:val="24"/>
        </w:rPr>
        <w:t xml:space="preserve"> </w:t>
      </w:r>
      <w:r w:rsidR="00F108F8" w:rsidRPr="00053C1E">
        <w:rPr>
          <w:rFonts w:ascii="Times New Roman" w:hAnsi="Times New Roman" w:cs="Times New Roman" w:hint="eastAsia"/>
          <w:bCs/>
          <w:sz w:val="24"/>
          <w:szCs w:val="24"/>
        </w:rPr>
        <w:t>and</w:t>
      </w:r>
      <w:r w:rsidR="00F108F8" w:rsidRPr="00053C1E">
        <w:rPr>
          <w:rFonts w:ascii="Times New Roman" w:hAnsi="Times New Roman" w:cs="Times New Roman"/>
          <w:bCs/>
          <w:sz w:val="24"/>
          <w:szCs w:val="24"/>
        </w:rPr>
        <w:t xml:space="preserve"> </w:t>
      </w:r>
      <w:r w:rsidRPr="00053C1E">
        <w:rPr>
          <w:rFonts w:ascii="Times New Roman" w:hAnsi="Times New Roman" w:cs="Times New Roman"/>
          <w:bCs/>
          <w:sz w:val="24"/>
          <w:szCs w:val="24"/>
        </w:rPr>
        <w:t>200</w:t>
      </w:r>
      <w:r w:rsidR="00AD59C3">
        <w:rPr>
          <w:rFonts w:ascii="Times New Roman" w:hAnsi="Times New Roman" w:cs="Times New Roman"/>
          <w:bCs/>
          <w:sz w:val="24"/>
          <w:szCs w:val="24"/>
        </w:rPr>
        <w:t xml:space="preserve"> </w:t>
      </w:r>
      <w:r w:rsidRPr="00053C1E">
        <w:rPr>
          <w:rFonts w:ascii="Times New Roman" w:hAnsi="Times New Roman" w:cs="Times New Roman"/>
          <w:bCs/>
          <w:sz w:val="24"/>
          <w:szCs w:val="24"/>
        </w:rPr>
        <w:t>rpm. The reaction system contained 40</w:t>
      </w:r>
      <w:r w:rsidR="00AD59C3">
        <w:rPr>
          <w:rFonts w:ascii="Times New Roman" w:hAnsi="Times New Roman" w:cs="Times New Roman"/>
          <w:bCs/>
          <w:sz w:val="24"/>
          <w:szCs w:val="24"/>
        </w:rPr>
        <w:t xml:space="preserve"> </w:t>
      </w:r>
      <w:r w:rsidRPr="00053C1E">
        <w:rPr>
          <w:rFonts w:ascii="Times New Roman" w:hAnsi="Times New Roman" w:cs="Times New Roman"/>
          <w:bCs/>
          <w:sz w:val="24"/>
          <w:szCs w:val="24"/>
        </w:rPr>
        <w:t xml:space="preserve">g/L </w:t>
      </w:r>
      <w:r w:rsidR="00E80D8B" w:rsidRPr="00053C1E">
        <w:rPr>
          <w:rFonts w:ascii="Times New Roman" w:hAnsi="Times New Roman" w:cs="Times New Roman"/>
          <w:bCs/>
          <w:sz w:val="24"/>
          <w:szCs w:val="24"/>
        </w:rPr>
        <w:t>D-</w:t>
      </w:r>
      <w:r w:rsidRPr="00053C1E">
        <w:rPr>
          <w:rFonts w:ascii="Times New Roman" w:hAnsi="Times New Roman" w:cs="Times New Roman"/>
          <w:bCs/>
          <w:sz w:val="24"/>
          <w:szCs w:val="24"/>
        </w:rPr>
        <w:t>xylose, 50mM citric acid buffer (pH 5.8), 10</w:t>
      </w:r>
      <w:r w:rsidR="00AD59C3">
        <w:rPr>
          <w:rFonts w:ascii="Times New Roman" w:hAnsi="Times New Roman" w:cs="Times New Roman"/>
          <w:bCs/>
          <w:sz w:val="24"/>
          <w:szCs w:val="24"/>
        </w:rPr>
        <w:t xml:space="preserve"> </w:t>
      </w:r>
      <w:r w:rsidRPr="00053C1E">
        <w:rPr>
          <w:rFonts w:ascii="Times New Roman" w:hAnsi="Times New Roman" w:cs="Times New Roman"/>
          <w:bCs/>
          <w:sz w:val="24"/>
          <w:szCs w:val="24"/>
        </w:rPr>
        <w:t>g</w:t>
      </w:r>
      <w:r w:rsidRPr="00053C1E">
        <w:rPr>
          <w:rFonts w:ascii="Times New Roman" w:hAnsi="Times New Roman" w:cs="Times New Roman"/>
          <w:bCs/>
          <w:sz w:val="24"/>
          <w:szCs w:val="24"/>
          <w:vertAlign w:val="subscript"/>
        </w:rPr>
        <w:t>wet wt</w:t>
      </w:r>
      <w:r w:rsidR="00D560AA" w:rsidRPr="00053C1E">
        <w:rPr>
          <w:rFonts w:ascii="Times New Roman" w:hAnsi="Times New Roman" w:cs="Times New Roman" w:hint="eastAsia"/>
          <w:bCs/>
          <w:sz w:val="24"/>
          <w:szCs w:val="24"/>
          <w:vertAlign w:val="subscript"/>
        </w:rPr>
        <w:t>.</w:t>
      </w:r>
      <w:r w:rsidRPr="00053C1E">
        <w:rPr>
          <w:rFonts w:ascii="Times New Roman" w:hAnsi="Times New Roman" w:cs="Times New Roman"/>
          <w:bCs/>
          <w:sz w:val="24"/>
          <w:szCs w:val="24"/>
        </w:rPr>
        <w:t>/L resting cell</w:t>
      </w:r>
      <w:r w:rsidR="00CA74EF" w:rsidRPr="00053C1E">
        <w:rPr>
          <w:rFonts w:ascii="Times New Roman" w:hAnsi="Times New Roman" w:cs="Times New Roman"/>
          <w:bCs/>
          <w:sz w:val="24"/>
          <w:szCs w:val="24"/>
        </w:rPr>
        <w:t>s</w:t>
      </w:r>
      <w:r w:rsidRPr="00053C1E">
        <w:rPr>
          <w:rFonts w:ascii="Times New Roman" w:hAnsi="Times New Roman" w:cs="Times New Roman"/>
          <w:bCs/>
          <w:sz w:val="24"/>
          <w:szCs w:val="24"/>
        </w:rPr>
        <w:t>.</w:t>
      </w:r>
    </w:p>
    <w:p w14:paraId="6324147C" w14:textId="19168955" w:rsidR="006715FA" w:rsidRPr="00053C1E" w:rsidRDefault="00B74090" w:rsidP="00053C1E">
      <w:pPr>
        <w:spacing w:line="480" w:lineRule="auto"/>
        <w:rPr>
          <w:rFonts w:ascii="Times New Roman" w:hAnsi="Times New Roman" w:cs="Times New Roman"/>
          <w:b/>
          <w:bCs/>
          <w:sz w:val="24"/>
          <w:szCs w:val="24"/>
        </w:rPr>
      </w:pPr>
      <w:r>
        <w:rPr>
          <w:noProof/>
        </w:rPr>
        <w:lastRenderedPageBreak/>
        <w:drawing>
          <wp:inline distT="0" distB="0" distL="0" distR="0" wp14:anchorId="109F404C" wp14:editId="14D5C4B0">
            <wp:extent cx="5278120" cy="4479290"/>
            <wp:effectExtent l="0" t="0" r="0" b="0"/>
            <wp:docPr id="5" name="图形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5278120" cy="4479290"/>
                    </a:xfrm>
                    <a:prstGeom prst="rect">
                      <a:avLst/>
                    </a:prstGeom>
                  </pic:spPr>
                </pic:pic>
              </a:graphicData>
            </a:graphic>
          </wp:inline>
        </w:drawing>
      </w:r>
    </w:p>
    <w:p w14:paraId="37AD567A" w14:textId="152031DE" w:rsidR="0077563A" w:rsidRPr="00053C1E" w:rsidRDefault="002F22EF" w:rsidP="00053C1E">
      <w:pPr>
        <w:spacing w:line="480" w:lineRule="auto"/>
        <w:rPr>
          <w:rFonts w:ascii="Times New Roman" w:hAnsi="Times New Roman" w:cs="Times New Roman"/>
          <w:sz w:val="24"/>
          <w:szCs w:val="24"/>
        </w:rPr>
      </w:pPr>
      <w:r>
        <w:rPr>
          <w:rFonts w:ascii="Times New Roman" w:hAnsi="Times New Roman" w:cs="Times New Roman"/>
          <w:b/>
          <w:bCs/>
          <w:sz w:val="24"/>
          <w:szCs w:val="24"/>
        </w:rPr>
        <w:t>Figure</w:t>
      </w:r>
      <w:r w:rsidR="004033AB" w:rsidRPr="00053C1E">
        <w:rPr>
          <w:rFonts w:ascii="Times New Roman" w:hAnsi="Times New Roman" w:cs="Times New Roman"/>
          <w:b/>
          <w:bCs/>
          <w:sz w:val="24"/>
          <w:szCs w:val="24"/>
        </w:rPr>
        <w:t xml:space="preserve"> S</w:t>
      </w:r>
      <w:r w:rsidR="00FB46E8" w:rsidRPr="00053C1E">
        <w:rPr>
          <w:rFonts w:ascii="Times New Roman" w:hAnsi="Times New Roman" w:cs="Times New Roman"/>
          <w:b/>
          <w:bCs/>
          <w:sz w:val="24"/>
          <w:szCs w:val="24"/>
        </w:rPr>
        <w:t>2</w:t>
      </w:r>
      <w:r w:rsidR="004033AB" w:rsidRPr="00053C1E">
        <w:rPr>
          <w:rFonts w:ascii="Times New Roman" w:hAnsi="Times New Roman" w:cs="Times New Roman"/>
          <w:b/>
          <w:bCs/>
          <w:sz w:val="24"/>
          <w:szCs w:val="24"/>
        </w:rPr>
        <w:t xml:space="preserve"> </w:t>
      </w:r>
      <w:r w:rsidRPr="002F22EF">
        <w:rPr>
          <w:rFonts w:ascii="Times New Roman" w:hAnsi="Times New Roman" w:cs="Times New Roman"/>
          <w:sz w:val="24"/>
          <w:szCs w:val="24"/>
        </w:rPr>
        <w:t>D-x</w:t>
      </w:r>
      <w:r w:rsidR="00FB46E8" w:rsidRPr="002F22EF">
        <w:rPr>
          <w:rFonts w:ascii="Times New Roman" w:hAnsi="Times New Roman" w:cs="Times New Roman" w:hint="eastAsia"/>
          <w:sz w:val="24"/>
          <w:szCs w:val="24"/>
        </w:rPr>
        <w:t>ylonic</w:t>
      </w:r>
      <w:r w:rsidR="00FB46E8" w:rsidRPr="002F22EF">
        <w:rPr>
          <w:rFonts w:ascii="Times New Roman" w:hAnsi="Times New Roman" w:cs="Times New Roman"/>
          <w:sz w:val="24"/>
          <w:szCs w:val="24"/>
        </w:rPr>
        <w:t xml:space="preserve"> </w:t>
      </w:r>
      <w:r w:rsidR="00FB46E8" w:rsidRPr="002F22EF">
        <w:rPr>
          <w:rFonts w:ascii="Times New Roman" w:hAnsi="Times New Roman" w:cs="Times New Roman" w:hint="eastAsia"/>
          <w:sz w:val="24"/>
          <w:szCs w:val="24"/>
        </w:rPr>
        <w:t>acid</w:t>
      </w:r>
      <w:r w:rsidR="0077563A" w:rsidRPr="002F22EF">
        <w:rPr>
          <w:rFonts w:ascii="Times New Roman" w:hAnsi="Times New Roman" w:cs="Times New Roman"/>
          <w:sz w:val="24"/>
          <w:szCs w:val="24"/>
        </w:rPr>
        <w:t xml:space="preserve"> production from 535</w:t>
      </w:r>
      <w:r w:rsidR="00AD59C3">
        <w:rPr>
          <w:rFonts w:ascii="Times New Roman" w:hAnsi="Times New Roman" w:cs="Times New Roman"/>
          <w:sz w:val="24"/>
          <w:szCs w:val="24"/>
        </w:rPr>
        <w:t xml:space="preserve"> </w:t>
      </w:r>
      <w:r w:rsidR="0077563A" w:rsidRPr="00053C1E">
        <w:rPr>
          <w:rFonts w:ascii="Times New Roman" w:hAnsi="Times New Roman" w:cs="Times New Roman"/>
          <w:sz w:val="24"/>
          <w:szCs w:val="24"/>
        </w:rPr>
        <w:t xml:space="preserve">g/L </w:t>
      </w:r>
      <w:r w:rsidR="00E80D8B" w:rsidRPr="00053C1E">
        <w:rPr>
          <w:rFonts w:ascii="Times New Roman" w:hAnsi="Times New Roman" w:cs="Times New Roman" w:hint="eastAsia"/>
          <w:sz w:val="24"/>
          <w:szCs w:val="24"/>
        </w:rPr>
        <w:t>D-</w:t>
      </w:r>
      <w:r w:rsidR="0077563A" w:rsidRPr="00053C1E">
        <w:rPr>
          <w:rFonts w:ascii="Times New Roman" w:hAnsi="Times New Roman" w:cs="Times New Roman"/>
          <w:sz w:val="24"/>
          <w:szCs w:val="24"/>
        </w:rPr>
        <w:t xml:space="preserve">xylose by </w:t>
      </w:r>
      <w:r w:rsidR="0077563A" w:rsidRPr="00AD59C3">
        <w:rPr>
          <w:rFonts w:ascii="Times New Roman" w:hAnsi="Times New Roman" w:cs="Times New Roman"/>
          <w:i/>
          <w:iCs/>
          <w:sz w:val="24"/>
          <w:szCs w:val="24"/>
        </w:rPr>
        <w:t>G. oxydans</w:t>
      </w:r>
      <w:r w:rsidR="0077563A" w:rsidRPr="00053C1E">
        <w:rPr>
          <w:rFonts w:ascii="Times New Roman" w:hAnsi="Times New Roman" w:cs="Times New Roman"/>
          <w:sz w:val="24"/>
          <w:szCs w:val="24"/>
        </w:rPr>
        <w:t>/pBBR-R3510-mGDH in batch.</w:t>
      </w:r>
    </w:p>
    <w:p w14:paraId="2CE6DA0D" w14:textId="77777777" w:rsidR="009C1945" w:rsidRDefault="00947FBA" w:rsidP="009C1945">
      <w:pPr>
        <w:spacing w:line="480" w:lineRule="auto"/>
        <w:rPr>
          <w:rFonts w:ascii="Times New Roman" w:hAnsi="Times New Roman" w:cs="Times New Roman"/>
          <w:sz w:val="24"/>
          <w:szCs w:val="24"/>
        </w:rPr>
      </w:pPr>
      <w:r w:rsidRPr="00053C1E">
        <w:rPr>
          <w:rFonts w:ascii="Times New Roman" w:hAnsi="Times New Roman" w:cs="Times New Roman"/>
          <w:sz w:val="24"/>
          <w:szCs w:val="24"/>
        </w:rPr>
        <w:t>The conversion was carried out in 7</w:t>
      </w:r>
      <w:r w:rsidR="00AD59C3">
        <w:rPr>
          <w:rFonts w:ascii="Times New Roman" w:hAnsi="Times New Roman" w:cs="Times New Roman"/>
          <w:sz w:val="24"/>
          <w:szCs w:val="24"/>
        </w:rPr>
        <w:t xml:space="preserve"> </w:t>
      </w:r>
      <w:r w:rsidRPr="00053C1E">
        <w:rPr>
          <w:rFonts w:ascii="Times New Roman" w:hAnsi="Times New Roman" w:cs="Times New Roman"/>
          <w:sz w:val="24"/>
          <w:szCs w:val="24"/>
        </w:rPr>
        <w:t>L</w:t>
      </w:r>
      <w:r w:rsidRPr="00053C1E">
        <w:rPr>
          <w:rFonts w:ascii="Times New Roman" w:hAnsi="Times New Roman" w:cs="Times New Roman" w:hint="eastAsia"/>
          <w:sz w:val="24"/>
          <w:szCs w:val="24"/>
        </w:rPr>
        <w:t xml:space="preserve"> </w:t>
      </w:r>
      <w:r w:rsidRPr="00053C1E">
        <w:rPr>
          <w:rFonts w:ascii="Times New Roman" w:hAnsi="Times New Roman" w:cs="Times New Roman"/>
          <w:sz w:val="24"/>
          <w:szCs w:val="24"/>
        </w:rPr>
        <w:t>fermenter at 4</w:t>
      </w:r>
      <w:r w:rsidR="00AD59C3">
        <w:rPr>
          <w:rFonts w:ascii="Times New Roman" w:hAnsi="Times New Roman" w:cs="Times New Roman"/>
          <w:sz w:val="24"/>
          <w:szCs w:val="24"/>
        </w:rPr>
        <w:t xml:space="preserve"> </w:t>
      </w:r>
      <w:proofErr w:type="spellStart"/>
      <w:r w:rsidRPr="00053C1E">
        <w:rPr>
          <w:rFonts w:ascii="Times New Roman" w:hAnsi="Times New Roman" w:cs="Times New Roman"/>
          <w:sz w:val="24"/>
          <w:szCs w:val="24"/>
        </w:rPr>
        <w:t>vvm</w:t>
      </w:r>
      <w:proofErr w:type="spellEnd"/>
      <w:r w:rsidRPr="00053C1E">
        <w:rPr>
          <w:rFonts w:ascii="Times New Roman" w:hAnsi="Times New Roman" w:cs="Times New Roman"/>
          <w:sz w:val="24"/>
          <w:szCs w:val="24"/>
        </w:rPr>
        <w:t xml:space="preserve"> aeration, 30℃</w:t>
      </w:r>
      <w:r w:rsidR="00F108F8" w:rsidRPr="00053C1E">
        <w:rPr>
          <w:rFonts w:ascii="Times New Roman" w:hAnsi="Times New Roman" w:cs="Times New Roman"/>
          <w:sz w:val="24"/>
          <w:szCs w:val="24"/>
        </w:rPr>
        <w:t xml:space="preserve"> </w:t>
      </w:r>
      <w:r w:rsidR="00F108F8" w:rsidRPr="00053C1E">
        <w:rPr>
          <w:rFonts w:ascii="Times New Roman" w:hAnsi="Times New Roman" w:cs="Times New Roman" w:hint="eastAsia"/>
          <w:sz w:val="24"/>
          <w:szCs w:val="24"/>
        </w:rPr>
        <w:t>and</w:t>
      </w:r>
      <w:r w:rsidR="00F108F8" w:rsidRPr="00053C1E">
        <w:rPr>
          <w:rFonts w:ascii="Times New Roman" w:hAnsi="Times New Roman" w:cs="Times New Roman"/>
          <w:sz w:val="24"/>
          <w:szCs w:val="24"/>
        </w:rPr>
        <w:t xml:space="preserve"> 6</w:t>
      </w:r>
      <w:r w:rsidRPr="00053C1E">
        <w:rPr>
          <w:rFonts w:ascii="Times New Roman" w:hAnsi="Times New Roman" w:cs="Times New Roman"/>
          <w:sz w:val="24"/>
          <w:szCs w:val="24"/>
        </w:rPr>
        <w:t>00</w:t>
      </w:r>
      <w:r w:rsidR="00AD59C3">
        <w:rPr>
          <w:rFonts w:ascii="Times New Roman" w:hAnsi="Times New Roman" w:cs="Times New Roman"/>
          <w:sz w:val="24"/>
          <w:szCs w:val="24"/>
        </w:rPr>
        <w:t xml:space="preserve"> </w:t>
      </w:r>
      <w:r w:rsidRPr="00053C1E">
        <w:rPr>
          <w:rFonts w:ascii="Times New Roman" w:hAnsi="Times New Roman" w:cs="Times New Roman"/>
          <w:sz w:val="24"/>
          <w:szCs w:val="24"/>
        </w:rPr>
        <w:t>rpm. The pH maintained at 5.8 by using a 4</w:t>
      </w:r>
      <w:r w:rsidR="00AD59C3">
        <w:rPr>
          <w:rFonts w:ascii="Times New Roman" w:hAnsi="Times New Roman" w:cs="Times New Roman"/>
          <w:sz w:val="24"/>
          <w:szCs w:val="24"/>
        </w:rPr>
        <w:t xml:space="preserve"> </w:t>
      </w:r>
      <w:r w:rsidRPr="00053C1E">
        <w:rPr>
          <w:rFonts w:ascii="Times New Roman" w:hAnsi="Times New Roman" w:cs="Times New Roman"/>
          <w:sz w:val="24"/>
          <w:szCs w:val="24"/>
        </w:rPr>
        <w:t>M NaOH solution. The reaction system contained 535</w:t>
      </w:r>
      <w:r w:rsidR="00AD59C3">
        <w:rPr>
          <w:rFonts w:ascii="Times New Roman" w:hAnsi="Times New Roman" w:cs="Times New Roman"/>
          <w:sz w:val="24"/>
          <w:szCs w:val="24"/>
        </w:rPr>
        <w:t xml:space="preserve"> </w:t>
      </w:r>
      <w:r w:rsidRPr="00053C1E">
        <w:rPr>
          <w:rFonts w:ascii="Times New Roman" w:hAnsi="Times New Roman" w:cs="Times New Roman"/>
          <w:sz w:val="24"/>
          <w:szCs w:val="24"/>
        </w:rPr>
        <w:t>g/L</w:t>
      </w:r>
      <w:r w:rsidR="00E80D8B" w:rsidRPr="00053C1E">
        <w:rPr>
          <w:rFonts w:ascii="Times New Roman" w:hAnsi="Times New Roman" w:cs="Times New Roman"/>
          <w:sz w:val="24"/>
          <w:szCs w:val="24"/>
        </w:rPr>
        <w:t xml:space="preserve"> </w:t>
      </w:r>
      <w:r w:rsidR="00E80D8B" w:rsidRPr="00053C1E">
        <w:rPr>
          <w:rFonts w:ascii="Times New Roman" w:hAnsi="Times New Roman" w:cs="Times New Roman" w:hint="eastAsia"/>
          <w:sz w:val="24"/>
          <w:szCs w:val="24"/>
        </w:rPr>
        <w:t>D-</w:t>
      </w:r>
      <w:r w:rsidRPr="00053C1E">
        <w:rPr>
          <w:rFonts w:ascii="Times New Roman" w:hAnsi="Times New Roman" w:cs="Times New Roman"/>
          <w:sz w:val="24"/>
          <w:szCs w:val="24"/>
        </w:rPr>
        <w:t>xylose and 20</w:t>
      </w:r>
      <w:r w:rsidR="00AD59C3">
        <w:rPr>
          <w:rFonts w:ascii="Times New Roman" w:hAnsi="Times New Roman" w:cs="Times New Roman"/>
          <w:sz w:val="24"/>
          <w:szCs w:val="24"/>
        </w:rPr>
        <w:t xml:space="preserve"> </w:t>
      </w:r>
      <w:r w:rsidRPr="00053C1E">
        <w:rPr>
          <w:rFonts w:ascii="Times New Roman" w:hAnsi="Times New Roman" w:cs="Times New Roman"/>
          <w:sz w:val="24"/>
          <w:szCs w:val="24"/>
        </w:rPr>
        <w:t>g</w:t>
      </w:r>
      <w:r w:rsidRPr="00053C1E">
        <w:rPr>
          <w:rFonts w:ascii="Times New Roman" w:hAnsi="Times New Roman" w:cs="Times New Roman"/>
          <w:sz w:val="24"/>
          <w:szCs w:val="24"/>
          <w:vertAlign w:val="subscript"/>
        </w:rPr>
        <w:t>wet wt</w:t>
      </w:r>
      <w:r w:rsidR="00D560AA" w:rsidRPr="00053C1E">
        <w:rPr>
          <w:rFonts w:ascii="Times New Roman" w:hAnsi="Times New Roman" w:cs="Times New Roman"/>
          <w:sz w:val="24"/>
          <w:szCs w:val="24"/>
          <w:vertAlign w:val="subscript"/>
        </w:rPr>
        <w:t>.</w:t>
      </w:r>
      <w:r w:rsidRPr="00053C1E">
        <w:rPr>
          <w:rFonts w:ascii="Times New Roman" w:hAnsi="Times New Roman" w:cs="Times New Roman"/>
          <w:sz w:val="24"/>
          <w:szCs w:val="24"/>
        </w:rPr>
        <w:t>/L resting cell</w:t>
      </w:r>
      <w:r w:rsidR="00CA74EF" w:rsidRPr="00053C1E">
        <w:rPr>
          <w:rFonts w:ascii="Times New Roman" w:hAnsi="Times New Roman" w:cs="Times New Roman"/>
          <w:sz w:val="24"/>
          <w:szCs w:val="24"/>
        </w:rPr>
        <w:t>s</w:t>
      </w:r>
      <w:r w:rsidRPr="00053C1E">
        <w:rPr>
          <w:rFonts w:ascii="Times New Roman" w:hAnsi="Times New Roman" w:cs="Times New Roman"/>
          <w:sz w:val="24"/>
          <w:szCs w:val="24"/>
        </w:rPr>
        <w:t>.</w:t>
      </w:r>
    </w:p>
    <w:p w14:paraId="10D2E689" w14:textId="4AFED2B9" w:rsidR="004033AB" w:rsidRPr="009C1945" w:rsidRDefault="000C3D9E" w:rsidP="009C1945">
      <w:pPr>
        <w:spacing w:line="480" w:lineRule="auto"/>
        <w:rPr>
          <w:rFonts w:ascii="Times New Roman" w:hAnsi="Times New Roman" w:cs="Times New Roman"/>
          <w:sz w:val="24"/>
          <w:szCs w:val="24"/>
        </w:rPr>
      </w:pPr>
      <w:r>
        <w:rPr>
          <w:noProof/>
        </w:rPr>
        <w:lastRenderedPageBreak/>
        <w:drawing>
          <wp:inline distT="0" distB="0" distL="0" distR="0" wp14:anchorId="397E8D19" wp14:editId="40D0CC6A">
            <wp:extent cx="4227443" cy="6349486"/>
            <wp:effectExtent l="0" t="0" r="1905" b="0"/>
            <wp:docPr id="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4235058" cy="6360924"/>
                    </a:xfrm>
                    <a:prstGeom prst="rect">
                      <a:avLst/>
                    </a:prstGeom>
                  </pic:spPr>
                </pic:pic>
              </a:graphicData>
            </a:graphic>
          </wp:inline>
        </w:drawing>
      </w:r>
    </w:p>
    <w:p w14:paraId="6985B997" w14:textId="38C5BA41" w:rsidR="004033AB" w:rsidRPr="00053C1E" w:rsidRDefault="002F22EF" w:rsidP="00053C1E">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b/>
          <w:bCs/>
          <w:sz w:val="24"/>
          <w:szCs w:val="24"/>
        </w:rPr>
        <w:t>Figure</w:t>
      </w:r>
      <w:r w:rsidR="004033AB" w:rsidRPr="00053C1E">
        <w:rPr>
          <w:rFonts w:ascii="Times New Roman" w:eastAsia="宋体" w:hAnsi="Times New Roman" w:cs="Times New Roman"/>
          <w:b/>
          <w:bCs/>
          <w:sz w:val="24"/>
          <w:szCs w:val="24"/>
        </w:rPr>
        <w:t xml:space="preserve"> S</w:t>
      </w:r>
      <w:r w:rsidR="00FB46E8" w:rsidRPr="00053C1E">
        <w:rPr>
          <w:rFonts w:ascii="Times New Roman" w:eastAsia="宋体" w:hAnsi="Times New Roman" w:cs="Times New Roman"/>
          <w:b/>
          <w:bCs/>
          <w:sz w:val="24"/>
          <w:szCs w:val="24"/>
        </w:rPr>
        <w:t>3</w:t>
      </w:r>
      <w:r w:rsidR="004033AB" w:rsidRPr="00053C1E">
        <w:rPr>
          <w:rFonts w:ascii="Times New Roman" w:eastAsia="宋体" w:hAnsi="Times New Roman" w:cs="Times New Roman"/>
          <w:b/>
          <w:bCs/>
          <w:sz w:val="24"/>
          <w:szCs w:val="24"/>
        </w:rPr>
        <w:t xml:space="preserve"> </w:t>
      </w:r>
      <w:bookmarkStart w:id="4" w:name="_Hlk71202866"/>
      <w:r w:rsidR="004033AB" w:rsidRPr="00053C1E">
        <w:rPr>
          <w:rFonts w:ascii="Times New Roman" w:eastAsia="宋体" w:hAnsi="Times New Roman" w:cs="Times New Roman"/>
          <w:sz w:val="24"/>
          <w:szCs w:val="24"/>
        </w:rPr>
        <w:t xml:space="preserve">Transformation of furfuran compounds by </w:t>
      </w:r>
      <w:r w:rsidR="004033AB" w:rsidRPr="00053C1E">
        <w:rPr>
          <w:rFonts w:ascii="Times New Roman" w:eastAsia="宋体" w:hAnsi="Times New Roman" w:cs="Times New Roman"/>
          <w:i/>
          <w:iCs/>
          <w:sz w:val="24"/>
          <w:szCs w:val="24"/>
        </w:rPr>
        <w:t>G. oxydans</w:t>
      </w:r>
      <w:r w:rsidR="004033AB" w:rsidRPr="00053C1E">
        <w:rPr>
          <w:rFonts w:ascii="Times New Roman" w:eastAsia="宋体" w:hAnsi="Times New Roman" w:cs="Times New Roman"/>
          <w:sz w:val="24"/>
          <w:szCs w:val="24"/>
        </w:rPr>
        <w:t>/pBBR-R3510-mGDH</w:t>
      </w:r>
      <w:r w:rsidR="004033AB" w:rsidRPr="00053C1E">
        <w:rPr>
          <w:rFonts w:ascii="Times New Roman" w:eastAsia="宋体" w:hAnsi="Times New Roman" w:cs="Times New Roman"/>
          <w:i/>
          <w:iCs/>
          <w:sz w:val="24"/>
          <w:szCs w:val="24"/>
        </w:rPr>
        <w:t xml:space="preserve"> </w:t>
      </w:r>
      <w:r w:rsidR="004033AB" w:rsidRPr="00053C1E">
        <w:rPr>
          <w:rFonts w:ascii="Times New Roman" w:eastAsia="宋体" w:hAnsi="Times New Roman" w:cs="Times New Roman"/>
          <w:sz w:val="24"/>
          <w:szCs w:val="24"/>
        </w:rPr>
        <w:t xml:space="preserve">and </w:t>
      </w:r>
      <w:r w:rsidR="004033AB" w:rsidRPr="00053C1E">
        <w:rPr>
          <w:rFonts w:ascii="Times New Roman" w:eastAsia="宋体" w:hAnsi="Times New Roman" w:cs="Times New Roman"/>
          <w:i/>
          <w:iCs/>
          <w:sz w:val="24"/>
          <w:szCs w:val="24"/>
        </w:rPr>
        <w:t xml:space="preserve">G. oxydans </w:t>
      </w:r>
      <w:r w:rsidR="004033AB" w:rsidRPr="00053C1E">
        <w:rPr>
          <w:rFonts w:ascii="Times New Roman" w:eastAsia="宋体" w:hAnsi="Times New Roman" w:cs="Times New Roman"/>
          <w:sz w:val="24"/>
          <w:szCs w:val="24"/>
        </w:rPr>
        <w:t xml:space="preserve">DSM2003 </w:t>
      </w:r>
      <w:r w:rsidR="00F108F8" w:rsidRPr="00053C1E">
        <w:rPr>
          <w:rFonts w:ascii="Times New Roman" w:eastAsia="宋体" w:hAnsi="Times New Roman" w:cs="Times New Roman"/>
          <w:sz w:val="24"/>
          <w:szCs w:val="24"/>
        </w:rPr>
        <w:t xml:space="preserve">respectively. </w:t>
      </w:r>
      <w:bookmarkEnd w:id="4"/>
    </w:p>
    <w:p w14:paraId="4A2DBE88" w14:textId="77777777" w:rsidR="004033AB" w:rsidRPr="00053C1E" w:rsidRDefault="004033AB" w:rsidP="00053C1E">
      <w:pPr>
        <w:widowControl/>
        <w:spacing w:line="480" w:lineRule="auto"/>
        <w:jc w:val="left"/>
        <w:rPr>
          <w:rFonts w:ascii="Times New Roman" w:eastAsia="宋体" w:hAnsi="Times New Roman" w:cs="Times New Roman"/>
          <w:sz w:val="24"/>
          <w:szCs w:val="24"/>
        </w:rPr>
      </w:pPr>
      <w:r w:rsidRPr="00053C1E">
        <w:rPr>
          <w:rFonts w:ascii="Times New Roman" w:eastAsia="宋体" w:hAnsi="Times New Roman" w:cs="Times New Roman"/>
          <w:sz w:val="24"/>
          <w:szCs w:val="24"/>
        </w:rPr>
        <w:t>(a) transformation of furfural; (b) transformation of HMF.</w:t>
      </w:r>
    </w:p>
    <w:p w14:paraId="6647E1E4" w14:textId="77777777" w:rsidR="009C1945" w:rsidRDefault="00947FBA" w:rsidP="009C1945">
      <w:pPr>
        <w:spacing w:line="480" w:lineRule="auto"/>
        <w:rPr>
          <w:rFonts w:ascii="Times New Roman" w:hAnsi="Times New Roman" w:cs="Times New Roman"/>
          <w:sz w:val="24"/>
          <w:szCs w:val="24"/>
        </w:rPr>
      </w:pPr>
      <w:r w:rsidRPr="00053C1E">
        <w:rPr>
          <w:rFonts w:ascii="Times New Roman" w:hAnsi="Times New Roman" w:cs="Times New Roman"/>
          <w:sz w:val="24"/>
          <w:szCs w:val="24"/>
        </w:rPr>
        <w:t xml:space="preserve">The </w:t>
      </w:r>
      <w:r w:rsidR="00F108F8" w:rsidRPr="00053C1E">
        <w:rPr>
          <w:rFonts w:ascii="Times New Roman" w:hAnsi="Times New Roman" w:cs="Times New Roman"/>
          <w:sz w:val="24"/>
          <w:szCs w:val="24"/>
        </w:rPr>
        <w:t>conversions were</w:t>
      </w:r>
      <w:r w:rsidRPr="00053C1E">
        <w:rPr>
          <w:rFonts w:ascii="Times New Roman" w:hAnsi="Times New Roman" w:cs="Times New Roman"/>
          <w:sz w:val="24"/>
          <w:szCs w:val="24"/>
        </w:rPr>
        <w:t xml:space="preserve"> carried out in shake flasks</w:t>
      </w:r>
      <w:r w:rsidR="00B83EC2" w:rsidRPr="00053C1E">
        <w:rPr>
          <w:rFonts w:ascii="Times New Roman" w:hAnsi="Times New Roman" w:cs="Times New Roman"/>
          <w:sz w:val="24"/>
          <w:szCs w:val="24"/>
        </w:rPr>
        <w:t xml:space="preserve"> at 30℃</w:t>
      </w:r>
      <w:r w:rsidR="002678E4" w:rsidRPr="00053C1E">
        <w:rPr>
          <w:rFonts w:ascii="Times New Roman" w:hAnsi="Times New Roman" w:cs="Times New Roman"/>
          <w:sz w:val="24"/>
          <w:szCs w:val="24"/>
        </w:rPr>
        <w:t xml:space="preserve"> </w:t>
      </w:r>
      <w:r w:rsidR="002678E4" w:rsidRPr="00053C1E">
        <w:rPr>
          <w:rFonts w:ascii="Times New Roman" w:hAnsi="Times New Roman" w:cs="Times New Roman" w:hint="eastAsia"/>
          <w:sz w:val="24"/>
          <w:szCs w:val="24"/>
        </w:rPr>
        <w:t>and</w:t>
      </w:r>
      <w:r w:rsidR="002678E4" w:rsidRPr="00053C1E">
        <w:rPr>
          <w:rFonts w:ascii="Times New Roman" w:hAnsi="Times New Roman" w:cs="Times New Roman"/>
          <w:sz w:val="24"/>
          <w:szCs w:val="24"/>
        </w:rPr>
        <w:t xml:space="preserve"> </w:t>
      </w:r>
      <w:r w:rsidR="00B83EC2" w:rsidRPr="00053C1E">
        <w:rPr>
          <w:rFonts w:ascii="Times New Roman" w:hAnsi="Times New Roman" w:cs="Times New Roman"/>
          <w:sz w:val="24"/>
          <w:szCs w:val="24"/>
        </w:rPr>
        <w:t>200</w:t>
      </w:r>
      <w:r w:rsidR="00AD59C3">
        <w:rPr>
          <w:rFonts w:ascii="Times New Roman" w:hAnsi="Times New Roman" w:cs="Times New Roman"/>
          <w:sz w:val="24"/>
          <w:szCs w:val="24"/>
        </w:rPr>
        <w:t xml:space="preserve"> </w:t>
      </w:r>
      <w:r w:rsidR="00B83EC2" w:rsidRPr="00053C1E">
        <w:rPr>
          <w:rFonts w:ascii="Times New Roman" w:hAnsi="Times New Roman" w:cs="Times New Roman"/>
          <w:sz w:val="24"/>
          <w:szCs w:val="24"/>
        </w:rPr>
        <w:t>rpm</w:t>
      </w:r>
      <w:r w:rsidRPr="00053C1E">
        <w:rPr>
          <w:rFonts w:ascii="Times New Roman" w:hAnsi="Times New Roman" w:cs="Times New Roman"/>
          <w:sz w:val="24"/>
          <w:szCs w:val="24"/>
        </w:rPr>
        <w:t xml:space="preserve">. The reaction </w:t>
      </w:r>
      <w:r w:rsidR="00B83EC2" w:rsidRPr="00053C1E">
        <w:rPr>
          <w:rFonts w:ascii="Times New Roman" w:hAnsi="Times New Roman" w:cs="Times New Roman"/>
          <w:sz w:val="24"/>
          <w:szCs w:val="24"/>
        </w:rPr>
        <w:t xml:space="preserve">system </w:t>
      </w:r>
      <w:r w:rsidRPr="00053C1E">
        <w:rPr>
          <w:rFonts w:ascii="Times New Roman" w:hAnsi="Times New Roman" w:cs="Times New Roman"/>
          <w:sz w:val="24"/>
          <w:szCs w:val="24"/>
        </w:rPr>
        <w:t>contained 0.5</w:t>
      </w:r>
      <w:r w:rsidR="00B83EC2" w:rsidRPr="00053C1E">
        <w:rPr>
          <w:rFonts w:ascii="Times New Roman" w:hAnsi="Times New Roman" w:cs="Times New Roman"/>
          <w:sz w:val="24"/>
          <w:szCs w:val="24"/>
        </w:rPr>
        <w:t xml:space="preserve"> (</w:t>
      </w:r>
      <w:r w:rsidRPr="00053C1E">
        <w:rPr>
          <w:rFonts w:ascii="Times New Roman" w:hAnsi="Times New Roman" w:cs="Times New Roman"/>
          <w:sz w:val="24"/>
          <w:szCs w:val="24"/>
        </w:rPr>
        <w:t>2.5</w:t>
      </w:r>
      <w:r w:rsidR="00B83EC2" w:rsidRPr="00053C1E">
        <w:rPr>
          <w:rFonts w:ascii="Times New Roman" w:hAnsi="Times New Roman" w:cs="Times New Roman"/>
          <w:sz w:val="24"/>
          <w:szCs w:val="24"/>
        </w:rPr>
        <w:t xml:space="preserve">) </w:t>
      </w:r>
      <w:r w:rsidRPr="00053C1E">
        <w:rPr>
          <w:rFonts w:ascii="Times New Roman" w:hAnsi="Times New Roman" w:cs="Times New Roman"/>
          <w:sz w:val="24"/>
          <w:szCs w:val="24"/>
        </w:rPr>
        <w:t>g/L furfural</w:t>
      </w:r>
      <w:r w:rsidR="00B83EC2" w:rsidRPr="00053C1E">
        <w:rPr>
          <w:rFonts w:ascii="Times New Roman" w:hAnsi="Times New Roman" w:cs="Times New Roman"/>
          <w:sz w:val="24"/>
          <w:szCs w:val="24"/>
        </w:rPr>
        <w:t xml:space="preserve"> (</w:t>
      </w:r>
      <w:r w:rsidRPr="00053C1E">
        <w:rPr>
          <w:rFonts w:ascii="Times New Roman" w:hAnsi="Times New Roman" w:cs="Times New Roman"/>
          <w:sz w:val="24"/>
          <w:szCs w:val="24"/>
        </w:rPr>
        <w:t>HMF</w:t>
      </w:r>
      <w:r w:rsidR="00B83EC2" w:rsidRPr="00053C1E">
        <w:rPr>
          <w:rFonts w:ascii="Times New Roman" w:hAnsi="Times New Roman" w:cs="Times New Roman"/>
          <w:sz w:val="24"/>
          <w:szCs w:val="24"/>
        </w:rPr>
        <w:t>)</w:t>
      </w:r>
      <w:r w:rsidRPr="00053C1E">
        <w:rPr>
          <w:rFonts w:ascii="Times New Roman" w:hAnsi="Times New Roman" w:cs="Times New Roman"/>
          <w:sz w:val="24"/>
          <w:szCs w:val="24"/>
        </w:rPr>
        <w:t xml:space="preserve">, </w:t>
      </w:r>
      <w:r w:rsidR="00590929">
        <w:rPr>
          <w:rFonts w:ascii="Times New Roman" w:hAnsi="Times New Roman" w:cs="Times New Roman"/>
          <w:sz w:val="24"/>
          <w:szCs w:val="24"/>
        </w:rPr>
        <w:t xml:space="preserve">40g/L D-xylose, </w:t>
      </w:r>
      <w:r w:rsidRPr="00053C1E">
        <w:rPr>
          <w:rFonts w:ascii="Times New Roman" w:hAnsi="Times New Roman" w:cs="Times New Roman"/>
          <w:sz w:val="24"/>
          <w:szCs w:val="24"/>
        </w:rPr>
        <w:t>50mM citric acid buffer (pH 5.8), 10</w:t>
      </w:r>
      <w:r w:rsidR="00AD59C3">
        <w:rPr>
          <w:rFonts w:ascii="Times New Roman" w:hAnsi="Times New Roman" w:cs="Times New Roman"/>
          <w:sz w:val="24"/>
          <w:szCs w:val="24"/>
        </w:rPr>
        <w:t xml:space="preserve"> </w:t>
      </w:r>
      <w:r w:rsidRPr="00053C1E">
        <w:rPr>
          <w:rFonts w:ascii="Times New Roman" w:hAnsi="Times New Roman" w:cs="Times New Roman"/>
          <w:sz w:val="24"/>
          <w:szCs w:val="24"/>
        </w:rPr>
        <w:t>g</w:t>
      </w:r>
      <w:r w:rsidRPr="00053C1E">
        <w:rPr>
          <w:rFonts w:ascii="Times New Roman" w:hAnsi="Times New Roman" w:cs="Times New Roman"/>
          <w:sz w:val="24"/>
          <w:szCs w:val="24"/>
          <w:vertAlign w:val="subscript"/>
        </w:rPr>
        <w:t>wet wt</w:t>
      </w:r>
      <w:r w:rsidR="00D560AA" w:rsidRPr="00053C1E">
        <w:rPr>
          <w:rFonts w:ascii="Times New Roman" w:hAnsi="Times New Roman" w:cs="Times New Roman"/>
          <w:sz w:val="24"/>
          <w:szCs w:val="24"/>
          <w:vertAlign w:val="subscript"/>
        </w:rPr>
        <w:t>.</w:t>
      </w:r>
      <w:r w:rsidRPr="00053C1E">
        <w:rPr>
          <w:rFonts w:ascii="Times New Roman" w:hAnsi="Times New Roman" w:cs="Times New Roman"/>
          <w:sz w:val="24"/>
          <w:szCs w:val="24"/>
        </w:rPr>
        <w:t>/L resting cell</w:t>
      </w:r>
      <w:r w:rsidR="00CA74EF" w:rsidRPr="00053C1E">
        <w:rPr>
          <w:rFonts w:ascii="Times New Roman" w:hAnsi="Times New Roman" w:cs="Times New Roman"/>
          <w:sz w:val="24"/>
          <w:szCs w:val="24"/>
        </w:rPr>
        <w:t>s</w:t>
      </w:r>
      <w:r w:rsidRPr="00053C1E">
        <w:rPr>
          <w:rFonts w:ascii="Times New Roman" w:hAnsi="Times New Roman" w:cs="Times New Roman"/>
          <w:sz w:val="24"/>
          <w:szCs w:val="24"/>
        </w:rPr>
        <w:t>.</w:t>
      </w:r>
    </w:p>
    <w:p w14:paraId="7B41795A" w14:textId="0B8772B3" w:rsidR="0014034E" w:rsidRPr="00053C1E" w:rsidRDefault="0077563A" w:rsidP="009C1945">
      <w:pPr>
        <w:spacing w:line="480" w:lineRule="auto"/>
        <w:rPr>
          <w:rFonts w:ascii="Times New Roman" w:eastAsia="等线" w:hAnsi="Times New Roman" w:cs="Times New Roman"/>
          <w:b/>
          <w:bCs/>
          <w:color w:val="000000"/>
          <w:kern w:val="0"/>
          <w:sz w:val="24"/>
          <w:szCs w:val="24"/>
        </w:rPr>
      </w:pPr>
      <w:r w:rsidRPr="00053C1E">
        <w:rPr>
          <w:rFonts w:ascii="Times New Roman" w:eastAsia="等线" w:hAnsi="Times New Roman" w:cs="Times New Roman"/>
          <w:b/>
          <w:bCs/>
          <w:color w:val="000000"/>
          <w:kern w:val="0"/>
          <w:sz w:val="24"/>
          <w:szCs w:val="24"/>
        </w:rPr>
        <w:t xml:space="preserve">Supplementary </w:t>
      </w:r>
      <w:r w:rsidR="00881AC6" w:rsidRPr="00053C1E">
        <w:rPr>
          <w:rFonts w:ascii="Times New Roman" w:eastAsia="等线" w:hAnsi="Times New Roman" w:cs="Times New Roman"/>
          <w:b/>
          <w:bCs/>
          <w:color w:val="000000"/>
          <w:kern w:val="0"/>
          <w:sz w:val="24"/>
          <w:szCs w:val="24"/>
        </w:rPr>
        <w:t>Reference</w:t>
      </w:r>
      <w:r w:rsidRPr="00053C1E">
        <w:rPr>
          <w:rFonts w:ascii="Times New Roman" w:eastAsia="等线" w:hAnsi="Times New Roman" w:cs="Times New Roman"/>
          <w:b/>
          <w:bCs/>
          <w:color w:val="000000"/>
          <w:kern w:val="0"/>
          <w:sz w:val="24"/>
          <w:szCs w:val="24"/>
        </w:rPr>
        <w:t>s</w:t>
      </w:r>
    </w:p>
    <w:p w14:paraId="121605C6" w14:textId="07297A47"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eastAsia="等线" w:hAnsi="Times New Roman" w:cs="Times New Roman"/>
          <w:color w:val="000000"/>
          <w:kern w:val="0"/>
          <w:sz w:val="24"/>
          <w:szCs w:val="24"/>
        </w:rPr>
        <w:lastRenderedPageBreak/>
        <w:t xml:space="preserve">1. </w:t>
      </w:r>
      <w:r w:rsidR="00433A05" w:rsidRPr="00053C1E">
        <w:rPr>
          <w:rFonts w:ascii="Times New Roman" w:eastAsia="等线" w:hAnsi="Times New Roman" w:cs="Times New Roman"/>
          <w:color w:val="000000"/>
          <w:kern w:val="0"/>
          <w:sz w:val="24"/>
          <w:szCs w:val="24"/>
        </w:rPr>
        <w:fldChar w:fldCharType="begin" w:fldLock="1"/>
      </w:r>
      <w:r w:rsidR="00433A05" w:rsidRPr="00053C1E">
        <w:rPr>
          <w:rFonts w:ascii="Times New Roman" w:eastAsia="等线" w:hAnsi="Times New Roman" w:cs="Times New Roman"/>
          <w:color w:val="000000"/>
          <w:kern w:val="0"/>
          <w:sz w:val="24"/>
          <w:szCs w:val="24"/>
        </w:rPr>
        <w:instrText xml:space="preserve">ADDIN Mendeley Bibliography CSL_BIBLIOGRAPHY </w:instrText>
      </w:r>
      <w:r w:rsidR="00433A05" w:rsidRPr="00053C1E">
        <w:rPr>
          <w:rFonts w:ascii="Times New Roman" w:eastAsia="等线" w:hAnsi="Times New Roman" w:cs="Times New Roman"/>
          <w:color w:val="000000"/>
          <w:kern w:val="0"/>
          <w:sz w:val="24"/>
          <w:szCs w:val="24"/>
        </w:rPr>
        <w:fldChar w:fldCharType="separate"/>
      </w:r>
      <w:r w:rsidR="00AA2494" w:rsidRPr="00053C1E">
        <w:rPr>
          <w:rFonts w:ascii="Times New Roman" w:hAnsi="Times New Roman" w:cs="Times New Roman"/>
          <w:noProof/>
          <w:kern w:val="0"/>
          <w:sz w:val="24"/>
          <w:szCs w:val="24"/>
        </w:rPr>
        <w:t>Bondar, M., da Fonseca, M.M.R., Cesário, M.T., 2021. Xylonic acid production from xylose by Paraburkholderia sacchari. Biochem. Eng. J. https://doi.org/10.1016/j.bej.2021.107982</w:t>
      </w:r>
    </w:p>
    <w:p w14:paraId="71E83799" w14:textId="7747527A"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 xml:space="preserve">2. </w:t>
      </w:r>
      <w:r w:rsidR="00AA2494" w:rsidRPr="00053C1E">
        <w:rPr>
          <w:rFonts w:ascii="Times New Roman" w:hAnsi="Times New Roman" w:cs="Times New Roman"/>
          <w:noProof/>
          <w:kern w:val="0"/>
          <w:sz w:val="24"/>
          <w:szCs w:val="24"/>
        </w:rPr>
        <w:t>Boyer, H.W., Roulland-dussoix, D., 1969. A complementation analysis of the restriction and modification of DNA in Escherichia coli. J. Mol. Biol. 41. https://doi.org/10.1016/0022-2836(69)90288-5</w:t>
      </w:r>
    </w:p>
    <w:p w14:paraId="74A9CB09" w14:textId="45D61C39"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 xml:space="preserve">3. </w:t>
      </w:r>
      <w:r w:rsidR="00AA2494" w:rsidRPr="00053C1E">
        <w:rPr>
          <w:rFonts w:ascii="Times New Roman" w:hAnsi="Times New Roman" w:cs="Times New Roman"/>
          <w:noProof/>
          <w:kern w:val="0"/>
          <w:sz w:val="24"/>
          <w:szCs w:val="24"/>
        </w:rPr>
        <w:t>Buchert, J., Viikari, L., 1988. The role of xylonolactone in xylonic acid production by Pseudomonas fragi. Appl. Microbiol. Biotechnol. 27. https://doi.org/10.1007/BF00251763</w:t>
      </w:r>
    </w:p>
    <w:p w14:paraId="30DF0C2F" w14:textId="11E88073"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 xml:space="preserve">4. </w:t>
      </w:r>
      <w:r w:rsidR="00AA2494" w:rsidRPr="00053C1E">
        <w:rPr>
          <w:rFonts w:ascii="Times New Roman" w:hAnsi="Times New Roman" w:cs="Times New Roman"/>
          <w:noProof/>
          <w:kern w:val="0"/>
          <w:sz w:val="24"/>
          <w:szCs w:val="24"/>
        </w:rPr>
        <w:t>Dai, L., Jiang, W., Zhou, X., Xu, Y., 2020. Enhancement in xylonate production from hemicellulose pre-hydrolysate by powdered activated carbon treatment. Bioresour. Technol. 316. https://doi.org/10.1016/j.biortech.2020.123944</w:t>
      </w:r>
    </w:p>
    <w:p w14:paraId="77E340E9" w14:textId="5EB9D723"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 xml:space="preserve">5. </w:t>
      </w:r>
      <w:r w:rsidR="00AA2494" w:rsidRPr="00053C1E">
        <w:rPr>
          <w:rFonts w:ascii="Times New Roman" w:hAnsi="Times New Roman" w:cs="Times New Roman"/>
          <w:noProof/>
          <w:kern w:val="0"/>
          <w:sz w:val="24"/>
          <w:szCs w:val="24"/>
        </w:rPr>
        <w:t>Dvořák, P., Kováč, J., de Lorenzo, V., 2020. Biotransformation of d-xylose to d-xylonate coupled to medium-chain-length polyhydroxyalkanoate production in cellobiose-grown Pseudomonas putida EM42. Microb. Biotechnol. 13. https://doi.org/10.1111/1751-7915.13574</w:t>
      </w:r>
    </w:p>
    <w:p w14:paraId="643E22AE" w14:textId="02531081"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 xml:space="preserve">6. </w:t>
      </w:r>
      <w:r w:rsidR="00AA2494" w:rsidRPr="00053C1E">
        <w:rPr>
          <w:rFonts w:ascii="Times New Roman" w:hAnsi="Times New Roman" w:cs="Times New Roman"/>
          <w:noProof/>
          <w:kern w:val="0"/>
          <w:sz w:val="24"/>
          <w:szCs w:val="24"/>
        </w:rPr>
        <w:t>Gao, C., Hou, J., Xu, P., Guo, L., Chen, X., Hu, G., Ye, C., Edwards, H., Chen, J., Chen, W., Liu, L., 2019. Programmable biomolecular switches for rewiring flux in Escherichia coli. Nat. Commun. 10. https://doi.org/10.1038/s41467-019-11793-7</w:t>
      </w:r>
    </w:p>
    <w:p w14:paraId="3EC546C0" w14:textId="72E38A2F"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 xml:space="preserve">7. </w:t>
      </w:r>
      <w:r w:rsidR="00AA2494" w:rsidRPr="00053C1E">
        <w:rPr>
          <w:rFonts w:ascii="Times New Roman" w:hAnsi="Times New Roman" w:cs="Times New Roman"/>
          <w:noProof/>
          <w:kern w:val="0"/>
          <w:sz w:val="24"/>
          <w:szCs w:val="24"/>
        </w:rPr>
        <w:t>Ji, H., Lu, X., Zong, H., Zhuge, B., 2017. A synthetic hybrid promoter for D-xylonate production at low pH in the tolerant yeast Candida glycerinogenes. Bioengineered 8. https://doi.org/10.1080/21655979.2017.1312229</w:t>
      </w:r>
    </w:p>
    <w:p w14:paraId="31380FEA" w14:textId="44EE89BD"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 xml:space="preserve">8. </w:t>
      </w:r>
      <w:r w:rsidR="00AA2494" w:rsidRPr="00053C1E">
        <w:rPr>
          <w:rFonts w:ascii="Times New Roman" w:hAnsi="Times New Roman" w:cs="Times New Roman"/>
          <w:noProof/>
          <w:kern w:val="0"/>
          <w:sz w:val="24"/>
          <w:szCs w:val="24"/>
        </w:rPr>
        <w:t xml:space="preserve">Kovach, M.E., Elzer, P.H., Steven Hill, D., Robertson, G.T., Farris, M.A., Roop, R.M., Peterson, K.M., 1995. Four new derivatives of the broad-host-range </w:t>
      </w:r>
      <w:r w:rsidR="00AA2494" w:rsidRPr="00053C1E">
        <w:rPr>
          <w:rFonts w:ascii="Times New Roman" w:hAnsi="Times New Roman" w:cs="Times New Roman"/>
          <w:noProof/>
          <w:kern w:val="0"/>
          <w:sz w:val="24"/>
          <w:szCs w:val="24"/>
        </w:rPr>
        <w:lastRenderedPageBreak/>
        <w:t>cloning vector pBBR1MCS, carrying different antibiotic-resistance cassettes. Gene 166. https://doi.org/10.1016/0378-1119(95)00584-1</w:t>
      </w:r>
    </w:p>
    <w:p w14:paraId="4EC74785" w14:textId="4BE9A7EA"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9</w:t>
      </w:r>
      <w:r w:rsidRPr="00053C1E">
        <w:rPr>
          <w:rFonts w:ascii="Times New Roman" w:hAnsi="Times New Roman" w:cs="Times New Roman" w:hint="eastAsia"/>
          <w:noProof/>
          <w:kern w:val="0"/>
          <w:sz w:val="24"/>
          <w:szCs w:val="24"/>
        </w:rPr>
        <w:t>.</w:t>
      </w:r>
      <w:r w:rsidRPr="00053C1E">
        <w:rPr>
          <w:rFonts w:ascii="Times New Roman" w:hAnsi="Times New Roman" w:cs="Times New Roman"/>
          <w:noProof/>
          <w:kern w:val="0"/>
          <w:sz w:val="24"/>
          <w:szCs w:val="24"/>
        </w:rPr>
        <w:t xml:space="preserve"> </w:t>
      </w:r>
      <w:r w:rsidR="00AA2494" w:rsidRPr="00053C1E">
        <w:rPr>
          <w:rFonts w:ascii="Times New Roman" w:hAnsi="Times New Roman" w:cs="Times New Roman"/>
          <w:noProof/>
          <w:kern w:val="0"/>
          <w:sz w:val="24"/>
          <w:szCs w:val="24"/>
        </w:rPr>
        <w:t>Shi, Y.Y., Li, K.F., Lin, J.P., Yang, S.L., Wei, D.Z., 2015. Engineered Expression Vectors Significantly Enhanced the Production of 2-Keto-D-gluconic Acid by Gluconobacter oxidans. J. Agric. Food Chem. 63. https://doi.org/10.1021/acs.jafc.5b01652</w:t>
      </w:r>
    </w:p>
    <w:p w14:paraId="4E0F860B" w14:textId="5C538791"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 xml:space="preserve">10. </w:t>
      </w:r>
      <w:r w:rsidR="00AA2494" w:rsidRPr="00053C1E">
        <w:rPr>
          <w:rFonts w:ascii="Times New Roman" w:hAnsi="Times New Roman" w:cs="Times New Roman"/>
          <w:noProof/>
          <w:kern w:val="0"/>
          <w:sz w:val="24"/>
          <w:szCs w:val="24"/>
        </w:rPr>
        <w:t>Sundar, M.S.L., Susmitha, A., Rajan, D., Hannibal, S., Sasikumar, K., Wendisch, V.F., Nampoothiri, K.M., 2020. Heterologous expression of genes for bioconversion of xylose to xylonic acid in Corynebacterium glutamicum and optimization of the bioprocess. AMB Express 10. https://doi.org/10.1186/s13568-020-01003-9</w:t>
      </w:r>
    </w:p>
    <w:p w14:paraId="44962DD6" w14:textId="01AFC3CD"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 xml:space="preserve">11. </w:t>
      </w:r>
      <w:r w:rsidR="00AA2494" w:rsidRPr="00053C1E">
        <w:rPr>
          <w:rFonts w:ascii="Times New Roman" w:hAnsi="Times New Roman" w:cs="Times New Roman"/>
          <w:noProof/>
          <w:kern w:val="0"/>
          <w:sz w:val="24"/>
          <w:szCs w:val="24"/>
        </w:rPr>
        <w:t>Toivari, M., Nygård, Y., Kumpula, E.P., Vehkomäki, M.L., Benčina, M., Valkonen, M., Maaheimo, H., Andberg, M., Koivula, A., Ruohonen, L., Penttilä, M., Wiebe, M.G., 2012. Metabolic engineering of Saccharomyces cerevisiae for bioconversion of d-xylose to d-xylonate. Metab. Eng. 14. https://doi.org/10.1016/j.ymben.2012.03.002</w:t>
      </w:r>
    </w:p>
    <w:p w14:paraId="50693C6A" w14:textId="684D6EF9"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 xml:space="preserve">12. </w:t>
      </w:r>
      <w:r w:rsidR="00AA2494" w:rsidRPr="00053C1E">
        <w:rPr>
          <w:rFonts w:ascii="Times New Roman" w:hAnsi="Times New Roman" w:cs="Times New Roman"/>
          <w:noProof/>
          <w:kern w:val="0"/>
          <w:sz w:val="24"/>
          <w:szCs w:val="24"/>
        </w:rPr>
        <w:t>Toivari, M., Vehkomäki, M.L., Nygård, Y., Penttilä, M., Ruohonen, L., Wiebe, M.G., 2013. Low pH d-xylonate production with Pichia kudriavzevii. Bioresour. Technol. 133. https://doi.org/10.1016/j.biortech.2013.01.157</w:t>
      </w:r>
    </w:p>
    <w:p w14:paraId="703F87E5" w14:textId="07F0CB3F"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 xml:space="preserve">13. </w:t>
      </w:r>
      <w:r w:rsidR="00AA2494" w:rsidRPr="00053C1E">
        <w:rPr>
          <w:rFonts w:ascii="Times New Roman" w:hAnsi="Times New Roman" w:cs="Times New Roman"/>
          <w:noProof/>
          <w:kern w:val="0"/>
          <w:sz w:val="24"/>
          <w:szCs w:val="24"/>
        </w:rPr>
        <w:t>Zhang, H., Liu, G., Zhang, J., Bao, J., 2016. Fermentative production of high titer gluconic and xylonic acids from corn stover feedstock by Gluconobacter oxydans and techno-economic analysis. Bioresour. Technol. 219. https://doi.org/10.1016/j.biortech.2016.07.068</w:t>
      </w:r>
    </w:p>
    <w:p w14:paraId="504D50C7" w14:textId="2D7CA3CB"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kern w:val="0"/>
          <w:sz w:val="24"/>
          <w:szCs w:val="24"/>
        </w:rPr>
      </w:pPr>
      <w:r w:rsidRPr="00053C1E">
        <w:rPr>
          <w:rFonts w:ascii="Times New Roman" w:hAnsi="Times New Roman" w:cs="Times New Roman"/>
          <w:noProof/>
          <w:kern w:val="0"/>
          <w:sz w:val="24"/>
          <w:szCs w:val="24"/>
        </w:rPr>
        <w:t xml:space="preserve">14. </w:t>
      </w:r>
      <w:r w:rsidR="00AA2494" w:rsidRPr="00053C1E">
        <w:rPr>
          <w:rFonts w:ascii="Times New Roman" w:hAnsi="Times New Roman" w:cs="Times New Roman"/>
          <w:noProof/>
          <w:kern w:val="0"/>
          <w:sz w:val="24"/>
          <w:szCs w:val="24"/>
        </w:rPr>
        <w:t xml:space="preserve">Zhang, Y., Guo, S., Wang, Y., Liang, X., Xu, P., Gao, C., Ma, C., 2019. Production of d- Xylonate from Corn Cob Hydrolysate by a Metabolically </w:t>
      </w:r>
      <w:r w:rsidR="00AA2494" w:rsidRPr="00053C1E">
        <w:rPr>
          <w:rFonts w:ascii="Times New Roman" w:hAnsi="Times New Roman" w:cs="Times New Roman"/>
          <w:noProof/>
          <w:kern w:val="0"/>
          <w:sz w:val="24"/>
          <w:szCs w:val="24"/>
        </w:rPr>
        <w:lastRenderedPageBreak/>
        <w:t>Engineered Escherichia coli Strain. ACS Sustain. Chem. Eng. 7. https://doi.org/10.1021/acssuschemeng.8b04839</w:t>
      </w:r>
    </w:p>
    <w:p w14:paraId="4120D469" w14:textId="2D2C2357" w:rsidR="00AA2494" w:rsidRPr="00053C1E" w:rsidRDefault="00053C1E" w:rsidP="00053C1E">
      <w:pPr>
        <w:autoSpaceDE w:val="0"/>
        <w:autoSpaceDN w:val="0"/>
        <w:adjustRightInd w:val="0"/>
        <w:spacing w:line="480" w:lineRule="auto"/>
        <w:ind w:left="480" w:hanging="480"/>
        <w:jc w:val="left"/>
        <w:rPr>
          <w:rFonts w:ascii="Times New Roman" w:hAnsi="Times New Roman" w:cs="Times New Roman"/>
          <w:noProof/>
          <w:sz w:val="24"/>
          <w:szCs w:val="24"/>
        </w:rPr>
      </w:pPr>
      <w:r w:rsidRPr="00053C1E">
        <w:rPr>
          <w:rFonts w:ascii="Times New Roman" w:hAnsi="Times New Roman" w:cs="Times New Roman"/>
          <w:noProof/>
          <w:kern w:val="0"/>
          <w:sz w:val="24"/>
          <w:szCs w:val="24"/>
        </w:rPr>
        <w:t xml:space="preserve">15. </w:t>
      </w:r>
      <w:r w:rsidR="00AA2494" w:rsidRPr="00053C1E">
        <w:rPr>
          <w:rFonts w:ascii="Times New Roman" w:hAnsi="Times New Roman" w:cs="Times New Roman"/>
          <w:noProof/>
          <w:kern w:val="0"/>
          <w:sz w:val="24"/>
          <w:szCs w:val="24"/>
        </w:rPr>
        <w:t>Zhou, X., Lü, S., Xu, Y., Mo, Y., Yu, S., 2015. Improving the performance of cell biocatalysis and the productivity of xylonic acid using a compressed oxygen supply. Biochem. Eng. J. 93. https://doi.org/10.1016/j.bej.2014.10.014</w:t>
      </w:r>
    </w:p>
    <w:p w14:paraId="1EC0F50F" w14:textId="3DA63B95" w:rsidR="00A02E47" w:rsidRPr="00053C1E" w:rsidRDefault="00433A05" w:rsidP="00053C1E">
      <w:pPr>
        <w:widowControl/>
        <w:spacing w:line="480" w:lineRule="auto"/>
        <w:rPr>
          <w:rFonts w:ascii="Times New Roman" w:eastAsia="等线" w:hAnsi="Times New Roman" w:cs="Times New Roman"/>
          <w:color w:val="000000"/>
          <w:kern w:val="0"/>
          <w:sz w:val="24"/>
          <w:szCs w:val="24"/>
        </w:rPr>
      </w:pPr>
      <w:r w:rsidRPr="00053C1E">
        <w:rPr>
          <w:rFonts w:ascii="Times New Roman" w:eastAsia="等线" w:hAnsi="Times New Roman" w:cs="Times New Roman"/>
          <w:color w:val="000000"/>
          <w:kern w:val="0"/>
          <w:sz w:val="24"/>
          <w:szCs w:val="24"/>
        </w:rPr>
        <w:fldChar w:fldCharType="end"/>
      </w:r>
    </w:p>
    <w:sectPr w:rsidR="00A02E47" w:rsidRPr="00053C1E" w:rsidSect="009C1945">
      <w:pgSz w:w="11906" w:h="16838"/>
      <w:pgMar w:top="1440" w:right="1797" w:bottom="1440" w:left="1797" w:header="851" w:footer="992" w:gutter="0"/>
      <w:lnNumType w:countBy="1" w:restart="continuous"/>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9D6761" w14:textId="77777777" w:rsidR="00A47A55" w:rsidRDefault="00A47A55"/>
  </w:endnote>
  <w:endnote w:type="continuationSeparator" w:id="0">
    <w:p w14:paraId="2ABB72FC" w14:textId="77777777" w:rsidR="00A47A55" w:rsidRDefault="00A47A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9250920"/>
      <w:docPartObj>
        <w:docPartGallery w:val="Page Numbers (Bottom of Page)"/>
        <w:docPartUnique/>
      </w:docPartObj>
    </w:sdtPr>
    <w:sdtContent>
      <w:p w14:paraId="7BEDB091" w14:textId="3439EB0B" w:rsidR="009C1945" w:rsidRDefault="009C1945">
        <w:pPr>
          <w:pStyle w:val="a6"/>
          <w:jc w:val="center"/>
        </w:pPr>
        <w:r>
          <w:fldChar w:fldCharType="begin"/>
        </w:r>
        <w:r>
          <w:instrText>PAGE   \* MERGEFORMAT</w:instrText>
        </w:r>
        <w:r>
          <w:fldChar w:fldCharType="separate"/>
        </w:r>
        <w:r>
          <w:rPr>
            <w:lang w:val="zh-CN"/>
          </w:rPr>
          <w:t>2</w:t>
        </w:r>
        <w:r>
          <w:fldChar w:fldCharType="end"/>
        </w:r>
      </w:p>
    </w:sdtContent>
  </w:sdt>
  <w:p w14:paraId="38D822FC" w14:textId="77777777" w:rsidR="009C1945" w:rsidRDefault="009C194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8AAAE5" w14:textId="77777777" w:rsidR="00A47A55" w:rsidRDefault="00A47A55"/>
  </w:footnote>
  <w:footnote w:type="continuationSeparator" w:id="0">
    <w:p w14:paraId="4D15EDFC" w14:textId="77777777" w:rsidR="00A47A55" w:rsidRDefault="00A47A5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2131CA"/>
    <w:multiLevelType w:val="hybridMultilevel"/>
    <w:tmpl w:val="2BE09392"/>
    <w:lvl w:ilvl="0" w:tplc="A9B047FE">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6F2"/>
    <w:rsid w:val="00017BE7"/>
    <w:rsid w:val="00024C1F"/>
    <w:rsid w:val="00026D54"/>
    <w:rsid w:val="0004174F"/>
    <w:rsid w:val="00053C1E"/>
    <w:rsid w:val="00070651"/>
    <w:rsid w:val="000753AB"/>
    <w:rsid w:val="000A1505"/>
    <w:rsid w:val="000A78C1"/>
    <w:rsid w:val="000C3D9E"/>
    <w:rsid w:val="000D5C41"/>
    <w:rsid w:val="000E3F88"/>
    <w:rsid w:val="000F45EC"/>
    <w:rsid w:val="0014034E"/>
    <w:rsid w:val="001404CE"/>
    <w:rsid w:val="00157CE9"/>
    <w:rsid w:val="00172DC5"/>
    <w:rsid w:val="001A3759"/>
    <w:rsid w:val="001C6873"/>
    <w:rsid w:val="001D6E76"/>
    <w:rsid w:val="001E4199"/>
    <w:rsid w:val="001F46CE"/>
    <w:rsid w:val="00200180"/>
    <w:rsid w:val="00207C3D"/>
    <w:rsid w:val="00207F7F"/>
    <w:rsid w:val="00222223"/>
    <w:rsid w:val="00233EB1"/>
    <w:rsid w:val="00255484"/>
    <w:rsid w:val="002668EA"/>
    <w:rsid w:val="002678E4"/>
    <w:rsid w:val="002C6007"/>
    <w:rsid w:val="002F22EF"/>
    <w:rsid w:val="0032416E"/>
    <w:rsid w:val="00337090"/>
    <w:rsid w:val="00337F92"/>
    <w:rsid w:val="0035405C"/>
    <w:rsid w:val="00356FEE"/>
    <w:rsid w:val="0036316A"/>
    <w:rsid w:val="003714F5"/>
    <w:rsid w:val="00380297"/>
    <w:rsid w:val="00387DDE"/>
    <w:rsid w:val="003D688B"/>
    <w:rsid w:val="003E3885"/>
    <w:rsid w:val="003E446A"/>
    <w:rsid w:val="003F3A4E"/>
    <w:rsid w:val="004033AB"/>
    <w:rsid w:val="00411E6F"/>
    <w:rsid w:val="00413E4F"/>
    <w:rsid w:val="0043331B"/>
    <w:rsid w:val="00433A05"/>
    <w:rsid w:val="0044099E"/>
    <w:rsid w:val="004422C0"/>
    <w:rsid w:val="004569A9"/>
    <w:rsid w:val="00462FB8"/>
    <w:rsid w:val="00483DFA"/>
    <w:rsid w:val="00494EC2"/>
    <w:rsid w:val="004C5EE5"/>
    <w:rsid w:val="004E5898"/>
    <w:rsid w:val="004F3870"/>
    <w:rsid w:val="00511F79"/>
    <w:rsid w:val="00524645"/>
    <w:rsid w:val="0053346D"/>
    <w:rsid w:val="005434DA"/>
    <w:rsid w:val="0054412A"/>
    <w:rsid w:val="00545070"/>
    <w:rsid w:val="0055037E"/>
    <w:rsid w:val="00584A26"/>
    <w:rsid w:val="005865A9"/>
    <w:rsid w:val="00587476"/>
    <w:rsid w:val="00590929"/>
    <w:rsid w:val="005D0ED7"/>
    <w:rsid w:val="00633310"/>
    <w:rsid w:val="00634EE0"/>
    <w:rsid w:val="00662FDE"/>
    <w:rsid w:val="006715FA"/>
    <w:rsid w:val="00672DE3"/>
    <w:rsid w:val="00683E6E"/>
    <w:rsid w:val="006F1F91"/>
    <w:rsid w:val="00707FBF"/>
    <w:rsid w:val="007124AF"/>
    <w:rsid w:val="00740ED6"/>
    <w:rsid w:val="00742C23"/>
    <w:rsid w:val="00743AEF"/>
    <w:rsid w:val="0077563A"/>
    <w:rsid w:val="00796E68"/>
    <w:rsid w:val="007E2486"/>
    <w:rsid w:val="008356F2"/>
    <w:rsid w:val="00840FEB"/>
    <w:rsid w:val="00881AC6"/>
    <w:rsid w:val="008C7D2F"/>
    <w:rsid w:val="008D214E"/>
    <w:rsid w:val="00912B10"/>
    <w:rsid w:val="00947FBA"/>
    <w:rsid w:val="00953817"/>
    <w:rsid w:val="009713B9"/>
    <w:rsid w:val="00991580"/>
    <w:rsid w:val="00994840"/>
    <w:rsid w:val="009B0FA5"/>
    <w:rsid w:val="009B3BCC"/>
    <w:rsid w:val="009C1945"/>
    <w:rsid w:val="009D4375"/>
    <w:rsid w:val="009F60FA"/>
    <w:rsid w:val="00A02E47"/>
    <w:rsid w:val="00A05F45"/>
    <w:rsid w:val="00A13393"/>
    <w:rsid w:val="00A37BDC"/>
    <w:rsid w:val="00A46475"/>
    <w:rsid w:val="00A47A55"/>
    <w:rsid w:val="00A713E2"/>
    <w:rsid w:val="00AA1139"/>
    <w:rsid w:val="00AA2494"/>
    <w:rsid w:val="00AB055C"/>
    <w:rsid w:val="00AD59C3"/>
    <w:rsid w:val="00B136F0"/>
    <w:rsid w:val="00B51FB1"/>
    <w:rsid w:val="00B53933"/>
    <w:rsid w:val="00B60EC5"/>
    <w:rsid w:val="00B74090"/>
    <w:rsid w:val="00B83EC2"/>
    <w:rsid w:val="00C001DF"/>
    <w:rsid w:val="00C01434"/>
    <w:rsid w:val="00C11DCB"/>
    <w:rsid w:val="00C420FF"/>
    <w:rsid w:val="00C462E2"/>
    <w:rsid w:val="00C809AD"/>
    <w:rsid w:val="00C81AE5"/>
    <w:rsid w:val="00C90E01"/>
    <w:rsid w:val="00C97364"/>
    <w:rsid w:val="00CA03F0"/>
    <w:rsid w:val="00CA6C25"/>
    <w:rsid w:val="00CA6CB4"/>
    <w:rsid w:val="00CA74EF"/>
    <w:rsid w:val="00CB1C43"/>
    <w:rsid w:val="00CD3480"/>
    <w:rsid w:val="00CF6CDA"/>
    <w:rsid w:val="00D05CE7"/>
    <w:rsid w:val="00D52219"/>
    <w:rsid w:val="00D560AA"/>
    <w:rsid w:val="00DB5A9E"/>
    <w:rsid w:val="00DD0EF4"/>
    <w:rsid w:val="00DD56DD"/>
    <w:rsid w:val="00E16491"/>
    <w:rsid w:val="00E31A92"/>
    <w:rsid w:val="00E40358"/>
    <w:rsid w:val="00E80D8B"/>
    <w:rsid w:val="00EE3EEF"/>
    <w:rsid w:val="00EE4C71"/>
    <w:rsid w:val="00F108F8"/>
    <w:rsid w:val="00F24193"/>
    <w:rsid w:val="00F960C6"/>
    <w:rsid w:val="00FB46E8"/>
    <w:rsid w:val="00FC1DC6"/>
    <w:rsid w:val="00FC7574"/>
    <w:rsid w:val="00FD4C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3B078F"/>
  <w14:defaultImageDpi w14:val="32767"/>
  <w15:chartTrackingRefBased/>
  <w15:docId w15:val="{13234E73-118D-4291-B097-A38D62336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46E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4">
    <w:name w:val="Plain Table 4"/>
    <w:basedOn w:val="a1"/>
    <w:uiPriority w:val="44"/>
    <w:rsid w:val="008356F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3">
    <w:name w:val="Table Grid"/>
    <w:basedOn w:val="a1"/>
    <w:uiPriority w:val="39"/>
    <w:rsid w:val="00233E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5548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55484"/>
    <w:rPr>
      <w:sz w:val="18"/>
      <w:szCs w:val="18"/>
    </w:rPr>
  </w:style>
  <w:style w:type="paragraph" w:styleId="a6">
    <w:name w:val="footer"/>
    <w:basedOn w:val="a"/>
    <w:link w:val="a7"/>
    <w:uiPriority w:val="99"/>
    <w:unhideWhenUsed/>
    <w:rsid w:val="00255484"/>
    <w:pPr>
      <w:tabs>
        <w:tab w:val="center" w:pos="4153"/>
        <w:tab w:val="right" w:pos="8306"/>
      </w:tabs>
      <w:snapToGrid w:val="0"/>
      <w:jc w:val="left"/>
    </w:pPr>
    <w:rPr>
      <w:sz w:val="18"/>
      <w:szCs w:val="18"/>
    </w:rPr>
  </w:style>
  <w:style w:type="character" w:customStyle="1" w:styleId="a7">
    <w:name w:val="页脚 字符"/>
    <w:basedOn w:val="a0"/>
    <w:link w:val="a6"/>
    <w:uiPriority w:val="99"/>
    <w:rsid w:val="00255484"/>
    <w:rPr>
      <w:sz w:val="18"/>
      <w:szCs w:val="18"/>
    </w:rPr>
  </w:style>
  <w:style w:type="paragraph" w:styleId="a8">
    <w:name w:val="List Paragraph"/>
    <w:basedOn w:val="a"/>
    <w:uiPriority w:val="34"/>
    <w:qFormat/>
    <w:rsid w:val="00CB1C43"/>
    <w:pPr>
      <w:ind w:firstLineChars="200" w:firstLine="420"/>
    </w:pPr>
  </w:style>
  <w:style w:type="character" w:styleId="a9">
    <w:name w:val="line number"/>
    <w:basedOn w:val="a0"/>
    <w:uiPriority w:val="99"/>
    <w:semiHidden/>
    <w:unhideWhenUsed/>
    <w:rsid w:val="009C1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83832">
      <w:bodyDiv w:val="1"/>
      <w:marLeft w:val="0"/>
      <w:marRight w:val="0"/>
      <w:marTop w:val="0"/>
      <w:marBottom w:val="0"/>
      <w:divBdr>
        <w:top w:val="none" w:sz="0" w:space="0" w:color="auto"/>
        <w:left w:val="none" w:sz="0" w:space="0" w:color="auto"/>
        <w:bottom w:val="none" w:sz="0" w:space="0" w:color="auto"/>
        <w:right w:val="none" w:sz="0" w:space="0" w:color="auto"/>
      </w:divBdr>
    </w:div>
    <w:div w:id="66271500">
      <w:bodyDiv w:val="1"/>
      <w:marLeft w:val="0"/>
      <w:marRight w:val="0"/>
      <w:marTop w:val="0"/>
      <w:marBottom w:val="0"/>
      <w:divBdr>
        <w:top w:val="none" w:sz="0" w:space="0" w:color="auto"/>
        <w:left w:val="none" w:sz="0" w:space="0" w:color="auto"/>
        <w:bottom w:val="none" w:sz="0" w:space="0" w:color="auto"/>
        <w:right w:val="none" w:sz="0" w:space="0" w:color="auto"/>
      </w:divBdr>
    </w:div>
    <w:div w:id="604118050">
      <w:bodyDiv w:val="1"/>
      <w:marLeft w:val="0"/>
      <w:marRight w:val="0"/>
      <w:marTop w:val="0"/>
      <w:marBottom w:val="0"/>
      <w:divBdr>
        <w:top w:val="none" w:sz="0" w:space="0" w:color="auto"/>
        <w:left w:val="none" w:sz="0" w:space="0" w:color="auto"/>
        <w:bottom w:val="none" w:sz="0" w:space="0" w:color="auto"/>
        <w:right w:val="none" w:sz="0" w:space="0" w:color="auto"/>
      </w:divBdr>
    </w:div>
    <w:div w:id="836265569">
      <w:bodyDiv w:val="1"/>
      <w:marLeft w:val="0"/>
      <w:marRight w:val="0"/>
      <w:marTop w:val="0"/>
      <w:marBottom w:val="0"/>
      <w:divBdr>
        <w:top w:val="none" w:sz="0" w:space="0" w:color="auto"/>
        <w:left w:val="none" w:sz="0" w:space="0" w:color="auto"/>
        <w:bottom w:val="none" w:sz="0" w:space="0" w:color="auto"/>
        <w:right w:val="none" w:sz="0" w:space="0" w:color="auto"/>
      </w:divBdr>
    </w:div>
    <w:div w:id="935795968">
      <w:bodyDiv w:val="1"/>
      <w:marLeft w:val="0"/>
      <w:marRight w:val="0"/>
      <w:marTop w:val="0"/>
      <w:marBottom w:val="0"/>
      <w:divBdr>
        <w:top w:val="none" w:sz="0" w:space="0" w:color="auto"/>
        <w:left w:val="none" w:sz="0" w:space="0" w:color="auto"/>
        <w:bottom w:val="none" w:sz="0" w:space="0" w:color="auto"/>
        <w:right w:val="none" w:sz="0" w:space="0" w:color="auto"/>
      </w:divBdr>
    </w:div>
    <w:div w:id="1136020629">
      <w:bodyDiv w:val="1"/>
      <w:marLeft w:val="0"/>
      <w:marRight w:val="0"/>
      <w:marTop w:val="0"/>
      <w:marBottom w:val="0"/>
      <w:divBdr>
        <w:top w:val="none" w:sz="0" w:space="0" w:color="auto"/>
        <w:left w:val="none" w:sz="0" w:space="0" w:color="auto"/>
        <w:bottom w:val="none" w:sz="0" w:space="0" w:color="auto"/>
        <w:right w:val="none" w:sz="0" w:space="0" w:color="auto"/>
      </w:divBdr>
    </w:div>
    <w:div w:id="1791317921">
      <w:bodyDiv w:val="1"/>
      <w:marLeft w:val="0"/>
      <w:marRight w:val="0"/>
      <w:marTop w:val="0"/>
      <w:marBottom w:val="0"/>
      <w:divBdr>
        <w:top w:val="none" w:sz="0" w:space="0" w:color="auto"/>
        <w:left w:val="none" w:sz="0" w:space="0" w:color="auto"/>
        <w:bottom w:val="none" w:sz="0" w:space="0" w:color="auto"/>
        <w:right w:val="none" w:sz="0" w:space="0" w:color="auto"/>
      </w:divBdr>
    </w:div>
    <w:div w:id="1940944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sv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sv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sv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C6B121-4A4D-4DDB-9C05-A23C1F197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11</Pages>
  <Words>9764</Words>
  <Characters>55659</Characters>
  <Application>Microsoft Office Word</Application>
  <DocSecurity>0</DocSecurity>
  <Lines>463</Lines>
  <Paragraphs>130</Paragraphs>
  <ScaleCrop>false</ScaleCrop>
  <Company/>
  <LinksUpToDate>false</LinksUpToDate>
  <CharactersWithSpaces>65293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章 美娟</dc:creator>
  <cp:keywords/>
  <dc:description/>
  <cp:lastModifiedBy>章 美娟</cp:lastModifiedBy>
  <cp:revision>35</cp:revision>
  <dcterms:created xsi:type="dcterms:W3CDTF">2021-04-16T17:46:00Z</dcterms:created>
  <dcterms:modified xsi:type="dcterms:W3CDTF">2021-05-27T07:13:00Z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http://www.zotero.org/styles/bioresource-technology</vt:lpwstr>
  </property>
  <property fmtid="{D5CDD505-2E9C-101B-9397-08002B2CF9AE}" pid="9" name="Mendeley Recent Style Name 3_1">
    <vt:lpwstr>Bioresource Technology</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aae84116-41d2-370b-82a5-97b97baeb1c6</vt:lpwstr>
  </property>
  <property fmtid="{D5CDD505-2E9C-101B-9397-08002B2CF9AE}" pid="24" name="Mendeley Citation Style_1">
    <vt:lpwstr>http://www.zotero.org/styles/bioresource-technology</vt:lpwstr>
  </property>
</Properties>
</file>