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CEE51F" w14:textId="46CE1BD2" w:rsidR="004F5116" w:rsidRDefault="004F5116" w:rsidP="00041B68">
      <w:pPr>
        <w:pStyle w:val="Heading3"/>
        <w:spacing w:line="480" w:lineRule="auto"/>
        <w:jc w:val="center"/>
        <w:rPr>
          <w:rFonts w:cs="Times New Roman"/>
          <w:b/>
          <w:bCs/>
          <w:color w:val="000000" w:themeColor="text1"/>
          <w:lang w:val="en-GB"/>
        </w:rPr>
      </w:pPr>
      <w:r>
        <w:rPr>
          <w:rFonts w:cs="Times New Roman"/>
          <w:b/>
          <w:bCs/>
          <w:color w:val="000000" w:themeColor="text1"/>
          <w:lang w:val="en-GB"/>
        </w:rPr>
        <w:t>Supplementary Information for</w:t>
      </w:r>
    </w:p>
    <w:p w14:paraId="72D52B5F" w14:textId="46D5A95B" w:rsidR="00041B68" w:rsidRPr="00D712CE" w:rsidRDefault="00041B68" w:rsidP="00041B68">
      <w:pPr>
        <w:pStyle w:val="Heading3"/>
        <w:spacing w:line="480" w:lineRule="auto"/>
        <w:jc w:val="center"/>
        <w:rPr>
          <w:rFonts w:cs="Times New Roman"/>
          <w:b/>
          <w:bCs/>
          <w:color w:val="000000" w:themeColor="text1"/>
          <w:lang w:val="en-GB"/>
        </w:rPr>
      </w:pPr>
      <w:r w:rsidRPr="00D712CE">
        <w:rPr>
          <w:rFonts w:cs="Times New Roman"/>
          <w:b/>
          <w:bCs/>
          <w:color w:val="000000" w:themeColor="text1"/>
          <w:lang w:val="en-GB"/>
        </w:rPr>
        <w:t xml:space="preserve">Synergy of a Complimentary Ionic Biogel Network for </w:t>
      </w:r>
      <w:r>
        <w:rPr>
          <w:rFonts w:cs="Times New Roman"/>
          <w:b/>
          <w:bCs/>
          <w:color w:val="000000" w:themeColor="text1"/>
          <w:lang w:val="en-GB"/>
        </w:rPr>
        <w:t xml:space="preserve">Through-Hair </w:t>
      </w:r>
      <w:r w:rsidRPr="00D712CE">
        <w:rPr>
          <w:rFonts w:cs="Times New Roman"/>
          <w:b/>
          <w:bCs/>
          <w:color w:val="000000" w:themeColor="text1"/>
          <w:lang w:val="en-GB"/>
        </w:rPr>
        <w:t>Neurohaptics</w:t>
      </w:r>
    </w:p>
    <w:p w14:paraId="76EDCE00" w14:textId="77777777" w:rsidR="00041B68" w:rsidRPr="00D712CE" w:rsidRDefault="00041B68" w:rsidP="00041B68">
      <w:pPr>
        <w:spacing w:line="480" w:lineRule="auto"/>
        <w:jc w:val="both"/>
        <w:rPr>
          <w:spacing w:val="-3"/>
          <w:lang w:val="en-GB"/>
        </w:rPr>
      </w:pPr>
    </w:p>
    <w:p w14:paraId="1C04C4D2" w14:textId="77777777" w:rsidR="00041B68" w:rsidRPr="00D712CE" w:rsidRDefault="00041B68" w:rsidP="00041B68">
      <w:pPr>
        <w:spacing w:line="480" w:lineRule="auto"/>
        <w:jc w:val="both"/>
        <w:rPr>
          <w:spacing w:val="-3"/>
          <w:lang w:val="en-GB"/>
        </w:rPr>
      </w:pPr>
      <w:r w:rsidRPr="00D712CE">
        <w:rPr>
          <w:spacing w:val="-3"/>
          <w:lang w:val="en-GB"/>
        </w:rPr>
        <w:t>Ankan Dutta</w:t>
      </w:r>
      <w:r w:rsidRPr="00D712CE">
        <w:rPr>
          <w:spacing w:val="-3"/>
          <w:vertAlign w:val="superscript"/>
          <w:lang w:val="en-GB"/>
        </w:rPr>
        <w:t>1,2,3</w:t>
      </w:r>
      <w:r w:rsidRPr="00D712CE">
        <w:rPr>
          <w:spacing w:val="-3"/>
          <w:lang w:val="en-GB"/>
        </w:rPr>
        <w:t>, Md Abu Sayeed Biswas</w:t>
      </w:r>
      <w:r w:rsidRPr="00D712CE">
        <w:rPr>
          <w:spacing w:val="-3"/>
          <w:vertAlign w:val="superscript"/>
          <w:lang w:val="en-GB"/>
        </w:rPr>
        <w:t>2,§</w:t>
      </w:r>
      <w:r w:rsidRPr="00D712CE">
        <w:rPr>
          <w:spacing w:val="-3"/>
          <w:lang w:val="en-GB"/>
        </w:rPr>
        <w:t>, Long Meng</w:t>
      </w:r>
      <w:r w:rsidRPr="00D712CE">
        <w:rPr>
          <w:spacing w:val="-3"/>
          <w:vertAlign w:val="superscript"/>
          <w:lang w:val="en-GB"/>
        </w:rPr>
        <w:t>1,§</w:t>
      </w:r>
      <w:r w:rsidRPr="00D712CE">
        <w:rPr>
          <w:spacing w:val="-3"/>
          <w:lang w:val="en-GB"/>
        </w:rPr>
        <w:t>,</w:t>
      </w:r>
      <w:r>
        <w:rPr>
          <w:spacing w:val="-3"/>
          <w:lang w:val="en-GB"/>
        </w:rPr>
        <w:t xml:space="preserve"> </w:t>
      </w:r>
      <w:r w:rsidRPr="00D712CE">
        <w:rPr>
          <w:spacing w:val="-3"/>
          <w:lang w:val="en-GB"/>
        </w:rPr>
        <w:t>Ethan Gerhard</w:t>
      </w:r>
      <w:r>
        <w:rPr>
          <w:spacing w:val="-3"/>
          <w:vertAlign w:val="superscript"/>
          <w:lang w:val="en-GB"/>
        </w:rPr>
        <w:t>4</w:t>
      </w:r>
      <w:r w:rsidRPr="00D712CE">
        <w:rPr>
          <w:spacing w:val="-3"/>
          <w:vertAlign w:val="superscript"/>
          <w:lang w:val="en-GB"/>
        </w:rPr>
        <w:t>,§</w:t>
      </w:r>
      <w:r w:rsidRPr="00D712CE">
        <w:rPr>
          <w:spacing w:val="-3"/>
          <w:lang w:val="en-GB"/>
        </w:rPr>
        <w:t>, Arantza Moreno Calva</w:t>
      </w:r>
      <w:r w:rsidRPr="00D712CE">
        <w:rPr>
          <w:spacing w:val="-3"/>
          <w:vertAlign w:val="superscript"/>
          <w:lang w:val="en-GB"/>
        </w:rPr>
        <w:t>2,</w:t>
      </w:r>
      <w:r>
        <w:rPr>
          <w:spacing w:val="-3"/>
          <w:vertAlign w:val="superscript"/>
          <w:lang w:val="en-GB"/>
        </w:rPr>
        <w:t>5</w:t>
      </w:r>
      <w:r w:rsidRPr="00D712CE">
        <w:rPr>
          <w:spacing w:val="-3"/>
          <w:lang w:val="en-GB"/>
        </w:rPr>
        <w:t>, Wanqing Zhang</w:t>
      </w:r>
      <w:r w:rsidRPr="00D712CE">
        <w:rPr>
          <w:spacing w:val="-3"/>
          <w:vertAlign w:val="superscript"/>
          <w:lang w:val="en-GB"/>
        </w:rPr>
        <w:t>2</w:t>
      </w:r>
      <w:r w:rsidRPr="00D712CE">
        <w:rPr>
          <w:spacing w:val="-3"/>
          <w:lang w:val="en-GB"/>
        </w:rPr>
        <w:t>,</w:t>
      </w:r>
      <w:r>
        <w:rPr>
          <w:spacing w:val="-3"/>
          <w:lang w:val="en-GB"/>
        </w:rPr>
        <w:t xml:space="preserve"> </w:t>
      </w:r>
      <w:r w:rsidRPr="00D712CE">
        <w:rPr>
          <w:spacing w:val="-3"/>
          <w:lang w:val="en-GB"/>
        </w:rPr>
        <w:t>Abu Musa Abdullah</w:t>
      </w:r>
      <w:r w:rsidRPr="00D712CE">
        <w:rPr>
          <w:spacing w:val="-3"/>
          <w:vertAlign w:val="superscript"/>
          <w:lang w:val="en-GB"/>
        </w:rPr>
        <w:t>2</w:t>
      </w:r>
      <w:r w:rsidRPr="00D712CE">
        <w:rPr>
          <w:spacing w:val="-3"/>
          <w:lang w:val="en-GB"/>
        </w:rPr>
        <w:t xml:space="preserve">, </w:t>
      </w:r>
      <w:r>
        <w:rPr>
          <w:spacing w:val="-3"/>
          <w:lang w:val="en-GB"/>
        </w:rPr>
        <w:t>Lana Joharji</w:t>
      </w:r>
      <w:r>
        <w:rPr>
          <w:spacing w:val="-3"/>
          <w:vertAlign w:val="superscript"/>
          <w:lang w:val="en-GB"/>
        </w:rPr>
        <w:t>6,7</w:t>
      </w:r>
      <w:r>
        <w:rPr>
          <w:spacing w:val="-3"/>
          <w:lang w:val="en-GB"/>
        </w:rPr>
        <w:t xml:space="preserve">, </w:t>
      </w:r>
      <w:r w:rsidRPr="00D712CE">
        <w:rPr>
          <w:spacing w:val="-3"/>
          <w:lang w:val="en-GB"/>
        </w:rPr>
        <w:t>Yuju Che</w:t>
      </w:r>
      <w:r>
        <w:rPr>
          <w:spacing w:val="-3"/>
          <w:vertAlign w:val="superscript"/>
          <w:lang w:val="en-GB"/>
        </w:rPr>
        <w:t>2,8</w:t>
      </w:r>
      <w:r w:rsidRPr="00D712CE">
        <w:rPr>
          <w:spacing w:val="-3"/>
          <w:lang w:val="en-GB"/>
        </w:rPr>
        <w:t xml:space="preserve">, Jian </w:t>
      </w:r>
      <w:r>
        <w:rPr>
          <w:spacing w:val="-3"/>
          <w:lang w:val="en-GB"/>
        </w:rPr>
        <w:t>Yang</w:t>
      </w:r>
      <w:r w:rsidRPr="00D712CE">
        <w:rPr>
          <w:spacing w:val="-3"/>
          <w:vertAlign w:val="superscript"/>
          <w:lang w:val="en-GB"/>
        </w:rPr>
        <w:t>3</w:t>
      </w:r>
      <w:r>
        <w:rPr>
          <w:spacing w:val="-3"/>
          <w:vertAlign w:val="superscript"/>
          <w:lang w:val="en-GB"/>
        </w:rPr>
        <w:t>,9</w:t>
      </w:r>
      <w:r w:rsidRPr="00D712CE">
        <w:rPr>
          <w:spacing w:val="-3"/>
          <w:lang w:val="en-GB"/>
        </w:rPr>
        <w:t>, Xiaogang Hu</w:t>
      </w:r>
      <w:r w:rsidRPr="00D712CE">
        <w:rPr>
          <w:spacing w:val="-3"/>
          <w:vertAlign w:val="superscript"/>
          <w:lang w:val="en-GB"/>
        </w:rPr>
        <w:t>1,3,</w:t>
      </w:r>
      <w:r>
        <w:rPr>
          <w:spacing w:val="-3"/>
          <w:vertAlign w:val="superscript"/>
          <w:lang w:val="en-GB"/>
        </w:rPr>
        <w:t>10</w:t>
      </w:r>
      <w:r w:rsidRPr="00D712CE">
        <w:rPr>
          <w:spacing w:val="-3"/>
          <w:lang w:val="en-GB"/>
        </w:rPr>
        <w:t>, Huanyu Cheng</w:t>
      </w:r>
      <w:r w:rsidRPr="00D712CE">
        <w:rPr>
          <w:spacing w:val="-3"/>
          <w:vertAlign w:val="superscript"/>
          <w:lang w:val="en-GB"/>
        </w:rPr>
        <w:t>1</w:t>
      </w:r>
      <w:r>
        <w:rPr>
          <w:spacing w:val="-3"/>
          <w:vertAlign w:val="superscript"/>
          <w:lang w:val="en-GB"/>
        </w:rPr>
        <w:t>,2,3</w:t>
      </w:r>
      <w:r w:rsidRPr="00D712CE">
        <w:rPr>
          <w:spacing w:val="-3"/>
          <w:vertAlign w:val="superscript"/>
          <w:lang w:val="en-GB"/>
        </w:rPr>
        <w:t>*</w:t>
      </w:r>
    </w:p>
    <w:p w14:paraId="7DFF78A3" w14:textId="77777777" w:rsidR="00041B68" w:rsidRPr="00D712CE" w:rsidRDefault="00041B68" w:rsidP="00041B68">
      <w:pPr>
        <w:spacing w:line="480" w:lineRule="auto"/>
        <w:jc w:val="both"/>
        <w:rPr>
          <w:spacing w:val="-3"/>
          <w:lang w:val="en-GB"/>
        </w:rPr>
      </w:pPr>
    </w:p>
    <w:p w14:paraId="4CC408F0" w14:textId="77777777" w:rsidR="00041B68" w:rsidRPr="00D712CE" w:rsidRDefault="00041B68" w:rsidP="00041B68">
      <w:pPr>
        <w:spacing w:line="480" w:lineRule="auto"/>
        <w:jc w:val="both"/>
        <w:rPr>
          <w:bCs/>
          <w:lang w:val="en-GB"/>
        </w:rPr>
      </w:pPr>
      <w:r w:rsidRPr="00D712CE">
        <w:rPr>
          <w:spacing w:val="-3"/>
          <w:vertAlign w:val="superscript"/>
          <w:lang w:val="en-GB"/>
        </w:rPr>
        <w:t>1</w:t>
      </w:r>
      <w:r w:rsidRPr="00D712CE">
        <w:rPr>
          <w:spacing w:val="-3"/>
          <w:lang w:val="en-GB"/>
        </w:rPr>
        <w:t>Department of Mechanical Engineering, The Pennsylvania State University,</w:t>
      </w:r>
      <w:r w:rsidRPr="00D712CE">
        <w:rPr>
          <w:bCs/>
          <w:lang w:val="en-GB"/>
        </w:rPr>
        <w:t xml:space="preserve"> University Park, 16802, USA</w:t>
      </w:r>
    </w:p>
    <w:p w14:paraId="1797C59E" w14:textId="77777777" w:rsidR="00041B68" w:rsidRPr="00D712CE" w:rsidRDefault="00041B68" w:rsidP="00041B68">
      <w:pPr>
        <w:spacing w:line="480" w:lineRule="auto"/>
        <w:jc w:val="both"/>
        <w:rPr>
          <w:bCs/>
          <w:lang w:val="en-GB"/>
        </w:rPr>
      </w:pPr>
      <w:r w:rsidRPr="00D712CE">
        <w:rPr>
          <w:spacing w:val="-3"/>
          <w:vertAlign w:val="superscript"/>
          <w:lang w:val="en-GB"/>
        </w:rPr>
        <w:t>2</w:t>
      </w:r>
      <w:r w:rsidRPr="00D712CE">
        <w:rPr>
          <w:spacing w:val="-3"/>
          <w:lang w:val="en-GB"/>
        </w:rPr>
        <w:t>Department of Engineering Science and Mechanics, The Pennsylvania State University,</w:t>
      </w:r>
      <w:r w:rsidRPr="00D712CE">
        <w:rPr>
          <w:bCs/>
          <w:lang w:val="en-GB"/>
        </w:rPr>
        <w:t xml:space="preserve"> University Park, 16802, USA</w:t>
      </w:r>
    </w:p>
    <w:p w14:paraId="3484FD7D" w14:textId="77777777" w:rsidR="00041B68" w:rsidRDefault="00041B68" w:rsidP="00041B68">
      <w:pPr>
        <w:spacing w:line="480" w:lineRule="auto"/>
        <w:jc w:val="both"/>
        <w:rPr>
          <w:bCs/>
          <w:lang w:val="en-GB"/>
        </w:rPr>
      </w:pPr>
      <w:r w:rsidRPr="00D712CE">
        <w:rPr>
          <w:spacing w:val="-3"/>
          <w:vertAlign w:val="superscript"/>
          <w:lang w:val="en-GB"/>
        </w:rPr>
        <w:t>3</w:t>
      </w:r>
      <w:r w:rsidRPr="00D712CE">
        <w:rPr>
          <w:spacing w:val="-3"/>
          <w:lang w:val="en-GB"/>
        </w:rPr>
        <w:t>Center for Neural Engineering, The Pennsylvania State University,</w:t>
      </w:r>
      <w:r w:rsidRPr="00D712CE">
        <w:rPr>
          <w:bCs/>
          <w:lang w:val="en-GB"/>
        </w:rPr>
        <w:t xml:space="preserve"> University Park, 16802, USA</w:t>
      </w:r>
    </w:p>
    <w:p w14:paraId="6CFD7C00" w14:textId="77777777" w:rsidR="00041B68" w:rsidRPr="00D712CE" w:rsidRDefault="00041B68" w:rsidP="00041B68">
      <w:pPr>
        <w:spacing w:line="480" w:lineRule="auto"/>
        <w:jc w:val="both"/>
        <w:rPr>
          <w:bCs/>
          <w:lang w:val="en-GB"/>
        </w:rPr>
      </w:pPr>
      <w:r>
        <w:rPr>
          <w:spacing w:val="-3"/>
          <w:vertAlign w:val="superscript"/>
          <w:lang w:val="en-GB"/>
        </w:rPr>
        <w:t>4</w:t>
      </w:r>
      <w:r w:rsidRPr="00D712CE">
        <w:rPr>
          <w:spacing w:val="-3"/>
          <w:lang w:val="en-GB"/>
        </w:rPr>
        <w:t xml:space="preserve">Department of </w:t>
      </w:r>
      <w:r>
        <w:rPr>
          <w:spacing w:val="-3"/>
          <w:lang w:val="en-GB"/>
        </w:rPr>
        <w:t>Biomedical</w:t>
      </w:r>
      <w:r w:rsidRPr="00D712CE">
        <w:rPr>
          <w:spacing w:val="-3"/>
          <w:lang w:val="en-GB"/>
        </w:rPr>
        <w:t xml:space="preserve"> Engineering, The Pennsylvania State University,</w:t>
      </w:r>
      <w:r w:rsidRPr="00D712CE">
        <w:rPr>
          <w:bCs/>
          <w:lang w:val="en-GB"/>
        </w:rPr>
        <w:t xml:space="preserve"> University Park, 16802, USA</w:t>
      </w:r>
    </w:p>
    <w:p w14:paraId="538AF2CD" w14:textId="77777777" w:rsidR="00041B68" w:rsidRDefault="00041B68" w:rsidP="00041B68">
      <w:pPr>
        <w:spacing w:line="480" w:lineRule="auto"/>
        <w:jc w:val="both"/>
        <w:rPr>
          <w:spacing w:val="-3"/>
          <w:lang w:val="en-GB"/>
        </w:rPr>
      </w:pPr>
      <w:r>
        <w:rPr>
          <w:spacing w:val="-3"/>
          <w:vertAlign w:val="superscript"/>
          <w:lang w:val="en-GB"/>
        </w:rPr>
        <w:t>5</w:t>
      </w:r>
      <w:r w:rsidRPr="00D712CE">
        <w:rPr>
          <w:spacing w:val="-3"/>
          <w:lang w:val="en-GB"/>
        </w:rPr>
        <w:t>Department of Biomedical Engineering, Universidad Iberoamericana, CDMX, 01</w:t>
      </w:r>
      <w:r>
        <w:rPr>
          <w:spacing w:val="-3"/>
          <w:lang w:val="en-GB"/>
        </w:rPr>
        <w:t>219</w:t>
      </w:r>
      <w:r w:rsidRPr="00D712CE">
        <w:rPr>
          <w:spacing w:val="-3"/>
          <w:lang w:val="en-GB"/>
        </w:rPr>
        <w:t>, Mexico</w:t>
      </w:r>
    </w:p>
    <w:p w14:paraId="14918468" w14:textId="77777777" w:rsidR="00041B68" w:rsidRDefault="00041B68" w:rsidP="00041B68">
      <w:pPr>
        <w:spacing w:line="480" w:lineRule="auto"/>
        <w:jc w:val="both"/>
        <w:rPr>
          <w:bCs/>
          <w:lang w:val="en-GB"/>
        </w:rPr>
      </w:pPr>
      <w:r>
        <w:rPr>
          <w:spacing w:val="-3"/>
          <w:vertAlign w:val="superscript"/>
          <w:lang w:val="en-GB"/>
        </w:rPr>
        <w:t>6</w:t>
      </w:r>
      <w:r w:rsidRPr="00D712CE">
        <w:rPr>
          <w:spacing w:val="-3"/>
          <w:lang w:val="en-GB"/>
        </w:rPr>
        <w:t>Department</w:t>
      </w:r>
      <w:r>
        <w:rPr>
          <w:spacing w:val="-3"/>
          <w:lang w:val="en-GB"/>
        </w:rPr>
        <w:t xml:space="preserve"> of Electrical Engineering, </w:t>
      </w:r>
      <w:r w:rsidRPr="00D712CE">
        <w:rPr>
          <w:spacing w:val="-3"/>
          <w:lang w:val="en-GB"/>
        </w:rPr>
        <w:t>The Pennsylvania State University,</w:t>
      </w:r>
      <w:r w:rsidRPr="00D712CE">
        <w:rPr>
          <w:bCs/>
          <w:lang w:val="en-GB"/>
        </w:rPr>
        <w:t xml:space="preserve"> University Park, 16802, USA</w:t>
      </w:r>
    </w:p>
    <w:p w14:paraId="2D914CC5" w14:textId="77777777" w:rsidR="00041B68" w:rsidRDefault="00041B68" w:rsidP="00041B68">
      <w:pPr>
        <w:spacing w:line="480" w:lineRule="auto"/>
        <w:jc w:val="both"/>
        <w:rPr>
          <w:spacing w:val="-3"/>
          <w:lang w:val="en-GB"/>
        </w:rPr>
      </w:pPr>
      <w:r>
        <w:rPr>
          <w:spacing w:val="-3"/>
          <w:vertAlign w:val="superscript"/>
          <w:lang w:val="en-GB"/>
        </w:rPr>
        <w:t>7</w:t>
      </w:r>
      <w:r w:rsidRPr="00D712CE">
        <w:rPr>
          <w:spacing w:val="-3"/>
          <w:lang w:val="en-GB"/>
        </w:rPr>
        <w:t>Department</w:t>
      </w:r>
      <w:r>
        <w:rPr>
          <w:spacing w:val="-3"/>
          <w:lang w:val="en-GB"/>
        </w:rPr>
        <w:t xml:space="preserve"> of Electrical Engineering, King Fahd University of Petroleum and Minerals, Dhahran 31261, Saudi Arabia</w:t>
      </w:r>
    </w:p>
    <w:p w14:paraId="3A3AE3E1" w14:textId="77777777" w:rsidR="00041B68" w:rsidRDefault="00041B68" w:rsidP="00041B68">
      <w:pPr>
        <w:spacing w:line="480" w:lineRule="auto"/>
        <w:jc w:val="both"/>
        <w:rPr>
          <w:spacing w:val="-3"/>
          <w:lang w:val="en-GB"/>
        </w:rPr>
      </w:pPr>
      <w:r>
        <w:rPr>
          <w:spacing w:val="-3"/>
          <w:vertAlign w:val="superscript"/>
          <w:lang w:val="en-GB"/>
        </w:rPr>
        <w:t>8</w:t>
      </w:r>
      <w:r w:rsidRPr="00D712CE">
        <w:rPr>
          <w:spacing w:val="-3"/>
          <w:lang w:val="en-GB"/>
        </w:rPr>
        <w:t>Marine College, Shandong University (Weihai), Weihai, 264209, China</w:t>
      </w:r>
    </w:p>
    <w:p w14:paraId="0044FF11" w14:textId="77777777" w:rsidR="00041B68" w:rsidRPr="00D712CE" w:rsidRDefault="00041B68" w:rsidP="00041B68">
      <w:pPr>
        <w:spacing w:line="480" w:lineRule="auto"/>
        <w:jc w:val="both"/>
        <w:rPr>
          <w:spacing w:val="-3"/>
          <w:lang w:val="en-GB"/>
        </w:rPr>
      </w:pPr>
      <w:r>
        <w:rPr>
          <w:spacing w:val="-3"/>
          <w:vertAlign w:val="superscript"/>
          <w:lang w:val="en-GB"/>
        </w:rPr>
        <w:lastRenderedPageBreak/>
        <w:t>9</w:t>
      </w:r>
      <w:r w:rsidRPr="002E77F7">
        <w:rPr>
          <w:spacing w:val="-3"/>
          <w:lang w:val="en-GB"/>
        </w:rPr>
        <w:t>Department of Materials Science and Engineering, Westlake University, Hangzhou, Zhejiang, 310030, P.R. China</w:t>
      </w:r>
    </w:p>
    <w:p w14:paraId="71F9D7DC" w14:textId="77777777" w:rsidR="00041B68" w:rsidRPr="00D712CE" w:rsidRDefault="00041B68" w:rsidP="00041B68">
      <w:pPr>
        <w:spacing w:line="480" w:lineRule="auto"/>
        <w:jc w:val="both"/>
        <w:rPr>
          <w:bCs/>
          <w:lang w:val="en-GB"/>
        </w:rPr>
      </w:pPr>
      <w:r>
        <w:rPr>
          <w:spacing w:val="-3"/>
          <w:vertAlign w:val="superscript"/>
          <w:lang w:val="en-GB"/>
        </w:rPr>
        <w:t>10</w:t>
      </w:r>
      <w:r w:rsidRPr="00D712CE">
        <w:rPr>
          <w:spacing w:val="-3"/>
          <w:lang w:val="en-GB"/>
        </w:rPr>
        <w:t>Department of Kinesiology, The Pennsylvania State University,</w:t>
      </w:r>
      <w:r w:rsidRPr="00D712CE">
        <w:rPr>
          <w:bCs/>
          <w:lang w:val="en-GB"/>
        </w:rPr>
        <w:t xml:space="preserve"> University Park, 16802, USA</w:t>
      </w:r>
    </w:p>
    <w:p w14:paraId="18DB04F8" w14:textId="77777777" w:rsidR="00041B68" w:rsidRPr="00D712CE" w:rsidRDefault="00041B68" w:rsidP="00041B68">
      <w:pPr>
        <w:spacing w:line="480" w:lineRule="auto"/>
        <w:rPr>
          <w:bCs/>
          <w:lang w:val="en-GB"/>
        </w:rPr>
      </w:pPr>
      <w:r w:rsidRPr="00D712CE">
        <w:rPr>
          <w:spacing w:val="-3"/>
          <w:vertAlign w:val="superscript"/>
          <w:lang w:val="en-GB"/>
        </w:rPr>
        <w:t>§</w:t>
      </w:r>
      <w:r w:rsidRPr="00D712CE">
        <w:rPr>
          <w:spacing w:val="-3"/>
          <w:lang w:val="en-GB"/>
        </w:rPr>
        <w:t>These authors contributed equally</w:t>
      </w:r>
    </w:p>
    <w:p w14:paraId="31EB619C" w14:textId="77777777" w:rsidR="00041B68" w:rsidRDefault="00041B68" w:rsidP="00041B68">
      <w:pPr>
        <w:pStyle w:val="NormalWeb"/>
        <w:spacing w:line="480" w:lineRule="auto"/>
        <w:jc w:val="both"/>
        <w:rPr>
          <w:rStyle w:val="Hyperlink"/>
          <w:rFonts w:eastAsiaTheme="majorEastAsia"/>
          <w:spacing w:val="-3"/>
          <w:lang w:val="en-GB"/>
        </w:rPr>
      </w:pPr>
      <w:r w:rsidRPr="00D712CE">
        <w:rPr>
          <w:spacing w:val="-3"/>
          <w:vertAlign w:val="superscript"/>
          <w:lang w:val="en-GB"/>
        </w:rPr>
        <w:t>*</w:t>
      </w:r>
      <w:r w:rsidRPr="00D712CE">
        <w:rPr>
          <w:rFonts w:eastAsia="DengXian"/>
          <w:lang w:val="en-GB"/>
        </w:rPr>
        <w:t xml:space="preserve">To whom correspondence should be addressed: E-mail: </w:t>
      </w:r>
      <w:hyperlink r:id="rId5" w:history="1">
        <w:r w:rsidRPr="00D712CE">
          <w:rPr>
            <w:rStyle w:val="Hyperlink"/>
            <w:rFonts w:eastAsiaTheme="majorEastAsia"/>
            <w:spacing w:val="-3"/>
            <w:lang w:val="en-GB"/>
          </w:rPr>
          <w:t>huanyu.cheng@psu.edu</w:t>
        </w:r>
      </w:hyperlink>
    </w:p>
    <w:p w14:paraId="2FB9299B" w14:textId="77777777" w:rsidR="00041B68" w:rsidRDefault="00041B68">
      <w:pPr>
        <w:spacing w:after="160" w:line="278" w:lineRule="auto"/>
        <w:rPr>
          <w:rStyle w:val="Hyperlink"/>
          <w:rFonts w:eastAsiaTheme="majorEastAsia"/>
          <w:spacing w:val="-3"/>
          <w:lang w:val="en-GB"/>
        </w:rPr>
      </w:pPr>
      <w:r>
        <w:rPr>
          <w:rStyle w:val="Hyperlink"/>
          <w:rFonts w:eastAsiaTheme="majorEastAsia"/>
          <w:spacing w:val="-3"/>
          <w:lang w:val="en-GB"/>
        </w:rPr>
        <w:br w:type="page"/>
      </w:r>
    </w:p>
    <w:p w14:paraId="2F7B1B73" w14:textId="1D694895" w:rsidR="007A61F7" w:rsidRPr="00437C6D" w:rsidRDefault="007A61F7" w:rsidP="00041B68">
      <w:pPr>
        <w:pStyle w:val="NormalWeb"/>
        <w:spacing w:line="480" w:lineRule="auto"/>
        <w:jc w:val="both"/>
        <w:rPr>
          <w:b/>
          <w:bCs/>
          <w:u w:val="single"/>
          <w:lang w:val="en-GB"/>
        </w:rPr>
      </w:pPr>
      <w:r w:rsidRPr="00437C6D">
        <w:rPr>
          <w:b/>
          <w:bCs/>
          <w:u w:val="single"/>
          <w:lang w:val="en-GB"/>
        </w:rPr>
        <w:lastRenderedPageBreak/>
        <w:t xml:space="preserve">Supplementary Note </w:t>
      </w:r>
      <w:r w:rsidR="00611852">
        <w:rPr>
          <w:b/>
          <w:bCs/>
          <w:u w:val="single"/>
          <w:lang w:val="en-GB"/>
        </w:rPr>
        <w:t>1</w:t>
      </w:r>
    </w:p>
    <w:p w14:paraId="7E0E7F05" w14:textId="6F541F52" w:rsidR="007A61F7" w:rsidRPr="00437C6D" w:rsidRDefault="00157E16" w:rsidP="004403B5">
      <w:pPr>
        <w:pStyle w:val="NormalWeb"/>
        <w:spacing w:line="480" w:lineRule="auto"/>
        <w:jc w:val="both"/>
        <w:rPr>
          <w:b/>
          <w:bCs/>
          <w:lang w:val="en-GB"/>
        </w:rPr>
      </w:pPr>
      <w:r>
        <w:rPr>
          <w:b/>
          <w:bCs/>
          <w:lang w:val="en-GB"/>
        </w:rPr>
        <w:t xml:space="preserve">Two </w:t>
      </w:r>
      <w:r w:rsidR="00437C6D" w:rsidRPr="00437C6D">
        <w:rPr>
          <w:b/>
          <w:bCs/>
          <w:lang w:val="en-GB"/>
        </w:rPr>
        <w:t xml:space="preserve">Material </w:t>
      </w:r>
      <w:r>
        <w:rPr>
          <w:b/>
          <w:bCs/>
          <w:lang w:val="en-GB"/>
        </w:rPr>
        <w:t>System</w:t>
      </w:r>
      <w:r w:rsidR="00437C6D" w:rsidRPr="00437C6D">
        <w:rPr>
          <w:b/>
          <w:bCs/>
          <w:lang w:val="en-GB"/>
        </w:rPr>
        <w:t xml:space="preserve"> of Ionic Biogel</w:t>
      </w:r>
      <w:r w:rsidR="000C50B8">
        <w:rPr>
          <w:b/>
          <w:bCs/>
          <w:lang w:val="en-GB"/>
        </w:rPr>
        <w:t>: Ionic and Biogel system</w:t>
      </w:r>
    </w:p>
    <w:p w14:paraId="71DDB1A9" w14:textId="47B124EB" w:rsidR="00152EFA" w:rsidRDefault="007A61F7" w:rsidP="004403B5">
      <w:pPr>
        <w:pStyle w:val="NormalWeb"/>
        <w:spacing w:line="480" w:lineRule="auto"/>
        <w:jc w:val="both"/>
        <w:rPr>
          <w:lang w:val="en-GB"/>
        </w:rPr>
      </w:pPr>
      <w:r w:rsidRPr="00D712CE">
        <w:rPr>
          <w:lang w:val="en-GB"/>
        </w:rPr>
        <w:t>In the PEDOT:PSS/EMIM-TFSI system, the ionic liquid (EMIM-TFSI) functions as a strong plasticizer, profoundly influencing the electrostatic interactions between the PEDOT and PSS chains</w:t>
      </w:r>
      <w:r>
        <w:rPr>
          <w:lang w:val="en-GB"/>
        </w:rPr>
        <w:fldChar w:fldCharType="begin"/>
      </w:r>
      <w:r w:rsidR="00785CB3">
        <w:rPr>
          <w:lang w:val="en-GB"/>
        </w:rPr>
        <w:instrText xml:space="preserve"> ADDIN ZOTERO_ITEM CSL_CITATION {"citationID":"yoHR7bOA","properties":{"formattedCitation":"\\super 1\\nosupersub{}","plainCitation":"1","noteIndex":0},"citationItems":[{"id":1175,"uris":["http://zotero.org/users/12063952/items/IRML3VZ9"],"itemData":{"id":1175,"type":"article-journal","abstract":"A polymer is described that is conductive and stretchable, which can lead to electronics that can conform to the human body.\n          , \n            Previous breakthroughs in stretchable electronics stem from strain engineering and nanocomposite approaches. Routes toward intrinsically stretchable molecular materials remain scarce but, if successful, will enable simpler fabrication processes, such as direct printing and coating, mechanically robust devices, and more intimate contact with objects. We report a highly stretchable conducting polymer, realized with a range of enhancers that serve a dual function: (i) they change morphology and (ii) they act as conductivity-enhancing dopants in poly(3,4-ethylenedioxythiophene):poly(styrenesulfonate) (PEDOT:PSS). The polymer films exhibit conductivities comparable to the best reported values for PEDOT:PSS, with over 3100 S/cm under 0% strain and over 4100 S/cm under 100% strain—among the highest for reported stretchable conductors. It is highly durable under cyclic loading, with the conductivity maintained at 3600 S/cm even after 1000 cycles to 100% strain. The conductivity remained above 100 S/cm under 600% strain, with a fracture strain of 800%, which is superior to even the best silver nanowire– or carbon nanotube–based stretchable conductor films. The combination of excellent electrical and mechanical properties allowed it to serve as interconnects for field-effect transistor arrays with a device density that is five times higher than typical lithographically patterned wavy interconnects.","container-title":"Science Advances","DOI":"10.1126/sciadv.1602076","ISSN":"2375-2548","issue":"3","journalAbbreviation":"Sci. Adv.","language":"en","page":"e1602076","source":"DOI.org (Crossref)","title":"A highly stretchable, transparent, and conductive polymer","volume":"3","author":[{"family":"Wang","given":"Yue"},{"family":"Zhu","given":"Chenxin"},{"family":"Pfattner","given":"Raphael"},{"family":"Yan","given":"Hongping"},{"family":"Jin","given":"Lihua"},{"family":"Chen","given":"Shucheng"},{"family":"Molina-Lopez","given":"Francisco"},{"family":"Lissel","given":"Franziska"},{"family":"Liu","given":"Jia"},{"family":"Rabiah","given":"Noelle I."},{"family":"Chen","given":"Zheng"},{"family":"Chung","given":"Jong Won"},{"family":"Linder","given":"Christian"},{"family":"Toney","given":"Michael F."},{"family":"Murmann","given":"Boris"},{"family":"Bao","given":"Zhenan"}],"issued":{"date-parts":[["2017",3,3]]}}}],"schema":"https://github.com/citation-style-language/schema/raw/master/csl-citation.json"} </w:instrText>
      </w:r>
      <w:r>
        <w:rPr>
          <w:lang w:val="en-GB"/>
        </w:rPr>
        <w:fldChar w:fldCharType="separate"/>
      </w:r>
      <w:r w:rsidR="00785CB3" w:rsidRPr="00785CB3">
        <w:rPr>
          <w:vertAlign w:val="superscript"/>
        </w:rPr>
        <w:t>1</w:t>
      </w:r>
      <w:r>
        <w:rPr>
          <w:lang w:val="en-GB"/>
        </w:rPr>
        <w:fldChar w:fldCharType="end"/>
      </w:r>
      <w:r w:rsidRPr="00D712CE">
        <w:rPr>
          <w:lang w:val="en-GB"/>
        </w:rPr>
        <w:t>.  The EMIM</w:t>
      </w:r>
      <w:r w:rsidRPr="00D712CE">
        <w:rPr>
          <w:vertAlign w:val="superscript"/>
          <w:lang w:val="en-GB"/>
        </w:rPr>
        <w:t>+</w:t>
      </w:r>
      <w:r w:rsidRPr="00D712CE">
        <w:rPr>
          <w:lang w:val="en-GB"/>
        </w:rPr>
        <w:t xml:space="preserve"> cations and TFSI</w:t>
      </w:r>
      <w:r w:rsidRPr="00D712CE">
        <w:rPr>
          <w:vertAlign w:val="superscript"/>
          <w:lang w:val="en-GB"/>
        </w:rPr>
        <w:t>–</w:t>
      </w:r>
      <w:r w:rsidRPr="00D712CE">
        <w:rPr>
          <w:lang w:val="en-GB"/>
        </w:rPr>
        <w:t xml:space="preserve"> anions intercalate between the PEDOT and PSS chains, effectively screening the Coulombic attractions and reducing the electrostatic binding energy.  This screening reduces the electrostatic enthalpy and increases the entropy </w:t>
      </w:r>
      <w:r>
        <w:rPr>
          <w:lang w:val="en-GB"/>
        </w:rPr>
        <w:t>to</w:t>
      </w:r>
      <w:r w:rsidRPr="00D712CE">
        <w:rPr>
          <w:lang w:val="en-GB"/>
        </w:rPr>
        <w:t xml:space="preserve"> facilitate increased chain mobility and segmental motion, leading to a softer material with enhanced ionic conductivity and improved p-type semiconducting behavio</w:t>
      </w:r>
      <w:r>
        <w:rPr>
          <w:lang w:val="en-GB"/>
        </w:rPr>
        <w:t>u</w:t>
      </w:r>
      <w:r w:rsidRPr="00D712CE">
        <w:rPr>
          <w:lang w:val="en-GB"/>
        </w:rPr>
        <w:t>r.  The screening also promotes a more disordered morphology, which contributes to faster sol-gel transitions.  Concurrently, the gelatin-glycerol-salt hydrogel matrix is stabilized through an extensive hydrogen-bonding network</w:t>
      </w:r>
      <w:r>
        <w:rPr>
          <w:lang w:val="en-GB"/>
        </w:rPr>
        <w:fldChar w:fldCharType="begin"/>
      </w:r>
      <w:r w:rsidR="00785CB3">
        <w:rPr>
          <w:lang w:val="en-GB"/>
        </w:rPr>
        <w:instrText xml:space="preserve"> ADDIN ZOTERO_ITEM CSL_CITATION {"citationID":"DAtZxRPW","properties":{"formattedCitation":"\\super 2,3\\nosupersub{}","plainCitation":"2,3","noteIndex":0},"citationItems":[{"id":1193,"uris":["http://zotero.org/users/12063952/items/LWR2VJK4"],"itemData":{"id":1193,"type":"article-journal","abstract":"Long-term high-fidelity electroencephalogram (EEG) recordings are critical for clinical and brain science applications. Conductive liquid-like or solid-like wet interface materials have been conventionally used as reliable interfaces for EEG recording. However, because of their simplex liquid or solid phase, electrodes with them as interfaces confront inadequate dynamic adaptability to hairy scalp, which makes it challenging to maintain stable and efficient contact of electrodes with scalp for long-term EEG recording. Here, we develop an on-skin paintable conductive biogel that shows temperature-controlled reversible fluid-gel transition to address the abovementioned limitation. This phase transition endows the biogel with unique on-skin paintability and in situ gelatinization, establishing conformal contact and dynamic compliance of electrodes with hairy scalp. The biogel is demonstrated as an efficient interface for long-term high-quality EEG recording over several days and for the high-performance capture and classification of evoked potentials. The paintable biogel offers a biocompatible and long-term reliable interface for EEG-based systems.\n          , \n            On-skin paintable biogel with the temperature-controlled fluid-gel transition merit is designed for reliable EEG recording.","container-title":"Science Advances","DOI":"10.1126/sciadv.abo1396","ISSN":"2375-2548","issue":"20","journalAbbreviation":"Sci. Adv.","language":"en","page":"eabo1396","source":"DOI.org (Crossref)","title":"On-skin paintable biogel for long-term high-fidelity electroencephalogram recording","volume":"8","author":[{"family":"Wang","given":"Chunya"},{"family":"Wang","given":"Haoyang"},{"family":"Wang","given":"Binghao"},{"family":"Miyata","given":"Hiroo"},{"family":"Wang","given":"Yan"},{"family":"Nayeem","given":"Md Osman Goni"},{"family":"Kim","given":"Jae Joon"},{"family":"Lee","given":"Sunghoon"},{"family":"Yokota","given":"Tomoyuki"},{"family":"Onodera","given":"Hiroshi"},{"family":"Someya","given":"Takao"}],"issued":{"date-parts":[["2022",5,20]]}}},{"id":1281,"uris":["http://zotero.org/users/12063952/items/SKMQ2AL6"],"itemData":{"id":1281,"type":"article-journal","abstract":"Abstract\n            Natural material‐based hydrogels are considered ideal candidates for constructing robust bio‐interfaces due to their environmentally sustainable nature and biocompatibility. However, these hydrogels often encounter limitations such as weak mechanical strength, low water resistance, and poor ionic conductivity. Here, inspired by the role of natural moisturizing factor (NMF) in skin, a straightforward yet versatile strategy is proposed for fabricating all‐natural ionic biogels that exhibit high resilience, ionic conductivity, resistance to dehydration, and complete degradability, without necessitating any chemical modification. A well‐balanced combination of gelatin and sodium pyrrolidone carboxylic acid (an NMF compound) gives rise to a significant enhancement in the mechanical strength, ionic conductivity, and water retention capacity of the biogel compared to pure gelatin hydrogel. The biogel manifests temperature‐controlled reversible fluid‐gel transition properties attributed to the triple‐helix junctions of gelatin, which enables in situ gelation on diverse substrates, thereby ensuring conformal contact and dynamic compliance with curved surfaces. Due to its salutary properties, the biogel can serve as an effective and biocompatible interface for high‐quality and long‐term electrophysiological signal recording. These findings provide a general and scalable approach for designing natural material‐based hydrogels with tailored functionalities to meet diverse application needs.","container-title":"Advanced Materials","DOI":"10.1002/adma.202401151","ISSN":"0935-9648, 1521-4095","issue":"25","journalAbbreviation":"Advanced Materials","language":"en","page":"2401151","source":"DOI.org (Crossref)","title":"Skin‐Inspired All‐Natural Biogel for Bioadhesive Interface","volume":"36","author":[{"family":"Lan","given":"Lingyi"},{"family":"Ping","given":"Jianfeng"},{"family":"Li","given":"Huiyan"},{"family":"Wang","given":"Chengjun"},{"family":"Li","given":"Guang"},{"family":"Song","given":"Jizhou"},{"family":"Ying","given":"Yibin"}],"issued":{"date-parts":[["2024",6]]}}}],"schema":"https://github.com/citation-style-language/schema/raw/master/csl-citation.json"} </w:instrText>
      </w:r>
      <w:r>
        <w:rPr>
          <w:lang w:val="en-GB"/>
        </w:rPr>
        <w:fldChar w:fldCharType="separate"/>
      </w:r>
      <w:r w:rsidR="00785CB3" w:rsidRPr="00785CB3">
        <w:rPr>
          <w:vertAlign w:val="superscript"/>
        </w:rPr>
        <w:t>2,3</w:t>
      </w:r>
      <w:r>
        <w:rPr>
          <w:lang w:val="en-GB"/>
        </w:rPr>
        <w:fldChar w:fldCharType="end"/>
      </w:r>
      <w:r w:rsidRPr="00D712CE">
        <w:rPr>
          <w:lang w:val="en-GB"/>
        </w:rPr>
        <w:t xml:space="preserve">.  Gelatin forms triple-helical structures connected via hydrogen bonds between peptide backbone amide groups.  The addition of glycerol introduces multiple hydroxyl groups capable of forming hydrogen bonds with both gelatin and water molecules, enhancing the stretchability and </w:t>
      </w:r>
      <w:r>
        <w:rPr>
          <w:lang w:val="en-GB"/>
        </w:rPr>
        <w:t xml:space="preserve">reversibility of the </w:t>
      </w:r>
      <w:r w:rsidRPr="00D712CE">
        <w:rPr>
          <w:lang w:val="en-GB"/>
        </w:rPr>
        <w:t xml:space="preserve">gel-sol transition of the hydrogel.  The presence of salts, </w:t>
      </w:r>
      <w:r>
        <w:rPr>
          <w:lang w:val="en-GB"/>
        </w:rPr>
        <w:t>such as</w:t>
      </w:r>
      <w:r w:rsidRPr="00D712CE">
        <w:rPr>
          <w:lang w:val="en-GB"/>
        </w:rPr>
        <w:t xml:space="preserve"> NaCl, can further modulate the hydrogen-bonding network by influencing the hydration shell and ionic strength, which not only affects the ionic conductivity but also the gelation kinetics and thermal responsiveness.  These hydrogen bonds are highly dynamic in response to temperature yet robust, conferring self-healing properties and biocompatibility to the hydrogel matrix.</w:t>
      </w:r>
    </w:p>
    <w:p w14:paraId="710DE820" w14:textId="5E6C595A" w:rsidR="009A6746" w:rsidRPr="00152EFA" w:rsidRDefault="009A6746" w:rsidP="00152EFA">
      <w:pPr>
        <w:spacing w:after="160" w:line="278" w:lineRule="auto"/>
        <w:rPr>
          <w:lang w:val="en-GB"/>
        </w:rPr>
      </w:pPr>
      <w:r>
        <w:rPr>
          <w:spacing w:val="-3"/>
          <w:lang w:val="en-GB"/>
        </w:rPr>
        <w:br w:type="page"/>
      </w:r>
    </w:p>
    <w:p w14:paraId="78833317" w14:textId="14801854" w:rsidR="00070A32" w:rsidRPr="009F29EF" w:rsidRDefault="00070A32" w:rsidP="00070A32">
      <w:pPr>
        <w:spacing w:line="480" w:lineRule="auto"/>
        <w:jc w:val="both"/>
        <w:rPr>
          <w:b/>
          <w:bCs/>
          <w:u w:val="single"/>
        </w:rPr>
      </w:pPr>
      <w:r w:rsidRPr="009F29EF">
        <w:rPr>
          <w:b/>
          <w:bCs/>
          <w:u w:val="single"/>
        </w:rPr>
        <w:lastRenderedPageBreak/>
        <w:t xml:space="preserve">Supplementary Note </w:t>
      </w:r>
      <w:r w:rsidR="00856DB3">
        <w:rPr>
          <w:b/>
          <w:bCs/>
          <w:u w:val="single"/>
        </w:rPr>
        <w:t>2</w:t>
      </w:r>
    </w:p>
    <w:p w14:paraId="40DED510" w14:textId="77777777" w:rsidR="009E3D2F" w:rsidRPr="003E17EA" w:rsidRDefault="009E3D2F" w:rsidP="00CD32EA">
      <w:pPr>
        <w:pStyle w:val="NormalWeb"/>
        <w:spacing w:line="480" w:lineRule="auto"/>
        <w:jc w:val="both"/>
        <w:rPr>
          <w:b/>
          <w:bCs/>
        </w:rPr>
      </w:pPr>
      <w:r w:rsidRPr="003E17EA">
        <w:rPr>
          <w:b/>
          <w:bCs/>
        </w:rPr>
        <w:t xml:space="preserve">Metastability and Phase Separation in Ionic Biogels Inspired by Membraneless Organelles </w:t>
      </w:r>
    </w:p>
    <w:p w14:paraId="7BF1B786" w14:textId="1C3271C3" w:rsidR="00070A32" w:rsidRPr="003E17EA" w:rsidRDefault="00E13CD1" w:rsidP="00856DB3">
      <w:pPr>
        <w:pStyle w:val="NormalWeb"/>
        <w:spacing w:line="480" w:lineRule="auto"/>
        <w:jc w:val="both"/>
      </w:pPr>
      <w:r>
        <w:t>Membraneless organelles (MLOs), such as the nucleolus, stress granules, and P-bodies, exploit liquid-liquid phase separation (LLPS) to dynamically organize biomolecules into dense and dilute phases</w:t>
      </w:r>
      <w:r w:rsidR="00652C2F">
        <w:fldChar w:fldCharType="begin"/>
      </w:r>
      <w:r w:rsidR="00785CB3">
        <w:instrText xml:space="preserve"> ADDIN ZOTERO_ITEM CSL_CITATION {"citationID":"qa5i46V2","properties":{"formattedCitation":"\\super 4\\uc0\\u8211{}6\\nosupersub{}","plainCitation":"4–6","noteIndex":0},"citationItems":[{"id":1229,"uris":["http://zotero.org/users/12063952/items/DS74EAJL"],"itemData":{"id":1229,"type":"article-journal","abstract":"P Granule Conundrum\n            \n              In many organisms, the presumptive germ cells can be distinguished from somatic cells by the presence of distinctive cytoplasmic granules. In\n              Caenorhabditis elegans\n              , these P granules are more or less uniformly distributed in the oocyte and one-cell stage of the fertilized egg. By the end of the first cleavage, however, the anterior cell is essentially free of P granules, whereas the posterior cell still displays a prominent population of granules. Exactly how this process occurs and whether it involves directed migration of the granules is unclear. Now\n              \n                Brangwynne\n                et al.\n              \n              (p.\n              1729\n              , published online 21 May; see the Perspective by\n              \n                Le Goff and Lecuit\n              \n              ) provide evidence that localization occurs by a quite different mechanism, controlled dissolution and condensation of granule components. This type of cytoplasmic remodeling by physicochemical mechanisms can now be looked for in other cellular and developmental systems.\n            \n          , \n            Localization of RNA and protein-rich germ-cell granules occurs by controlled dissolution and condensation.\n          , \n            \n              In sexually reproducing organisms, embryos specify germ cells, which ultimately generate sperm and eggs. In\n              Caenorhabditis elegans\n              , the first germ cell is established when RNA and protein-rich P granules localize to the posterior of the one-cell embryo. Localization of P granules and their physical nature remain poorly understood. Here we show that P granules exhibit liquid-like behaviors, including fusion, dripping, and wetting, which we used to estimate their viscosity and surface tension. As with other liquids, P granules rapidly dissolved and condensed. Localization occurred by a biased increase in P granule condensation at the posterior. This process reflects a classic phase transition, in which polarity proteins vary the condensation point across the cell. Such phase transitions may represent a fundamental physicochemical mechanism for structuring the cytoplasm.","container-title":"Science","DOI":"10.1126/science.1172046","ISSN":"0036-8075, 1095-9203","issue":"5935","journalAbbreviation":"Science","language":"en","page":"1729-1732","source":"DOI.org (Crossref)","title":"Germline P Granules Are Liquid Droplets That Localize by Controlled Dissolution/Condensation","volume":"324","author":[{"family":"Brangwynne","given":"Clifford P."},{"family":"Eckmann","given":"Christian R."},{"family":"Courson","given":"David S."},{"family":"Rybarska","given":"Agata"},{"family":"Hoege","given":"Carsten"},{"family":"Gharakhani","given":"Jöbin"},{"family":"Jülicher","given":"Frank"},{"family":"Hyman","given":"Anthony A."}],"issued":{"date-parts":[["2009",6,26]]}}},{"id":1226,"uris":["http://zotero.org/users/12063952/items/C5PPG2NL"],"itemData":{"id":1226,"type":"article-journal","abstract":"Protein aggregation via liquid−liquid phase separation (LLPS) is ubiquitous in nature and is intimately connected to many human diseases. Although it is widely known that the addition of salt has crucial impacts on the LLPS of proteins, full understanding of the salt effects remains an outstanding challenge. Here, we develop a molecular theory that systematically incorporates the self-consistent field theory for charged macromolecules into the solution thermodynamics. The electrostatic interaction, hydrophobicity, ion solvation, and translational entropy are included in a unified framework. Our theory fully captures the long-standing puzzles of the nonmonotonic salt concentration dependence and the specific ion effect. We find that proteins show salting-out at low salt concentrations due to ionic screening. The solubility follows the inverse Hofmeister series. In the high salt concentration regime, protein continues salting-out for small ions but turns to salting-in for larger ions, accompanied by the reversal of the Hofmeister series. We reveal that the solubility at high salt concentrations is determined by the competition between the solvation energy and translational entropy of the ion. Furthermore, we derive an analytical criterion for determining the boundary between the salting-in and salting-out regimes, which is in good agreement with experimental results for various proteins and salt ions.","container-title":"ACS Central Science","DOI":"10.1021/acscentsci.3c01372","ISSN":"2374-7943, 2374-7951","issue":"2","journalAbbreviation":"ACS Cent. Sci.","language":"en","license":"https://creativecommons.org/licenses/by/4.0/","page":"460-468","source":"DOI.org (Crossref)","title":"A Unified Description of Salt Effects on the Liquid–Liquid Phase Separation of Proteins","volume":"10","author":[{"family":"Duan","given":"Chao"},{"family":"Wang","given":"Rui"}],"issued":{"date-parts":[["2024",2,28]]}}},{"id":1223,"uris":["http://zotero.org/users/12063952/items/CJAY6GPG"],"itemData":{"id":1223,"type":"article-journal","abstract":"Membraneless organelles (MLOs) are likely assembled via liquid–liquid phase separation (LLPS). The liquid‐like MLOs afford multifold peculiarities including high dynamics, reversibility and responsiveness. It is common to see fast, drastic, and reversible formation and dissolution events of MLOs, as well as transition into more stable glassy or gel‐like states, which suggests a metastable assembly state. Moreover, the alteration of metastability of LLPS is linked with cellular pathology. Here, we review the “metastability” related to MLOs driven by liquid phase separation, from multifaceted regards including energy state, molecular interactions, molecular structure, phase transition, as well as the associations with diseases. This review can help to advance the insight into properties and pathogenesis associated with LLPS of biological matter.","container-title":"Applied Research","DOI":"10.1002/appl.202300071","ISSN":"2702-4288, 2702-4288","issue":"2","journalAbbreviation":"Applied Research","language":"en","page":"e202300071","source":"DOI.org (Crossref)","title":"Metastable biological matter in liquid phase separation","volume":"3","author":[{"family":"Liu","given":"Jianhui"},{"family":"Liu","given":"Xiaolin"},{"family":"Zhang","given":"Tianfu"},{"family":"Huang","given":"Jinqing"},{"family":"Tang","given":"Ben Zhong"},{"family":"Chau","given":"Ying"}],"issued":{"date-parts":[["2024",4]]}}}],"schema":"https://github.com/citation-style-language/schema/raw/master/csl-citation.json"} </w:instrText>
      </w:r>
      <w:r w:rsidR="00652C2F">
        <w:fldChar w:fldCharType="separate"/>
      </w:r>
      <w:r w:rsidR="00785CB3" w:rsidRPr="00785CB3">
        <w:rPr>
          <w:vertAlign w:val="superscript"/>
        </w:rPr>
        <w:t>4–6</w:t>
      </w:r>
      <w:r w:rsidR="00652C2F">
        <w:fldChar w:fldCharType="end"/>
      </w:r>
      <w:r>
        <w:t xml:space="preserve">. </w:t>
      </w:r>
      <w:r w:rsidR="007367B0">
        <w:t xml:space="preserve"> </w:t>
      </w:r>
      <w:r>
        <w:t xml:space="preserve">This partitioning facilitates </w:t>
      </w:r>
      <w:r w:rsidR="002D19DA">
        <w:t xml:space="preserve">the </w:t>
      </w:r>
      <w:r>
        <w:t>synergy</w:t>
      </w:r>
      <w:r w:rsidR="0073288D">
        <w:t xml:space="preserve"> of</w:t>
      </w:r>
      <w:r w:rsidDel="0073288D">
        <w:t xml:space="preserve"> </w:t>
      </w:r>
      <w:r>
        <w:t xml:space="preserve">the dense phase </w:t>
      </w:r>
      <w:r w:rsidR="00201506">
        <w:t xml:space="preserve">to </w:t>
      </w:r>
      <w:r>
        <w:t>enhance molecular concentration and reaction rates</w:t>
      </w:r>
      <w:r w:rsidR="00201506">
        <w:t xml:space="preserve"> with </w:t>
      </w:r>
      <w:r>
        <w:t xml:space="preserve">the dilute phase </w:t>
      </w:r>
      <w:r w:rsidR="00201506">
        <w:t xml:space="preserve">to </w:t>
      </w:r>
      <w:r>
        <w:t xml:space="preserve">maintain fluidity and exchange. </w:t>
      </w:r>
      <w:r w:rsidR="004F06E4">
        <w:t xml:space="preserve"> </w:t>
      </w:r>
      <w:r>
        <w:t>In MLOs, LLPS enables a</w:t>
      </w:r>
      <w:r w:rsidR="001A47F7">
        <w:t xml:space="preserve">n </w:t>
      </w:r>
      <w:r>
        <w:t xml:space="preserve">interplay of complementary properties. </w:t>
      </w:r>
      <w:r w:rsidR="001A47F7">
        <w:t xml:space="preserve"> </w:t>
      </w:r>
      <w:r>
        <w:t xml:space="preserve">For example, the nucleolus </w:t>
      </w:r>
      <w:r w:rsidR="00723007">
        <w:t xml:space="preserve">exhibits improved </w:t>
      </w:r>
      <w:r>
        <w:t xml:space="preserve">biochemical efficiency </w:t>
      </w:r>
      <w:r w:rsidR="00BA2280">
        <w:t xml:space="preserve">from </w:t>
      </w:r>
      <w:r>
        <w:t xml:space="preserve">a dense ribosome assembly hub </w:t>
      </w:r>
      <w:r w:rsidR="00BA2280">
        <w:t xml:space="preserve">and </w:t>
      </w:r>
      <w:r>
        <w:t>the dynamic exchange capabilities</w:t>
      </w:r>
      <w:r w:rsidDel="008E3306">
        <w:t xml:space="preserve"> </w:t>
      </w:r>
      <w:r w:rsidR="008E3306">
        <w:t xml:space="preserve">from </w:t>
      </w:r>
      <w:r>
        <w:t>a dilute surrounding phase, ensuring sustained throughput of ribosomal RNA and proteins</w:t>
      </w:r>
      <w:r w:rsidR="006856CB">
        <w:fldChar w:fldCharType="begin"/>
      </w:r>
      <w:r w:rsidR="00785CB3">
        <w:instrText xml:space="preserve"> ADDIN ZOTERO_ITEM CSL_CITATION {"citationID":"ovUYT4rv","properties":{"formattedCitation":"\\super 7\\nosupersub{}","plainCitation":"7","noteIndex":0},"citationItems":[{"id":1220,"uris":["http://zotero.org/users/12063952/items/ZD8C7VV7"],"itemData":{"id":1220,"type":"article-journal","container-title":"Nature Reviews Molecular Cell Biology","DOI":"10.1038/s41580-022-00558-8","ISSN":"1471-0072, 1471-0080","issue":"4","journalAbbreviation":"Nat Rev Mol Cell Biol","language":"en","page":"288-304","source":"DOI.org (Crossref)","title":"A guide to membraneless organelles and their various roles in gene regulation","volume":"24","author":[{"family":"Hirose","given":"Tetsuro"},{"family":"Ninomiya","given":"Kensuke"},{"family":"Nakagawa","given":"Shinichi"},{"family":"Yamazaki","given":"Tomohiro"}],"issued":{"date-parts":[["2023",4]]}}}],"schema":"https://github.com/citation-style-language/schema/raw/master/csl-citation.json"} </w:instrText>
      </w:r>
      <w:r w:rsidR="006856CB">
        <w:fldChar w:fldCharType="separate"/>
      </w:r>
      <w:r w:rsidR="00785CB3" w:rsidRPr="00785CB3">
        <w:rPr>
          <w:vertAlign w:val="superscript"/>
        </w:rPr>
        <w:t>7</w:t>
      </w:r>
      <w:r w:rsidR="006856CB">
        <w:fldChar w:fldCharType="end"/>
      </w:r>
      <w:r>
        <w:t xml:space="preserve">. </w:t>
      </w:r>
      <w:r w:rsidR="001A47F7">
        <w:t xml:space="preserve"> </w:t>
      </w:r>
      <w:r>
        <w:t>S</w:t>
      </w:r>
      <w:r w:rsidR="009A2C03">
        <w:t>imilarly, s</w:t>
      </w:r>
      <w:r>
        <w:t>tress granules</w:t>
      </w:r>
      <w:r w:rsidDel="009A2C03">
        <w:t xml:space="preserve"> </w:t>
      </w:r>
      <w:r>
        <w:t xml:space="preserve">demonstrate adaptive resilience by sequestering untranslated mRNAs in their dense core during cellular stress, while maintaining interaction with signaling networks through the dilute phase. </w:t>
      </w:r>
      <w:r w:rsidR="001A47F7">
        <w:t xml:space="preserve"> </w:t>
      </w:r>
      <w:r>
        <w:t>Such phase-reversible behavior ensures that the organelles adapt to environmental and functional demands, transitioning seamlessly between liquid-like states and more solid-like assemblies as needed.</w:t>
      </w:r>
      <w:r w:rsidR="001A47F7">
        <w:t xml:space="preserve">  MLOs</w:t>
      </w:r>
      <w:r w:rsidR="00CD32EA">
        <w:t xml:space="preserve"> demonstrate that phase-separated states are not static but instead exhibit a metastable nature, capable of transitioning between coexisting phases to optimize functionality</w:t>
      </w:r>
      <w:r w:rsidR="00247DB8">
        <w:fldChar w:fldCharType="begin"/>
      </w:r>
      <w:r w:rsidR="00785CB3">
        <w:instrText xml:space="preserve"> ADDIN ZOTERO_ITEM CSL_CITATION {"citationID":"NAm7iHwv","properties":{"formattedCitation":"\\super 6\\nosupersub{}","plainCitation":"6","noteIndex":0},"citationItems":[{"id":1223,"uris":["http://zotero.org/users/12063952/items/CJAY6GPG"],"itemData":{"id":1223,"type":"article-journal","abstract":"Membraneless organelles (MLOs) are likely assembled via liquid–liquid phase separation (LLPS). The liquid‐like MLOs afford multifold peculiarities including high dynamics, reversibility and responsiveness. It is common to see fast, drastic, and reversible formation and dissolution events of MLOs, as well as transition into more stable glassy or gel‐like states, which suggests a metastable assembly state. Moreover, the alteration of metastability of LLPS is linked with cellular pathology. Here, we review the “metastability” related to MLOs driven by liquid phase separation, from multifaceted regards including energy state, molecular interactions, molecular structure, phase transition, as well as the associations with diseases. This review can help to advance the insight into properties and pathogenesis associated with LLPS of biological matter.","container-title":"Applied Research","DOI":"10.1002/appl.202300071","ISSN":"2702-4288, 2702-4288","issue":"2","journalAbbreviation":"Applied Research","language":"en","page":"e202300071","source":"DOI.org (Crossref)","title":"Metastable biological matter in liquid phase separation","volume":"3","author":[{"family":"Liu","given":"Jianhui"},{"family":"Liu","given":"Xiaolin"},{"family":"Zhang","given":"Tianfu"},{"family":"Huang","given":"Jinqing"},{"family":"Tang","given":"Ben Zhong"},{"family":"Chau","given":"Ying"}],"issued":{"date-parts":[["2024",4]]}}}],"schema":"https://github.com/citation-style-language/schema/raw/master/csl-citation.json"} </w:instrText>
      </w:r>
      <w:r w:rsidR="00247DB8">
        <w:fldChar w:fldCharType="separate"/>
      </w:r>
      <w:r w:rsidR="00785CB3" w:rsidRPr="00785CB3">
        <w:rPr>
          <w:vertAlign w:val="superscript"/>
        </w:rPr>
        <w:t>6</w:t>
      </w:r>
      <w:r w:rsidR="00247DB8">
        <w:fldChar w:fldCharType="end"/>
      </w:r>
      <w:r w:rsidR="00CD32EA">
        <w:t xml:space="preserve">. </w:t>
      </w:r>
      <w:r w:rsidR="001A47F7">
        <w:t xml:space="preserve"> </w:t>
      </w:r>
      <w:r w:rsidR="00CD32EA">
        <w:t xml:space="preserve">This behavior is governed by a complex balance of weak multivalent interactions, including electrostatic, π–π, </w:t>
      </w:r>
      <w:r w:rsidR="00131D3F">
        <w:t xml:space="preserve">cation-π, </w:t>
      </w:r>
      <w:r w:rsidR="00CD32EA">
        <w:t>and hydrogen bonding, which</w:t>
      </w:r>
      <w:r w:rsidR="00CD32EA" w:rsidDel="00A17069">
        <w:t xml:space="preserve"> </w:t>
      </w:r>
      <w:r w:rsidR="00A17069">
        <w:t xml:space="preserve">allow </w:t>
      </w:r>
      <w:r w:rsidR="00CD32EA">
        <w:t>dynamic molecular rearrangements without compromising structural integrity</w:t>
      </w:r>
      <w:r w:rsidR="00247DB8">
        <w:fldChar w:fldCharType="begin"/>
      </w:r>
      <w:r w:rsidR="00785CB3">
        <w:instrText xml:space="preserve"> ADDIN ZOTERO_ITEM CSL_CITATION {"citationID":"Ra0ejLdJ","properties":{"formattedCitation":"\\super 8\\nosupersub{}","plainCitation":"8","noteIndex":0},"citationItems":[{"id":1227,"uris":["http://zotero.org/users/12063952/items/6LAQEDUV"],"itemData":{"id":1227,"type":"article-journal","abstract":"Significance\n            Living cells rely on a continuous flux of energy to spatially organize biochemical processes. It remains unclear whether cells can achieve this spatial organization via thermodynamic principles. Here, we report the striking behavior of a cold-blooded organism that reacts to environmental temperature changes similar to a thermodynamic system at local equilibrium. Our key finding is that protein-rich droplets form and dissolve reversibly with temperature due to changes in the organism’s entropy. We show that the organism uses a specific molecule to extend droplet stability to the natural temperature range of the organism’s habitat. Due to the relevance of such protein droplets for the organism’s fertility, our work sheds light on how molecular components could facilitate biological functions via thermodynamic principles.\n          , \n            \n              Membraneless compartments, also known as condensates, provide chemically distinct environments and thus spatially organize the cell. A well-studied example of condensates is P granules in the roundworm\n              Caenorhabditis elegans\n              that play an important role in the development of the germline. P granules are RNA-rich protein condensates that share the key properties of liquid droplets such as a spherical shape, the ability to fuse, and fast diffusion of their molecular components. An outstanding question is to what extent phase separation at thermodynamic equilibrium is appropriate to describe the formation of condensates in an active cellular environment. To address this question, we investigate the response of P granule condensates in living cells to temperature changes. We observe that P granules dissolve upon increasing the temperature and recondense upon lowering the temperature in a reversible manner. Strikingly, this temperature response can be captured by in vivo phase diagrams that are well described by a Flory–Huggins model at thermodynamic equilibrium. This finding is surprising due to active processes in a living cell. To address the impact of such active processes on intracellular phase separation, we discuss temperature heterogeneities. We show that, for typical estimates of the density of active processes, temperature represents a well-defined variable and that mesoscopic volume elements are at local thermodynamic equilibrium. Our findings provide strong evidence that P granule assembly and disassembly are governed by phase separation based on local thermal equilibria where the nonequilibrium nature of the cytoplasm is manifested on larger scales.","container-title":"Proceedings of the National Academy of Sciences","DOI":"10.1073/pnas.2102772118","ISSN":"0027-8424, 1091-6490","issue":"37","journalAbbreviation":"Proc. Natl. Acad. Sci. U.S.A.","language":"en","page":"e2102772118","source":"DOI.org (Crossref)","title":"Local thermodynamics govern formation and dissolution of &lt;i&gt;Caenorhabditis&lt;/i&gt; elegans P granule condensates","volume":"118","author":[{"family":"Fritsch","given":"Anatol W."},{"family":"Diaz-Delgadillo","given":"Andrés F."},{"family":"Adame-Arana","given":"Omar"},{"family":"Hoege","given":"Carsten"},{"family":"Mittasch","given":"Matthäus"},{"family":"Kreysing","given":"Moritz"},{"family":"Leaver","given":"Mark"},{"family":"Hyman","given":"Anthony A."},{"family":"Jülicher","given":"Frank"},{"family":"Weber","given":"Christoph A."}],"issued":{"date-parts":[["2021",9,14]]}}}],"schema":"https://github.com/citation-style-language/schema/raw/master/csl-citation.json"} </w:instrText>
      </w:r>
      <w:r w:rsidR="00247DB8">
        <w:fldChar w:fldCharType="separate"/>
      </w:r>
      <w:r w:rsidR="00785CB3" w:rsidRPr="00785CB3">
        <w:rPr>
          <w:vertAlign w:val="superscript"/>
        </w:rPr>
        <w:t>8</w:t>
      </w:r>
      <w:r w:rsidR="00247DB8">
        <w:fldChar w:fldCharType="end"/>
      </w:r>
      <w:r w:rsidR="00CD32EA">
        <w:t xml:space="preserve">. </w:t>
      </w:r>
      <w:r w:rsidR="00FF0FB5">
        <w:t xml:space="preserve"> </w:t>
      </w:r>
      <w:r w:rsidR="00CD32EA">
        <w:t>The phase-separated environment also ensures that individual phases retain their intrinsic properties while participating in interphase interactions that generate emergent, unified functionalities.</w:t>
      </w:r>
      <w:r w:rsidR="00070A32">
        <w:rPr>
          <w:b/>
          <w:bCs/>
          <w:u w:val="single"/>
        </w:rPr>
        <w:br w:type="page"/>
      </w:r>
    </w:p>
    <w:p w14:paraId="3534C3CF" w14:textId="78C4E104" w:rsidR="00401DDF" w:rsidRPr="009F29EF" w:rsidRDefault="00401DDF" w:rsidP="00E82A14">
      <w:pPr>
        <w:spacing w:line="480" w:lineRule="auto"/>
        <w:jc w:val="both"/>
        <w:rPr>
          <w:b/>
          <w:bCs/>
          <w:u w:val="single"/>
        </w:rPr>
      </w:pPr>
      <w:r w:rsidRPr="009F29EF">
        <w:rPr>
          <w:b/>
          <w:bCs/>
          <w:u w:val="single"/>
        </w:rPr>
        <w:lastRenderedPageBreak/>
        <w:t xml:space="preserve">Supplementary Note </w:t>
      </w:r>
      <w:r w:rsidR="000C06C0">
        <w:rPr>
          <w:b/>
          <w:bCs/>
          <w:u w:val="single"/>
        </w:rPr>
        <w:t>3</w:t>
      </w:r>
    </w:p>
    <w:p w14:paraId="47D2A8A4" w14:textId="7EFCD9BC" w:rsidR="006E1931" w:rsidRDefault="006E1931" w:rsidP="006E1931">
      <w:pPr>
        <w:pStyle w:val="NormalWeb"/>
        <w:spacing w:line="480" w:lineRule="auto"/>
      </w:pPr>
      <w:r>
        <w:rPr>
          <w:rStyle w:val="Strong"/>
          <w:rFonts w:eastAsiaTheme="majorEastAsia"/>
        </w:rPr>
        <w:t xml:space="preserve">Metastable Phase-Separated Network Due to Dissimilar Bonding </w:t>
      </w:r>
      <w:r w:rsidR="00B465CA">
        <w:rPr>
          <w:rStyle w:val="Strong"/>
          <w:rFonts w:eastAsiaTheme="majorEastAsia"/>
        </w:rPr>
        <w:t>Mechanism</w:t>
      </w:r>
    </w:p>
    <w:p w14:paraId="779C7D0F" w14:textId="2013BEB0" w:rsidR="006E1931" w:rsidRDefault="6A540DBE" w:rsidP="000C06C0">
      <w:pPr>
        <w:pStyle w:val="NormalWeb"/>
        <w:spacing w:line="480" w:lineRule="auto"/>
        <w:jc w:val="both"/>
      </w:pPr>
      <w:r>
        <w:t>At room temperature, mixing all the components of the ionic biogel</w:t>
      </w:r>
      <w:r w:rsidDel="00E34013">
        <w:t xml:space="preserve"> </w:t>
      </w:r>
      <w:r w:rsidR="307D71B3">
        <w:t>(</w:t>
      </w:r>
      <w:r>
        <w:t>as detailed in the Methods section</w:t>
      </w:r>
      <w:r w:rsidR="307D71B3">
        <w:t>)</w:t>
      </w:r>
      <w:r w:rsidDel="006C3956">
        <w:t xml:space="preserve"> </w:t>
      </w:r>
      <w:r>
        <w:t xml:space="preserve">and allowing the mixture to stand for two hours </w:t>
      </w:r>
      <w:r w:rsidR="5BEB5139">
        <w:t xml:space="preserve">initially </w:t>
      </w:r>
      <w:r>
        <w:t>result</w:t>
      </w:r>
      <w:r w:rsidR="2C30EADB">
        <w:t>s</w:t>
      </w:r>
      <w:r>
        <w:t xml:space="preserve"> in a kinetically restricted amorphous gel</w:t>
      </w:r>
      <w:r w:rsidR="008C6FA1">
        <w:fldChar w:fldCharType="begin"/>
      </w:r>
      <w:r w:rsidR="00785CB3">
        <w:instrText xml:space="preserve"> ADDIN ZOTERO_ITEM CSL_CITATION {"citationID":"9G56CF50","properties":{"formattedCitation":"\\super 2,3\\nosupersub{}","plainCitation":"2,3","noteIndex":0},"citationItems":[{"id":1281,"uris":["http://zotero.org/users/12063952/items/SKMQ2AL6"],"itemData":{"id":1281,"type":"article-journal","abstract":"Abstract\n            Natural material‐based hydrogels are considered ideal candidates for constructing robust bio‐interfaces due to their environmentally sustainable nature and biocompatibility. However, these hydrogels often encounter limitations such as weak mechanical strength, low water resistance, and poor ionic conductivity. Here, inspired by the role of natural moisturizing factor (NMF) in skin, a straightforward yet versatile strategy is proposed for fabricating all‐natural ionic biogels that exhibit high resilience, ionic conductivity, resistance to dehydration, and complete degradability, without necessitating any chemical modification. A well‐balanced combination of gelatin and sodium pyrrolidone carboxylic acid (an NMF compound) gives rise to a significant enhancement in the mechanical strength, ionic conductivity, and water retention capacity of the biogel compared to pure gelatin hydrogel. The biogel manifests temperature‐controlled reversible fluid‐gel transition properties attributed to the triple‐helix junctions of gelatin, which enables in situ gelation on diverse substrates, thereby ensuring conformal contact and dynamic compliance with curved surfaces. Due to its salutary properties, the biogel can serve as an effective and biocompatible interface for high‐quality and long‐term electrophysiological signal recording. These findings provide a general and scalable approach for designing natural material‐based hydrogels with tailored functionalities to meet diverse application needs.","container-title":"Advanced Materials","DOI":"10.1002/adma.202401151","ISSN":"0935-9648, 1521-4095","issue":"25","journalAbbreviation":"Advanced Materials","language":"en","page":"2401151","source":"DOI.org (Crossref)","title":"Skin‐Inspired All‐Natural Biogel for Bioadhesive Interface","volume":"36","author":[{"family":"Lan","given":"Lingyi"},{"family":"Ping","given":"Jianfeng"},{"family":"Li","given":"Huiyan"},{"family":"Wang","given":"Chengjun"},{"family":"Li","given":"Guang"},{"family":"Song","given":"Jizhou"},{"family":"Ying","given":"Yibin"}],"issued":{"date-parts":[["2024",6]]}}},{"id":1193,"uris":["http://zotero.org/users/12063952/items/LWR2VJK4"],"itemData":{"id":1193,"type":"article-journal","abstract":"Long-term high-fidelity electroencephalogram (EEG) recordings are critical for clinical and brain science applications. Conductive liquid-like or solid-like wet interface materials have been conventionally used as reliable interfaces for EEG recording. However, because of their simplex liquid or solid phase, electrodes with them as interfaces confront inadequate dynamic adaptability to hairy scalp, which makes it challenging to maintain stable and efficient contact of electrodes with scalp for long-term EEG recording. Here, we develop an on-skin paintable conductive biogel that shows temperature-controlled reversible fluid-gel transition to address the abovementioned limitation. This phase transition endows the biogel with unique on-skin paintability and in situ gelatinization, establishing conformal contact and dynamic compliance of electrodes with hairy scalp. The biogel is demonstrated as an efficient interface for long-term high-quality EEG recording over several days and for the high-performance capture and classification of evoked potentials. The paintable biogel offers a biocompatible and long-term reliable interface for EEG-based systems.\n          , \n            On-skin paintable biogel with the temperature-controlled fluid-gel transition merit is designed for reliable EEG recording.","container-title":"Science Advances","DOI":"10.1126/sciadv.abo1396","ISSN":"2375-2548","issue":"20","journalAbbreviation":"Sci. Adv.","language":"en","page":"eabo1396","source":"DOI.org (Crossref)","title":"On-skin paintable biogel for long-term high-fidelity electroencephalogram recording","volume":"8","author":[{"family":"Wang","given":"Chunya"},{"family":"Wang","given":"Haoyang"},{"family":"Wang","given":"Binghao"},{"family":"Miyata","given":"Hiroo"},{"family":"Wang","given":"Yan"},{"family":"Nayeem","given":"Md Osman Goni"},{"family":"Kim","given":"Jae Joon"},{"family":"Lee","given":"Sunghoon"},{"family":"Yokota","given":"Tomoyuki"},{"family":"Onodera","given":"Hiroshi"},{"family":"Someya","given":"Takao"}],"issued":{"date-parts":[["2022",5,20]]}}}],"schema":"https://github.com/citation-style-language/schema/raw/master/csl-citation.json"} </w:instrText>
      </w:r>
      <w:r w:rsidR="008C6FA1">
        <w:fldChar w:fldCharType="separate"/>
      </w:r>
      <w:r w:rsidR="00785CB3" w:rsidRPr="00785CB3">
        <w:rPr>
          <w:vertAlign w:val="superscript"/>
        </w:rPr>
        <w:t>2,3</w:t>
      </w:r>
      <w:r w:rsidR="008C6FA1">
        <w:fldChar w:fldCharType="end"/>
      </w:r>
      <w:r>
        <w:t xml:space="preserve">. </w:t>
      </w:r>
      <w:r w:rsidR="32DA1FF4">
        <w:t xml:space="preserve"> </w:t>
      </w:r>
      <w:r>
        <w:t xml:space="preserve">This gel comprises two distinct polymer networks: the PEDOT:PSS/ionic liquid network (Network A) stabilized by electrostatic interactions, and the gelatin/glycerol/salt network (Network B) stabilized by hydrogen bonding. </w:t>
      </w:r>
      <w:r w:rsidR="4A783ED6">
        <w:t xml:space="preserve"> </w:t>
      </w:r>
      <w:r>
        <w:t xml:space="preserve">Although the Gibbs free energy of mixing </w:t>
      </w:r>
      <m:oMath>
        <m:r>
          <w:rPr>
            <w:rStyle w:val="katex-mathml"/>
            <w:rFonts w:ascii="Cambria Math" w:eastAsiaTheme="majorEastAsia" w:hAnsi="Cambria Math"/>
          </w:rPr>
          <m:t>Δ</m:t>
        </m:r>
        <m:sSub>
          <m:sSubPr>
            <m:ctrlPr>
              <w:rPr>
                <w:rStyle w:val="katex-mathml"/>
                <w:rFonts w:ascii="Cambria Math" w:eastAsiaTheme="majorEastAsia" w:hAnsi="Cambria Math"/>
                <w:i/>
              </w:rPr>
            </m:ctrlPr>
          </m:sSubPr>
          <m:e>
            <m:r>
              <w:rPr>
                <w:rStyle w:val="katex-mathml"/>
                <w:rFonts w:ascii="Cambria Math" w:eastAsiaTheme="majorEastAsia" w:hAnsi="Cambria Math"/>
              </w:rPr>
              <m:t>G</m:t>
            </m:r>
          </m:e>
          <m:sub>
            <m:r>
              <w:rPr>
                <w:rStyle w:val="katex-mathml"/>
                <w:rFonts w:ascii="Cambria Math" w:eastAsiaTheme="majorEastAsia" w:hAnsi="Cambria Math"/>
              </w:rPr>
              <m:t>mix</m:t>
            </m:r>
          </m:sub>
        </m:sSub>
        <m:r>
          <w:rPr>
            <w:rStyle w:val="katex-mathml"/>
            <w:rFonts w:ascii="Cambria Math" w:eastAsiaTheme="majorEastAsia" w:hAnsi="Cambria Math"/>
          </w:rPr>
          <m:t>&gt;0</m:t>
        </m:r>
      </m:oMath>
      <w:r>
        <w:t xml:space="preserve"> is positive</w:t>
      </w:r>
      <w:r w:rsidR="7ABD4CD4">
        <w:t xml:space="preserve"> (</w:t>
      </w:r>
      <w:r>
        <w:t>indicating thermodynamic instability and a tendency toward phase separation</w:t>
      </w:r>
      <w:r w:rsidR="7ABD4CD4">
        <w:t>)</w:t>
      </w:r>
      <w:r w:rsidR="2CBFC323">
        <w:t>,</w:t>
      </w:r>
      <w:r w:rsidR="7ABD4CD4">
        <w:t xml:space="preserve"> </w:t>
      </w:r>
      <w:r>
        <w:t xml:space="preserve">the high activation energy barriers and limited molecular mobility at room temperature prevent phase separation, trapping the system in an amorphous state. </w:t>
      </w:r>
      <w:r w:rsidR="2CBFC323">
        <w:t xml:space="preserve"> </w:t>
      </w:r>
      <w:r w:rsidR="2230696B">
        <w:t>As</w:t>
      </w:r>
      <w:r w:rsidDel="007A2669">
        <w:t xml:space="preserve"> </w:t>
      </w:r>
      <w:r>
        <w:t>the temperature</w:t>
      </w:r>
      <w:r w:rsidR="2230696B" w:rsidRPr="007A2669">
        <w:t xml:space="preserve"> </w:t>
      </w:r>
      <w:r w:rsidR="2230696B">
        <w:t>increases</w:t>
      </w:r>
      <w:r>
        <w:t xml:space="preserve">, the Flory-Huggins interaction parameter </w:t>
      </w:r>
      <m:oMath>
        <m:r>
          <w:rPr>
            <w:rStyle w:val="katex-mathml"/>
            <w:rFonts w:ascii="Cambria Math" w:eastAsiaTheme="majorEastAsia" w:hAnsi="Cambria Math"/>
          </w:rPr>
          <m:t>χ</m:t>
        </m:r>
      </m:oMath>
      <w:r>
        <w:t xml:space="preserve"> decreases (as explained </w:t>
      </w:r>
      <w:r w:rsidR="7F555032">
        <w:t>in the following</w:t>
      </w:r>
      <w:r>
        <w:t xml:space="preserve">), leading to a negative </w:t>
      </w:r>
      <m:oMath>
        <m:r>
          <w:rPr>
            <w:rStyle w:val="katex-mathml"/>
            <w:rFonts w:ascii="Cambria Math" w:eastAsiaTheme="majorEastAsia" w:hAnsi="Cambria Math"/>
          </w:rPr>
          <m:t>Δ</m:t>
        </m:r>
        <m:sSub>
          <m:sSubPr>
            <m:ctrlPr>
              <w:rPr>
                <w:rStyle w:val="katex-mathml"/>
                <w:rFonts w:ascii="Cambria Math" w:eastAsiaTheme="majorEastAsia" w:hAnsi="Cambria Math"/>
                <w:i/>
              </w:rPr>
            </m:ctrlPr>
          </m:sSubPr>
          <m:e>
            <m:r>
              <w:rPr>
                <w:rStyle w:val="katex-mathml"/>
                <w:rFonts w:ascii="Cambria Math" w:eastAsiaTheme="majorEastAsia" w:hAnsi="Cambria Math"/>
              </w:rPr>
              <m:t>G</m:t>
            </m:r>
          </m:e>
          <m:sub>
            <m:r>
              <w:rPr>
                <w:rStyle w:val="katex-mathml"/>
                <w:rFonts w:ascii="Cambria Math" w:eastAsiaTheme="majorEastAsia" w:hAnsi="Cambria Math"/>
              </w:rPr>
              <m:t>mix</m:t>
            </m:r>
          </m:sub>
        </m:sSub>
      </m:oMath>
      <w:r>
        <w:t xml:space="preserve"> and making the system thermodynamically favo</w:t>
      </w:r>
      <w:r w:rsidR="7EC6080F">
        <w:t>u</w:t>
      </w:r>
      <w:r>
        <w:t>rable for mixing</w:t>
      </w:r>
      <w:r w:rsidR="484D970E">
        <w:t xml:space="preserve">.  As a result, </w:t>
      </w:r>
      <w:r>
        <w:t>the polymers become partially miscible, forming a homogeneous mixture.</w:t>
      </w:r>
      <w:r w:rsidR="484D970E">
        <w:t xml:space="preserve"> </w:t>
      </w:r>
      <w:r>
        <w:t xml:space="preserve"> Cooling back to room temperature—from high temperature for the first time and onwards—results in </w:t>
      </w:r>
      <w:r w:rsidR="3E86182C">
        <w:t xml:space="preserve">ionic biogel with </w:t>
      </w:r>
      <w:r>
        <w:t xml:space="preserve">a metastable phase-separated state rather than the initial amorphous gel. </w:t>
      </w:r>
      <w:r w:rsidR="30BF6FC1">
        <w:t xml:space="preserve"> </w:t>
      </w:r>
      <w:r>
        <w:t xml:space="preserve">This is because the cooling process reduces the activation energy barriers compared to the initial state, kinetically </w:t>
      </w:r>
      <w:r w:rsidR="6F598E67">
        <w:t xml:space="preserve">facilitating the </w:t>
      </w:r>
      <w:r>
        <w:t>form</w:t>
      </w:r>
      <w:r w:rsidR="6F598E67">
        <w:t>ation of</w:t>
      </w:r>
      <w:r w:rsidDel="00D57530">
        <w:t xml:space="preserve"> </w:t>
      </w:r>
      <w:r>
        <w:t>the phase-separated structure</w:t>
      </w:r>
      <w:r w:rsidR="008C6FA1">
        <w:fldChar w:fldCharType="begin"/>
      </w:r>
      <w:r w:rsidR="00785CB3">
        <w:instrText xml:space="preserve"> ADDIN ZOTERO_ITEM CSL_CITATION {"citationID":"pXFOWIgD","properties":{"formattedCitation":"\\super 9\\nosupersub{}","plainCitation":"9","noteIndex":0},"citationItems":[{"id":1309,"uris":["http://zotero.org/users/12063952/items/37FVULP9"],"itemData":{"id":1309,"type":"article-journal","container-title":"Nature Materials","DOI":"10.1038/s41563-023-01569-2","ISSN":"1476-1122, 1476-4660","issue":"7","journalAbbreviation":"Nat. Mater.","language":"en","page":"895-902","source":"DOI.org (Crossref)","title":"3D printable high-performance conducting polymer hydrogel for all-hydrogel bioelectronic interfaces","volume":"22","author":[{"family":"Zhou","given":"Tao"},{"family":"Yuk","given":"Hyunwoo"},{"family":"Hu","given":"Faqi"},{"family":"Wu","given":"Jingjing"},{"family":"Tian","given":"Fajuan"},{"family":"Roh","given":"Heejung"},{"family":"Shen","given":"Zequn"},{"family":"Gu","given":"Guoying"},{"family":"Xu","given":"Jingkun"},{"family":"Lu","given":"Baoyang"},{"family":"Zhao","given":"Xuanhe"}],"issued":{"date-parts":[["2023",7]]}}}],"schema":"https://github.com/citation-style-language/schema/raw/master/csl-citation.json"} </w:instrText>
      </w:r>
      <w:r w:rsidR="008C6FA1">
        <w:fldChar w:fldCharType="separate"/>
      </w:r>
      <w:r w:rsidR="00785CB3" w:rsidRPr="00785CB3">
        <w:rPr>
          <w:vertAlign w:val="superscript"/>
        </w:rPr>
        <w:t>9</w:t>
      </w:r>
      <w:r w:rsidR="008C6FA1">
        <w:fldChar w:fldCharType="end"/>
      </w:r>
      <w:r>
        <w:t>.</w:t>
      </w:r>
    </w:p>
    <w:p w14:paraId="49768E5A" w14:textId="6DA81B05" w:rsidR="006E1931" w:rsidRDefault="006E1931" w:rsidP="00A22FC4">
      <w:pPr>
        <w:pStyle w:val="NormalWeb"/>
        <w:spacing w:line="480" w:lineRule="auto"/>
        <w:ind w:firstLine="720"/>
        <w:jc w:val="both"/>
      </w:pPr>
      <w:r>
        <w:t xml:space="preserve">The </w:t>
      </w:r>
      <w:r w:rsidR="00A41B32">
        <w:t xml:space="preserve">change in the </w:t>
      </w:r>
      <w:r>
        <w:t>total Gibbs free energy upon mixing (</w:t>
      </w:r>
      <m:oMath>
        <m:r>
          <w:rPr>
            <w:rStyle w:val="katex-mathml"/>
            <w:rFonts w:ascii="Cambria Math" w:eastAsiaTheme="majorEastAsia" w:hAnsi="Cambria Math"/>
          </w:rPr>
          <m:t>Δ</m:t>
        </m:r>
        <m:sSub>
          <m:sSubPr>
            <m:ctrlPr>
              <w:rPr>
                <w:rStyle w:val="katex-mathml"/>
                <w:rFonts w:ascii="Cambria Math" w:eastAsiaTheme="majorEastAsia" w:hAnsi="Cambria Math"/>
                <w:i/>
              </w:rPr>
            </m:ctrlPr>
          </m:sSubPr>
          <m:e>
            <m:r>
              <w:rPr>
                <w:rStyle w:val="katex-mathml"/>
                <w:rFonts w:ascii="Cambria Math" w:eastAsiaTheme="majorEastAsia" w:hAnsi="Cambria Math"/>
              </w:rPr>
              <m:t>G</m:t>
            </m:r>
          </m:e>
          <m:sub>
            <m:r>
              <w:rPr>
                <w:rStyle w:val="katex-mathml"/>
                <w:rFonts w:ascii="Cambria Math" w:eastAsiaTheme="majorEastAsia" w:hAnsi="Cambria Math"/>
              </w:rPr>
              <m:t>mix</m:t>
            </m:r>
          </m:sub>
        </m:sSub>
      </m:oMath>
      <w:r>
        <w:t>) of the two networks can be expressed as:</w:t>
      </w:r>
    </w:p>
    <w:p w14:paraId="643FEDBB" w14:textId="65217E62" w:rsidR="006E1931" w:rsidRDefault="003B3D16" w:rsidP="00A22FC4">
      <w:pPr>
        <w:tabs>
          <w:tab w:val="center" w:pos="4680"/>
          <w:tab w:val="right" w:pos="9360"/>
        </w:tabs>
        <w:spacing w:line="480" w:lineRule="auto"/>
        <w:jc w:val="both"/>
      </w:pPr>
      <w:r>
        <w:tab/>
      </w:r>
      <m:oMath>
        <m:r>
          <w:rPr>
            <w:rStyle w:val="katex-mathml"/>
            <w:rFonts w:ascii="Cambria Math" w:eastAsiaTheme="majorEastAsia" w:hAnsi="Cambria Math"/>
          </w:rPr>
          <m:t>Δ</m:t>
        </m:r>
        <m:sSub>
          <m:sSubPr>
            <m:ctrlPr>
              <w:rPr>
                <w:rStyle w:val="katex-mathml"/>
                <w:rFonts w:ascii="Cambria Math" w:eastAsiaTheme="majorEastAsia" w:hAnsi="Cambria Math"/>
                <w:i/>
              </w:rPr>
            </m:ctrlPr>
          </m:sSubPr>
          <m:e>
            <m:r>
              <w:rPr>
                <w:rStyle w:val="katex-mathml"/>
                <w:rFonts w:ascii="Cambria Math" w:eastAsiaTheme="majorEastAsia" w:hAnsi="Cambria Math"/>
              </w:rPr>
              <m:t>G</m:t>
            </m:r>
          </m:e>
          <m:sub>
            <m:r>
              <w:rPr>
                <w:rStyle w:val="katex-mathml"/>
                <w:rFonts w:ascii="Cambria Math" w:eastAsiaTheme="majorEastAsia" w:hAnsi="Cambria Math"/>
              </w:rPr>
              <m:t>mix</m:t>
            </m:r>
          </m:sub>
        </m:sSub>
        <m:r>
          <w:rPr>
            <w:rStyle w:val="katex-mathml"/>
            <w:rFonts w:ascii="Cambria Math" w:eastAsiaTheme="majorEastAsia" w:hAnsi="Cambria Math"/>
          </w:rPr>
          <m:t>=Δ</m:t>
        </m:r>
        <m:sSub>
          <m:sSubPr>
            <m:ctrlPr>
              <w:rPr>
                <w:rStyle w:val="katex-mathml"/>
                <w:rFonts w:ascii="Cambria Math" w:eastAsiaTheme="majorEastAsia" w:hAnsi="Cambria Math"/>
                <w:i/>
              </w:rPr>
            </m:ctrlPr>
          </m:sSubPr>
          <m:e>
            <m:r>
              <w:rPr>
                <w:rStyle w:val="katex-mathml"/>
                <w:rFonts w:ascii="Cambria Math" w:eastAsiaTheme="majorEastAsia" w:hAnsi="Cambria Math"/>
              </w:rPr>
              <m:t>H</m:t>
            </m:r>
          </m:e>
          <m:sub>
            <m:r>
              <w:rPr>
                <w:rStyle w:val="katex-mathml"/>
                <w:rFonts w:ascii="Cambria Math" w:eastAsiaTheme="majorEastAsia" w:hAnsi="Cambria Math"/>
              </w:rPr>
              <m:t>mix</m:t>
            </m:r>
          </m:sub>
        </m:sSub>
        <m:r>
          <w:rPr>
            <w:rStyle w:val="katex-mathml"/>
            <w:rFonts w:ascii="Cambria Math" w:eastAsiaTheme="majorEastAsia" w:hAnsi="Cambria Math"/>
          </w:rPr>
          <m:t>-TΔ</m:t>
        </m:r>
        <m:sSub>
          <m:sSubPr>
            <m:ctrlPr>
              <w:rPr>
                <w:rStyle w:val="katex-mathml"/>
                <w:rFonts w:ascii="Cambria Math" w:eastAsiaTheme="majorEastAsia" w:hAnsi="Cambria Math"/>
                <w:i/>
              </w:rPr>
            </m:ctrlPr>
          </m:sSubPr>
          <m:e>
            <m:r>
              <w:rPr>
                <w:rStyle w:val="katex-mathml"/>
                <w:rFonts w:ascii="Cambria Math" w:eastAsiaTheme="majorEastAsia" w:hAnsi="Cambria Math"/>
              </w:rPr>
              <m:t>S</m:t>
            </m:r>
          </m:e>
          <m:sub>
            <m:r>
              <w:rPr>
                <w:rStyle w:val="katex-mathml"/>
                <w:rFonts w:ascii="Cambria Math" w:eastAsiaTheme="majorEastAsia" w:hAnsi="Cambria Math"/>
              </w:rPr>
              <m:t>mix</m:t>
            </m:r>
          </m:sub>
        </m:sSub>
      </m:oMath>
      <w:r w:rsidR="00B47214">
        <w:rPr>
          <w:rStyle w:val="katex-mathml"/>
        </w:rPr>
        <w:t>,</w:t>
      </w:r>
      <w:r w:rsidR="00806841">
        <w:rPr>
          <w:rStyle w:val="katex-mathml"/>
        </w:rPr>
        <w:tab/>
        <w:t>(</w:t>
      </w:r>
      <w:r w:rsidR="008843B8">
        <w:rPr>
          <w:rStyle w:val="katex-mathml"/>
        </w:rPr>
        <w:t>S</w:t>
      </w:r>
      <w:r w:rsidR="00806841">
        <w:rPr>
          <w:rStyle w:val="katex-mathml"/>
        </w:rPr>
        <w:t>1)</w:t>
      </w:r>
    </w:p>
    <w:p w14:paraId="494407B1" w14:textId="77F56DDC" w:rsidR="006E1931" w:rsidRDefault="006E1931" w:rsidP="006E1931">
      <w:pPr>
        <w:pStyle w:val="NormalWeb"/>
        <w:spacing w:line="480" w:lineRule="auto"/>
        <w:jc w:val="both"/>
      </w:pPr>
      <w:r>
        <w:lastRenderedPageBreak/>
        <w:t xml:space="preserve">where </w:t>
      </w:r>
      <m:oMath>
        <m:r>
          <w:rPr>
            <w:rStyle w:val="katex-mathml"/>
            <w:rFonts w:ascii="Cambria Math" w:eastAsiaTheme="majorEastAsia" w:hAnsi="Cambria Math"/>
          </w:rPr>
          <m:t>Δ</m:t>
        </m:r>
        <m:sSub>
          <m:sSubPr>
            <m:ctrlPr>
              <w:rPr>
                <w:rStyle w:val="katex-mathml"/>
                <w:rFonts w:ascii="Cambria Math" w:eastAsiaTheme="majorEastAsia" w:hAnsi="Cambria Math"/>
                <w:i/>
              </w:rPr>
            </m:ctrlPr>
          </m:sSubPr>
          <m:e>
            <m:r>
              <w:rPr>
                <w:rStyle w:val="katex-mathml"/>
                <w:rFonts w:ascii="Cambria Math" w:eastAsiaTheme="majorEastAsia" w:hAnsi="Cambria Math"/>
              </w:rPr>
              <m:t>H</m:t>
            </m:r>
          </m:e>
          <m:sub>
            <m:r>
              <w:rPr>
                <w:rStyle w:val="katex-mathml"/>
                <w:rFonts w:ascii="Cambria Math" w:eastAsiaTheme="majorEastAsia" w:hAnsi="Cambria Math"/>
              </w:rPr>
              <m:t>mix</m:t>
            </m:r>
          </m:sub>
        </m:sSub>
      </m:oMath>
      <w:r>
        <w:t xml:space="preserve"> is the enthalpy change of mixing, </w:t>
      </w:r>
      <m:oMath>
        <m:r>
          <w:rPr>
            <w:rStyle w:val="katex-mathml"/>
            <w:rFonts w:ascii="Cambria Math" w:eastAsiaTheme="majorEastAsia" w:hAnsi="Cambria Math"/>
          </w:rPr>
          <m:t>Δ</m:t>
        </m:r>
        <m:sSub>
          <m:sSubPr>
            <m:ctrlPr>
              <w:rPr>
                <w:rStyle w:val="katex-mathml"/>
                <w:rFonts w:ascii="Cambria Math" w:eastAsiaTheme="majorEastAsia" w:hAnsi="Cambria Math"/>
                <w:i/>
              </w:rPr>
            </m:ctrlPr>
          </m:sSubPr>
          <m:e>
            <m:r>
              <w:rPr>
                <w:rStyle w:val="katex-mathml"/>
                <w:rFonts w:ascii="Cambria Math" w:eastAsiaTheme="majorEastAsia" w:hAnsi="Cambria Math"/>
              </w:rPr>
              <m:t>S</m:t>
            </m:r>
          </m:e>
          <m:sub>
            <m:r>
              <w:rPr>
                <w:rStyle w:val="katex-mathml"/>
                <w:rFonts w:ascii="Cambria Math" w:eastAsiaTheme="majorEastAsia" w:hAnsi="Cambria Math"/>
              </w:rPr>
              <m:t>mix</m:t>
            </m:r>
          </m:sub>
        </m:sSub>
      </m:oMath>
      <w:r>
        <w:t xml:space="preserve"> is the entropy change of mixing, and </w:t>
      </w:r>
      <m:oMath>
        <m:r>
          <w:rPr>
            <w:rStyle w:val="katex-mathml"/>
            <w:rFonts w:ascii="Cambria Math" w:eastAsiaTheme="majorEastAsia" w:hAnsi="Cambria Math"/>
          </w:rPr>
          <m:t>T</m:t>
        </m:r>
      </m:oMath>
      <w:r>
        <w:t xml:space="preserve"> is the absolute temperature.</w:t>
      </w:r>
      <w:r w:rsidR="008D021D">
        <w:t xml:space="preserve">  </w:t>
      </w:r>
      <w:r>
        <w:t>For the initial polymer blends at room temperature</w:t>
      </w:r>
      <w:r w:rsidDel="000E60E7">
        <w:t xml:space="preserve">, </w:t>
      </w:r>
      <w:r>
        <w:t xml:space="preserve">the enthalpy of mixing is influenced by the interaction parameter </w:t>
      </w:r>
      <m:oMath>
        <m:r>
          <w:rPr>
            <w:rStyle w:val="katex-mathml"/>
            <w:rFonts w:ascii="Cambria Math" w:eastAsiaTheme="majorEastAsia" w:hAnsi="Cambria Math"/>
          </w:rPr>
          <m:t>χ</m:t>
        </m:r>
      </m:oMath>
      <w:r w:rsidR="000E60E7">
        <w:rPr>
          <w:rStyle w:val="katex-mathml"/>
        </w:rPr>
        <w:t xml:space="preserve"> </w:t>
      </w:r>
      <w:r w:rsidR="000E60E7">
        <w:t>according to the Flory-Huggins theory</w:t>
      </w:r>
      <w:r w:rsidR="00B6242E">
        <w:fldChar w:fldCharType="begin"/>
      </w:r>
      <w:r w:rsidR="00785CB3">
        <w:instrText xml:space="preserve"> ADDIN ZOTERO_ITEM CSL_CITATION {"citationID":"imECyDH0","properties":{"formattedCitation":"\\super 10,11\\nosupersub{}","plainCitation":"10,11","noteIndex":0},"citationItems":[{"id":1333,"uris":["http://zotero.org/users/12063952/items/LE5H8728"],"itemData":{"id":1333,"type":"article-journal","abstract":"A self-consistent analytical solution for binodal concentrations of the two-component Flory–Huggins phase separation model is derived. We show that this form extends the validity of the Ginzburg–Landau expansion away from the critical point to cover the whole phase space. Furthermore, this analytical solution reveals an exponential scaling law of the dilute phase binodal concentration as a function of the interaction strength and chain length. We demonstrate explicitly the power of this approach by fitting experimental protein liquid–liquid phase separation boundaries to determine the effective chain length and solute–solvent interaction energies. Moreover, we demonstrate that this strategy allows us to resolve differences in interaction energy contributions of individual amino acids. This analytical framework can serve as a new way to decode the protein sequence grammar for liquid–liquid phase separation.","container-title":"The Journal of Physical Chemistry Letters","DOI":"10.1021/acs.jpclett.2c01986","issue":"33","journalAbbreviation":"J. Phys. Chem. Lett.","note":"publisher: American Chemical Society","page":"7853-7860","source":"ACS Publications","title":"Analytical Solution to the Flory–Huggins Model","volume":"13","author":[{"family":"Qian","given":"Daoyuan"},{"family":"Michaels","given":"Thomas C. T."},{"family":"Knowles","given":"Tuomas P. J."}],"issued":{"date-parts":[["2022",8,25]]}}},{"id":1336,"uris":["http://zotero.org/users/12063952/items/MHN8QDNC"],"itemData":{"id":1336,"type":"article-journal","abstract":"Abstract The rational development of sustainable polymeric materials demands tunable properties using mixtures of polymers with chemical variations. At the same time, the sheer number of potential variations and combinations makes experimentally or numerically studying every new mixture impractical. A direct predictive tool quantifying how material properties change when molecular features change provides a less time- and resource-consuming route to optimization. Numerically solving Flory?Huggins theory provides such a tool for mono-disperse mixtures with a limited number of components, but for multi-component systems the large number of equations makes numerical computations challenging. Approximate solutions to Flory?Huggins theory relating miscibility and solubility to molecular features are presented. The set of approximate relations show a wider range of accuracy compared to existing approximations. The combination of the analytical, lower-order, and more accurate higher-order approximations together contribute to a broader applicability and extensibility of Flory?Huggins theory.","container-title":"Macromolecular Theory and Simulations","DOI":"10.1002/mats.202300001","ISSN":"1022-1344","issue":"4","note":"publisher: John Wiley &amp; Sons, Ltd","page":"2300001","source":"onlinelibrary.wiley.com (Atypon)","title":"Predicting Multi-Component Phase Equilibria of Polymers using Approximations to Flory–Huggins Theory","volume":"32","author":[{"family":"Leuken","given":"Stijn H. M.","non-dropping-particle":"van"},{"family":"Benthem","given":"Rolf A. T. M.","non-dropping-particle":"van"},{"family":"Tuinier","given":"Remco"},{"family":"Vis","given":"Mark"}],"issued":{"date-parts":[["2023",7]]}}}],"schema":"https://github.com/citation-style-language/schema/raw/master/csl-citation.json"} </w:instrText>
      </w:r>
      <w:r w:rsidR="00B6242E">
        <w:fldChar w:fldCharType="separate"/>
      </w:r>
      <w:r w:rsidR="00785CB3" w:rsidRPr="00785CB3">
        <w:rPr>
          <w:vertAlign w:val="superscript"/>
        </w:rPr>
        <w:t>10,11</w:t>
      </w:r>
      <w:r w:rsidR="00B6242E">
        <w:fldChar w:fldCharType="end"/>
      </w:r>
      <w:r>
        <w:t>, which quantifies the energetic interactions between the polymers:</w:t>
      </w:r>
    </w:p>
    <w:p w14:paraId="51E7E585" w14:textId="0E572FB7" w:rsidR="006E1931" w:rsidRDefault="00782AFE" w:rsidP="00F04C20">
      <w:pPr>
        <w:tabs>
          <w:tab w:val="center" w:pos="4680"/>
          <w:tab w:val="right" w:pos="9360"/>
        </w:tabs>
        <w:spacing w:line="480" w:lineRule="auto"/>
        <w:jc w:val="both"/>
      </w:pPr>
      <w:r>
        <w:tab/>
      </w:r>
      <m:oMath>
        <m:r>
          <w:rPr>
            <w:rStyle w:val="katex-mathml"/>
            <w:rFonts w:ascii="Cambria Math" w:eastAsiaTheme="majorEastAsia" w:hAnsi="Cambria Math"/>
          </w:rPr>
          <m:t>Δ</m:t>
        </m:r>
        <m:sSub>
          <m:sSubPr>
            <m:ctrlPr>
              <w:rPr>
                <w:rStyle w:val="katex-mathml"/>
                <w:rFonts w:ascii="Cambria Math" w:eastAsiaTheme="majorEastAsia" w:hAnsi="Cambria Math"/>
                <w:i/>
              </w:rPr>
            </m:ctrlPr>
          </m:sSubPr>
          <m:e>
            <m:r>
              <w:rPr>
                <w:rStyle w:val="katex-mathml"/>
                <w:rFonts w:ascii="Cambria Math" w:eastAsiaTheme="majorEastAsia" w:hAnsi="Cambria Math"/>
              </w:rPr>
              <m:t>H</m:t>
            </m:r>
          </m:e>
          <m:sub>
            <m:r>
              <w:rPr>
                <w:rStyle w:val="katex-mathml"/>
                <w:rFonts w:ascii="Cambria Math" w:eastAsiaTheme="majorEastAsia" w:hAnsi="Cambria Math"/>
              </w:rPr>
              <m:t>mix</m:t>
            </m:r>
          </m:sub>
        </m:sSub>
        <m:r>
          <w:rPr>
            <w:rStyle w:val="katex-mathml"/>
            <w:rFonts w:ascii="Cambria Math" w:eastAsiaTheme="majorEastAsia" w:hAnsi="Cambria Math"/>
          </w:rPr>
          <m:t>=RTχ</m:t>
        </m:r>
        <m:sSub>
          <m:sSubPr>
            <m:ctrlPr>
              <w:rPr>
                <w:rStyle w:val="katex-mathml"/>
                <w:rFonts w:ascii="Cambria Math" w:eastAsiaTheme="majorEastAsia" w:hAnsi="Cambria Math"/>
                <w:i/>
              </w:rPr>
            </m:ctrlPr>
          </m:sSubPr>
          <m:e>
            <m:r>
              <w:rPr>
                <w:rStyle w:val="katex-mathml"/>
                <w:rFonts w:ascii="Cambria Math" w:eastAsiaTheme="majorEastAsia" w:hAnsi="Cambria Math"/>
              </w:rPr>
              <m:t>ϕ</m:t>
            </m:r>
          </m:e>
          <m:sub>
            <m:r>
              <w:rPr>
                <w:rStyle w:val="katex-mathml"/>
                <w:rFonts w:ascii="Cambria Math" w:eastAsiaTheme="majorEastAsia" w:hAnsi="Cambria Math"/>
              </w:rPr>
              <m:t>A</m:t>
            </m:r>
          </m:sub>
        </m:sSub>
        <m:sSub>
          <m:sSubPr>
            <m:ctrlPr>
              <w:rPr>
                <w:rStyle w:val="katex-mathml"/>
                <w:rFonts w:ascii="Cambria Math" w:eastAsiaTheme="majorEastAsia" w:hAnsi="Cambria Math"/>
                <w:i/>
              </w:rPr>
            </m:ctrlPr>
          </m:sSubPr>
          <m:e>
            <m:r>
              <w:rPr>
                <w:rStyle w:val="katex-mathml"/>
                <w:rFonts w:ascii="Cambria Math" w:eastAsiaTheme="majorEastAsia" w:hAnsi="Cambria Math"/>
              </w:rPr>
              <m:t>ϕ</m:t>
            </m:r>
          </m:e>
          <m:sub>
            <m:r>
              <w:rPr>
                <w:rStyle w:val="katex-mathml"/>
                <w:rFonts w:ascii="Cambria Math" w:eastAsiaTheme="majorEastAsia" w:hAnsi="Cambria Math"/>
              </w:rPr>
              <m:t>B</m:t>
            </m:r>
          </m:sub>
        </m:sSub>
      </m:oMath>
      <w:r w:rsidR="00F50B6C">
        <w:rPr>
          <w:rStyle w:val="katex-mathml"/>
        </w:rPr>
        <w:t>,</w:t>
      </w:r>
      <w:r w:rsidR="00806841">
        <w:rPr>
          <w:rStyle w:val="katex-mathml"/>
        </w:rPr>
        <w:tab/>
        <w:t>(</w:t>
      </w:r>
      <w:r w:rsidR="008843B8">
        <w:rPr>
          <w:rStyle w:val="katex-mathml"/>
        </w:rPr>
        <w:t>S</w:t>
      </w:r>
      <w:r w:rsidR="00806841">
        <w:rPr>
          <w:rStyle w:val="katex-mathml"/>
        </w:rPr>
        <w:t>2)</w:t>
      </w:r>
    </w:p>
    <w:p w14:paraId="485CFF73" w14:textId="41CE38A7" w:rsidR="006E1931" w:rsidRDefault="006E1931" w:rsidP="006E1931">
      <w:pPr>
        <w:pStyle w:val="NormalWeb"/>
        <w:spacing w:line="480" w:lineRule="auto"/>
        <w:jc w:val="both"/>
      </w:pPr>
      <w:r>
        <w:t xml:space="preserve">where </w:t>
      </w:r>
      <m:oMath>
        <m:r>
          <w:rPr>
            <w:rStyle w:val="katex-mathml"/>
            <w:rFonts w:ascii="Cambria Math" w:eastAsiaTheme="majorEastAsia" w:hAnsi="Cambria Math"/>
          </w:rPr>
          <m:t>R</m:t>
        </m:r>
      </m:oMath>
      <w:r>
        <w:t xml:space="preserve"> is the gas constant, </w:t>
      </w:r>
      <m:oMath>
        <m:sSub>
          <m:sSubPr>
            <m:ctrlPr>
              <w:rPr>
                <w:rStyle w:val="katex-mathml"/>
                <w:rFonts w:ascii="Cambria Math" w:eastAsiaTheme="majorEastAsia" w:hAnsi="Cambria Math"/>
                <w:i/>
              </w:rPr>
            </m:ctrlPr>
          </m:sSubPr>
          <m:e>
            <m:r>
              <w:rPr>
                <w:rStyle w:val="katex-mathml"/>
                <w:rFonts w:ascii="Cambria Math" w:eastAsiaTheme="majorEastAsia" w:hAnsi="Cambria Math"/>
              </w:rPr>
              <m:t>ϕ</m:t>
            </m:r>
          </m:e>
          <m:sub>
            <m:r>
              <w:rPr>
                <w:rStyle w:val="katex-mathml"/>
                <w:rFonts w:ascii="Cambria Math" w:eastAsiaTheme="majorEastAsia" w:hAnsi="Cambria Math"/>
              </w:rPr>
              <m:t>A</m:t>
            </m:r>
          </m:sub>
        </m:sSub>
      </m:oMath>
      <w:r>
        <w:t xml:space="preserve"> and </w:t>
      </w:r>
      <m:oMath>
        <m:sSub>
          <m:sSubPr>
            <m:ctrlPr>
              <w:rPr>
                <w:rStyle w:val="katex-mathml"/>
                <w:rFonts w:ascii="Cambria Math" w:eastAsiaTheme="majorEastAsia" w:hAnsi="Cambria Math"/>
                <w:i/>
              </w:rPr>
            </m:ctrlPr>
          </m:sSubPr>
          <m:e>
            <m:r>
              <w:rPr>
                <w:rStyle w:val="katex-mathml"/>
                <w:rFonts w:ascii="Cambria Math" w:eastAsiaTheme="majorEastAsia" w:hAnsi="Cambria Math"/>
              </w:rPr>
              <m:t>ϕ</m:t>
            </m:r>
          </m:e>
          <m:sub>
            <m:r>
              <w:rPr>
                <w:rStyle w:val="katex-mathml"/>
                <w:rFonts w:ascii="Cambria Math" w:eastAsiaTheme="majorEastAsia" w:hAnsi="Cambria Math"/>
              </w:rPr>
              <m:t>B</m:t>
            </m:r>
          </m:sub>
        </m:sSub>
      </m:oMath>
      <w:r>
        <w:t xml:space="preserve"> are the volume fractions of networks A and B, respectively. </w:t>
      </w:r>
      <w:r w:rsidR="00F50B6C">
        <w:t xml:space="preserve"> </w:t>
      </w:r>
      <w:r>
        <w:t xml:space="preserve">The interaction parameter </w:t>
      </w:r>
      <m:oMath>
        <m:r>
          <w:rPr>
            <w:rStyle w:val="katex-mathml"/>
            <w:rFonts w:ascii="Cambria Math" w:eastAsiaTheme="majorEastAsia" w:hAnsi="Cambria Math"/>
          </w:rPr>
          <m:t>χ</m:t>
        </m:r>
      </m:oMath>
      <w:r>
        <w:t xml:space="preserve"> can be related to the interaction energies between like and unlike components:</w:t>
      </w:r>
    </w:p>
    <w:p w14:paraId="32C0BA57" w14:textId="1F6028D9" w:rsidR="006E1931" w:rsidRDefault="00BF6ED3" w:rsidP="00F04C20">
      <w:pPr>
        <w:tabs>
          <w:tab w:val="center" w:pos="4680"/>
          <w:tab w:val="right" w:pos="9360"/>
        </w:tabs>
        <w:spacing w:line="480" w:lineRule="auto"/>
        <w:jc w:val="both"/>
      </w:pPr>
      <w:r>
        <w:rPr>
          <w:rStyle w:val="katex-mathml"/>
        </w:rPr>
        <w:tab/>
      </w:r>
      <m:oMath>
        <m:r>
          <w:rPr>
            <w:rStyle w:val="katex-mathml"/>
            <w:rFonts w:ascii="Cambria Math" w:eastAsiaTheme="majorEastAsia" w:hAnsi="Cambria Math"/>
          </w:rPr>
          <m:t>χ=</m:t>
        </m:r>
        <m:f>
          <m:fPr>
            <m:ctrlPr>
              <w:rPr>
                <w:rStyle w:val="katex-mathml"/>
                <w:rFonts w:ascii="Cambria Math" w:eastAsiaTheme="majorEastAsia" w:hAnsi="Cambria Math"/>
                <w:i/>
              </w:rPr>
            </m:ctrlPr>
          </m:fPr>
          <m:num>
            <m:r>
              <w:rPr>
                <w:rStyle w:val="katex-mathml"/>
                <w:rFonts w:ascii="Cambria Math" w:eastAsiaTheme="majorEastAsia" w:hAnsi="Cambria Math"/>
              </w:rPr>
              <m:t>z</m:t>
            </m:r>
          </m:num>
          <m:den>
            <m:r>
              <w:rPr>
                <w:rStyle w:val="katex-mathml"/>
                <w:rFonts w:ascii="Cambria Math" w:eastAsiaTheme="majorEastAsia" w:hAnsi="Cambria Math"/>
              </w:rPr>
              <m:t>kT</m:t>
            </m:r>
          </m:den>
        </m:f>
        <m:d>
          <m:dPr>
            <m:ctrlPr>
              <w:rPr>
                <w:rStyle w:val="katex-mathml"/>
                <w:rFonts w:ascii="Cambria Math" w:eastAsiaTheme="majorEastAsia" w:hAnsi="Cambria Math"/>
                <w:i/>
              </w:rPr>
            </m:ctrlPr>
          </m:dPr>
          <m:e>
            <m:sSub>
              <m:sSubPr>
                <m:ctrlPr>
                  <w:rPr>
                    <w:rStyle w:val="katex-mathml"/>
                    <w:rFonts w:ascii="Cambria Math" w:eastAsiaTheme="majorEastAsia" w:hAnsi="Cambria Math"/>
                    <w:i/>
                  </w:rPr>
                </m:ctrlPr>
              </m:sSubPr>
              <m:e>
                <m:r>
                  <w:rPr>
                    <w:rStyle w:val="katex-mathml"/>
                    <w:rFonts w:ascii="Cambria Math" w:eastAsiaTheme="majorEastAsia" w:hAnsi="Cambria Math"/>
                  </w:rPr>
                  <m:t>ϵ</m:t>
                </m:r>
              </m:e>
              <m:sub>
                <m:r>
                  <w:rPr>
                    <w:rStyle w:val="katex-mathml"/>
                    <w:rFonts w:ascii="Cambria Math" w:eastAsiaTheme="majorEastAsia" w:hAnsi="Cambria Math"/>
                  </w:rPr>
                  <m:t>AB</m:t>
                </m:r>
              </m:sub>
            </m:sSub>
            <m:r>
              <w:rPr>
                <w:rStyle w:val="katex-mathml"/>
                <w:rFonts w:ascii="Cambria Math" w:eastAsiaTheme="majorEastAsia" w:hAnsi="Cambria Math"/>
              </w:rPr>
              <m:t>-</m:t>
            </m:r>
            <m:f>
              <m:fPr>
                <m:ctrlPr>
                  <w:rPr>
                    <w:rStyle w:val="katex-mathml"/>
                    <w:rFonts w:ascii="Cambria Math" w:eastAsiaTheme="majorEastAsia" w:hAnsi="Cambria Math"/>
                    <w:i/>
                  </w:rPr>
                </m:ctrlPr>
              </m:fPr>
              <m:num>
                <m:sSub>
                  <m:sSubPr>
                    <m:ctrlPr>
                      <w:rPr>
                        <w:rStyle w:val="katex-mathml"/>
                        <w:rFonts w:ascii="Cambria Math" w:eastAsiaTheme="majorEastAsia" w:hAnsi="Cambria Math"/>
                        <w:i/>
                      </w:rPr>
                    </m:ctrlPr>
                  </m:sSubPr>
                  <m:e>
                    <m:r>
                      <w:rPr>
                        <w:rStyle w:val="katex-mathml"/>
                        <w:rFonts w:ascii="Cambria Math" w:eastAsiaTheme="majorEastAsia" w:hAnsi="Cambria Math"/>
                      </w:rPr>
                      <m:t>ϵ</m:t>
                    </m:r>
                  </m:e>
                  <m:sub>
                    <m:r>
                      <w:rPr>
                        <w:rStyle w:val="katex-mathml"/>
                        <w:rFonts w:ascii="Cambria Math" w:eastAsiaTheme="majorEastAsia" w:hAnsi="Cambria Math"/>
                      </w:rPr>
                      <m:t>AA</m:t>
                    </m:r>
                  </m:sub>
                </m:sSub>
                <m:r>
                  <w:rPr>
                    <w:rStyle w:val="katex-mathml"/>
                    <w:rFonts w:ascii="Cambria Math" w:eastAsiaTheme="majorEastAsia" w:hAnsi="Cambria Math"/>
                  </w:rPr>
                  <m:t>+</m:t>
                </m:r>
                <m:sSub>
                  <m:sSubPr>
                    <m:ctrlPr>
                      <w:rPr>
                        <w:rStyle w:val="katex-mathml"/>
                        <w:rFonts w:ascii="Cambria Math" w:eastAsiaTheme="majorEastAsia" w:hAnsi="Cambria Math"/>
                        <w:i/>
                      </w:rPr>
                    </m:ctrlPr>
                  </m:sSubPr>
                  <m:e>
                    <m:r>
                      <w:rPr>
                        <w:rStyle w:val="katex-mathml"/>
                        <w:rFonts w:ascii="Cambria Math" w:eastAsiaTheme="majorEastAsia" w:hAnsi="Cambria Math"/>
                      </w:rPr>
                      <m:t>ϵ</m:t>
                    </m:r>
                  </m:e>
                  <m:sub>
                    <m:r>
                      <w:rPr>
                        <w:rStyle w:val="katex-mathml"/>
                        <w:rFonts w:ascii="Cambria Math" w:eastAsiaTheme="majorEastAsia" w:hAnsi="Cambria Math"/>
                      </w:rPr>
                      <m:t>BB</m:t>
                    </m:r>
                  </m:sub>
                </m:sSub>
              </m:num>
              <m:den>
                <m:r>
                  <w:rPr>
                    <w:rStyle w:val="katex-mathml"/>
                    <w:rFonts w:ascii="Cambria Math" w:eastAsiaTheme="majorEastAsia" w:hAnsi="Cambria Math"/>
                  </w:rPr>
                  <m:t>2</m:t>
                </m:r>
              </m:den>
            </m:f>
          </m:e>
        </m:d>
      </m:oMath>
      <w:r w:rsidR="00C46F66">
        <w:rPr>
          <w:rStyle w:val="katex-mathml"/>
        </w:rPr>
        <w:t>,</w:t>
      </w:r>
      <w:r w:rsidR="00806841">
        <w:rPr>
          <w:rStyle w:val="katex-mathml"/>
        </w:rPr>
        <w:tab/>
        <w:t>(</w:t>
      </w:r>
      <w:r w:rsidR="008843B8">
        <w:rPr>
          <w:rStyle w:val="katex-mathml"/>
        </w:rPr>
        <w:t>S</w:t>
      </w:r>
      <w:r w:rsidR="00806841">
        <w:rPr>
          <w:rStyle w:val="katex-mathml"/>
        </w:rPr>
        <w:t>3)</w:t>
      </w:r>
    </w:p>
    <w:p w14:paraId="33A7AA6A" w14:textId="3BE0D008" w:rsidR="006E1931" w:rsidRDefault="00C46F66" w:rsidP="006E1931">
      <w:pPr>
        <w:pStyle w:val="NormalWeb"/>
        <w:spacing w:line="480" w:lineRule="auto"/>
        <w:jc w:val="both"/>
      </w:pPr>
      <w:r>
        <w:t xml:space="preserve">where </w:t>
      </w:r>
      <m:oMath>
        <m:r>
          <w:rPr>
            <w:rStyle w:val="katex-mathml"/>
            <w:rFonts w:ascii="Cambria Math" w:eastAsiaTheme="majorEastAsia" w:hAnsi="Cambria Math"/>
          </w:rPr>
          <m:t>z</m:t>
        </m:r>
      </m:oMath>
      <w:r w:rsidR="006E1931">
        <w:t xml:space="preserve"> </w:t>
      </w:r>
      <w:r w:rsidR="00394D1C">
        <w:t xml:space="preserve">is </w:t>
      </w:r>
      <w:r w:rsidR="006E1931">
        <w:t xml:space="preserve">the coordination number, </w:t>
      </w:r>
      <m:oMath>
        <m:r>
          <w:rPr>
            <w:rStyle w:val="katex-mathml"/>
            <w:rFonts w:ascii="Cambria Math" w:eastAsiaTheme="majorEastAsia" w:hAnsi="Cambria Math"/>
          </w:rPr>
          <m:t>k</m:t>
        </m:r>
      </m:oMath>
      <w:r w:rsidR="006E1931">
        <w:t xml:space="preserve"> </w:t>
      </w:r>
      <w:r w:rsidR="00394D1C">
        <w:t xml:space="preserve">is </w:t>
      </w:r>
      <w:r w:rsidR="006E1931">
        <w:t xml:space="preserve">the Boltzmann constant, and </w:t>
      </w:r>
      <m:oMath>
        <m:sSub>
          <m:sSubPr>
            <m:ctrlPr>
              <w:rPr>
                <w:rStyle w:val="katex-mathml"/>
                <w:rFonts w:ascii="Cambria Math" w:eastAsiaTheme="majorEastAsia" w:hAnsi="Cambria Math"/>
                <w:i/>
              </w:rPr>
            </m:ctrlPr>
          </m:sSubPr>
          <m:e>
            <m:r>
              <w:rPr>
                <w:rStyle w:val="katex-mathml"/>
                <w:rFonts w:ascii="Cambria Math" w:eastAsiaTheme="majorEastAsia" w:hAnsi="Cambria Math"/>
              </w:rPr>
              <m:t>ϵ</m:t>
            </m:r>
          </m:e>
          <m:sub>
            <m:r>
              <w:rPr>
                <w:rStyle w:val="katex-mathml"/>
                <w:rFonts w:ascii="Cambria Math" w:eastAsiaTheme="majorEastAsia" w:hAnsi="Cambria Math"/>
              </w:rPr>
              <m:t>AB</m:t>
            </m:r>
          </m:sub>
        </m:sSub>
      </m:oMath>
      <w:r w:rsidR="006E1931">
        <w:t xml:space="preserve"> </w:t>
      </w:r>
      <w:r w:rsidR="00394D1C">
        <w:t xml:space="preserve">is </w:t>
      </w:r>
      <w:r w:rsidR="006E1931">
        <w:t xml:space="preserve">the interaction energy between components </w:t>
      </w:r>
      <w:r w:rsidR="006E1931">
        <w:rPr>
          <w:rStyle w:val="katex-mathml"/>
          <w:rFonts w:eastAsiaTheme="majorEastAsia"/>
        </w:rPr>
        <w:t>A</w:t>
      </w:r>
      <w:r w:rsidR="006E1931">
        <w:t xml:space="preserve"> and </w:t>
      </w:r>
      <w:r w:rsidR="006E1931">
        <w:rPr>
          <w:rStyle w:val="katex-mathml"/>
          <w:rFonts w:eastAsiaTheme="majorEastAsia"/>
        </w:rPr>
        <w:t>B</w:t>
      </w:r>
      <w:r w:rsidR="006E1931">
        <w:t>.</w:t>
      </w:r>
      <w:r w:rsidR="008D021D">
        <w:t xml:space="preserve">  </w:t>
      </w:r>
      <w:r w:rsidR="006E1931">
        <w:t xml:space="preserve">Alternatively, the Flory-Huggins </w:t>
      </w:r>
      <w:r w:rsidR="00702D7C">
        <w:t xml:space="preserve">interaction </w:t>
      </w:r>
      <w:r w:rsidR="006E1931">
        <w:t xml:space="preserve">parameter can be expressed </w:t>
      </w:r>
      <w:r w:rsidR="00A670F5">
        <w:t>as a function of the solubility parameters</w:t>
      </w:r>
      <w:r w:rsidR="006E1931">
        <w:t xml:space="preserve"> (</w:t>
      </w:r>
      <m:oMath>
        <m:sSub>
          <m:sSubPr>
            <m:ctrlPr>
              <w:rPr>
                <w:rStyle w:val="katex-mathml"/>
                <w:rFonts w:ascii="Cambria Math" w:eastAsiaTheme="majorEastAsia" w:hAnsi="Cambria Math"/>
                <w:i/>
              </w:rPr>
            </m:ctrlPr>
          </m:sSubPr>
          <m:e>
            <m:r>
              <w:rPr>
                <w:rStyle w:val="katex-mathml"/>
                <w:rFonts w:ascii="Cambria Math" w:eastAsiaTheme="majorEastAsia" w:hAnsi="Cambria Math"/>
              </w:rPr>
              <m:t>δ</m:t>
            </m:r>
          </m:e>
          <m:sub>
            <m:r>
              <w:rPr>
                <w:rStyle w:val="katex-mathml"/>
                <w:rFonts w:ascii="Cambria Math" w:eastAsiaTheme="majorEastAsia" w:hAnsi="Cambria Math"/>
              </w:rPr>
              <m:t>A</m:t>
            </m:r>
          </m:sub>
        </m:sSub>
      </m:oMath>
      <w:r w:rsidR="00CC46EF">
        <w:t xml:space="preserve"> and </w:t>
      </w:r>
      <m:oMath>
        <m:sSub>
          <m:sSubPr>
            <m:ctrlPr>
              <w:rPr>
                <w:rStyle w:val="katex-mathml"/>
                <w:rFonts w:ascii="Cambria Math" w:eastAsiaTheme="majorEastAsia" w:hAnsi="Cambria Math"/>
                <w:i/>
              </w:rPr>
            </m:ctrlPr>
          </m:sSubPr>
          <m:e>
            <m:r>
              <w:rPr>
                <w:rStyle w:val="katex-mathml"/>
                <w:rFonts w:ascii="Cambria Math" w:eastAsiaTheme="majorEastAsia" w:hAnsi="Cambria Math"/>
              </w:rPr>
              <m:t>δ</m:t>
            </m:r>
          </m:e>
          <m:sub>
            <m:r>
              <w:rPr>
                <w:rStyle w:val="katex-mathml"/>
                <w:rFonts w:ascii="Cambria Math" w:eastAsiaTheme="majorEastAsia" w:hAnsi="Cambria Math"/>
              </w:rPr>
              <m:t>B</m:t>
            </m:r>
          </m:sub>
        </m:sSub>
      </m:oMath>
      <w:r w:rsidR="00A670F5">
        <w:t xml:space="preserve"> of Networks A and B</w:t>
      </w:r>
      <w:r w:rsidR="006E1931" w:rsidDel="00CC46EF">
        <w:t>)</w:t>
      </w:r>
      <w:r w:rsidR="008F28B6">
        <w:t xml:space="preserve">, with </w:t>
      </w:r>
      <m:oMath>
        <m:sSub>
          <m:sSubPr>
            <m:ctrlPr>
              <w:rPr>
                <w:rStyle w:val="katex-mathml"/>
                <w:rFonts w:ascii="Cambria Math" w:eastAsiaTheme="majorEastAsia" w:hAnsi="Cambria Math"/>
                <w:i/>
              </w:rPr>
            </m:ctrlPr>
          </m:sSubPr>
          <m:e>
            <m:r>
              <w:rPr>
                <w:rStyle w:val="katex-mathml"/>
                <w:rFonts w:ascii="Cambria Math" w:eastAsiaTheme="majorEastAsia" w:hAnsi="Cambria Math"/>
              </w:rPr>
              <m:t>V</m:t>
            </m:r>
          </m:e>
          <m:sub>
            <m:r>
              <w:rPr>
                <w:rStyle w:val="katex-mathml"/>
                <w:rFonts w:ascii="Cambria Math" w:eastAsiaTheme="majorEastAsia" w:hAnsi="Cambria Math"/>
              </w:rPr>
              <m:t>ref</m:t>
            </m:r>
          </m:sub>
        </m:sSub>
      </m:oMath>
      <w:r w:rsidR="008F28B6">
        <w:t xml:space="preserve"> being a reference molar volume</w:t>
      </w:r>
      <w:r w:rsidR="006E1931" w:rsidDel="008F28B6">
        <w:t>:</w:t>
      </w:r>
    </w:p>
    <w:p w14:paraId="42417B5A" w14:textId="31F3FF00" w:rsidR="006E1931" w:rsidRDefault="00782AFE" w:rsidP="00F04C20">
      <w:pPr>
        <w:tabs>
          <w:tab w:val="center" w:pos="4680"/>
          <w:tab w:val="right" w:pos="9360"/>
        </w:tabs>
        <w:spacing w:line="480" w:lineRule="auto"/>
        <w:jc w:val="both"/>
      </w:pPr>
      <w:r>
        <w:tab/>
      </w:r>
      <m:oMath>
        <m:r>
          <w:rPr>
            <w:rStyle w:val="katex-mathml"/>
            <w:rFonts w:ascii="Cambria Math" w:eastAsiaTheme="majorEastAsia" w:hAnsi="Cambria Math"/>
          </w:rPr>
          <m:t>χ=</m:t>
        </m:r>
        <m:f>
          <m:fPr>
            <m:ctrlPr>
              <w:rPr>
                <w:rStyle w:val="katex-mathml"/>
                <w:rFonts w:ascii="Cambria Math" w:eastAsiaTheme="majorEastAsia" w:hAnsi="Cambria Math"/>
                <w:i/>
              </w:rPr>
            </m:ctrlPr>
          </m:fPr>
          <m:num>
            <m:sSub>
              <m:sSubPr>
                <m:ctrlPr>
                  <w:rPr>
                    <w:rStyle w:val="katex-mathml"/>
                    <w:rFonts w:ascii="Cambria Math" w:eastAsiaTheme="majorEastAsia" w:hAnsi="Cambria Math"/>
                    <w:i/>
                  </w:rPr>
                </m:ctrlPr>
              </m:sSubPr>
              <m:e>
                <m:r>
                  <w:rPr>
                    <w:rStyle w:val="katex-mathml"/>
                    <w:rFonts w:ascii="Cambria Math" w:eastAsiaTheme="majorEastAsia" w:hAnsi="Cambria Math"/>
                  </w:rPr>
                  <m:t>V</m:t>
                </m:r>
              </m:e>
              <m:sub>
                <m:r>
                  <w:rPr>
                    <w:rStyle w:val="katex-mathml"/>
                    <w:rFonts w:ascii="Cambria Math" w:eastAsiaTheme="majorEastAsia" w:hAnsi="Cambria Math"/>
                  </w:rPr>
                  <m:t>ref</m:t>
                </m:r>
              </m:sub>
            </m:sSub>
          </m:num>
          <m:den>
            <m:r>
              <w:rPr>
                <w:rStyle w:val="katex-mathml"/>
                <w:rFonts w:ascii="Cambria Math" w:eastAsiaTheme="majorEastAsia" w:hAnsi="Cambria Math"/>
              </w:rPr>
              <m:t>RT</m:t>
            </m:r>
          </m:den>
        </m:f>
        <m:sSup>
          <m:sSupPr>
            <m:ctrlPr>
              <w:rPr>
                <w:rStyle w:val="katex-mathml"/>
                <w:rFonts w:ascii="Cambria Math" w:eastAsiaTheme="majorEastAsia" w:hAnsi="Cambria Math"/>
                <w:i/>
              </w:rPr>
            </m:ctrlPr>
          </m:sSupPr>
          <m:e>
            <m:r>
              <w:rPr>
                <w:rStyle w:val="katex-mathml"/>
                <w:rFonts w:ascii="Cambria Math" w:eastAsiaTheme="majorEastAsia" w:hAnsi="Cambria Math"/>
              </w:rPr>
              <m:t>(</m:t>
            </m:r>
            <m:sSub>
              <m:sSubPr>
                <m:ctrlPr>
                  <w:rPr>
                    <w:rStyle w:val="katex-mathml"/>
                    <w:rFonts w:ascii="Cambria Math" w:eastAsiaTheme="majorEastAsia" w:hAnsi="Cambria Math"/>
                    <w:i/>
                  </w:rPr>
                </m:ctrlPr>
              </m:sSubPr>
              <m:e>
                <m:r>
                  <w:rPr>
                    <w:rStyle w:val="katex-mathml"/>
                    <w:rFonts w:ascii="Cambria Math" w:eastAsiaTheme="majorEastAsia" w:hAnsi="Cambria Math"/>
                  </w:rPr>
                  <m:t>δ</m:t>
                </m:r>
              </m:e>
              <m:sub>
                <m:r>
                  <w:rPr>
                    <w:rStyle w:val="katex-mathml"/>
                    <w:rFonts w:ascii="Cambria Math" w:eastAsiaTheme="majorEastAsia" w:hAnsi="Cambria Math"/>
                  </w:rPr>
                  <m:t>A</m:t>
                </m:r>
              </m:sub>
            </m:sSub>
            <m:r>
              <w:rPr>
                <w:rStyle w:val="katex-mathml"/>
                <w:rFonts w:ascii="Cambria Math" w:eastAsiaTheme="majorEastAsia" w:hAnsi="Cambria Math"/>
              </w:rPr>
              <m:t>-</m:t>
            </m:r>
            <m:sSub>
              <m:sSubPr>
                <m:ctrlPr>
                  <w:rPr>
                    <w:rStyle w:val="katex-mathml"/>
                    <w:rFonts w:ascii="Cambria Math" w:eastAsiaTheme="majorEastAsia" w:hAnsi="Cambria Math"/>
                    <w:i/>
                  </w:rPr>
                </m:ctrlPr>
              </m:sSubPr>
              <m:e>
                <m:r>
                  <w:rPr>
                    <w:rStyle w:val="katex-mathml"/>
                    <w:rFonts w:ascii="Cambria Math" w:eastAsiaTheme="majorEastAsia" w:hAnsi="Cambria Math"/>
                  </w:rPr>
                  <m:t>δ</m:t>
                </m:r>
              </m:e>
              <m:sub>
                <m:r>
                  <w:rPr>
                    <w:rStyle w:val="katex-mathml"/>
                    <w:rFonts w:ascii="Cambria Math" w:eastAsiaTheme="majorEastAsia" w:hAnsi="Cambria Math"/>
                  </w:rPr>
                  <m:t>B</m:t>
                </m:r>
              </m:sub>
            </m:sSub>
            <m:r>
              <w:rPr>
                <w:rStyle w:val="katex-mathml"/>
                <w:rFonts w:ascii="Cambria Math" w:eastAsiaTheme="majorEastAsia" w:hAnsi="Cambria Math"/>
              </w:rPr>
              <m:t>)</m:t>
            </m:r>
          </m:e>
          <m:sup>
            <m:r>
              <w:rPr>
                <w:rStyle w:val="katex-mathml"/>
                <w:rFonts w:ascii="Cambria Math" w:eastAsiaTheme="majorEastAsia" w:hAnsi="Cambria Math"/>
              </w:rPr>
              <m:t>2</m:t>
            </m:r>
          </m:sup>
        </m:sSup>
      </m:oMath>
      <w:r w:rsidR="008D021D">
        <w:rPr>
          <w:rStyle w:val="katex-mathml"/>
        </w:rPr>
        <w:t>.</w:t>
      </w:r>
      <w:r w:rsidR="009C5091">
        <w:rPr>
          <w:rStyle w:val="katex-mathml"/>
        </w:rPr>
        <w:tab/>
        <w:t>(</w:t>
      </w:r>
      <w:r w:rsidR="008843B8">
        <w:rPr>
          <w:rStyle w:val="katex-mathml"/>
        </w:rPr>
        <w:t>S</w:t>
      </w:r>
      <w:r w:rsidR="009C5091">
        <w:rPr>
          <w:rStyle w:val="katex-mathml"/>
        </w:rPr>
        <w:t>4)</w:t>
      </w:r>
    </w:p>
    <w:p w14:paraId="7BEEEA1F" w14:textId="613EB7A8" w:rsidR="006E1931" w:rsidRDefault="006E1931" w:rsidP="006E1931">
      <w:pPr>
        <w:pStyle w:val="NormalWeb"/>
        <w:spacing w:line="480" w:lineRule="auto"/>
        <w:jc w:val="both"/>
      </w:pPr>
      <w:r>
        <w:t xml:space="preserve">In this system, the significant differences in bonding schemes—electrostatic interactions in the PEDOT:PSS/ionic liquid network (network A) and hydrogen bonding in the gelatin/glycerol/salt network (network B)—result in a large positive </w:t>
      </w:r>
      <m:oMath>
        <m:r>
          <w:rPr>
            <w:rStyle w:val="katex-mathml"/>
            <w:rFonts w:ascii="Cambria Math" w:eastAsiaTheme="majorEastAsia" w:hAnsi="Cambria Math"/>
          </w:rPr>
          <m:t>χ</m:t>
        </m:r>
      </m:oMath>
      <w:r>
        <w:rPr>
          <w:rStyle w:val="katex-mathml"/>
        </w:rPr>
        <w:t xml:space="preserve"> at room temperature</w:t>
      </w:r>
      <w:r w:rsidR="00E06137">
        <w:rPr>
          <w:rStyle w:val="katex-mathml"/>
        </w:rPr>
        <w:t>,</w:t>
      </w:r>
      <w:r>
        <w:rPr>
          <w:rStyle w:val="katex-mathml"/>
        </w:rPr>
        <w:t xml:space="preserve"> which decreases with </w:t>
      </w:r>
      <w:r w:rsidR="00485325">
        <w:rPr>
          <w:rStyle w:val="katex-mathml"/>
        </w:rPr>
        <w:t>the increasing</w:t>
      </w:r>
      <w:r>
        <w:rPr>
          <w:rStyle w:val="katex-mathml"/>
        </w:rPr>
        <w:t xml:space="preserve"> temperature</w:t>
      </w:r>
      <w:r>
        <w:t xml:space="preserve">. </w:t>
      </w:r>
      <w:r w:rsidR="00485325">
        <w:t xml:space="preserve"> </w:t>
      </w:r>
      <w:r>
        <w:t xml:space="preserve">This </w:t>
      </w:r>
      <w:r w:rsidR="00485325">
        <w:t xml:space="preserve">trend can be attributed to </w:t>
      </w:r>
      <w:r>
        <w:t>the following reasons</w:t>
      </w:r>
      <w:r w:rsidR="00485325">
        <w:t>.</w:t>
      </w:r>
    </w:p>
    <w:p w14:paraId="1798B33B" w14:textId="77777777" w:rsidR="006E1931" w:rsidRPr="00F03AD7" w:rsidRDefault="006E1931" w:rsidP="006E1931">
      <w:pPr>
        <w:pStyle w:val="NormalWeb"/>
        <w:spacing w:line="480" w:lineRule="auto"/>
        <w:jc w:val="both"/>
        <w:rPr>
          <w:b/>
          <w:i/>
          <w:iCs/>
        </w:rPr>
      </w:pPr>
      <w:r w:rsidRPr="00F03AD7">
        <w:rPr>
          <w:rStyle w:val="Strong"/>
          <w:rFonts w:eastAsiaTheme="majorEastAsia"/>
          <w:b w:val="0"/>
          <w:bCs w:val="0"/>
          <w:i/>
          <w:iCs/>
        </w:rPr>
        <w:t>Nature of Hydrogen Bonding</w:t>
      </w:r>
    </w:p>
    <w:p w14:paraId="58209D99" w14:textId="3E18943A" w:rsidR="006E1931" w:rsidRDefault="006E1931" w:rsidP="00A22FC4">
      <w:pPr>
        <w:pStyle w:val="NormalWeb"/>
        <w:spacing w:line="480" w:lineRule="auto"/>
        <w:ind w:firstLine="720"/>
        <w:jc w:val="both"/>
      </w:pPr>
      <w:r>
        <w:lastRenderedPageBreak/>
        <w:t>Hydrogen bonding is a specific type of dipole-dipole interaction that occurs between a hydrogen atom covalently bonded to a highly electronegative atom (</w:t>
      </w:r>
      <w:r w:rsidR="00F83ED3">
        <w:t>e.g.,</w:t>
      </w:r>
      <w:r>
        <w:t xml:space="preserve"> oxygen, nitrogen, or fluorine) and another electronegative atom with a lone pair of electrons. </w:t>
      </w:r>
      <w:r w:rsidR="00D64227">
        <w:t xml:space="preserve"> </w:t>
      </w:r>
      <w:r>
        <w:t>The key characteristics of hydrogen bonds are:</w:t>
      </w:r>
    </w:p>
    <w:p w14:paraId="764AD523" w14:textId="77777777" w:rsidR="006E1931" w:rsidRDefault="006E1931" w:rsidP="006E1931">
      <w:pPr>
        <w:numPr>
          <w:ilvl w:val="0"/>
          <w:numId w:val="9"/>
        </w:numPr>
        <w:spacing w:before="100" w:beforeAutospacing="1" w:after="100" w:afterAutospacing="1" w:line="480" w:lineRule="auto"/>
        <w:jc w:val="both"/>
      </w:pPr>
      <w:r w:rsidRPr="00F03AD7">
        <w:rPr>
          <w:rStyle w:val="Strong"/>
          <w:rFonts w:eastAsiaTheme="majorEastAsia"/>
          <w:b w:val="0"/>
          <w:bCs w:val="0"/>
          <w:i/>
          <w:iCs/>
        </w:rPr>
        <w:t>Directional Nature</w:t>
      </w:r>
      <w:r w:rsidRPr="00F03AD7">
        <w:rPr>
          <w:b/>
          <w:i/>
          <w:iCs/>
        </w:rPr>
        <w:t>:</w:t>
      </w:r>
      <w:r>
        <w:t xml:space="preserve"> Hydrogen bonds have specific geometries, typically linear or nearly linear, due to the directional overlap of orbitals.</w:t>
      </w:r>
    </w:p>
    <w:p w14:paraId="2FDFA8C3" w14:textId="77777777" w:rsidR="006E1931" w:rsidRDefault="006E1931" w:rsidP="006E1931">
      <w:pPr>
        <w:numPr>
          <w:ilvl w:val="0"/>
          <w:numId w:val="9"/>
        </w:numPr>
        <w:spacing w:before="100" w:beforeAutospacing="1" w:after="100" w:afterAutospacing="1" w:line="480" w:lineRule="auto"/>
        <w:jc w:val="both"/>
      </w:pPr>
      <w:r w:rsidRPr="00F03AD7">
        <w:rPr>
          <w:rStyle w:val="Strong"/>
          <w:rFonts w:eastAsiaTheme="majorEastAsia"/>
          <w:b w:val="0"/>
          <w:bCs w:val="0"/>
          <w:i/>
          <w:iCs/>
        </w:rPr>
        <w:t>Moderate Strength</w:t>
      </w:r>
      <w:r w:rsidRPr="00F03AD7">
        <w:rPr>
          <w:b/>
          <w:i/>
          <w:iCs/>
        </w:rPr>
        <w:t>:</w:t>
      </w:r>
      <w:r>
        <w:t xml:space="preserve"> They are stronger than van der Waals forces but weaker than covalent or ionic bonds, with bond energies ranging from 10 to 30 kJ/mol.</w:t>
      </w:r>
    </w:p>
    <w:p w14:paraId="3259FCDC" w14:textId="77777777" w:rsidR="006E1931" w:rsidRDefault="006E1931" w:rsidP="006E1931">
      <w:pPr>
        <w:numPr>
          <w:ilvl w:val="0"/>
          <w:numId w:val="9"/>
        </w:numPr>
        <w:spacing w:before="100" w:beforeAutospacing="1" w:after="100" w:afterAutospacing="1" w:line="480" w:lineRule="auto"/>
        <w:jc w:val="both"/>
      </w:pPr>
      <w:r w:rsidRPr="00F03AD7">
        <w:rPr>
          <w:rStyle w:val="Strong"/>
          <w:rFonts w:eastAsiaTheme="majorEastAsia"/>
          <w:b w:val="0"/>
          <w:bCs w:val="0"/>
          <w:i/>
          <w:iCs/>
        </w:rPr>
        <w:t>Specificity</w:t>
      </w:r>
      <w:r w:rsidRPr="00F03AD7">
        <w:rPr>
          <w:b/>
          <w:i/>
          <w:iCs/>
        </w:rPr>
        <w:t>:</w:t>
      </w:r>
      <w:r>
        <w:t xml:space="preserve"> Hydrogen bonding requires specific functional groups (donors and acceptors), making these interactions highly selective.</w:t>
      </w:r>
    </w:p>
    <w:p w14:paraId="41464A5B" w14:textId="58F3BEA2" w:rsidR="006E1931" w:rsidRDefault="006E1931" w:rsidP="006E1931">
      <w:pPr>
        <w:pStyle w:val="NormalWeb"/>
        <w:spacing w:line="480" w:lineRule="auto"/>
        <w:jc w:val="both"/>
      </w:pPr>
      <w:r>
        <w:t>In the gelatin/glycerol/salt network, extensive hydrogen bonding occurs due to the abundance of hydroxyl and amino groups</w:t>
      </w:r>
      <w:r w:rsidR="00351392">
        <w:t>,</w:t>
      </w:r>
      <w:r w:rsidDel="00351392">
        <w:t xml:space="preserve"> </w:t>
      </w:r>
      <w:r w:rsidR="00351392">
        <w:t>leading</w:t>
      </w:r>
      <w:r>
        <w:t xml:space="preserve"> to a well-organized, cohesive network stabilized by numerous hydrogen bonds.</w:t>
      </w:r>
    </w:p>
    <w:p w14:paraId="409F5502" w14:textId="77777777" w:rsidR="006E1931" w:rsidRPr="00F03AD7" w:rsidRDefault="006E1931" w:rsidP="006E1931">
      <w:pPr>
        <w:pStyle w:val="NormalWeb"/>
        <w:spacing w:line="480" w:lineRule="auto"/>
        <w:jc w:val="both"/>
        <w:rPr>
          <w:b/>
          <w:i/>
          <w:iCs/>
        </w:rPr>
      </w:pPr>
      <w:r w:rsidRPr="00F03AD7">
        <w:rPr>
          <w:rStyle w:val="Strong"/>
          <w:rFonts w:eastAsiaTheme="majorEastAsia"/>
          <w:b w:val="0"/>
          <w:bCs w:val="0"/>
          <w:i/>
          <w:iCs/>
        </w:rPr>
        <w:t>Nature of Electrostatic Interactions</w:t>
      </w:r>
    </w:p>
    <w:p w14:paraId="3B8D004C" w14:textId="7ACBD2E4" w:rsidR="006E1931" w:rsidRDefault="006E1931" w:rsidP="00A22FC4">
      <w:pPr>
        <w:pStyle w:val="NormalWeb"/>
        <w:spacing w:line="480" w:lineRule="auto"/>
        <w:ind w:firstLine="720"/>
        <w:jc w:val="both"/>
      </w:pPr>
      <w:r>
        <w:t xml:space="preserve">Electrostatic interactions, also known as ionic or Coulombic interactions, occur between particles bearing full positive and negative charges. </w:t>
      </w:r>
      <w:r w:rsidR="00C25E6E">
        <w:t xml:space="preserve"> </w:t>
      </w:r>
      <w:r>
        <w:t>The main features of electrostatic interactions are:</w:t>
      </w:r>
    </w:p>
    <w:p w14:paraId="2B5143E5" w14:textId="77777777" w:rsidR="006E1931" w:rsidRDefault="006E1931" w:rsidP="006E1931">
      <w:pPr>
        <w:numPr>
          <w:ilvl w:val="0"/>
          <w:numId w:val="10"/>
        </w:numPr>
        <w:spacing w:before="100" w:beforeAutospacing="1" w:after="100" w:afterAutospacing="1" w:line="480" w:lineRule="auto"/>
        <w:jc w:val="both"/>
      </w:pPr>
      <w:r w:rsidRPr="00F03AD7">
        <w:rPr>
          <w:rStyle w:val="Strong"/>
          <w:rFonts w:eastAsiaTheme="majorEastAsia"/>
          <w:b w:val="0"/>
          <w:bCs w:val="0"/>
          <w:i/>
          <w:iCs/>
        </w:rPr>
        <w:t>Non-Directional Nature</w:t>
      </w:r>
      <w:r w:rsidRPr="00F03AD7">
        <w:rPr>
          <w:b/>
          <w:i/>
          <w:iCs/>
        </w:rPr>
        <w:t>:</w:t>
      </w:r>
      <w:r>
        <w:t xml:space="preserve"> Unlike hydrogen bonds, electrostatic interactions are non-directional and depend solely on the distance between charges.</w:t>
      </w:r>
    </w:p>
    <w:p w14:paraId="67A66B53" w14:textId="77777777" w:rsidR="006E1931" w:rsidRDefault="006E1931" w:rsidP="006E1931">
      <w:pPr>
        <w:numPr>
          <w:ilvl w:val="0"/>
          <w:numId w:val="10"/>
        </w:numPr>
        <w:spacing w:before="100" w:beforeAutospacing="1" w:after="100" w:afterAutospacing="1" w:line="480" w:lineRule="auto"/>
        <w:jc w:val="both"/>
      </w:pPr>
      <w:r w:rsidRPr="00F03AD7">
        <w:rPr>
          <w:rStyle w:val="Strong"/>
          <w:rFonts w:eastAsiaTheme="majorEastAsia"/>
          <w:b w:val="0"/>
          <w:bCs w:val="0"/>
          <w:i/>
          <w:iCs/>
        </w:rPr>
        <w:t>Long-Range and Strong Interactions</w:t>
      </w:r>
      <w:r w:rsidRPr="00F03AD7">
        <w:rPr>
          <w:b/>
          <w:i/>
          <w:iCs/>
        </w:rPr>
        <w:t>:</w:t>
      </w:r>
      <w:r>
        <w:t xml:space="preserve"> They can operate over longer distances compared to other intermolecular forces, with energies that can exceed 250 kJ/mol.</w:t>
      </w:r>
    </w:p>
    <w:p w14:paraId="767045C3" w14:textId="77777777" w:rsidR="006E1931" w:rsidRDefault="006E1931" w:rsidP="006E1931">
      <w:pPr>
        <w:numPr>
          <w:ilvl w:val="0"/>
          <w:numId w:val="10"/>
        </w:numPr>
        <w:spacing w:before="100" w:beforeAutospacing="1" w:after="100" w:afterAutospacing="1" w:line="480" w:lineRule="auto"/>
        <w:jc w:val="both"/>
      </w:pPr>
      <w:r w:rsidRPr="00F03AD7">
        <w:rPr>
          <w:rStyle w:val="Strong"/>
          <w:rFonts w:eastAsiaTheme="majorEastAsia"/>
          <w:b w:val="0"/>
          <w:bCs w:val="0"/>
          <w:i/>
          <w:iCs/>
        </w:rPr>
        <w:lastRenderedPageBreak/>
        <w:t>Charge Magnitude</w:t>
      </w:r>
      <w:r w:rsidRPr="00F03AD7">
        <w:rPr>
          <w:b/>
          <w:i/>
          <w:iCs/>
        </w:rPr>
        <w:t>:</w:t>
      </w:r>
      <w:r>
        <w:t xml:space="preserve"> These interactions involve full ionic charges rather than partial charges.</w:t>
      </w:r>
    </w:p>
    <w:p w14:paraId="4C313849" w14:textId="07DEDC68" w:rsidR="006E1931" w:rsidRDefault="006E1931" w:rsidP="006E1931">
      <w:pPr>
        <w:pStyle w:val="NormalWeb"/>
        <w:spacing w:line="480" w:lineRule="auto"/>
        <w:jc w:val="both"/>
      </w:pPr>
      <w:r>
        <w:t xml:space="preserve">In the PEDOT:PSS/ionic liquid network, electrostatic interactions arise from the presence of charged species. </w:t>
      </w:r>
      <w:r w:rsidR="00326E97">
        <w:t xml:space="preserve"> </w:t>
      </w:r>
      <w:r>
        <w:t xml:space="preserve">PEDOT is positively charged, while PSS is negatively charged, </w:t>
      </w:r>
      <w:r w:rsidR="00623F26">
        <w:t xml:space="preserve">with </w:t>
      </w:r>
      <w:r>
        <w:t xml:space="preserve">the ionic liquid </w:t>
      </w:r>
      <w:r w:rsidR="00623F26">
        <w:t xml:space="preserve">contributing </w:t>
      </w:r>
      <w:r>
        <w:t xml:space="preserve">additional mobile ions. </w:t>
      </w:r>
    </w:p>
    <w:p w14:paraId="17491879" w14:textId="77777777" w:rsidR="006E1931" w:rsidRDefault="006E1931" w:rsidP="006E1931">
      <w:pPr>
        <w:pStyle w:val="NormalWeb"/>
        <w:spacing w:line="480" w:lineRule="auto"/>
        <w:jc w:val="both"/>
      </w:pPr>
      <w:r>
        <w:t>The interaction between the PEDOT:PSS/ionic liquid network and the gelatin/glycerol/salt network is weak due to the fundamental incompatibility of their bonding mechanisms:</w:t>
      </w:r>
    </w:p>
    <w:p w14:paraId="2EF3D98B" w14:textId="01D37411" w:rsidR="006E1931" w:rsidRPr="00794384" w:rsidRDefault="006E1931" w:rsidP="001B4081">
      <w:pPr>
        <w:pStyle w:val="NormalWeb"/>
        <w:numPr>
          <w:ilvl w:val="0"/>
          <w:numId w:val="11"/>
        </w:numPr>
        <w:spacing w:line="480" w:lineRule="auto"/>
        <w:jc w:val="both"/>
        <w:rPr>
          <w:b/>
          <w:i/>
          <w:iCs/>
        </w:rPr>
      </w:pPr>
      <w:r w:rsidRPr="00F03AD7">
        <w:rPr>
          <w:rStyle w:val="Strong"/>
          <w:rFonts w:eastAsiaTheme="majorEastAsia"/>
          <w:b w:val="0"/>
          <w:bCs w:val="0"/>
          <w:i/>
          <w:iCs/>
        </w:rPr>
        <w:t xml:space="preserve">Lack of </w:t>
      </w:r>
      <w:r>
        <w:rPr>
          <w:rStyle w:val="Strong"/>
          <w:rFonts w:eastAsiaTheme="majorEastAsia"/>
          <w:b w:val="0"/>
          <w:bCs w:val="0"/>
          <w:i/>
          <w:iCs/>
        </w:rPr>
        <w:t xml:space="preserve">Favourable </w:t>
      </w:r>
      <w:r w:rsidRPr="00F03AD7">
        <w:rPr>
          <w:rStyle w:val="Strong"/>
          <w:rFonts w:eastAsiaTheme="majorEastAsia"/>
          <w:b w:val="0"/>
          <w:bCs w:val="0"/>
          <w:i/>
          <w:iCs/>
        </w:rPr>
        <w:t>Interactions</w:t>
      </w:r>
      <w:r w:rsidRPr="00F03AD7">
        <w:rPr>
          <w:b/>
          <w:i/>
          <w:iCs/>
        </w:rPr>
        <w:t>:</w:t>
      </w:r>
      <w:r>
        <w:rPr>
          <w:b/>
          <w:i/>
          <w:iCs/>
        </w:rPr>
        <w:t xml:space="preserve"> </w:t>
      </w:r>
      <w:r>
        <w:t xml:space="preserve">The electrostatic network lacks the functional groups necessary to engage in hydrogen bonding with the gelatin network. </w:t>
      </w:r>
      <w:r w:rsidR="00E262E3">
        <w:t xml:space="preserve"> </w:t>
      </w:r>
      <w:r>
        <w:t xml:space="preserve">Similarly, </w:t>
      </w:r>
      <w:r w:rsidR="00E262E3">
        <w:t xml:space="preserve">hydrogen-bonding groups </w:t>
      </w:r>
      <w:r w:rsidR="003600A0">
        <w:t>from</w:t>
      </w:r>
      <w:r>
        <w:t xml:space="preserve"> the gelatin network do not effectively interact with the charged species in the electrostatic network.</w:t>
      </w:r>
    </w:p>
    <w:p w14:paraId="5BED6CA1" w14:textId="0BFA6897" w:rsidR="006E1931" w:rsidRDefault="006E1931" w:rsidP="006E1931">
      <w:pPr>
        <w:pStyle w:val="NormalWeb"/>
        <w:numPr>
          <w:ilvl w:val="0"/>
          <w:numId w:val="11"/>
        </w:numPr>
        <w:spacing w:line="480" w:lineRule="auto"/>
        <w:jc w:val="both"/>
      </w:pPr>
      <w:r w:rsidRPr="00F03AD7">
        <w:rPr>
          <w:rStyle w:val="Strong"/>
          <w:rFonts w:eastAsiaTheme="majorEastAsia"/>
          <w:b w:val="0"/>
          <w:bCs w:val="0"/>
          <w:i/>
          <w:iCs/>
        </w:rPr>
        <w:t>Energetic Disparity</w:t>
      </w:r>
      <w:r w:rsidRPr="00F03AD7">
        <w:rPr>
          <w:b/>
          <w:i/>
          <w:iCs/>
        </w:rPr>
        <w:t>:</w:t>
      </w:r>
      <w:r w:rsidRPr="00EB2DE8">
        <w:rPr>
          <w:b/>
          <w:i/>
          <w:iCs/>
        </w:rPr>
        <w:t xml:space="preserve"> </w:t>
      </w:r>
      <w:r>
        <w:t>The intra-network interactions (</w:t>
      </w:r>
      <m:oMath>
        <m:sSub>
          <m:sSubPr>
            <m:ctrlPr>
              <w:rPr>
                <w:rStyle w:val="katex-mathml"/>
                <w:rFonts w:ascii="Cambria Math" w:eastAsiaTheme="majorEastAsia" w:hAnsi="Cambria Math"/>
                <w:i/>
              </w:rPr>
            </m:ctrlPr>
          </m:sSubPr>
          <m:e>
            <m:r>
              <w:rPr>
                <w:rStyle w:val="katex-mathml"/>
                <w:rFonts w:ascii="Cambria Math" w:eastAsiaTheme="majorEastAsia" w:hAnsi="Cambria Math"/>
              </w:rPr>
              <m:t>ϵ</m:t>
            </m:r>
          </m:e>
          <m:sub>
            <m:r>
              <w:rPr>
                <w:rStyle w:val="katex-mathml"/>
                <w:rFonts w:ascii="Cambria Math" w:eastAsiaTheme="majorEastAsia" w:hAnsi="Cambria Math"/>
              </w:rPr>
              <m:t>AA</m:t>
            </m:r>
          </m:sub>
        </m:sSub>
      </m:oMath>
      <w:r>
        <w:rPr>
          <w:rStyle w:val="katex-mathml"/>
        </w:rPr>
        <w:t xml:space="preserve"> </w:t>
      </w:r>
      <w:r>
        <w:t xml:space="preserve">for the electrostatic network and </w:t>
      </w:r>
      <m:oMath>
        <m:sSub>
          <m:sSubPr>
            <m:ctrlPr>
              <w:rPr>
                <w:rStyle w:val="katex-mathml"/>
                <w:rFonts w:ascii="Cambria Math" w:eastAsiaTheme="majorEastAsia" w:hAnsi="Cambria Math"/>
                <w:i/>
              </w:rPr>
            </m:ctrlPr>
          </m:sSubPr>
          <m:e>
            <m:r>
              <w:rPr>
                <w:rStyle w:val="katex-mathml"/>
                <w:rFonts w:ascii="Cambria Math" w:eastAsiaTheme="majorEastAsia" w:hAnsi="Cambria Math"/>
              </w:rPr>
              <m:t>ϵ</m:t>
            </m:r>
          </m:e>
          <m:sub>
            <m:r>
              <w:rPr>
                <w:rStyle w:val="katex-mathml"/>
                <w:rFonts w:ascii="Cambria Math" w:eastAsiaTheme="majorEastAsia" w:hAnsi="Cambria Math"/>
              </w:rPr>
              <m:t>BB</m:t>
            </m:r>
          </m:sub>
        </m:sSub>
      </m:oMath>
      <w:r>
        <w:t xml:space="preserve"> for the hydrogen-bonding network) are strong and energetically favo</w:t>
      </w:r>
      <w:r w:rsidR="003600A0">
        <w:t>u</w:t>
      </w:r>
      <w:r>
        <w:t>rable.</w:t>
      </w:r>
      <w:r w:rsidR="003600A0">
        <w:t xml:space="preserve"> </w:t>
      </w:r>
      <w:r>
        <w:t xml:space="preserve"> Therefore, </w:t>
      </w:r>
      <m:oMath>
        <m:sSub>
          <m:sSubPr>
            <m:ctrlPr>
              <w:rPr>
                <w:rStyle w:val="katex-mathml"/>
                <w:rFonts w:ascii="Cambria Math" w:eastAsiaTheme="majorEastAsia" w:hAnsi="Cambria Math"/>
                <w:i/>
              </w:rPr>
            </m:ctrlPr>
          </m:sSubPr>
          <m:e>
            <m:r>
              <w:rPr>
                <w:rStyle w:val="katex-mathml"/>
                <w:rFonts w:ascii="Cambria Math" w:eastAsiaTheme="majorEastAsia" w:hAnsi="Cambria Math"/>
              </w:rPr>
              <m:t>ϵ</m:t>
            </m:r>
          </m:e>
          <m:sub>
            <m:r>
              <w:rPr>
                <w:rStyle w:val="katex-mathml"/>
                <w:rFonts w:ascii="Cambria Math" w:eastAsiaTheme="majorEastAsia" w:hAnsi="Cambria Math"/>
              </w:rPr>
              <m:t>AA</m:t>
            </m:r>
          </m:sub>
        </m:sSub>
      </m:oMath>
      <w:r>
        <w:rPr>
          <w:rStyle w:val="katex-mathml"/>
        </w:rPr>
        <w:t xml:space="preserve"> and </w:t>
      </w:r>
      <m:oMath>
        <m:sSub>
          <m:sSubPr>
            <m:ctrlPr>
              <w:rPr>
                <w:rStyle w:val="katex-mathml"/>
                <w:rFonts w:ascii="Cambria Math" w:eastAsiaTheme="majorEastAsia" w:hAnsi="Cambria Math"/>
                <w:i/>
              </w:rPr>
            </m:ctrlPr>
          </m:sSubPr>
          <m:e>
            <m:r>
              <w:rPr>
                <w:rStyle w:val="katex-mathml"/>
                <w:rFonts w:ascii="Cambria Math" w:eastAsiaTheme="majorEastAsia" w:hAnsi="Cambria Math"/>
              </w:rPr>
              <m:t>ϵ</m:t>
            </m:r>
          </m:e>
          <m:sub>
            <m:r>
              <w:rPr>
                <w:rStyle w:val="katex-mathml"/>
                <w:rFonts w:ascii="Cambria Math" w:eastAsiaTheme="majorEastAsia" w:hAnsi="Cambria Math"/>
              </w:rPr>
              <m:t>BB</m:t>
            </m:r>
          </m:sub>
        </m:sSub>
      </m:oMath>
      <w:r>
        <w:rPr>
          <w:rStyle w:val="katex-mathml"/>
        </w:rPr>
        <w:t xml:space="preserve"> are large negative values.</w:t>
      </w:r>
      <w:r>
        <w:t xml:space="preserve">  On the other side, the inter-network interactions (</w:t>
      </w:r>
      <m:oMath>
        <m:sSub>
          <m:sSubPr>
            <m:ctrlPr>
              <w:rPr>
                <w:rStyle w:val="katex-mathml"/>
                <w:rFonts w:ascii="Cambria Math" w:eastAsiaTheme="majorEastAsia" w:hAnsi="Cambria Math"/>
                <w:i/>
              </w:rPr>
            </m:ctrlPr>
          </m:sSubPr>
          <m:e>
            <m:r>
              <w:rPr>
                <w:rStyle w:val="katex-mathml"/>
                <w:rFonts w:ascii="Cambria Math" w:eastAsiaTheme="majorEastAsia" w:hAnsi="Cambria Math"/>
              </w:rPr>
              <m:t>ϵ</m:t>
            </m:r>
          </m:e>
          <m:sub>
            <m:r>
              <w:rPr>
                <w:rStyle w:val="katex-mathml"/>
                <w:rFonts w:ascii="Cambria Math" w:eastAsiaTheme="majorEastAsia" w:hAnsi="Cambria Math"/>
              </w:rPr>
              <m:t>AB</m:t>
            </m:r>
          </m:sub>
        </m:sSub>
      </m:oMath>
      <w:r>
        <w:t xml:space="preserve">) are weaker because there is no efficient mechanism for the networks to stabilize each other through bonding, making </w:t>
      </w:r>
      <m:oMath>
        <m:sSub>
          <m:sSubPr>
            <m:ctrlPr>
              <w:rPr>
                <w:rStyle w:val="katex-mathml"/>
                <w:rFonts w:ascii="Cambria Math" w:eastAsiaTheme="majorEastAsia" w:hAnsi="Cambria Math"/>
                <w:i/>
              </w:rPr>
            </m:ctrlPr>
          </m:sSubPr>
          <m:e>
            <m:r>
              <w:rPr>
                <w:rStyle w:val="katex-mathml"/>
                <w:rFonts w:ascii="Cambria Math" w:eastAsiaTheme="majorEastAsia" w:hAnsi="Cambria Math"/>
              </w:rPr>
              <m:t>ϵ</m:t>
            </m:r>
          </m:e>
          <m:sub>
            <m:r>
              <w:rPr>
                <w:rStyle w:val="katex-mathml"/>
                <w:rFonts w:ascii="Cambria Math" w:eastAsiaTheme="majorEastAsia" w:hAnsi="Cambria Math"/>
              </w:rPr>
              <m:t>AB</m:t>
            </m:r>
          </m:sub>
        </m:sSub>
      </m:oMath>
      <w:r>
        <w:rPr>
          <w:rStyle w:val="katex-mathml"/>
        </w:rPr>
        <w:t xml:space="preserve"> a small negative number</w:t>
      </w:r>
      <w:r w:rsidR="00B80C68">
        <w:rPr>
          <w:rStyle w:val="katex-mathml"/>
        </w:rPr>
        <w:fldChar w:fldCharType="begin"/>
      </w:r>
      <w:r w:rsidR="00785CB3">
        <w:rPr>
          <w:rStyle w:val="katex-mathml"/>
        </w:rPr>
        <w:instrText xml:space="preserve"> ADDIN ZOTERO_ITEM CSL_CITATION {"citationID":"WlbYVi7G","properties":{"formattedCitation":"\\super 5\\nosupersub{}","plainCitation":"5","noteIndex":0},"citationItems":[{"id":1226,"uris":["http://zotero.org/users/12063952/items/C5PPG2NL"],"itemData":{"id":1226,"type":"article-journal","abstract":"Protein aggregation via liquid−liquid phase separation (LLPS) is ubiquitous in nature and is intimately connected to many human diseases. Although it is widely known that the addition of salt has crucial impacts on the LLPS of proteins, full understanding of the salt effects remains an outstanding challenge. Here, we develop a molecular theory that systematically incorporates the self-consistent field theory for charged macromolecules into the solution thermodynamics. The electrostatic interaction, hydrophobicity, ion solvation, and translational entropy are included in a unified framework. Our theory fully captures the long-standing puzzles of the nonmonotonic salt concentration dependence and the specific ion effect. We find that proteins show salting-out at low salt concentrations due to ionic screening. The solubility follows the inverse Hofmeister series. In the high salt concentration regime, protein continues salting-out for small ions but turns to salting-in for larger ions, accompanied by the reversal of the Hofmeister series. We reveal that the solubility at high salt concentrations is determined by the competition between the solvation energy and translational entropy of the ion. Furthermore, we derive an analytical criterion for determining the boundary between the salting-in and salting-out regimes, which is in good agreement with experimental results for various proteins and salt ions.","container-title":"ACS Central Science","DOI":"10.1021/acscentsci.3c01372","ISSN":"2374-7943, 2374-7951","issue":"2","journalAbbreviation":"ACS Cent. Sci.","language":"en","license":"https://creativecommons.org/licenses/by/4.0/","page":"460-468","source":"DOI.org (Crossref)","title":"A Unified Description of Salt Effects on the Liquid–Liquid Phase Separation of Proteins","volume":"10","author":[{"family":"Duan","given":"Chao"},{"family":"Wang","given":"Rui"}],"issued":{"date-parts":[["2024",2,28]]}}}],"schema":"https://github.com/citation-style-language/schema/raw/master/csl-citation.json"} </w:instrText>
      </w:r>
      <w:r w:rsidR="00B80C68">
        <w:rPr>
          <w:rStyle w:val="katex-mathml"/>
        </w:rPr>
        <w:fldChar w:fldCharType="separate"/>
      </w:r>
      <w:r w:rsidR="00785CB3" w:rsidRPr="00785CB3">
        <w:rPr>
          <w:vertAlign w:val="superscript"/>
        </w:rPr>
        <w:t>5</w:t>
      </w:r>
      <w:r w:rsidR="00B80C68">
        <w:rPr>
          <w:rStyle w:val="katex-mathml"/>
        </w:rPr>
        <w:fldChar w:fldCharType="end"/>
      </w:r>
      <w:r>
        <w:t xml:space="preserve">. </w:t>
      </w:r>
      <w:r w:rsidR="00387AD4">
        <w:t xml:space="preserve"> </w:t>
      </w:r>
      <w:r w:rsidR="00257863">
        <w:t>Therefore, the intra- and inter</w:t>
      </w:r>
      <w:r w:rsidR="00CF5B8E">
        <w:t>-network interactions are related as</w:t>
      </w:r>
      <w:r>
        <w:t>:</w:t>
      </w:r>
    </w:p>
    <w:p w14:paraId="3E6D531A" w14:textId="1C9841F7" w:rsidR="006E1931" w:rsidRDefault="00782AFE" w:rsidP="00F04C20">
      <w:pPr>
        <w:pStyle w:val="NormalWeb"/>
        <w:tabs>
          <w:tab w:val="center" w:pos="4680"/>
          <w:tab w:val="right" w:pos="9360"/>
        </w:tabs>
        <w:spacing w:line="480" w:lineRule="auto"/>
        <w:jc w:val="both"/>
        <w:rPr>
          <w:rStyle w:val="katex-mathml"/>
        </w:rPr>
      </w:pPr>
      <w:r>
        <w:tab/>
      </w:r>
      <m:oMath>
        <m:d>
          <m:dPr>
            <m:ctrlPr>
              <w:rPr>
                <w:rStyle w:val="katex-mathml"/>
                <w:rFonts w:ascii="Cambria Math" w:eastAsiaTheme="majorEastAsia" w:hAnsi="Cambria Math"/>
                <w:i/>
              </w:rPr>
            </m:ctrlPr>
          </m:dPr>
          <m:e>
            <m:sSub>
              <m:sSubPr>
                <m:ctrlPr>
                  <w:rPr>
                    <w:rStyle w:val="katex-mathml"/>
                    <w:rFonts w:ascii="Cambria Math" w:eastAsiaTheme="majorEastAsia" w:hAnsi="Cambria Math"/>
                    <w:i/>
                  </w:rPr>
                </m:ctrlPr>
              </m:sSubPr>
              <m:e>
                <m:r>
                  <w:rPr>
                    <w:rStyle w:val="katex-mathml"/>
                    <w:rFonts w:ascii="Cambria Math" w:eastAsiaTheme="majorEastAsia" w:hAnsi="Cambria Math"/>
                  </w:rPr>
                  <m:t>ϵ</m:t>
                </m:r>
              </m:e>
              <m:sub>
                <m:r>
                  <w:rPr>
                    <w:rStyle w:val="katex-mathml"/>
                    <w:rFonts w:ascii="Cambria Math" w:eastAsiaTheme="majorEastAsia" w:hAnsi="Cambria Math"/>
                  </w:rPr>
                  <m:t>AB</m:t>
                </m:r>
              </m:sub>
            </m:sSub>
            <m:r>
              <w:rPr>
                <w:rStyle w:val="katex-mathml"/>
                <w:rFonts w:ascii="Cambria Math" w:eastAsiaTheme="majorEastAsia" w:hAnsi="Cambria Math"/>
              </w:rPr>
              <m:t>-</m:t>
            </m:r>
            <m:f>
              <m:fPr>
                <m:ctrlPr>
                  <w:rPr>
                    <w:rStyle w:val="katex-mathml"/>
                    <w:rFonts w:ascii="Cambria Math" w:eastAsiaTheme="majorEastAsia" w:hAnsi="Cambria Math"/>
                    <w:i/>
                  </w:rPr>
                </m:ctrlPr>
              </m:fPr>
              <m:num>
                <m:sSub>
                  <m:sSubPr>
                    <m:ctrlPr>
                      <w:rPr>
                        <w:rStyle w:val="katex-mathml"/>
                        <w:rFonts w:ascii="Cambria Math" w:eastAsiaTheme="majorEastAsia" w:hAnsi="Cambria Math"/>
                        <w:i/>
                      </w:rPr>
                    </m:ctrlPr>
                  </m:sSubPr>
                  <m:e>
                    <m:r>
                      <w:rPr>
                        <w:rStyle w:val="katex-mathml"/>
                        <w:rFonts w:ascii="Cambria Math" w:eastAsiaTheme="majorEastAsia" w:hAnsi="Cambria Math"/>
                      </w:rPr>
                      <m:t>ϵ</m:t>
                    </m:r>
                  </m:e>
                  <m:sub>
                    <m:r>
                      <w:rPr>
                        <w:rStyle w:val="katex-mathml"/>
                        <w:rFonts w:ascii="Cambria Math" w:eastAsiaTheme="majorEastAsia" w:hAnsi="Cambria Math"/>
                      </w:rPr>
                      <m:t>AA</m:t>
                    </m:r>
                  </m:sub>
                </m:sSub>
                <m:r>
                  <w:rPr>
                    <w:rStyle w:val="katex-mathml"/>
                    <w:rFonts w:ascii="Cambria Math" w:eastAsiaTheme="majorEastAsia" w:hAnsi="Cambria Math"/>
                  </w:rPr>
                  <m:t>+</m:t>
                </m:r>
                <m:sSub>
                  <m:sSubPr>
                    <m:ctrlPr>
                      <w:rPr>
                        <w:rStyle w:val="katex-mathml"/>
                        <w:rFonts w:ascii="Cambria Math" w:eastAsiaTheme="majorEastAsia" w:hAnsi="Cambria Math"/>
                        <w:i/>
                      </w:rPr>
                    </m:ctrlPr>
                  </m:sSubPr>
                  <m:e>
                    <m:r>
                      <w:rPr>
                        <w:rStyle w:val="katex-mathml"/>
                        <w:rFonts w:ascii="Cambria Math" w:eastAsiaTheme="majorEastAsia" w:hAnsi="Cambria Math"/>
                      </w:rPr>
                      <m:t>ϵ</m:t>
                    </m:r>
                  </m:e>
                  <m:sub>
                    <m:r>
                      <w:rPr>
                        <w:rStyle w:val="katex-mathml"/>
                        <w:rFonts w:ascii="Cambria Math" w:eastAsiaTheme="majorEastAsia" w:hAnsi="Cambria Math"/>
                      </w:rPr>
                      <m:t>BB</m:t>
                    </m:r>
                  </m:sub>
                </m:sSub>
              </m:num>
              <m:den>
                <m:r>
                  <w:rPr>
                    <w:rStyle w:val="katex-mathml"/>
                    <w:rFonts w:ascii="Cambria Math" w:eastAsiaTheme="majorEastAsia" w:hAnsi="Cambria Math"/>
                  </w:rPr>
                  <m:t>2</m:t>
                </m:r>
              </m:den>
            </m:f>
          </m:e>
        </m:d>
        <m:r>
          <w:rPr>
            <w:rStyle w:val="katex-mathml"/>
            <w:rFonts w:ascii="Cambria Math" w:eastAsiaTheme="majorEastAsia" w:hAnsi="Cambria Math" w:cs="Cambria Math"/>
          </w:rPr>
          <m:t>≫</m:t>
        </m:r>
        <m:r>
          <w:rPr>
            <w:rStyle w:val="katex-mathml"/>
            <w:rFonts w:ascii="Cambria Math" w:eastAsiaTheme="majorEastAsia" w:hAnsi="Cambria Math"/>
          </w:rPr>
          <m:t>kT</m:t>
        </m:r>
      </m:oMath>
      <w:r w:rsidR="0037313A">
        <w:rPr>
          <w:rStyle w:val="katex-mathml"/>
        </w:rPr>
        <w:t>.</w:t>
      </w:r>
      <w:r w:rsidR="009C5091">
        <w:rPr>
          <w:rStyle w:val="katex-mathml"/>
        </w:rPr>
        <w:tab/>
        <w:t>(</w:t>
      </w:r>
      <w:r w:rsidR="008843B8">
        <w:rPr>
          <w:rStyle w:val="katex-mathml"/>
        </w:rPr>
        <w:t>S</w:t>
      </w:r>
      <w:r w:rsidR="009C5091">
        <w:rPr>
          <w:rStyle w:val="katex-mathml"/>
        </w:rPr>
        <w:t>5)</w:t>
      </w:r>
    </w:p>
    <w:p w14:paraId="0319D488" w14:textId="590AE13F" w:rsidR="006E1931" w:rsidRDefault="00523638" w:rsidP="006E1931">
      <w:pPr>
        <w:pStyle w:val="NormalWeb"/>
        <w:spacing w:line="480" w:lineRule="auto"/>
        <w:ind w:left="720"/>
        <w:jc w:val="both"/>
      </w:pPr>
      <w:r>
        <w:t xml:space="preserve">Substituting these values </w:t>
      </w:r>
      <w:r w:rsidR="007643DE">
        <w:t>in Equation S3 shows</w:t>
      </w:r>
      <w:r w:rsidR="006E1931">
        <w:t xml:space="preserve"> </w:t>
      </w:r>
      <w:r w:rsidR="00B806EF">
        <w:t xml:space="preserve">that </w:t>
      </w:r>
      <m:oMath>
        <m:r>
          <w:rPr>
            <w:rStyle w:val="katex-mathml"/>
            <w:rFonts w:ascii="Cambria Math" w:eastAsiaTheme="majorEastAsia" w:hAnsi="Cambria Math"/>
          </w:rPr>
          <m:t>χ</m:t>
        </m:r>
      </m:oMath>
      <w:r w:rsidR="006E1931">
        <w:t xml:space="preserve"> </w:t>
      </w:r>
      <w:r w:rsidR="007643DE">
        <w:t xml:space="preserve">is </w:t>
      </w:r>
      <w:r w:rsidR="006E1931">
        <w:t xml:space="preserve">large and positive: </w:t>
      </w:r>
      <m:oMath>
        <m:r>
          <w:rPr>
            <w:rStyle w:val="katex-mathml"/>
            <w:rFonts w:ascii="Cambria Math" w:eastAsiaTheme="majorEastAsia" w:hAnsi="Cambria Math"/>
          </w:rPr>
          <m:t>χ</m:t>
        </m:r>
        <m:r>
          <w:rPr>
            <w:rStyle w:val="katex-mathml"/>
            <w:rFonts w:ascii="Cambria Math" w:eastAsiaTheme="majorEastAsia" w:hAnsi="Cambria Math" w:cs="Cambria Math"/>
          </w:rPr>
          <m:t>≫</m:t>
        </m:r>
        <m:r>
          <w:rPr>
            <w:rStyle w:val="katex-mathml"/>
            <w:rFonts w:ascii="Cambria Math" w:eastAsiaTheme="majorEastAsia" w:hAnsi="Cambria Math"/>
          </w:rPr>
          <m:t>1</m:t>
        </m:r>
      </m:oMath>
      <w:r w:rsidR="006E1931">
        <w:rPr>
          <w:rStyle w:val="katex-mathml"/>
          <w:rFonts w:eastAsiaTheme="majorEastAsia"/>
        </w:rPr>
        <w:t>.</w:t>
      </w:r>
      <w:r w:rsidR="006E1931">
        <w:t xml:space="preserve"> </w:t>
      </w:r>
      <w:r w:rsidR="0037313A">
        <w:t xml:space="preserve"> </w:t>
      </w:r>
      <w:r w:rsidR="006E1931">
        <w:t xml:space="preserve">This large positive </w:t>
      </w:r>
      <m:oMath>
        <m:r>
          <w:rPr>
            <w:rStyle w:val="katex-mathml"/>
            <w:rFonts w:ascii="Cambria Math" w:eastAsiaTheme="majorEastAsia" w:hAnsi="Cambria Math"/>
          </w:rPr>
          <m:t>χ</m:t>
        </m:r>
      </m:oMath>
      <w:r w:rsidR="006E1931">
        <w:t xml:space="preserve"> reflects the significant energetic penalty for mixing the two networks, due to the unfavo</w:t>
      </w:r>
      <w:r w:rsidR="0037313A">
        <w:t>u</w:t>
      </w:r>
      <w:r w:rsidR="006E1931">
        <w:t>rable interactions between their dissimilar bonding schemes at room temperature.</w:t>
      </w:r>
    </w:p>
    <w:p w14:paraId="10FB0ED8" w14:textId="0CC675C3" w:rsidR="006E1931" w:rsidRDefault="006E1931" w:rsidP="006E1931">
      <w:pPr>
        <w:pStyle w:val="NormalWeb"/>
        <w:numPr>
          <w:ilvl w:val="0"/>
          <w:numId w:val="11"/>
        </w:numPr>
        <w:spacing w:line="480" w:lineRule="auto"/>
        <w:jc w:val="both"/>
      </w:pPr>
      <w:r w:rsidRPr="00F03AD7">
        <w:rPr>
          <w:rStyle w:val="Strong"/>
          <w:rFonts w:eastAsiaTheme="majorEastAsia"/>
          <w:b w:val="0"/>
          <w:bCs w:val="0"/>
          <w:i/>
          <w:iCs/>
        </w:rPr>
        <w:lastRenderedPageBreak/>
        <w:t>Differences in Solubility Parameters</w:t>
      </w:r>
      <w:r w:rsidRPr="00F03AD7">
        <w:rPr>
          <w:b/>
          <w:i/>
          <w:iCs/>
        </w:rPr>
        <w:t>:</w:t>
      </w:r>
      <w:r w:rsidRPr="00795425">
        <w:rPr>
          <w:b/>
          <w:i/>
          <w:iCs/>
        </w:rPr>
        <w:t xml:space="preserve"> </w:t>
      </w:r>
      <w:r>
        <w:t xml:space="preserve">The solubility parameter is a measure of the cohesive energy density of a material, reflecting the energy required to separate molecules from each other. </w:t>
      </w:r>
      <w:r w:rsidR="003E61BC">
        <w:t xml:space="preserve"> </w:t>
      </w:r>
      <w:r>
        <w:t xml:space="preserve">Due to the different types of interactions (electrostatic vs. hydrogen bonding), Networks A and B have significantly different solubility parameters. </w:t>
      </w:r>
      <w:r w:rsidR="003E61BC">
        <w:t xml:space="preserve"> </w:t>
      </w:r>
      <w:r>
        <w:t>The square of their difference is large:</w:t>
      </w:r>
    </w:p>
    <w:p w14:paraId="0A75391C" w14:textId="3BA1DB37" w:rsidR="006E1931" w:rsidRDefault="00782AFE" w:rsidP="00F04C20">
      <w:pPr>
        <w:pStyle w:val="NormalWeb"/>
        <w:tabs>
          <w:tab w:val="center" w:pos="4680"/>
          <w:tab w:val="right" w:pos="9360"/>
        </w:tabs>
        <w:spacing w:line="480" w:lineRule="auto"/>
        <w:jc w:val="both"/>
      </w:pPr>
      <w:r>
        <w:tab/>
      </w:r>
      <m:oMath>
        <m:sSup>
          <m:sSupPr>
            <m:ctrlPr>
              <w:rPr>
                <w:rStyle w:val="katex-mathml"/>
                <w:rFonts w:ascii="Cambria Math" w:eastAsiaTheme="majorEastAsia" w:hAnsi="Cambria Math"/>
                <w:i/>
              </w:rPr>
            </m:ctrlPr>
          </m:sSupPr>
          <m:e>
            <m:r>
              <w:rPr>
                <w:rStyle w:val="katex-mathml"/>
                <w:rFonts w:ascii="Cambria Math" w:eastAsiaTheme="majorEastAsia" w:hAnsi="Cambria Math"/>
              </w:rPr>
              <m:t>(</m:t>
            </m:r>
            <m:sSub>
              <m:sSubPr>
                <m:ctrlPr>
                  <w:rPr>
                    <w:rStyle w:val="katex-mathml"/>
                    <w:rFonts w:ascii="Cambria Math" w:eastAsiaTheme="majorEastAsia" w:hAnsi="Cambria Math"/>
                    <w:i/>
                  </w:rPr>
                </m:ctrlPr>
              </m:sSubPr>
              <m:e>
                <m:r>
                  <w:rPr>
                    <w:rStyle w:val="katex-mathml"/>
                    <w:rFonts w:ascii="Cambria Math" w:eastAsiaTheme="majorEastAsia" w:hAnsi="Cambria Math"/>
                  </w:rPr>
                  <m:t>δ</m:t>
                </m:r>
              </m:e>
              <m:sub>
                <m:r>
                  <w:rPr>
                    <w:rStyle w:val="katex-mathml"/>
                    <w:rFonts w:ascii="Cambria Math" w:eastAsiaTheme="majorEastAsia" w:hAnsi="Cambria Math"/>
                  </w:rPr>
                  <m:t>A</m:t>
                </m:r>
              </m:sub>
            </m:sSub>
            <m:r>
              <w:rPr>
                <w:rStyle w:val="katex-mathml"/>
                <w:rFonts w:ascii="Cambria Math" w:eastAsiaTheme="majorEastAsia" w:hAnsi="Cambria Math"/>
              </w:rPr>
              <m:t>-</m:t>
            </m:r>
            <m:sSub>
              <m:sSubPr>
                <m:ctrlPr>
                  <w:rPr>
                    <w:rStyle w:val="katex-mathml"/>
                    <w:rFonts w:ascii="Cambria Math" w:eastAsiaTheme="majorEastAsia" w:hAnsi="Cambria Math"/>
                    <w:i/>
                  </w:rPr>
                </m:ctrlPr>
              </m:sSubPr>
              <m:e>
                <m:r>
                  <w:rPr>
                    <w:rStyle w:val="katex-mathml"/>
                    <w:rFonts w:ascii="Cambria Math" w:eastAsiaTheme="majorEastAsia" w:hAnsi="Cambria Math"/>
                  </w:rPr>
                  <m:t>δ</m:t>
                </m:r>
              </m:e>
              <m:sub>
                <m:r>
                  <w:rPr>
                    <w:rStyle w:val="katex-mathml"/>
                    <w:rFonts w:ascii="Cambria Math" w:eastAsiaTheme="majorEastAsia" w:hAnsi="Cambria Math"/>
                  </w:rPr>
                  <m:t>B</m:t>
                </m:r>
              </m:sub>
            </m:sSub>
            <m:r>
              <w:rPr>
                <w:rStyle w:val="katex-mathml"/>
                <w:rFonts w:ascii="Cambria Math" w:eastAsiaTheme="majorEastAsia" w:hAnsi="Cambria Math"/>
              </w:rPr>
              <m:t>)</m:t>
            </m:r>
          </m:e>
          <m:sup>
            <m:r>
              <w:rPr>
                <w:rStyle w:val="katex-mathml"/>
                <w:rFonts w:ascii="Cambria Math" w:eastAsiaTheme="majorEastAsia" w:hAnsi="Cambria Math"/>
              </w:rPr>
              <m:t>2</m:t>
            </m:r>
          </m:sup>
        </m:sSup>
        <m:r>
          <w:rPr>
            <w:rStyle w:val="katex-mathml"/>
            <w:rFonts w:ascii="Cambria Math" w:eastAsiaTheme="majorEastAsia" w:hAnsi="Cambria Math" w:cs="Cambria Math"/>
          </w:rPr>
          <m:t>≫</m:t>
        </m:r>
        <m:r>
          <w:rPr>
            <w:rStyle w:val="katex-mathml"/>
            <w:rFonts w:ascii="Cambria Math" w:eastAsiaTheme="majorEastAsia" w:hAnsi="Cambria Math"/>
          </w:rPr>
          <m:t>0</m:t>
        </m:r>
      </m:oMath>
      <w:r w:rsidR="00037FDF">
        <w:rPr>
          <w:rStyle w:val="katex-mathml"/>
        </w:rPr>
        <w:t>.</w:t>
      </w:r>
      <w:r w:rsidR="009C5091">
        <w:rPr>
          <w:rStyle w:val="katex-mathml"/>
        </w:rPr>
        <w:tab/>
        <w:t>(</w:t>
      </w:r>
      <w:r w:rsidR="008843B8">
        <w:rPr>
          <w:rStyle w:val="katex-mathml"/>
        </w:rPr>
        <w:t>S</w:t>
      </w:r>
      <w:r w:rsidR="009C5091">
        <w:rPr>
          <w:rStyle w:val="katex-mathml"/>
        </w:rPr>
        <w:t>6)</w:t>
      </w:r>
    </w:p>
    <w:p w14:paraId="4E1C99F9" w14:textId="78D27EC6" w:rsidR="006E1931" w:rsidRDefault="006E1931" w:rsidP="006E1931">
      <w:pPr>
        <w:pStyle w:val="NormalWeb"/>
        <w:spacing w:line="480" w:lineRule="auto"/>
        <w:ind w:left="720"/>
        <w:jc w:val="both"/>
      </w:pPr>
      <w:r>
        <w:t xml:space="preserve">This leads to a large positive </w:t>
      </w:r>
      <m:oMath>
        <m:r>
          <w:rPr>
            <w:rStyle w:val="katex-mathml"/>
            <w:rFonts w:ascii="Cambria Math" w:eastAsiaTheme="majorEastAsia" w:hAnsi="Cambria Math"/>
          </w:rPr>
          <m:t>χ</m:t>
        </m:r>
      </m:oMath>
      <w:r>
        <w:t>, indicating immiscibility due to unfavorable energetic interactions.</w:t>
      </w:r>
    </w:p>
    <w:p w14:paraId="3A4BC524" w14:textId="3FA09F14" w:rsidR="006E1931" w:rsidRPr="00F03AD7" w:rsidRDefault="006E1931" w:rsidP="006E1931">
      <w:pPr>
        <w:pStyle w:val="NormalWeb"/>
        <w:spacing w:line="480" w:lineRule="auto"/>
        <w:jc w:val="both"/>
        <w:rPr>
          <w:b/>
          <w:i/>
          <w:iCs/>
        </w:rPr>
      </w:pPr>
      <w:r>
        <w:t>Mixing the two networks would disrupt the favo</w:t>
      </w:r>
      <w:r w:rsidR="00037FDF">
        <w:t>u</w:t>
      </w:r>
      <w:r>
        <w:t>rable intra-network interactions without providing equally favo</w:t>
      </w:r>
      <w:r w:rsidR="00EB60E5">
        <w:t>u</w:t>
      </w:r>
      <w:r>
        <w:t xml:space="preserve">rable inter-network interactions. </w:t>
      </w:r>
      <w:r w:rsidR="00EB60E5">
        <w:t xml:space="preserve"> </w:t>
      </w:r>
      <w:r>
        <w:t>The entropy of mixing (</w:t>
      </w:r>
      <m:oMath>
        <m:r>
          <w:rPr>
            <w:rStyle w:val="katex-mathml"/>
            <w:rFonts w:ascii="Cambria Math" w:eastAsiaTheme="majorEastAsia" w:hAnsi="Cambria Math"/>
          </w:rPr>
          <m:t>Δ</m:t>
        </m:r>
        <m:sSub>
          <m:sSubPr>
            <m:ctrlPr>
              <w:rPr>
                <w:rStyle w:val="katex-mathml"/>
                <w:rFonts w:ascii="Cambria Math" w:eastAsiaTheme="majorEastAsia" w:hAnsi="Cambria Math"/>
                <w:i/>
              </w:rPr>
            </m:ctrlPr>
          </m:sSubPr>
          <m:e>
            <m:r>
              <w:rPr>
                <w:rStyle w:val="katex-mathml"/>
                <w:rFonts w:ascii="Cambria Math" w:eastAsiaTheme="majorEastAsia" w:hAnsi="Cambria Math"/>
              </w:rPr>
              <m:t>S</m:t>
            </m:r>
          </m:e>
          <m:sub>
            <m:r>
              <w:rPr>
                <w:rStyle w:val="katex-mathml"/>
                <w:rFonts w:ascii="Cambria Math" w:eastAsiaTheme="majorEastAsia" w:hAnsi="Cambria Math"/>
              </w:rPr>
              <m:t>mix</m:t>
            </m:r>
          </m:sub>
        </m:sSub>
      </m:oMath>
      <w:r>
        <w:t>) for polymers is generally small due to their high molecular weights, which limit</w:t>
      </w:r>
      <w:r w:rsidR="00EB60E5">
        <w:t>s</w:t>
      </w:r>
      <w:r>
        <w:t xml:space="preserve"> the configurational entropy gain upon mixing. </w:t>
      </w:r>
      <w:r w:rsidR="00EB60E5">
        <w:t xml:space="preserve"> </w:t>
      </w:r>
      <w:r>
        <w:t>The entropy of mixing is given by:</w:t>
      </w:r>
    </w:p>
    <w:p w14:paraId="07D6CE33" w14:textId="4B639A88" w:rsidR="006E1931" w:rsidRDefault="00782AFE" w:rsidP="00F04C20">
      <w:pPr>
        <w:pStyle w:val="NormalWeb"/>
        <w:tabs>
          <w:tab w:val="center" w:pos="4680"/>
          <w:tab w:val="right" w:pos="9360"/>
        </w:tabs>
        <w:spacing w:line="480" w:lineRule="auto"/>
        <w:jc w:val="both"/>
      </w:pPr>
      <w:r>
        <w:tab/>
      </w:r>
      <m:oMath>
        <m:r>
          <w:rPr>
            <w:rStyle w:val="katex-mathml"/>
            <w:rFonts w:ascii="Cambria Math" w:eastAsiaTheme="majorEastAsia" w:hAnsi="Cambria Math"/>
          </w:rPr>
          <m:t>Δ</m:t>
        </m:r>
        <m:sSub>
          <m:sSubPr>
            <m:ctrlPr>
              <w:rPr>
                <w:rStyle w:val="katex-mathml"/>
                <w:rFonts w:ascii="Cambria Math" w:eastAsiaTheme="majorEastAsia" w:hAnsi="Cambria Math"/>
                <w:i/>
              </w:rPr>
            </m:ctrlPr>
          </m:sSubPr>
          <m:e>
            <m:r>
              <w:rPr>
                <w:rStyle w:val="katex-mathml"/>
                <w:rFonts w:ascii="Cambria Math" w:eastAsiaTheme="majorEastAsia" w:hAnsi="Cambria Math"/>
              </w:rPr>
              <m:t>S</m:t>
            </m:r>
          </m:e>
          <m:sub>
            <m:r>
              <w:rPr>
                <w:rStyle w:val="katex-mathml"/>
                <w:rFonts w:ascii="Cambria Math" w:eastAsiaTheme="majorEastAsia" w:hAnsi="Cambria Math"/>
              </w:rPr>
              <m:t>mix</m:t>
            </m:r>
          </m:sub>
        </m:sSub>
        <m:r>
          <w:rPr>
            <w:rStyle w:val="katex-mathml"/>
            <w:rFonts w:ascii="Cambria Math" w:eastAsiaTheme="majorEastAsia" w:hAnsi="Cambria Math"/>
          </w:rPr>
          <m:t>=-k</m:t>
        </m:r>
        <m:d>
          <m:dPr>
            <m:ctrlPr>
              <w:rPr>
                <w:rStyle w:val="katex-mathml"/>
                <w:rFonts w:ascii="Cambria Math" w:eastAsiaTheme="majorEastAsia" w:hAnsi="Cambria Math"/>
                <w:i/>
              </w:rPr>
            </m:ctrlPr>
          </m:dPr>
          <m:e>
            <m:f>
              <m:fPr>
                <m:ctrlPr>
                  <w:rPr>
                    <w:rStyle w:val="katex-mathml"/>
                    <w:rFonts w:ascii="Cambria Math" w:eastAsiaTheme="majorEastAsia" w:hAnsi="Cambria Math"/>
                    <w:i/>
                  </w:rPr>
                </m:ctrlPr>
              </m:fPr>
              <m:num>
                <m:sSub>
                  <m:sSubPr>
                    <m:ctrlPr>
                      <w:rPr>
                        <w:rStyle w:val="katex-mathml"/>
                        <w:rFonts w:ascii="Cambria Math" w:eastAsiaTheme="majorEastAsia" w:hAnsi="Cambria Math"/>
                        <w:i/>
                      </w:rPr>
                    </m:ctrlPr>
                  </m:sSubPr>
                  <m:e>
                    <m:r>
                      <w:rPr>
                        <w:rStyle w:val="katex-mathml"/>
                        <w:rFonts w:ascii="Cambria Math" w:eastAsiaTheme="majorEastAsia" w:hAnsi="Cambria Math"/>
                      </w:rPr>
                      <m:t>ϕ</m:t>
                    </m:r>
                  </m:e>
                  <m:sub>
                    <m:r>
                      <w:rPr>
                        <w:rStyle w:val="katex-mathml"/>
                        <w:rFonts w:ascii="Cambria Math" w:eastAsiaTheme="majorEastAsia" w:hAnsi="Cambria Math"/>
                      </w:rPr>
                      <m:t>A</m:t>
                    </m:r>
                  </m:sub>
                </m:sSub>
              </m:num>
              <m:den>
                <m:sSub>
                  <m:sSubPr>
                    <m:ctrlPr>
                      <w:rPr>
                        <w:rStyle w:val="katex-mathml"/>
                        <w:rFonts w:ascii="Cambria Math" w:eastAsiaTheme="majorEastAsia" w:hAnsi="Cambria Math"/>
                        <w:i/>
                      </w:rPr>
                    </m:ctrlPr>
                  </m:sSubPr>
                  <m:e>
                    <m:r>
                      <w:rPr>
                        <w:rStyle w:val="katex-mathml"/>
                        <w:rFonts w:ascii="Cambria Math" w:eastAsiaTheme="majorEastAsia" w:hAnsi="Cambria Math"/>
                      </w:rPr>
                      <m:t>N</m:t>
                    </m:r>
                  </m:e>
                  <m:sub>
                    <m:r>
                      <w:rPr>
                        <w:rStyle w:val="katex-mathml"/>
                        <w:rFonts w:ascii="Cambria Math" w:eastAsiaTheme="majorEastAsia" w:hAnsi="Cambria Math"/>
                      </w:rPr>
                      <m:t>A</m:t>
                    </m:r>
                  </m:sub>
                </m:sSub>
              </m:den>
            </m:f>
            <m:func>
              <m:funcPr>
                <m:ctrlPr>
                  <w:rPr>
                    <w:rStyle w:val="katex-mathml"/>
                    <w:rFonts w:ascii="Cambria Math" w:eastAsiaTheme="majorEastAsia" w:hAnsi="Cambria Math"/>
                  </w:rPr>
                </m:ctrlPr>
              </m:funcPr>
              <m:fName>
                <m:r>
                  <m:rPr>
                    <m:sty m:val="p"/>
                  </m:rPr>
                  <w:rPr>
                    <w:rStyle w:val="katex-mathml"/>
                    <w:rFonts w:ascii="Cambria Math" w:eastAsiaTheme="majorEastAsia" w:hAnsi="Cambria Math"/>
                  </w:rPr>
                  <m:t>ln</m:t>
                </m:r>
              </m:fName>
              <m:e>
                <m:sSub>
                  <m:sSubPr>
                    <m:ctrlPr>
                      <w:rPr>
                        <w:rStyle w:val="katex-mathml"/>
                        <w:rFonts w:ascii="Cambria Math" w:eastAsiaTheme="majorEastAsia" w:hAnsi="Cambria Math"/>
                        <w:i/>
                      </w:rPr>
                    </m:ctrlPr>
                  </m:sSubPr>
                  <m:e>
                    <m:r>
                      <w:rPr>
                        <w:rStyle w:val="katex-mathml"/>
                        <w:rFonts w:ascii="Cambria Math" w:eastAsiaTheme="majorEastAsia" w:hAnsi="Cambria Math"/>
                      </w:rPr>
                      <m:t>ϕ</m:t>
                    </m:r>
                  </m:e>
                  <m:sub>
                    <m:r>
                      <w:rPr>
                        <w:rStyle w:val="katex-mathml"/>
                        <w:rFonts w:ascii="Cambria Math" w:eastAsiaTheme="majorEastAsia" w:hAnsi="Cambria Math"/>
                      </w:rPr>
                      <m:t>A</m:t>
                    </m:r>
                  </m:sub>
                </m:sSub>
              </m:e>
            </m:func>
            <m:r>
              <w:rPr>
                <w:rStyle w:val="katex-mathml"/>
                <w:rFonts w:ascii="Cambria Math" w:eastAsiaTheme="majorEastAsia" w:hAnsi="Cambria Math"/>
              </w:rPr>
              <m:t>+</m:t>
            </m:r>
            <m:f>
              <m:fPr>
                <m:ctrlPr>
                  <w:rPr>
                    <w:rStyle w:val="katex-mathml"/>
                    <w:rFonts w:ascii="Cambria Math" w:eastAsiaTheme="majorEastAsia" w:hAnsi="Cambria Math"/>
                    <w:i/>
                  </w:rPr>
                </m:ctrlPr>
              </m:fPr>
              <m:num>
                <m:sSub>
                  <m:sSubPr>
                    <m:ctrlPr>
                      <w:rPr>
                        <w:rStyle w:val="katex-mathml"/>
                        <w:rFonts w:ascii="Cambria Math" w:eastAsiaTheme="majorEastAsia" w:hAnsi="Cambria Math"/>
                        <w:i/>
                      </w:rPr>
                    </m:ctrlPr>
                  </m:sSubPr>
                  <m:e>
                    <m:r>
                      <w:rPr>
                        <w:rStyle w:val="katex-mathml"/>
                        <w:rFonts w:ascii="Cambria Math" w:eastAsiaTheme="majorEastAsia" w:hAnsi="Cambria Math"/>
                      </w:rPr>
                      <m:t>ϕ</m:t>
                    </m:r>
                  </m:e>
                  <m:sub>
                    <m:r>
                      <w:rPr>
                        <w:rStyle w:val="katex-mathml"/>
                        <w:rFonts w:ascii="Cambria Math" w:eastAsiaTheme="majorEastAsia" w:hAnsi="Cambria Math"/>
                      </w:rPr>
                      <m:t>B</m:t>
                    </m:r>
                  </m:sub>
                </m:sSub>
              </m:num>
              <m:den>
                <m:sSub>
                  <m:sSubPr>
                    <m:ctrlPr>
                      <w:rPr>
                        <w:rStyle w:val="katex-mathml"/>
                        <w:rFonts w:ascii="Cambria Math" w:eastAsiaTheme="majorEastAsia" w:hAnsi="Cambria Math"/>
                        <w:i/>
                      </w:rPr>
                    </m:ctrlPr>
                  </m:sSubPr>
                  <m:e>
                    <m:r>
                      <w:rPr>
                        <w:rStyle w:val="katex-mathml"/>
                        <w:rFonts w:ascii="Cambria Math" w:eastAsiaTheme="majorEastAsia" w:hAnsi="Cambria Math"/>
                      </w:rPr>
                      <m:t>N</m:t>
                    </m:r>
                  </m:e>
                  <m:sub>
                    <m:r>
                      <w:rPr>
                        <w:rStyle w:val="katex-mathml"/>
                        <w:rFonts w:ascii="Cambria Math" w:eastAsiaTheme="majorEastAsia" w:hAnsi="Cambria Math"/>
                      </w:rPr>
                      <m:t>B</m:t>
                    </m:r>
                  </m:sub>
                </m:sSub>
              </m:den>
            </m:f>
            <m:func>
              <m:funcPr>
                <m:ctrlPr>
                  <w:rPr>
                    <w:rStyle w:val="katex-mathml"/>
                    <w:rFonts w:ascii="Cambria Math" w:eastAsiaTheme="majorEastAsia" w:hAnsi="Cambria Math"/>
                  </w:rPr>
                </m:ctrlPr>
              </m:funcPr>
              <m:fName>
                <m:r>
                  <m:rPr>
                    <m:sty m:val="p"/>
                  </m:rPr>
                  <w:rPr>
                    <w:rStyle w:val="katex-mathml"/>
                    <w:rFonts w:ascii="Cambria Math" w:eastAsiaTheme="majorEastAsia" w:hAnsi="Cambria Math"/>
                  </w:rPr>
                  <m:t>ln</m:t>
                </m:r>
              </m:fName>
              <m:e>
                <m:sSub>
                  <m:sSubPr>
                    <m:ctrlPr>
                      <w:rPr>
                        <w:rStyle w:val="katex-mathml"/>
                        <w:rFonts w:ascii="Cambria Math" w:eastAsiaTheme="majorEastAsia" w:hAnsi="Cambria Math"/>
                        <w:i/>
                      </w:rPr>
                    </m:ctrlPr>
                  </m:sSubPr>
                  <m:e>
                    <m:r>
                      <w:rPr>
                        <w:rStyle w:val="katex-mathml"/>
                        <w:rFonts w:ascii="Cambria Math" w:eastAsiaTheme="majorEastAsia" w:hAnsi="Cambria Math"/>
                      </w:rPr>
                      <m:t>ϕ</m:t>
                    </m:r>
                  </m:e>
                  <m:sub>
                    <m:r>
                      <w:rPr>
                        <w:rStyle w:val="katex-mathml"/>
                        <w:rFonts w:ascii="Cambria Math" w:eastAsiaTheme="majorEastAsia" w:hAnsi="Cambria Math"/>
                      </w:rPr>
                      <m:t>B</m:t>
                    </m:r>
                  </m:sub>
                </m:sSub>
              </m:e>
            </m:func>
          </m:e>
        </m:d>
      </m:oMath>
      <w:r w:rsidR="00EB60E5">
        <w:rPr>
          <w:rStyle w:val="katex-mathml"/>
        </w:rPr>
        <w:t>,</w:t>
      </w:r>
      <w:r w:rsidR="009C5091">
        <w:rPr>
          <w:rStyle w:val="katex-mathml"/>
        </w:rPr>
        <w:tab/>
        <w:t>(</w:t>
      </w:r>
      <w:r w:rsidR="008843B8">
        <w:rPr>
          <w:rStyle w:val="katex-mathml"/>
        </w:rPr>
        <w:t>S</w:t>
      </w:r>
      <w:r w:rsidR="009C5091">
        <w:rPr>
          <w:rStyle w:val="katex-mathml"/>
        </w:rPr>
        <w:t>7)</w:t>
      </w:r>
    </w:p>
    <w:p w14:paraId="63FFC7E6" w14:textId="51067D2F" w:rsidR="006E1931" w:rsidRDefault="006E1931" w:rsidP="006E1931">
      <w:pPr>
        <w:pStyle w:val="NormalWeb"/>
        <w:spacing w:line="480" w:lineRule="auto"/>
        <w:jc w:val="both"/>
      </w:pPr>
      <w:r>
        <w:t xml:space="preserve">where </w:t>
      </w:r>
      <m:oMath>
        <m:sSub>
          <m:sSubPr>
            <m:ctrlPr>
              <w:rPr>
                <w:rStyle w:val="katex-mathml"/>
                <w:rFonts w:ascii="Cambria Math" w:eastAsiaTheme="majorEastAsia" w:hAnsi="Cambria Math"/>
                <w:i/>
              </w:rPr>
            </m:ctrlPr>
          </m:sSubPr>
          <m:e>
            <m:r>
              <w:rPr>
                <w:rStyle w:val="katex-mathml"/>
                <w:rFonts w:ascii="Cambria Math" w:eastAsiaTheme="majorEastAsia" w:hAnsi="Cambria Math"/>
              </w:rPr>
              <m:t>N</m:t>
            </m:r>
          </m:e>
          <m:sub>
            <m:r>
              <w:rPr>
                <w:rStyle w:val="katex-mathml"/>
                <w:rFonts w:ascii="Cambria Math" w:eastAsiaTheme="majorEastAsia" w:hAnsi="Cambria Math"/>
              </w:rPr>
              <m:t>A</m:t>
            </m:r>
          </m:sub>
        </m:sSub>
      </m:oMath>
      <w:r>
        <w:t xml:space="preserve"> and </w:t>
      </w:r>
      <m:oMath>
        <m:sSub>
          <m:sSubPr>
            <m:ctrlPr>
              <w:rPr>
                <w:rStyle w:val="katex-mathml"/>
                <w:rFonts w:ascii="Cambria Math" w:eastAsiaTheme="majorEastAsia" w:hAnsi="Cambria Math"/>
                <w:i/>
              </w:rPr>
            </m:ctrlPr>
          </m:sSubPr>
          <m:e>
            <m:r>
              <w:rPr>
                <w:rStyle w:val="katex-mathml"/>
                <w:rFonts w:ascii="Cambria Math" w:eastAsiaTheme="majorEastAsia" w:hAnsi="Cambria Math"/>
              </w:rPr>
              <m:t>N</m:t>
            </m:r>
          </m:e>
          <m:sub>
            <m:r>
              <w:rPr>
                <w:rStyle w:val="katex-mathml"/>
                <w:rFonts w:ascii="Cambria Math" w:eastAsiaTheme="majorEastAsia" w:hAnsi="Cambria Math"/>
              </w:rPr>
              <m:t>B</m:t>
            </m:r>
          </m:sub>
        </m:sSub>
      </m:oMath>
      <w:r>
        <w:t xml:space="preserve"> are the degrees of polymerization of networks A and B. </w:t>
      </w:r>
      <w:r w:rsidR="00E770C6">
        <w:t xml:space="preserve"> </w:t>
      </w:r>
      <w:r w:rsidR="007B5A61">
        <w:t xml:space="preserve">Large </w:t>
      </w:r>
      <m:oMath>
        <m:sSub>
          <m:sSubPr>
            <m:ctrlPr>
              <w:rPr>
                <w:rStyle w:val="katex-mathml"/>
                <w:rFonts w:ascii="Cambria Math" w:eastAsiaTheme="majorEastAsia" w:hAnsi="Cambria Math"/>
                <w:i/>
              </w:rPr>
            </m:ctrlPr>
          </m:sSubPr>
          <m:e>
            <m:r>
              <w:rPr>
                <w:rStyle w:val="katex-mathml"/>
                <w:rFonts w:ascii="Cambria Math" w:eastAsiaTheme="majorEastAsia" w:hAnsi="Cambria Math"/>
              </w:rPr>
              <m:t>N</m:t>
            </m:r>
          </m:e>
          <m:sub>
            <m:r>
              <w:rPr>
                <w:rStyle w:val="katex-mathml"/>
                <w:rFonts w:ascii="Cambria Math" w:eastAsiaTheme="majorEastAsia" w:hAnsi="Cambria Math"/>
              </w:rPr>
              <m:t>A</m:t>
            </m:r>
          </m:sub>
        </m:sSub>
      </m:oMath>
      <w:r>
        <w:t xml:space="preserve"> and </w:t>
      </w:r>
      <m:oMath>
        <m:sSub>
          <m:sSubPr>
            <m:ctrlPr>
              <w:rPr>
                <w:rStyle w:val="katex-mathml"/>
                <w:rFonts w:ascii="Cambria Math" w:eastAsiaTheme="majorEastAsia" w:hAnsi="Cambria Math"/>
                <w:i/>
              </w:rPr>
            </m:ctrlPr>
          </m:sSubPr>
          <m:e>
            <m:r>
              <w:rPr>
                <w:rStyle w:val="katex-mathml"/>
                <w:rFonts w:ascii="Cambria Math" w:eastAsiaTheme="majorEastAsia" w:hAnsi="Cambria Math"/>
              </w:rPr>
              <m:t>N</m:t>
            </m:r>
          </m:e>
          <m:sub>
            <m:r>
              <w:rPr>
                <w:rStyle w:val="katex-mathml"/>
                <w:rFonts w:ascii="Cambria Math" w:eastAsiaTheme="majorEastAsia" w:hAnsi="Cambria Math"/>
              </w:rPr>
              <m:t>B</m:t>
            </m:r>
          </m:sub>
        </m:sSub>
      </m:oMath>
      <w:r>
        <w:t xml:space="preserve"> </w:t>
      </w:r>
      <w:r w:rsidR="007B5A61">
        <w:t>give</w:t>
      </w:r>
      <w:r w:rsidR="003D661D">
        <w:t xml:space="preserve"> </w:t>
      </w:r>
      <w:r w:rsidR="007B5A61">
        <w:t xml:space="preserve">mall </w:t>
      </w:r>
      <m:oMath>
        <m:r>
          <w:rPr>
            <w:rStyle w:val="katex-mathml"/>
            <w:rFonts w:ascii="Cambria Math" w:eastAsiaTheme="majorEastAsia" w:hAnsi="Cambria Math"/>
          </w:rPr>
          <m:t>Δ</m:t>
        </m:r>
        <m:sSub>
          <m:sSubPr>
            <m:ctrlPr>
              <w:rPr>
                <w:rStyle w:val="katex-mathml"/>
                <w:rFonts w:ascii="Cambria Math" w:eastAsiaTheme="majorEastAsia" w:hAnsi="Cambria Math"/>
                <w:i/>
              </w:rPr>
            </m:ctrlPr>
          </m:sSubPr>
          <m:e>
            <m:r>
              <w:rPr>
                <w:rStyle w:val="katex-mathml"/>
                <w:rFonts w:ascii="Cambria Math" w:eastAsiaTheme="majorEastAsia" w:hAnsi="Cambria Math"/>
              </w:rPr>
              <m:t>S</m:t>
            </m:r>
          </m:e>
          <m:sub>
            <m:r>
              <w:rPr>
                <w:rStyle w:val="katex-mathml"/>
                <w:rFonts w:ascii="Cambria Math" w:eastAsiaTheme="majorEastAsia" w:hAnsi="Cambria Math"/>
              </w:rPr>
              <m:t>mix</m:t>
            </m:r>
          </m:sub>
        </m:sSub>
      </m:oMath>
      <w:r>
        <w:t xml:space="preserve">, rendering the entropic contribution to </w:t>
      </w:r>
      <m:oMath>
        <m:r>
          <w:rPr>
            <w:rStyle w:val="katex-mathml"/>
            <w:rFonts w:ascii="Cambria Math" w:eastAsiaTheme="majorEastAsia" w:hAnsi="Cambria Math"/>
          </w:rPr>
          <m:t>Δ</m:t>
        </m:r>
        <m:sSub>
          <m:sSubPr>
            <m:ctrlPr>
              <w:rPr>
                <w:rStyle w:val="katex-mathml"/>
                <w:rFonts w:ascii="Cambria Math" w:eastAsiaTheme="majorEastAsia" w:hAnsi="Cambria Math"/>
                <w:i/>
              </w:rPr>
            </m:ctrlPr>
          </m:sSubPr>
          <m:e>
            <m:r>
              <w:rPr>
                <w:rStyle w:val="katex-mathml"/>
                <w:rFonts w:ascii="Cambria Math" w:eastAsiaTheme="majorEastAsia" w:hAnsi="Cambria Math"/>
              </w:rPr>
              <m:t>G</m:t>
            </m:r>
          </m:e>
          <m:sub>
            <m:r>
              <w:rPr>
                <w:rStyle w:val="katex-mathml"/>
                <w:rFonts w:ascii="Cambria Math" w:eastAsiaTheme="majorEastAsia" w:hAnsi="Cambria Math"/>
              </w:rPr>
              <m:t>mix</m:t>
            </m:r>
          </m:sub>
        </m:sSub>
      </m:oMath>
      <w:r>
        <w:t xml:space="preserve"> insufficient to overcome the unfavo</w:t>
      </w:r>
      <w:r w:rsidR="003D661D">
        <w:t>u</w:t>
      </w:r>
      <w:r>
        <w:t>rable enthalpic contribution.</w:t>
      </w:r>
      <w:r w:rsidR="003D661D">
        <w:t xml:space="preserve">  </w:t>
      </w:r>
      <w:r>
        <w:t>Consequently, the total Gibbs free energy change upon mixing becomes positive at room temperature:</w:t>
      </w:r>
    </w:p>
    <w:p w14:paraId="66A4AE86" w14:textId="00FD5F87" w:rsidR="006E1931" w:rsidRDefault="00782AFE" w:rsidP="00F04C20">
      <w:pPr>
        <w:pStyle w:val="NormalWeb"/>
        <w:tabs>
          <w:tab w:val="center" w:pos="4590"/>
          <w:tab w:val="center" w:pos="4680"/>
          <w:tab w:val="right" w:pos="9360"/>
        </w:tabs>
        <w:spacing w:line="480" w:lineRule="auto"/>
        <w:jc w:val="both"/>
        <w:rPr>
          <w:rStyle w:val="katex-mathml"/>
        </w:rPr>
      </w:pPr>
      <w:r>
        <w:tab/>
      </w:r>
      <m:oMath>
        <m:r>
          <w:rPr>
            <w:rStyle w:val="katex-mathml"/>
            <w:rFonts w:ascii="Cambria Math" w:eastAsiaTheme="majorEastAsia" w:hAnsi="Cambria Math"/>
          </w:rPr>
          <m:t>Δ</m:t>
        </m:r>
        <m:sSub>
          <m:sSubPr>
            <m:ctrlPr>
              <w:rPr>
                <w:rStyle w:val="katex-mathml"/>
                <w:rFonts w:ascii="Cambria Math" w:eastAsiaTheme="majorEastAsia" w:hAnsi="Cambria Math"/>
                <w:i/>
              </w:rPr>
            </m:ctrlPr>
          </m:sSubPr>
          <m:e>
            <m:r>
              <w:rPr>
                <w:rStyle w:val="katex-mathml"/>
                <w:rFonts w:ascii="Cambria Math" w:eastAsiaTheme="majorEastAsia" w:hAnsi="Cambria Math"/>
              </w:rPr>
              <m:t>G</m:t>
            </m:r>
          </m:e>
          <m:sub>
            <m:r>
              <w:rPr>
                <w:rStyle w:val="katex-mathml"/>
                <w:rFonts w:ascii="Cambria Math" w:eastAsiaTheme="majorEastAsia" w:hAnsi="Cambria Math"/>
              </w:rPr>
              <m:t>mix</m:t>
            </m:r>
          </m:sub>
        </m:sSub>
        <m:r>
          <w:rPr>
            <w:rStyle w:val="katex-mathml"/>
            <w:rFonts w:ascii="Cambria Math" w:eastAsiaTheme="majorEastAsia" w:hAnsi="Cambria Math"/>
          </w:rPr>
          <m:t>=RT</m:t>
        </m:r>
        <m:d>
          <m:dPr>
            <m:ctrlPr>
              <w:rPr>
                <w:rStyle w:val="katex-mathml"/>
                <w:rFonts w:ascii="Cambria Math" w:eastAsiaTheme="majorEastAsia" w:hAnsi="Cambria Math"/>
                <w:i/>
              </w:rPr>
            </m:ctrlPr>
          </m:dPr>
          <m:e>
            <m:f>
              <m:fPr>
                <m:ctrlPr>
                  <w:rPr>
                    <w:rStyle w:val="katex-mathml"/>
                    <w:rFonts w:ascii="Cambria Math" w:eastAsiaTheme="majorEastAsia" w:hAnsi="Cambria Math"/>
                    <w:i/>
                  </w:rPr>
                </m:ctrlPr>
              </m:fPr>
              <m:num>
                <m:sSub>
                  <m:sSubPr>
                    <m:ctrlPr>
                      <w:rPr>
                        <w:rStyle w:val="katex-mathml"/>
                        <w:rFonts w:ascii="Cambria Math" w:eastAsiaTheme="majorEastAsia" w:hAnsi="Cambria Math"/>
                        <w:i/>
                      </w:rPr>
                    </m:ctrlPr>
                  </m:sSubPr>
                  <m:e>
                    <m:r>
                      <w:rPr>
                        <w:rStyle w:val="katex-mathml"/>
                        <w:rFonts w:ascii="Cambria Math" w:eastAsiaTheme="majorEastAsia" w:hAnsi="Cambria Math"/>
                      </w:rPr>
                      <m:t>ϕ</m:t>
                    </m:r>
                  </m:e>
                  <m:sub>
                    <m:r>
                      <w:rPr>
                        <w:rStyle w:val="katex-mathml"/>
                        <w:rFonts w:ascii="Cambria Math" w:eastAsiaTheme="majorEastAsia" w:hAnsi="Cambria Math"/>
                      </w:rPr>
                      <m:t>A</m:t>
                    </m:r>
                  </m:sub>
                </m:sSub>
              </m:num>
              <m:den>
                <m:sSub>
                  <m:sSubPr>
                    <m:ctrlPr>
                      <w:rPr>
                        <w:rStyle w:val="katex-mathml"/>
                        <w:rFonts w:ascii="Cambria Math" w:eastAsiaTheme="majorEastAsia" w:hAnsi="Cambria Math"/>
                        <w:i/>
                      </w:rPr>
                    </m:ctrlPr>
                  </m:sSubPr>
                  <m:e>
                    <m:r>
                      <w:rPr>
                        <w:rStyle w:val="katex-mathml"/>
                        <w:rFonts w:ascii="Cambria Math" w:eastAsiaTheme="majorEastAsia" w:hAnsi="Cambria Math"/>
                      </w:rPr>
                      <m:t>N</m:t>
                    </m:r>
                  </m:e>
                  <m:sub>
                    <m:r>
                      <w:rPr>
                        <w:rStyle w:val="katex-mathml"/>
                        <w:rFonts w:ascii="Cambria Math" w:eastAsiaTheme="majorEastAsia" w:hAnsi="Cambria Math"/>
                      </w:rPr>
                      <m:t>A</m:t>
                    </m:r>
                  </m:sub>
                </m:sSub>
              </m:den>
            </m:f>
            <m:func>
              <m:funcPr>
                <m:ctrlPr>
                  <w:rPr>
                    <w:rStyle w:val="katex-mathml"/>
                    <w:rFonts w:ascii="Cambria Math" w:eastAsiaTheme="majorEastAsia" w:hAnsi="Cambria Math"/>
                  </w:rPr>
                </m:ctrlPr>
              </m:funcPr>
              <m:fName>
                <m:r>
                  <m:rPr>
                    <m:sty m:val="p"/>
                  </m:rPr>
                  <w:rPr>
                    <w:rStyle w:val="katex-mathml"/>
                    <w:rFonts w:ascii="Cambria Math" w:eastAsiaTheme="majorEastAsia" w:hAnsi="Cambria Math"/>
                  </w:rPr>
                  <m:t>ln</m:t>
                </m:r>
              </m:fName>
              <m:e>
                <m:sSub>
                  <m:sSubPr>
                    <m:ctrlPr>
                      <w:rPr>
                        <w:rStyle w:val="katex-mathml"/>
                        <w:rFonts w:ascii="Cambria Math" w:eastAsiaTheme="majorEastAsia" w:hAnsi="Cambria Math"/>
                        <w:i/>
                      </w:rPr>
                    </m:ctrlPr>
                  </m:sSubPr>
                  <m:e>
                    <m:r>
                      <w:rPr>
                        <w:rStyle w:val="katex-mathml"/>
                        <w:rFonts w:ascii="Cambria Math" w:eastAsiaTheme="majorEastAsia" w:hAnsi="Cambria Math"/>
                      </w:rPr>
                      <m:t>ϕ</m:t>
                    </m:r>
                  </m:e>
                  <m:sub>
                    <m:r>
                      <w:rPr>
                        <w:rStyle w:val="katex-mathml"/>
                        <w:rFonts w:ascii="Cambria Math" w:eastAsiaTheme="majorEastAsia" w:hAnsi="Cambria Math"/>
                      </w:rPr>
                      <m:t>A</m:t>
                    </m:r>
                  </m:sub>
                </m:sSub>
              </m:e>
            </m:func>
            <m:r>
              <w:rPr>
                <w:rStyle w:val="katex-mathml"/>
                <w:rFonts w:ascii="Cambria Math" w:eastAsiaTheme="majorEastAsia" w:hAnsi="Cambria Math"/>
              </w:rPr>
              <m:t>+</m:t>
            </m:r>
            <m:f>
              <m:fPr>
                <m:ctrlPr>
                  <w:rPr>
                    <w:rStyle w:val="katex-mathml"/>
                    <w:rFonts w:ascii="Cambria Math" w:eastAsiaTheme="majorEastAsia" w:hAnsi="Cambria Math"/>
                    <w:i/>
                  </w:rPr>
                </m:ctrlPr>
              </m:fPr>
              <m:num>
                <m:sSub>
                  <m:sSubPr>
                    <m:ctrlPr>
                      <w:rPr>
                        <w:rStyle w:val="katex-mathml"/>
                        <w:rFonts w:ascii="Cambria Math" w:eastAsiaTheme="majorEastAsia" w:hAnsi="Cambria Math"/>
                        <w:i/>
                      </w:rPr>
                    </m:ctrlPr>
                  </m:sSubPr>
                  <m:e>
                    <m:r>
                      <w:rPr>
                        <w:rStyle w:val="katex-mathml"/>
                        <w:rFonts w:ascii="Cambria Math" w:eastAsiaTheme="majorEastAsia" w:hAnsi="Cambria Math"/>
                      </w:rPr>
                      <m:t>ϕ</m:t>
                    </m:r>
                  </m:e>
                  <m:sub>
                    <m:r>
                      <w:rPr>
                        <w:rStyle w:val="katex-mathml"/>
                        <w:rFonts w:ascii="Cambria Math" w:eastAsiaTheme="majorEastAsia" w:hAnsi="Cambria Math"/>
                      </w:rPr>
                      <m:t>B</m:t>
                    </m:r>
                  </m:sub>
                </m:sSub>
              </m:num>
              <m:den>
                <m:sSub>
                  <m:sSubPr>
                    <m:ctrlPr>
                      <w:rPr>
                        <w:rStyle w:val="katex-mathml"/>
                        <w:rFonts w:ascii="Cambria Math" w:eastAsiaTheme="majorEastAsia" w:hAnsi="Cambria Math"/>
                        <w:i/>
                      </w:rPr>
                    </m:ctrlPr>
                  </m:sSubPr>
                  <m:e>
                    <m:r>
                      <w:rPr>
                        <w:rStyle w:val="katex-mathml"/>
                        <w:rFonts w:ascii="Cambria Math" w:eastAsiaTheme="majorEastAsia" w:hAnsi="Cambria Math"/>
                      </w:rPr>
                      <m:t>N</m:t>
                    </m:r>
                  </m:e>
                  <m:sub>
                    <m:r>
                      <w:rPr>
                        <w:rStyle w:val="katex-mathml"/>
                        <w:rFonts w:ascii="Cambria Math" w:eastAsiaTheme="majorEastAsia" w:hAnsi="Cambria Math"/>
                      </w:rPr>
                      <m:t>B</m:t>
                    </m:r>
                  </m:sub>
                </m:sSub>
              </m:den>
            </m:f>
            <m:func>
              <m:funcPr>
                <m:ctrlPr>
                  <w:rPr>
                    <w:rStyle w:val="katex-mathml"/>
                    <w:rFonts w:ascii="Cambria Math" w:eastAsiaTheme="majorEastAsia" w:hAnsi="Cambria Math"/>
                  </w:rPr>
                </m:ctrlPr>
              </m:funcPr>
              <m:fName>
                <m:r>
                  <m:rPr>
                    <m:sty m:val="p"/>
                  </m:rPr>
                  <w:rPr>
                    <w:rStyle w:val="katex-mathml"/>
                    <w:rFonts w:ascii="Cambria Math" w:eastAsiaTheme="majorEastAsia" w:hAnsi="Cambria Math"/>
                  </w:rPr>
                  <m:t>ln</m:t>
                </m:r>
              </m:fName>
              <m:e>
                <m:sSub>
                  <m:sSubPr>
                    <m:ctrlPr>
                      <w:rPr>
                        <w:rStyle w:val="katex-mathml"/>
                        <w:rFonts w:ascii="Cambria Math" w:eastAsiaTheme="majorEastAsia" w:hAnsi="Cambria Math"/>
                        <w:i/>
                      </w:rPr>
                    </m:ctrlPr>
                  </m:sSubPr>
                  <m:e>
                    <m:r>
                      <w:rPr>
                        <w:rStyle w:val="katex-mathml"/>
                        <w:rFonts w:ascii="Cambria Math" w:eastAsiaTheme="majorEastAsia" w:hAnsi="Cambria Math"/>
                      </w:rPr>
                      <m:t>ϕ</m:t>
                    </m:r>
                  </m:e>
                  <m:sub>
                    <m:r>
                      <w:rPr>
                        <w:rStyle w:val="katex-mathml"/>
                        <w:rFonts w:ascii="Cambria Math" w:eastAsiaTheme="majorEastAsia" w:hAnsi="Cambria Math"/>
                      </w:rPr>
                      <m:t>B</m:t>
                    </m:r>
                  </m:sub>
                </m:sSub>
              </m:e>
            </m:func>
            <m:r>
              <w:rPr>
                <w:rStyle w:val="katex-mathml"/>
                <w:rFonts w:ascii="Cambria Math" w:eastAsiaTheme="majorEastAsia" w:hAnsi="Cambria Math"/>
              </w:rPr>
              <m:t>+χ</m:t>
            </m:r>
            <m:sSub>
              <m:sSubPr>
                <m:ctrlPr>
                  <w:rPr>
                    <w:rStyle w:val="katex-mathml"/>
                    <w:rFonts w:ascii="Cambria Math" w:eastAsiaTheme="majorEastAsia" w:hAnsi="Cambria Math"/>
                    <w:i/>
                  </w:rPr>
                </m:ctrlPr>
              </m:sSubPr>
              <m:e>
                <m:r>
                  <w:rPr>
                    <w:rStyle w:val="katex-mathml"/>
                    <w:rFonts w:ascii="Cambria Math" w:eastAsiaTheme="majorEastAsia" w:hAnsi="Cambria Math"/>
                  </w:rPr>
                  <m:t>ϕ</m:t>
                </m:r>
              </m:e>
              <m:sub>
                <m:r>
                  <w:rPr>
                    <w:rStyle w:val="katex-mathml"/>
                    <w:rFonts w:ascii="Cambria Math" w:eastAsiaTheme="majorEastAsia" w:hAnsi="Cambria Math"/>
                  </w:rPr>
                  <m:t>A</m:t>
                </m:r>
              </m:sub>
            </m:sSub>
            <m:sSub>
              <m:sSubPr>
                <m:ctrlPr>
                  <w:rPr>
                    <w:rStyle w:val="katex-mathml"/>
                    <w:rFonts w:ascii="Cambria Math" w:eastAsiaTheme="majorEastAsia" w:hAnsi="Cambria Math"/>
                    <w:i/>
                  </w:rPr>
                </m:ctrlPr>
              </m:sSubPr>
              <m:e>
                <m:r>
                  <w:rPr>
                    <w:rStyle w:val="katex-mathml"/>
                    <w:rFonts w:ascii="Cambria Math" w:eastAsiaTheme="majorEastAsia" w:hAnsi="Cambria Math"/>
                  </w:rPr>
                  <m:t>ϕ</m:t>
                </m:r>
              </m:e>
              <m:sub>
                <m:r>
                  <w:rPr>
                    <w:rStyle w:val="katex-mathml"/>
                    <w:rFonts w:ascii="Cambria Math" w:eastAsiaTheme="majorEastAsia" w:hAnsi="Cambria Math"/>
                  </w:rPr>
                  <m:t>B</m:t>
                </m:r>
              </m:sub>
            </m:sSub>
          </m:e>
        </m:d>
      </m:oMath>
      <w:r w:rsidR="003D661D">
        <w:rPr>
          <w:rStyle w:val="katex-mathml"/>
        </w:rPr>
        <w:t>.</w:t>
      </w:r>
      <w:r w:rsidR="008843B8">
        <w:rPr>
          <w:rStyle w:val="katex-mathml"/>
        </w:rPr>
        <w:tab/>
      </w:r>
      <w:r w:rsidR="009C5091">
        <w:rPr>
          <w:rStyle w:val="katex-mathml"/>
        </w:rPr>
        <w:t>(</w:t>
      </w:r>
      <w:r w:rsidR="008843B8">
        <w:rPr>
          <w:rStyle w:val="katex-mathml"/>
        </w:rPr>
        <w:t>S</w:t>
      </w:r>
      <w:r w:rsidR="009C5091">
        <w:rPr>
          <w:rStyle w:val="katex-mathml"/>
        </w:rPr>
        <w:t>8)</w:t>
      </w:r>
    </w:p>
    <w:p w14:paraId="56C84111" w14:textId="74BAC418" w:rsidR="006E1931" w:rsidRDefault="006E1931" w:rsidP="00A22FC4">
      <w:pPr>
        <w:pStyle w:val="NormalWeb"/>
        <w:spacing w:line="480" w:lineRule="auto"/>
        <w:ind w:firstLine="720"/>
        <w:jc w:val="both"/>
      </w:pPr>
      <w:r>
        <w:lastRenderedPageBreak/>
        <w:t>These observations indicate that there are unfavo</w:t>
      </w:r>
      <w:r w:rsidR="003D661D">
        <w:t>u</w:t>
      </w:r>
      <w:r>
        <w:t xml:space="preserve">rable interactions between Networks A and B at room temperature, resulting in an amorphous mixture before heating. </w:t>
      </w:r>
      <w:r w:rsidR="003D661D">
        <w:t xml:space="preserve"> </w:t>
      </w:r>
      <w:r>
        <w:t xml:space="preserve">The incompatibility between the electrostatic interactions in Network A and the hydrogen bonding in Network B leads to thermodynamically unfavorable mixing, characterized by a positive Gibbs free energy of mixing. </w:t>
      </w:r>
      <w:r w:rsidR="003D661D">
        <w:t xml:space="preserve"> </w:t>
      </w:r>
      <w:r>
        <w:t xml:space="preserve">This positive Gibbs free energy and slow kinetics indicate that the system minimizes its free energy by remaining amorphous at room temperature. </w:t>
      </w:r>
      <w:r w:rsidR="003D661D">
        <w:t xml:space="preserve"> </w:t>
      </w:r>
      <w:r>
        <w:t xml:space="preserve">However, upon increasing the temperature, the system becomes partially miscible because the Flory-Huggins interaction parameter </w:t>
      </w:r>
      <m:oMath>
        <m:r>
          <w:rPr>
            <w:rFonts w:ascii="Cambria Math" w:hAnsi="Cambria Math"/>
          </w:rPr>
          <m:t>χ</m:t>
        </m:r>
      </m:oMath>
      <w:r>
        <w:t xml:space="preserve"> decreases with temperature. </w:t>
      </w:r>
      <w:r w:rsidR="003D661D">
        <w:t xml:space="preserve"> </w:t>
      </w:r>
      <w:r>
        <w:t xml:space="preserve">A lower </w:t>
      </w:r>
      <m:oMath>
        <m:r>
          <w:rPr>
            <w:rFonts w:ascii="Cambria Math" w:hAnsi="Cambria Math"/>
          </w:rPr>
          <m:t>χ</m:t>
        </m:r>
      </m:oMath>
      <w:r>
        <w:t xml:space="preserve"> value reduces the enthalpic penalty associated with </w:t>
      </w:r>
      <w:r w:rsidR="00F25892">
        <w:t xml:space="preserve">the </w:t>
      </w:r>
      <w:r>
        <w:t xml:space="preserve">mixing </w:t>
      </w:r>
      <w:r w:rsidR="00F25892">
        <w:t xml:space="preserve">of </w:t>
      </w:r>
      <w:r>
        <w:t xml:space="preserve">the two networks, leading to a negative Gibbs free energy of mixing. </w:t>
      </w:r>
      <w:r w:rsidR="00F25892">
        <w:t xml:space="preserve"> </w:t>
      </w:r>
      <w:r>
        <w:t xml:space="preserve">This temperature-induced decrease in </w:t>
      </w:r>
      <m:oMath>
        <m:r>
          <w:rPr>
            <w:rFonts w:ascii="Cambria Math" w:hAnsi="Cambria Math"/>
          </w:rPr>
          <m:t>χ</m:t>
        </m:r>
      </m:oMath>
      <w:r>
        <w:t xml:space="preserve"> facilitates mixing between the networks, making the system thermodynamically favo</w:t>
      </w:r>
      <w:r w:rsidR="00F25892">
        <w:t>u</w:t>
      </w:r>
      <w:r>
        <w:t xml:space="preserve">rable for partial miscibility. </w:t>
      </w:r>
    </w:p>
    <w:p w14:paraId="5B7502B7" w14:textId="77777777" w:rsidR="006E1931" w:rsidRDefault="006E1931" w:rsidP="00A22FC4">
      <w:pPr>
        <w:pStyle w:val="NormalWeb"/>
        <w:spacing w:line="480" w:lineRule="auto"/>
        <w:ind w:firstLine="720"/>
        <w:jc w:val="both"/>
      </w:pPr>
      <w:r>
        <w:t xml:space="preserve">The interaction parameter </w:t>
      </w:r>
      <m:oMath>
        <m:r>
          <w:rPr>
            <w:rStyle w:val="katex-mathml"/>
            <w:rFonts w:ascii="Cambria Math" w:eastAsiaTheme="majorEastAsia" w:hAnsi="Cambria Math"/>
          </w:rPr>
          <m:t>χ</m:t>
        </m:r>
      </m:oMath>
      <w:r>
        <w:t xml:space="preserve"> is known to be temperature-dependent and can be expressed as:</w:t>
      </w:r>
    </w:p>
    <w:p w14:paraId="32F602A5" w14:textId="1346744B" w:rsidR="006E1931" w:rsidRPr="002A7199" w:rsidRDefault="00782AFE" w:rsidP="00F04C20">
      <w:pPr>
        <w:pStyle w:val="NormalWeb"/>
        <w:tabs>
          <w:tab w:val="center" w:pos="4680"/>
          <w:tab w:val="right" w:pos="9360"/>
        </w:tabs>
        <w:spacing w:line="480" w:lineRule="auto"/>
        <w:jc w:val="both"/>
        <w:rPr>
          <w:rStyle w:val="katex-mathml"/>
        </w:rPr>
      </w:pPr>
      <w:r>
        <w:tab/>
      </w:r>
      <m:oMath>
        <m:r>
          <w:rPr>
            <w:rStyle w:val="katex-mathml"/>
            <w:rFonts w:ascii="Cambria Math" w:eastAsiaTheme="majorEastAsia" w:hAnsi="Cambria Math"/>
          </w:rPr>
          <m:t>χ=</m:t>
        </m:r>
        <m:f>
          <m:fPr>
            <m:ctrlPr>
              <w:rPr>
                <w:rStyle w:val="katex-mathml"/>
                <w:rFonts w:ascii="Cambria Math" w:eastAsiaTheme="majorEastAsia" w:hAnsi="Cambria Math"/>
                <w:i/>
              </w:rPr>
            </m:ctrlPr>
          </m:fPr>
          <m:num>
            <m:r>
              <w:rPr>
                <w:rStyle w:val="katex-mathml"/>
                <w:rFonts w:ascii="Cambria Math" w:eastAsiaTheme="majorEastAsia" w:hAnsi="Cambria Math"/>
              </w:rPr>
              <m:t>A</m:t>
            </m:r>
          </m:num>
          <m:den>
            <m:r>
              <w:rPr>
                <w:rStyle w:val="katex-mathml"/>
                <w:rFonts w:ascii="Cambria Math" w:eastAsiaTheme="majorEastAsia" w:hAnsi="Cambria Math"/>
              </w:rPr>
              <m:t>T</m:t>
            </m:r>
          </m:den>
        </m:f>
        <m:r>
          <w:rPr>
            <w:rStyle w:val="katex-mathml"/>
            <w:rFonts w:ascii="Cambria Math" w:eastAsiaTheme="majorEastAsia" w:hAnsi="Cambria Math"/>
          </w:rPr>
          <m:t>-B</m:t>
        </m:r>
      </m:oMath>
      <w:r w:rsidR="004902FC">
        <w:rPr>
          <w:rStyle w:val="katex-mathml"/>
        </w:rPr>
        <w:t>,</w:t>
      </w:r>
      <w:r w:rsidR="00BE43B8">
        <w:rPr>
          <w:rStyle w:val="katex-mathml"/>
        </w:rPr>
        <w:tab/>
        <w:t>(</w:t>
      </w:r>
      <w:r w:rsidR="008843B8">
        <w:rPr>
          <w:rStyle w:val="katex-mathml"/>
        </w:rPr>
        <w:t>S</w:t>
      </w:r>
      <w:r w:rsidR="00BE43B8">
        <w:rPr>
          <w:rStyle w:val="katex-mathml"/>
        </w:rPr>
        <w:t>9)</w:t>
      </w:r>
    </w:p>
    <w:p w14:paraId="22D03774" w14:textId="355B38C2" w:rsidR="006E1931" w:rsidRDefault="004902FC" w:rsidP="006E1931">
      <w:pPr>
        <w:spacing w:line="480" w:lineRule="auto"/>
        <w:jc w:val="both"/>
      </w:pPr>
      <w:r>
        <w:rPr>
          <w:rStyle w:val="katex-mathml"/>
        </w:rPr>
        <w:t>where</w:t>
      </w:r>
      <w:r w:rsidR="006E1931">
        <w:rPr>
          <w:rStyle w:val="katex-mathml"/>
        </w:rPr>
        <w:t xml:space="preserve"> </w:t>
      </w:r>
      <m:oMath>
        <m:r>
          <w:rPr>
            <w:rStyle w:val="katex-mathml"/>
            <w:rFonts w:ascii="Cambria Math" w:eastAsiaTheme="majorEastAsia" w:hAnsi="Cambria Math"/>
          </w:rPr>
          <m:t>A</m:t>
        </m:r>
      </m:oMath>
      <w:r w:rsidR="006E1931">
        <w:t xml:space="preserve"> and </w:t>
      </w:r>
      <m:oMath>
        <m:r>
          <w:rPr>
            <w:rStyle w:val="katex-mathml"/>
            <w:rFonts w:ascii="Cambria Math" w:eastAsiaTheme="majorEastAsia" w:hAnsi="Cambria Math"/>
          </w:rPr>
          <m:t>B</m:t>
        </m:r>
      </m:oMath>
      <w:r w:rsidR="006E1931">
        <w:t xml:space="preserve"> are empirical constants reflecting the enthalpic and entropic contributions, respectively. </w:t>
      </w:r>
      <w:r>
        <w:t xml:space="preserve"> </w:t>
      </w:r>
      <w:r w:rsidR="006E1931">
        <w:t xml:space="preserve">As temperature increases, the </w:t>
      </w:r>
      <m:oMath>
        <m:f>
          <m:fPr>
            <m:ctrlPr>
              <w:rPr>
                <w:rStyle w:val="katex-mathml"/>
                <w:rFonts w:ascii="Cambria Math" w:eastAsiaTheme="majorEastAsia" w:hAnsi="Cambria Math"/>
                <w:i/>
              </w:rPr>
            </m:ctrlPr>
          </m:fPr>
          <m:num>
            <m:r>
              <w:rPr>
                <w:rStyle w:val="katex-mathml"/>
                <w:rFonts w:ascii="Cambria Math" w:eastAsiaTheme="majorEastAsia" w:hAnsi="Cambria Math"/>
              </w:rPr>
              <m:t>A</m:t>
            </m:r>
          </m:num>
          <m:den>
            <m:r>
              <w:rPr>
                <w:rStyle w:val="katex-mathml"/>
                <w:rFonts w:ascii="Cambria Math" w:eastAsiaTheme="majorEastAsia" w:hAnsi="Cambria Math"/>
              </w:rPr>
              <m:t>T</m:t>
            </m:r>
          </m:den>
        </m:f>
      </m:oMath>
      <w:r w:rsidR="006E1931">
        <w:t xml:space="preserve"> term decreases, leading to a reduction in </w:t>
      </w:r>
      <m:oMath>
        <m:r>
          <w:rPr>
            <w:rStyle w:val="katex-mathml"/>
            <w:rFonts w:ascii="Cambria Math" w:eastAsiaTheme="majorEastAsia" w:hAnsi="Cambria Math"/>
          </w:rPr>
          <m:t>χ</m:t>
        </m:r>
      </m:oMath>
      <w:r w:rsidR="006E1931">
        <w:t xml:space="preserve">. </w:t>
      </w:r>
      <w:r w:rsidR="004C4436">
        <w:t xml:space="preserve"> </w:t>
      </w:r>
      <w:r w:rsidR="006E1931">
        <w:t>This reduction can reach a critical point</w:t>
      </w:r>
      <w:r w:rsidR="004C4436">
        <w:t>,</w:t>
      </w:r>
      <w:r w:rsidR="006E1931">
        <w:t xml:space="preserve"> where </w:t>
      </w:r>
      <m:oMath>
        <m:r>
          <w:rPr>
            <w:rStyle w:val="katex-mathml"/>
            <w:rFonts w:ascii="Cambria Math" w:eastAsiaTheme="majorEastAsia" w:hAnsi="Cambria Math"/>
          </w:rPr>
          <m:t>χ</m:t>
        </m:r>
      </m:oMath>
      <w:r w:rsidR="006E1931">
        <w:t xml:space="preserve"> becomes sufficiently small or even negative, favo</w:t>
      </w:r>
      <w:r w:rsidR="00005954">
        <w:t>u</w:t>
      </w:r>
      <w:r w:rsidR="006E1931">
        <w:t xml:space="preserve">ring miscibility. </w:t>
      </w:r>
      <w:r w:rsidR="00005954">
        <w:t xml:space="preserve"> </w:t>
      </w:r>
      <w:r w:rsidR="006E1931">
        <w:t xml:space="preserve">Higher temperatures provide sufficient thermal energy to overcome kinetic barriers such as chain entanglement and viscosity. </w:t>
      </w:r>
      <w:r w:rsidR="00005954">
        <w:t xml:space="preserve"> </w:t>
      </w:r>
      <w:r w:rsidR="006E1931">
        <w:t xml:space="preserve">Enhanced diffusion allows the polymers to mix more thoroughly, leading to a homogeneous partial miscible state. </w:t>
      </w:r>
      <w:r w:rsidR="00005954">
        <w:t xml:space="preserve"> </w:t>
      </w:r>
      <w:r w:rsidR="006E1931">
        <w:t xml:space="preserve">The effectiveness of mixing at elevated temperatures is demonstrated by the altered characterization of PEDOT:PSS upon cooling </w:t>
      </w:r>
      <w:r w:rsidR="006E1931">
        <w:lastRenderedPageBreak/>
        <w:t xml:space="preserve">back to room temperature. </w:t>
      </w:r>
      <w:r w:rsidR="000C7256">
        <w:t xml:space="preserve"> </w:t>
      </w:r>
      <w:r w:rsidR="006E1931">
        <w:t xml:space="preserve">In the presence of gelatin, the system exhibits phase separation, indicating that the gelatin network significantly influences the morphology of PEDOT:PSS after thermal cycling. </w:t>
      </w:r>
      <w:r w:rsidR="000C7256">
        <w:t xml:space="preserve"> </w:t>
      </w:r>
      <w:r w:rsidR="006E1931">
        <w:t>This observation highlights how high-temperature mixing followed by cooling leads to a phase-separated structure due to the interplay between the polymer networks.</w:t>
      </w:r>
    </w:p>
    <w:p w14:paraId="28EC29DE" w14:textId="037A1718" w:rsidR="006E1931" w:rsidRDefault="006E1931" w:rsidP="00A22FC4">
      <w:pPr>
        <w:pStyle w:val="NormalWeb"/>
        <w:spacing w:line="480" w:lineRule="auto"/>
        <w:ind w:firstLine="720"/>
        <w:jc w:val="both"/>
      </w:pPr>
      <w:r>
        <w:t xml:space="preserve">However, cooling back to room temperature increases </w:t>
      </w:r>
      <m:oMath>
        <m:r>
          <w:rPr>
            <w:rStyle w:val="katex-mathml"/>
            <w:rFonts w:ascii="Cambria Math" w:eastAsiaTheme="majorEastAsia" w:hAnsi="Cambria Math"/>
          </w:rPr>
          <m:t>χ</m:t>
        </m:r>
      </m:oMath>
      <w:r>
        <w:rPr>
          <w:rStyle w:val="katex-mathml"/>
        </w:rPr>
        <w:t xml:space="preserve"> </w:t>
      </w:r>
      <w:r w:rsidR="00507E85">
        <w:rPr>
          <w:rStyle w:val="katex-mathml"/>
        </w:rPr>
        <w:t xml:space="preserve">and </w:t>
      </w:r>
      <w:r>
        <w:rPr>
          <w:rStyle w:val="katex-mathml"/>
        </w:rPr>
        <w:t>leads to a positive enthalpy of mixing</w:t>
      </w:r>
      <w:r w:rsidR="00507E85">
        <w:rPr>
          <w:rStyle w:val="katex-mathml"/>
        </w:rPr>
        <w:t xml:space="preserve">; </w:t>
      </w:r>
      <w:r>
        <w:rPr>
          <w:rStyle w:val="katex-mathml"/>
        </w:rPr>
        <w:t xml:space="preserve">therefore, the Gibbs free energy of mixing becomes positive, </w:t>
      </w:r>
      <w:r>
        <w:t xml:space="preserve">indicating that the mixed state is thermodynamically unstable. </w:t>
      </w:r>
      <w:r w:rsidR="00507E85">
        <w:t xml:space="preserve"> </w:t>
      </w:r>
      <w:r>
        <w:t xml:space="preserve">The system lowers its free energy by separating into two phases, each rich in one of the networks. </w:t>
      </w:r>
      <w:r w:rsidR="00507E85">
        <w:t xml:space="preserve"> </w:t>
      </w:r>
      <w:r>
        <w:t xml:space="preserve">During heating, the polymers rearranged into a more thermodynamically favorable configuration, overcoming initial kinetic barriers. </w:t>
      </w:r>
      <w:r w:rsidR="00507E85">
        <w:t xml:space="preserve"> </w:t>
      </w:r>
      <w:r>
        <w:t xml:space="preserve">The cooling process follows a different path on the Gibbs free energy landscape compared to initial mixing. </w:t>
      </w:r>
      <w:r w:rsidR="00507E85">
        <w:t xml:space="preserve"> </w:t>
      </w:r>
      <w:r>
        <w:t>The initial amorphous state result</w:t>
      </w:r>
      <w:r w:rsidR="009852DE">
        <w:t>s</w:t>
      </w:r>
      <w:r>
        <w:t xml:space="preserve"> </w:t>
      </w:r>
      <w:r w:rsidR="009852DE">
        <w:t>from</w:t>
      </w:r>
      <w:r>
        <w:t xml:space="preserve"> kinetic trapping during mixing, not a thermodynamic equilibrium. </w:t>
      </w:r>
      <w:r w:rsidR="009852DE">
        <w:t xml:space="preserve"> </w:t>
      </w:r>
      <w:r>
        <w:t>Upon cooling (from high temperature), the system has already surpassed these kinetic barriers and cannot revert to the original amorphous configuration.</w:t>
      </w:r>
    </w:p>
    <w:p w14:paraId="070F037E" w14:textId="77777777" w:rsidR="006E1931" w:rsidRDefault="006E1931" w:rsidP="00A22FC4">
      <w:pPr>
        <w:pStyle w:val="NormalWeb"/>
        <w:spacing w:line="480" w:lineRule="auto"/>
        <w:ind w:firstLine="720"/>
        <w:jc w:val="both"/>
      </w:pPr>
      <w:r>
        <w:t>This outcome is reinforced by examining the metastable condition for phase separation, which occurs when the second derivative of the Gibbs free energy with respect to composition is positive or zero (spinodal condition):</w:t>
      </w:r>
    </w:p>
    <w:p w14:paraId="1CEB5971" w14:textId="61BBCF4C" w:rsidR="00BE43B8" w:rsidRDefault="00782AFE" w:rsidP="00F04C20">
      <w:pPr>
        <w:pStyle w:val="NormalWeb"/>
        <w:tabs>
          <w:tab w:val="center" w:pos="4680"/>
          <w:tab w:val="right" w:pos="9360"/>
        </w:tabs>
        <w:spacing w:line="480" w:lineRule="auto"/>
        <w:jc w:val="both"/>
      </w:pPr>
      <w:r>
        <w:tab/>
      </w:r>
      <m:oMath>
        <m:sSub>
          <m:sSubPr>
            <m:ctrlPr>
              <w:rPr>
                <w:rStyle w:val="katex-mathml"/>
                <w:rFonts w:ascii="Cambria Math" w:eastAsiaTheme="majorEastAsia" w:hAnsi="Cambria Math"/>
                <w:i/>
              </w:rPr>
            </m:ctrlPr>
          </m:sSubPr>
          <m:e>
            <m:d>
              <m:dPr>
                <m:ctrlPr>
                  <w:rPr>
                    <w:rStyle w:val="katex-mathml"/>
                    <w:rFonts w:ascii="Cambria Math" w:eastAsiaTheme="majorEastAsia" w:hAnsi="Cambria Math"/>
                    <w:i/>
                  </w:rPr>
                </m:ctrlPr>
              </m:dPr>
              <m:e>
                <m:f>
                  <m:fPr>
                    <m:ctrlPr>
                      <w:rPr>
                        <w:rStyle w:val="katex-mathml"/>
                        <w:rFonts w:ascii="Cambria Math" w:eastAsiaTheme="majorEastAsia" w:hAnsi="Cambria Math"/>
                        <w:i/>
                      </w:rPr>
                    </m:ctrlPr>
                  </m:fPr>
                  <m:num>
                    <m:sSup>
                      <m:sSupPr>
                        <m:ctrlPr>
                          <w:rPr>
                            <w:rStyle w:val="katex-mathml"/>
                            <w:rFonts w:ascii="Cambria Math" w:eastAsiaTheme="majorEastAsia" w:hAnsi="Cambria Math"/>
                            <w:i/>
                          </w:rPr>
                        </m:ctrlPr>
                      </m:sSupPr>
                      <m:e>
                        <m:r>
                          <w:rPr>
                            <w:rStyle w:val="katex-mathml"/>
                            <w:rFonts w:ascii="Cambria Math" w:eastAsiaTheme="majorEastAsia" w:hAnsi="Cambria Math"/>
                          </w:rPr>
                          <m:t>∂</m:t>
                        </m:r>
                      </m:e>
                      <m:sup>
                        <m:r>
                          <w:rPr>
                            <w:rStyle w:val="katex-mathml"/>
                            <w:rFonts w:ascii="Cambria Math" w:eastAsiaTheme="majorEastAsia" w:hAnsi="Cambria Math"/>
                          </w:rPr>
                          <m:t>2</m:t>
                        </m:r>
                      </m:sup>
                    </m:sSup>
                    <m:r>
                      <w:rPr>
                        <w:rStyle w:val="katex-mathml"/>
                        <w:rFonts w:ascii="Cambria Math" w:eastAsiaTheme="majorEastAsia" w:hAnsi="Cambria Math"/>
                      </w:rPr>
                      <m:t>Δ</m:t>
                    </m:r>
                    <m:sSub>
                      <m:sSubPr>
                        <m:ctrlPr>
                          <w:rPr>
                            <w:rStyle w:val="katex-mathml"/>
                            <w:rFonts w:ascii="Cambria Math" w:eastAsiaTheme="majorEastAsia" w:hAnsi="Cambria Math"/>
                            <w:i/>
                          </w:rPr>
                        </m:ctrlPr>
                      </m:sSubPr>
                      <m:e>
                        <m:r>
                          <w:rPr>
                            <w:rStyle w:val="katex-mathml"/>
                            <w:rFonts w:ascii="Cambria Math" w:eastAsiaTheme="majorEastAsia" w:hAnsi="Cambria Math"/>
                          </w:rPr>
                          <m:t>G</m:t>
                        </m:r>
                      </m:e>
                      <m:sub>
                        <m:r>
                          <w:rPr>
                            <w:rStyle w:val="katex-mathml"/>
                            <w:rFonts w:ascii="Cambria Math" w:eastAsiaTheme="majorEastAsia" w:hAnsi="Cambria Math"/>
                          </w:rPr>
                          <m:t>mix</m:t>
                        </m:r>
                      </m:sub>
                    </m:sSub>
                  </m:num>
                  <m:den>
                    <m:r>
                      <w:rPr>
                        <w:rStyle w:val="katex-mathml"/>
                        <w:rFonts w:ascii="Cambria Math" w:eastAsiaTheme="majorEastAsia" w:hAnsi="Cambria Math"/>
                      </w:rPr>
                      <m:t>∂</m:t>
                    </m:r>
                    <m:sSup>
                      <m:sSupPr>
                        <m:ctrlPr>
                          <w:rPr>
                            <w:rStyle w:val="katex-mathml"/>
                            <w:rFonts w:ascii="Cambria Math" w:eastAsiaTheme="majorEastAsia" w:hAnsi="Cambria Math"/>
                            <w:i/>
                          </w:rPr>
                        </m:ctrlPr>
                      </m:sSupPr>
                      <m:e>
                        <m:sSub>
                          <m:sSubPr>
                            <m:ctrlPr>
                              <w:rPr>
                                <w:rStyle w:val="katex-mathml"/>
                                <w:rFonts w:ascii="Cambria Math" w:eastAsiaTheme="majorEastAsia" w:hAnsi="Cambria Math"/>
                                <w:i/>
                              </w:rPr>
                            </m:ctrlPr>
                          </m:sSubPr>
                          <m:e>
                            <m:r>
                              <w:rPr>
                                <w:rStyle w:val="katex-mathml"/>
                                <w:rFonts w:ascii="Cambria Math" w:eastAsiaTheme="majorEastAsia" w:hAnsi="Cambria Math"/>
                              </w:rPr>
                              <m:t>ϕ</m:t>
                            </m:r>
                          </m:e>
                          <m:sub>
                            <m:r>
                              <w:rPr>
                                <w:rStyle w:val="katex-mathml"/>
                                <w:rFonts w:ascii="Cambria Math" w:eastAsiaTheme="majorEastAsia" w:hAnsi="Cambria Math"/>
                              </w:rPr>
                              <m:t>A</m:t>
                            </m:r>
                          </m:sub>
                        </m:sSub>
                      </m:e>
                      <m:sup>
                        <m:r>
                          <w:rPr>
                            <w:rStyle w:val="katex-mathml"/>
                            <w:rFonts w:ascii="Cambria Math" w:eastAsiaTheme="majorEastAsia" w:hAnsi="Cambria Math"/>
                          </w:rPr>
                          <m:t>2</m:t>
                        </m:r>
                      </m:sup>
                    </m:sSup>
                  </m:den>
                </m:f>
              </m:e>
            </m:d>
          </m:e>
          <m:sub>
            <m:r>
              <w:rPr>
                <w:rStyle w:val="katex-mathml"/>
                <w:rFonts w:ascii="Cambria Math" w:eastAsiaTheme="majorEastAsia" w:hAnsi="Cambria Math"/>
              </w:rPr>
              <m:t>T,P</m:t>
            </m:r>
          </m:sub>
        </m:sSub>
        <m:r>
          <w:rPr>
            <w:rStyle w:val="katex-mathml"/>
            <w:rFonts w:ascii="Cambria Math" w:eastAsiaTheme="majorEastAsia" w:hAnsi="Cambria Math"/>
          </w:rPr>
          <m:t>=RT</m:t>
        </m:r>
        <m:d>
          <m:dPr>
            <m:ctrlPr>
              <w:rPr>
                <w:rStyle w:val="katex-mathml"/>
                <w:rFonts w:ascii="Cambria Math" w:eastAsiaTheme="majorEastAsia" w:hAnsi="Cambria Math"/>
                <w:i/>
              </w:rPr>
            </m:ctrlPr>
          </m:dPr>
          <m:e>
            <m:f>
              <m:fPr>
                <m:ctrlPr>
                  <w:rPr>
                    <w:rStyle w:val="katex-mathml"/>
                    <w:rFonts w:ascii="Cambria Math" w:eastAsiaTheme="majorEastAsia" w:hAnsi="Cambria Math"/>
                    <w:i/>
                  </w:rPr>
                </m:ctrlPr>
              </m:fPr>
              <m:num>
                <m:r>
                  <w:rPr>
                    <w:rStyle w:val="katex-mathml"/>
                    <w:rFonts w:ascii="Cambria Math" w:eastAsiaTheme="majorEastAsia" w:hAnsi="Cambria Math"/>
                  </w:rPr>
                  <m:t>1</m:t>
                </m:r>
              </m:num>
              <m:den>
                <m:sSub>
                  <m:sSubPr>
                    <m:ctrlPr>
                      <w:rPr>
                        <w:rStyle w:val="katex-mathml"/>
                        <w:rFonts w:ascii="Cambria Math" w:eastAsiaTheme="majorEastAsia" w:hAnsi="Cambria Math"/>
                        <w:i/>
                      </w:rPr>
                    </m:ctrlPr>
                  </m:sSubPr>
                  <m:e>
                    <m:r>
                      <w:rPr>
                        <w:rStyle w:val="katex-mathml"/>
                        <w:rFonts w:ascii="Cambria Math" w:eastAsiaTheme="majorEastAsia" w:hAnsi="Cambria Math"/>
                      </w:rPr>
                      <m:t>ϕ</m:t>
                    </m:r>
                  </m:e>
                  <m:sub>
                    <m:r>
                      <w:rPr>
                        <w:rStyle w:val="katex-mathml"/>
                        <w:rFonts w:ascii="Cambria Math" w:eastAsiaTheme="majorEastAsia" w:hAnsi="Cambria Math"/>
                      </w:rPr>
                      <m:t>A</m:t>
                    </m:r>
                  </m:sub>
                </m:sSub>
                <m:sSub>
                  <m:sSubPr>
                    <m:ctrlPr>
                      <w:rPr>
                        <w:rStyle w:val="katex-mathml"/>
                        <w:rFonts w:ascii="Cambria Math" w:eastAsiaTheme="majorEastAsia" w:hAnsi="Cambria Math"/>
                        <w:i/>
                      </w:rPr>
                    </m:ctrlPr>
                  </m:sSubPr>
                  <m:e>
                    <m:r>
                      <w:rPr>
                        <w:rStyle w:val="katex-mathml"/>
                        <w:rFonts w:ascii="Cambria Math" w:eastAsiaTheme="majorEastAsia" w:hAnsi="Cambria Math"/>
                      </w:rPr>
                      <m:t>N</m:t>
                    </m:r>
                  </m:e>
                  <m:sub>
                    <m:r>
                      <w:rPr>
                        <w:rStyle w:val="katex-mathml"/>
                        <w:rFonts w:ascii="Cambria Math" w:eastAsiaTheme="majorEastAsia" w:hAnsi="Cambria Math"/>
                      </w:rPr>
                      <m:t>A</m:t>
                    </m:r>
                  </m:sub>
                </m:sSub>
              </m:den>
            </m:f>
            <m:r>
              <w:rPr>
                <w:rStyle w:val="katex-mathml"/>
                <w:rFonts w:ascii="Cambria Math" w:eastAsiaTheme="majorEastAsia" w:hAnsi="Cambria Math"/>
              </w:rPr>
              <m:t>+</m:t>
            </m:r>
            <m:f>
              <m:fPr>
                <m:ctrlPr>
                  <w:rPr>
                    <w:rStyle w:val="katex-mathml"/>
                    <w:rFonts w:ascii="Cambria Math" w:eastAsiaTheme="majorEastAsia" w:hAnsi="Cambria Math"/>
                    <w:i/>
                  </w:rPr>
                </m:ctrlPr>
              </m:fPr>
              <m:num>
                <m:r>
                  <w:rPr>
                    <w:rStyle w:val="katex-mathml"/>
                    <w:rFonts w:ascii="Cambria Math" w:eastAsiaTheme="majorEastAsia" w:hAnsi="Cambria Math"/>
                  </w:rPr>
                  <m:t>1</m:t>
                </m:r>
              </m:num>
              <m:den>
                <m:sSub>
                  <m:sSubPr>
                    <m:ctrlPr>
                      <w:rPr>
                        <w:rStyle w:val="katex-mathml"/>
                        <w:rFonts w:ascii="Cambria Math" w:eastAsiaTheme="majorEastAsia" w:hAnsi="Cambria Math"/>
                        <w:i/>
                      </w:rPr>
                    </m:ctrlPr>
                  </m:sSubPr>
                  <m:e>
                    <m:r>
                      <w:rPr>
                        <w:rStyle w:val="katex-mathml"/>
                        <w:rFonts w:ascii="Cambria Math" w:eastAsiaTheme="majorEastAsia" w:hAnsi="Cambria Math"/>
                      </w:rPr>
                      <m:t>ϕ</m:t>
                    </m:r>
                  </m:e>
                  <m:sub>
                    <m:r>
                      <w:rPr>
                        <w:rStyle w:val="katex-mathml"/>
                        <w:rFonts w:ascii="Cambria Math" w:eastAsiaTheme="majorEastAsia" w:hAnsi="Cambria Math"/>
                      </w:rPr>
                      <m:t>B</m:t>
                    </m:r>
                  </m:sub>
                </m:sSub>
                <m:sSub>
                  <m:sSubPr>
                    <m:ctrlPr>
                      <w:rPr>
                        <w:rStyle w:val="katex-mathml"/>
                        <w:rFonts w:ascii="Cambria Math" w:eastAsiaTheme="majorEastAsia" w:hAnsi="Cambria Math"/>
                        <w:i/>
                      </w:rPr>
                    </m:ctrlPr>
                  </m:sSubPr>
                  <m:e>
                    <m:r>
                      <w:rPr>
                        <w:rStyle w:val="katex-mathml"/>
                        <w:rFonts w:ascii="Cambria Math" w:eastAsiaTheme="majorEastAsia" w:hAnsi="Cambria Math"/>
                      </w:rPr>
                      <m:t>N</m:t>
                    </m:r>
                  </m:e>
                  <m:sub>
                    <m:r>
                      <w:rPr>
                        <w:rStyle w:val="katex-mathml"/>
                        <w:rFonts w:ascii="Cambria Math" w:eastAsiaTheme="majorEastAsia" w:hAnsi="Cambria Math"/>
                      </w:rPr>
                      <m:t>B</m:t>
                    </m:r>
                  </m:sub>
                </m:sSub>
              </m:den>
            </m:f>
            <m:r>
              <w:rPr>
                <w:rStyle w:val="katex-mathml"/>
                <w:rFonts w:ascii="Cambria Math" w:eastAsiaTheme="majorEastAsia" w:hAnsi="Cambria Math"/>
              </w:rPr>
              <m:t>-2χ</m:t>
            </m:r>
          </m:e>
        </m:d>
        <m:r>
          <w:rPr>
            <w:rStyle w:val="katex-mathml"/>
            <w:rFonts w:ascii="Cambria Math" w:eastAsiaTheme="majorEastAsia" w:hAnsi="Cambria Math"/>
          </w:rPr>
          <m:t>≥0</m:t>
        </m:r>
      </m:oMath>
      <w:r w:rsidR="00014726">
        <w:rPr>
          <w:rStyle w:val="katex-mathml"/>
        </w:rPr>
        <w:t>,</w:t>
      </w:r>
      <w:r w:rsidR="00BE43B8">
        <w:rPr>
          <w:rStyle w:val="katex-mathml"/>
        </w:rPr>
        <w:tab/>
        <w:t>(</w:t>
      </w:r>
      <w:r w:rsidR="008843B8">
        <w:rPr>
          <w:rStyle w:val="katex-mathml"/>
        </w:rPr>
        <w:t>S</w:t>
      </w:r>
      <w:r w:rsidR="00BE43B8">
        <w:rPr>
          <w:rStyle w:val="katex-mathml"/>
        </w:rPr>
        <w:t>10)</w:t>
      </w:r>
    </w:p>
    <w:p w14:paraId="6605A414" w14:textId="699BE275" w:rsidR="006E1931" w:rsidRPr="007C583A" w:rsidRDefault="00014726" w:rsidP="006E1931">
      <w:pPr>
        <w:spacing w:line="480" w:lineRule="auto"/>
        <w:jc w:val="both"/>
        <w:rPr>
          <w:rStyle w:val="katex-mathml"/>
        </w:rPr>
      </w:pPr>
      <w:r>
        <w:rPr>
          <w:rStyle w:val="katex-mathml"/>
        </w:rPr>
        <w:t>while</w:t>
      </w:r>
    </w:p>
    <w:p w14:paraId="01749306" w14:textId="62623084" w:rsidR="006E1931" w:rsidRDefault="00782AFE" w:rsidP="00F04C20">
      <w:pPr>
        <w:tabs>
          <w:tab w:val="center" w:pos="4680"/>
          <w:tab w:val="right" w:pos="9360"/>
        </w:tabs>
        <w:spacing w:line="480" w:lineRule="auto"/>
        <w:jc w:val="both"/>
      </w:pPr>
      <w:r>
        <w:tab/>
      </w:r>
      <m:oMath>
        <m:f>
          <m:fPr>
            <m:ctrlPr>
              <w:rPr>
                <w:rStyle w:val="katex-mathml"/>
                <w:rFonts w:ascii="Cambria Math" w:eastAsiaTheme="majorEastAsia" w:hAnsi="Cambria Math"/>
                <w:i/>
              </w:rPr>
            </m:ctrlPr>
          </m:fPr>
          <m:num>
            <m:r>
              <w:rPr>
                <w:rStyle w:val="katex-mathml"/>
                <w:rFonts w:ascii="Cambria Math" w:eastAsiaTheme="majorEastAsia" w:hAnsi="Cambria Math"/>
              </w:rPr>
              <m:t>∂Δ</m:t>
            </m:r>
            <m:sSub>
              <m:sSubPr>
                <m:ctrlPr>
                  <w:rPr>
                    <w:rStyle w:val="katex-mathml"/>
                    <w:rFonts w:ascii="Cambria Math" w:eastAsiaTheme="majorEastAsia" w:hAnsi="Cambria Math"/>
                    <w:i/>
                  </w:rPr>
                </m:ctrlPr>
              </m:sSubPr>
              <m:e>
                <m:r>
                  <w:rPr>
                    <w:rStyle w:val="katex-mathml"/>
                    <w:rFonts w:ascii="Cambria Math" w:eastAsiaTheme="majorEastAsia" w:hAnsi="Cambria Math"/>
                  </w:rPr>
                  <m:t>G</m:t>
                </m:r>
              </m:e>
              <m:sub>
                <m:r>
                  <w:rPr>
                    <w:rStyle w:val="katex-mathml"/>
                    <w:rFonts w:ascii="Cambria Math" w:eastAsiaTheme="majorEastAsia" w:hAnsi="Cambria Math"/>
                  </w:rPr>
                  <m:t>mix</m:t>
                </m:r>
              </m:sub>
            </m:sSub>
          </m:num>
          <m:den>
            <m:r>
              <w:rPr>
                <w:rStyle w:val="katex-mathml"/>
                <w:rFonts w:ascii="Cambria Math" w:eastAsiaTheme="majorEastAsia" w:hAnsi="Cambria Math"/>
              </w:rPr>
              <m:t>∂</m:t>
            </m:r>
            <m:sSub>
              <m:sSubPr>
                <m:ctrlPr>
                  <w:rPr>
                    <w:rStyle w:val="katex-mathml"/>
                    <w:rFonts w:ascii="Cambria Math" w:eastAsiaTheme="majorEastAsia" w:hAnsi="Cambria Math"/>
                    <w:i/>
                  </w:rPr>
                </m:ctrlPr>
              </m:sSubPr>
              <m:e>
                <m:r>
                  <w:rPr>
                    <w:rStyle w:val="katex-mathml"/>
                    <w:rFonts w:ascii="Cambria Math" w:eastAsiaTheme="majorEastAsia" w:hAnsi="Cambria Math"/>
                  </w:rPr>
                  <m:t>ϕ</m:t>
                </m:r>
              </m:e>
              <m:sub>
                <m:r>
                  <w:rPr>
                    <w:rStyle w:val="katex-mathml"/>
                    <w:rFonts w:ascii="Cambria Math" w:eastAsiaTheme="majorEastAsia" w:hAnsi="Cambria Math"/>
                  </w:rPr>
                  <m:t>A</m:t>
                </m:r>
              </m:sub>
            </m:sSub>
          </m:den>
        </m:f>
        <m:r>
          <w:rPr>
            <w:rStyle w:val="katex-mathml"/>
            <w:rFonts w:ascii="Cambria Math" w:eastAsiaTheme="majorEastAsia" w:hAnsi="Cambria Math"/>
          </w:rPr>
          <m:t>=RT</m:t>
        </m:r>
        <m:d>
          <m:dPr>
            <m:begChr m:val="["/>
            <m:endChr m:val="]"/>
            <m:ctrlPr>
              <w:rPr>
                <w:rStyle w:val="katex-mathml"/>
                <w:rFonts w:ascii="Cambria Math" w:eastAsiaTheme="majorEastAsia" w:hAnsi="Cambria Math"/>
                <w:i/>
              </w:rPr>
            </m:ctrlPr>
          </m:dPr>
          <m:e>
            <m:f>
              <m:fPr>
                <m:ctrlPr>
                  <w:rPr>
                    <w:rStyle w:val="katex-mathml"/>
                    <w:rFonts w:ascii="Cambria Math" w:eastAsiaTheme="majorEastAsia" w:hAnsi="Cambria Math"/>
                    <w:i/>
                  </w:rPr>
                </m:ctrlPr>
              </m:fPr>
              <m:num>
                <m:r>
                  <w:rPr>
                    <w:rStyle w:val="katex-mathml"/>
                    <w:rFonts w:ascii="Cambria Math" w:eastAsiaTheme="majorEastAsia" w:hAnsi="Cambria Math"/>
                  </w:rPr>
                  <m:t>1</m:t>
                </m:r>
              </m:num>
              <m:den>
                <m:sSub>
                  <m:sSubPr>
                    <m:ctrlPr>
                      <w:rPr>
                        <w:rStyle w:val="katex-mathml"/>
                        <w:rFonts w:ascii="Cambria Math" w:eastAsiaTheme="majorEastAsia" w:hAnsi="Cambria Math"/>
                        <w:i/>
                      </w:rPr>
                    </m:ctrlPr>
                  </m:sSubPr>
                  <m:e>
                    <m:r>
                      <w:rPr>
                        <w:rStyle w:val="katex-mathml"/>
                        <w:rFonts w:ascii="Cambria Math" w:eastAsiaTheme="majorEastAsia" w:hAnsi="Cambria Math"/>
                      </w:rPr>
                      <m:t>N</m:t>
                    </m:r>
                  </m:e>
                  <m:sub>
                    <m:r>
                      <w:rPr>
                        <w:rStyle w:val="katex-mathml"/>
                        <w:rFonts w:ascii="Cambria Math" w:eastAsiaTheme="majorEastAsia" w:hAnsi="Cambria Math"/>
                      </w:rPr>
                      <m:t>A</m:t>
                    </m:r>
                  </m:sub>
                </m:sSub>
              </m:den>
            </m:f>
            <m:func>
              <m:funcPr>
                <m:ctrlPr>
                  <w:rPr>
                    <w:rStyle w:val="katex-mathml"/>
                    <w:rFonts w:ascii="Cambria Math" w:eastAsiaTheme="majorEastAsia" w:hAnsi="Cambria Math"/>
                    <w:i/>
                  </w:rPr>
                </m:ctrlPr>
              </m:funcPr>
              <m:fName>
                <m:r>
                  <m:rPr>
                    <m:sty m:val="p"/>
                  </m:rPr>
                  <w:rPr>
                    <w:rStyle w:val="katex-mathml"/>
                    <w:rFonts w:ascii="Cambria Math" w:eastAsiaTheme="majorEastAsia" w:hAnsi="Cambria Math"/>
                  </w:rPr>
                  <m:t>ln</m:t>
                </m:r>
              </m:fName>
              <m:e>
                <m:sSub>
                  <m:sSubPr>
                    <m:ctrlPr>
                      <w:rPr>
                        <w:rStyle w:val="katex-mathml"/>
                        <w:rFonts w:ascii="Cambria Math" w:eastAsiaTheme="majorEastAsia" w:hAnsi="Cambria Math"/>
                        <w:i/>
                      </w:rPr>
                    </m:ctrlPr>
                  </m:sSubPr>
                  <m:e>
                    <m:r>
                      <w:rPr>
                        <w:rStyle w:val="katex-mathml"/>
                        <w:rFonts w:ascii="Cambria Math" w:eastAsiaTheme="majorEastAsia" w:hAnsi="Cambria Math"/>
                      </w:rPr>
                      <m:t>ϕ</m:t>
                    </m:r>
                  </m:e>
                  <m:sub>
                    <m:r>
                      <w:rPr>
                        <w:rStyle w:val="katex-mathml"/>
                        <w:rFonts w:ascii="Cambria Math" w:eastAsiaTheme="majorEastAsia" w:hAnsi="Cambria Math"/>
                      </w:rPr>
                      <m:t>A</m:t>
                    </m:r>
                  </m:sub>
                </m:sSub>
              </m:e>
            </m:func>
            <m:r>
              <w:rPr>
                <w:rStyle w:val="katex-mathml"/>
                <w:rFonts w:ascii="Cambria Math" w:eastAsiaTheme="majorEastAsia" w:hAnsi="Cambria Math"/>
              </w:rPr>
              <m:t>-</m:t>
            </m:r>
            <m:f>
              <m:fPr>
                <m:ctrlPr>
                  <w:rPr>
                    <w:rStyle w:val="katex-mathml"/>
                    <w:rFonts w:ascii="Cambria Math" w:eastAsiaTheme="majorEastAsia" w:hAnsi="Cambria Math"/>
                    <w:i/>
                  </w:rPr>
                </m:ctrlPr>
              </m:fPr>
              <m:num>
                <m:r>
                  <w:rPr>
                    <w:rStyle w:val="katex-mathml"/>
                    <w:rFonts w:ascii="Cambria Math" w:eastAsiaTheme="majorEastAsia" w:hAnsi="Cambria Math"/>
                  </w:rPr>
                  <m:t>1</m:t>
                </m:r>
              </m:num>
              <m:den>
                <m:sSub>
                  <m:sSubPr>
                    <m:ctrlPr>
                      <w:rPr>
                        <w:rStyle w:val="katex-mathml"/>
                        <w:rFonts w:ascii="Cambria Math" w:eastAsiaTheme="majorEastAsia" w:hAnsi="Cambria Math"/>
                        <w:i/>
                      </w:rPr>
                    </m:ctrlPr>
                  </m:sSubPr>
                  <m:e>
                    <m:r>
                      <w:rPr>
                        <w:rStyle w:val="katex-mathml"/>
                        <w:rFonts w:ascii="Cambria Math" w:eastAsiaTheme="majorEastAsia" w:hAnsi="Cambria Math"/>
                      </w:rPr>
                      <m:t>N</m:t>
                    </m:r>
                  </m:e>
                  <m:sub>
                    <m:r>
                      <w:rPr>
                        <w:rStyle w:val="katex-mathml"/>
                        <w:rFonts w:ascii="Cambria Math" w:eastAsiaTheme="majorEastAsia" w:hAnsi="Cambria Math"/>
                      </w:rPr>
                      <m:t>B</m:t>
                    </m:r>
                  </m:sub>
                </m:sSub>
              </m:den>
            </m:f>
            <m:func>
              <m:funcPr>
                <m:ctrlPr>
                  <w:rPr>
                    <w:rStyle w:val="katex-mathml"/>
                    <w:rFonts w:ascii="Cambria Math" w:eastAsiaTheme="majorEastAsia" w:hAnsi="Cambria Math"/>
                    <w:i/>
                  </w:rPr>
                </m:ctrlPr>
              </m:funcPr>
              <m:fName>
                <m:r>
                  <m:rPr>
                    <m:sty m:val="p"/>
                  </m:rPr>
                  <w:rPr>
                    <w:rStyle w:val="katex-mathml"/>
                    <w:rFonts w:ascii="Cambria Math" w:eastAsiaTheme="majorEastAsia" w:hAnsi="Cambria Math"/>
                  </w:rPr>
                  <m:t>ln</m:t>
                </m:r>
              </m:fName>
              <m:e>
                <m:sSub>
                  <m:sSubPr>
                    <m:ctrlPr>
                      <w:rPr>
                        <w:rStyle w:val="katex-mathml"/>
                        <w:rFonts w:ascii="Cambria Math" w:eastAsiaTheme="majorEastAsia" w:hAnsi="Cambria Math"/>
                        <w:i/>
                      </w:rPr>
                    </m:ctrlPr>
                  </m:sSubPr>
                  <m:e>
                    <m:r>
                      <w:rPr>
                        <w:rStyle w:val="katex-mathml"/>
                        <w:rFonts w:ascii="Cambria Math" w:eastAsiaTheme="majorEastAsia" w:hAnsi="Cambria Math"/>
                      </w:rPr>
                      <m:t>ϕ</m:t>
                    </m:r>
                  </m:e>
                  <m:sub>
                    <m:r>
                      <w:rPr>
                        <w:rStyle w:val="katex-mathml"/>
                        <w:rFonts w:ascii="Cambria Math" w:eastAsiaTheme="majorEastAsia" w:hAnsi="Cambria Math"/>
                      </w:rPr>
                      <m:t>B</m:t>
                    </m:r>
                  </m:sub>
                </m:sSub>
              </m:e>
            </m:func>
            <m:r>
              <w:rPr>
                <w:rStyle w:val="katex-mathml"/>
                <w:rFonts w:ascii="Cambria Math" w:eastAsiaTheme="majorEastAsia" w:hAnsi="Cambria Math"/>
              </w:rPr>
              <m:t>+χ(1-2</m:t>
            </m:r>
            <m:sSub>
              <m:sSubPr>
                <m:ctrlPr>
                  <w:rPr>
                    <w:rStyle w:val="katex-mathml"/>
                    <w:rFonts w:ascii="Cambria Math" w:eastAsiaTheme="majorEastAsia" w:hAnsi="Cambria Math"/>
                    <w:i/>
                  </w:rPr>
                </m:ctrlPr>
              </m:sSubPr>
              <m:e>
                <m:r>
                  <w:rPr>
                    <w:rStyle w:val="katex-mathml"/>
                    <w:rFonts w:ascii="Cambria Math" w:eastAsiaTheme="majorEastAsia" w:hAnsi="Cambria Math"/>
                  </w:rPr>
                  <m:t>ϕ</m:t>
                </m:r>
              </m:e>
              <m:sub>
                <m:r>
                  <w:rPr>
                    <w:rStyle w:val="katex-mathml"/>
                    <w:rFonts w:ascii="Cambria Math" w:eastAsiaTheme="majorEastAsia" w:hAnsi="Cambria Math"/>
                  </w:rPr>
                  <m:t>A</m:t>
                </m:r>
              </m:sub>
            </m:sSub>
            <m:r>
              <w:rPr>
                <w:rStyle w:val="katex-mathml"/>
                <w:rFonts w:ascii="Cambria Math" w:eastAsiaTheme="majorEastAsia" w:hAnsi="Cambria Math"/>
              </w:rPr>
              <m:t>)</m:t>
            </m:r>
          </m:e>
        </m:d>
        <m:r>
          <w:rPr>
            <w:rStyle w:val="katex-mathml"/>
            <w:rFonts w:ascii="Cambria Math" w:eastAsiaTheme="majorEastAsia" w:hAnsi="Cambria Math"/>
          </w:rPr>
          <m:t>≠0</m:t>
        </m:r>
      </m:oMath>
      <w:r w:rsidR="00014726">
        <w:rPr>
          <w:rStyle w:val="katex-mathml"/>
        </w:rPr>
        <w:t>.</w:t>
      </w:r>
      <w:r>
        <w:tab/>
      </w:r>
      <w:r w:rsidR="00BE43B8">
        <w:rPr>
          <w:rStyle w:val="katex-mathml"/>
        </w:rPr>
        <w:t>(</w:t>
      </w:r>
      <w:r w:rsidR="008843B8">
        <w:rPr>
          <w:rStyle w:val="katex-mathml"/>
        </w:rPr>
        <w:t>S</w:t>
      </w:r>
      <w:r w:rsidR="00BE43B8">
        <w:rPr>
          <w:rStyle w:val="katex-mathml"/>
        </w:rPr>
        <w:t>11)</w:t>
      </w:r>
    </w:p>
    <w:p w14:paraId="7038F50A" w14:textId="5BE359DD" w:rsidR="006E1931" w:rsidRDefault="00E2772D" w:rsidP="006E1931">
      <w:pPr>
        <w:pStyle w:val="NormalWeb"/>
        <w:spacing w:line="480" w:lineRule="auto"/>
        <w:jc w:val="both"/>
        <w:rPr>
          <w:rStyle w:val="Strong"/>
          <w:rFonts w:eastAsiaTheme="majorEastAsia"/>
        </w:rPr>
      </w:pPr>
      <w:r>
        <w:lastRenderedPageBreak/>
        <w:t>As a result,</w:t>
      </w:r>
      <w:r w:rsidR="006E1931">
        <w:t xml:space="preserve"> small fluctuations in composition increase the free energy, providing kinetic stability against phase separation, even though the mixed state is thermodynamically unfavo</w:t>
      </w:r>
      <w:r w:rsidR="00FD4302">
        <w:t>u</w:t>
      </w:r>
      <w:r w:rsidR="006E1931">
        <w:t>rable.</w:t>
      </w:r>
      <w:r w:rsidR="006E1931">
        <w:rPr>
          <w:rStyle w:val="Strong"/>
          <w:rFonts w:eastAsiaTheme="majorEastAsia"/>
        </w:rPr>
        <w:t xml:space="preserve">  </w:t>
      </w:r>
      <w:r w:rsidR="006E1931">
        <w:t>However, because the first derivative is non-zero (</w:t>
      </w:r>
      <w:r w:rsidR="00FD4302">
        <w:t xml:space="preserve">with </w:t>
      </w:r>
      <w:r w:rsidR="006E1931">
        <w:t xml:space="preserve">zero for </w:t>
      </w:r>
      <w:r w:rsidR="00FD4302">
        <w:t>the</w:t>
      </w:r>
      <w:r w:rsidR="006E1931">
        <w:t xml:space="preserve"> binodal condition), there is a thermodynamic driving force for phase separation through nucleation and growth if an energy barrier is overcome.</w:t>
      </w:r>
    </w:p>
    <w:p w14:paraId="541D72C0" w14:textId="6B6C23AA" w:rsidR="006E1931" w:rsidRDefault="006E1931" w:rsidP="00A22FC4">
      <w:pPr>
        <w:pStyle w:val="NormalWeb"/>
        <w:spacing w:line="480" w:lineRule="auto"/>
        <w:ind w:firstLine="720"/>
        <w:jc w:val="both"/>
      </w:pPr>
      <w:r>
        <w:t>The metastable condition exhibits thermoreversible behavio</w:t>
      </w:r>
      <w:r w:rsidR="0022291D">
        <w:t>u</w:t>
      </w:r>
      <w:r>
        <w:t xml:space="preserve">r, which would not be possible in a stable gel that has reached thermodynamic equilibrium. </w:t>
      </w:r>
      <w:r w:rsidR="0022291D">
        <w:t xml:space="preserve"> </w:t>
      </w:r>
      <w:r>
        <w:t xml:space="preserve">In a stable gel, the system resides at the global minimum of the Gibbs free energy landscape, and significant energy input would be required to alter its state. </w:t>
      </w:r>
      <w:r w:rsidR="00064901">
        <w:t xml:space="preserve"> </w:t>
      </w:r>
      <w:r>
        <w:t>Metastability allows the system to reversibly transition between states upon thermal cycling because it is only separated from other states by modest energy barriers.</w:t>
      </w:r>
    </w:p>
    <w:p w14:paraId="08C80758" w14:textId="00AD965F" w:rsidR="00647A3C" w:rsidRDefault="006E1931" w:rsidP="00A22FC4">
      <w:pPr>
        <w:pStyle w:val="NormalWeb"/>
        <w:spacing w:line="480" w:lineRule="auto"/>
        <w:ind w:firstLine="720"/>
        <w:jc w:val="both"/>
      </w:pPr>
      <w:r>
        <w:t>The thermoreversible behav</w:t>
      </w:r>
      <w:r w:rsidR="00064901">
        <w:t>u</w:t>
      </w:r>
      <w:r>
        <w:t xml:space="preserve">ior of the gelatin network facilitates reversible transitions between miscible and partially miscible states. </w:t>
      </w:r>
      <w:r w:rsidR="00064901">
        <w:t xml:space="preserve"> </w:t>
      </w:r>
      <w:r>
        <w:t xml:space="preserve">Upon heating, the hydrogen bonds within the gelatin network are disrupted. </w:t>
      </w:r>
      <w:r w:rsidR="00064901">
        <w:t xml:space="preserve"> </w:t>
      </w:r>
      <w:r>
        <w:t xml:space="preserve">Heating provides </w:t>
      </w:r>
      <w:r w:rsidR="00064901">
        <w:t xml:space="preserve">sufficient </w:t>
      </w:r>
      <w:r>
        <w:t>thermal energy to overcome the energy of hydrogen bonds, causing them to break</w:t>
      </w:r>
      <w:r w:rsidR="0039014B">
        <w:t>, which</w:t>
      </w:r>
      <w:r>
        <w:t xml:space="preserve"> increases the enthalpy associated with hydrogen bonding and enhances chain mobility. </w:t>
      </w:r>
      <w:r w:rsidR="0039014B">
        <w:t xml:space="preserve"> </w:t>
      </w:r>
      <w:r>
        <w:t xml:space="preserve">The increase in chain mobility </w:t>
      </w:r>
      <w:r w:rsidR="0039014B">
        <w:t xml:space="preserve">further </w:t>
      </w:r>
      <w:r>
        <w:t>leads to a rise in entropy due to a greater number of accessible conformations.</w:t>
      </w:r>
    </w:p>
    <w:p w14:paraId="208CF4DE" w14:textId="09A5A1A1" w:rsidR="00647A3C" w:rsidRDefault="00BB3600" w:rsidP="00BB3600">
      <w:pPr>
        <w:pStyle w:val="NormalWeb"/>
        <w:spacing w:line="480" w:lineRule="auto"/>
        <w:ind w:firstLine="720"/>
        <w:jc w:val="both"/>
      </w:pPr>
      <w:r>
        <w:t>Each phase (ionic and biogel system) exhibits a stable set of thermodynamic conditions (e.g., stable water content in the gelatin/glycerol/salt matrix and stable doping/ion-exchange equilibrium in ionic-liquid/PEDOT:PSS).  As a result, the overall system settles into a metastable configuration with a relatively stable open electrochemical potential difference of ~40 mV for &gt;7 hours.</w:t>
      </w:r>
      <w:r w:rsidR="00647A3C">
        <w:br w:type="page"/>
      </w:r>
    </w:p>
    <w:p w14:paraId="7903397F" w14:textId="00F3EBF8" w:rsidR="00647A3C" w:rsidRPr="001B4081" w:rsidRDefault="00647A3C" w:rsidP="00647A3C">
      <w:pPr>
        <w:pStyle w:val="NormalWeb"/>
        <w:spacing w:line="480" w:lineRule="auto"/>
        <w:jc w:val="both"/>
        <w:rPr>
          <w:b/>
          <w:bCs/>
          <w:u w:val="single"/>
        </w:rPr>
      </w:pPr>
      <w:r w:rsidRPr="001B4081">
        <w:rPr>
          <w:b/>
          <w:bCs/>
          <w:u w:val="single"/>
        </w:rPr>
        <w:lastRenderedPageBreak/>
        <w:t xml:space="preserve">Supplementary Note </w:t>
      </w:r>
      <w:r w:rsidR="000C06C0">
        <w:rPr>
          <w:b/>
          <w:bCs/>
          <w:u w:val="single"/>
        </w:rPr>
        <w:t>4</w:t>
      </w:r>
    </w:p>
    <w:p w14:paraId="5C053303" w14:textId="65B4AF06" w:rsidR="008F2560" w:rsidRPr="00F04C20" w:rsidRDefault="00890204" w:rsidP="008F2560">
      <w:pPr>
        <w:pStyle w:val="NormalWeb"/>
        <w:rPr>
          <w:b/>
        </w:rPr>
      </w:pPr>
      <w:r>
        <w:rPr>
          <w:b/>
          <w:bCs/>
        </w:rPr>
        <w:t>Coherence</w:t>
      </w:r>
      <w:r w:rsidR="00966CEE" w:rsidRPr="00F04C20">
        <w:rPr>
          <w:b/>
        </w:rPr>
        <w:t xml:space="preserve"> of </w:t>
      </w:r>
      <w:r w:rsidR="00FF41F1">
        <w:rPr>
          <w:b/>
          <w:bCs/>
        </w:rPr>
        <w:t>C</w:t>
      </w:r>
      <w:r w:rsidR="00FF41F1" w:rsidRPr="00F04C20">
        <w:rPr>
          <w:b/>
          <w:bCs/>
        </w:rPr>
        <w:t xml:space="preserve">haracteristics </w:t>
      </w:r>
      <w:r w:rsidR="00966CEE" w:rsidRPr="00F04C20">
        <w:rPr>
          <w:b/>
        </w:rPr>
        <w:t xml:space="preserve">of </w:t>
      </w:r>
      <w:r w:rsidR="00FF41F1">
        <w:rPr>
          <w:b/>
          <w:bCs/>
        </w:rPr>
        <w:t>D</w:t>
      </w:r>
      <w:r w:rsidR="00FF41F1" w:rsidRPr="00F04C20">
        <w:rPr>
          <w:b/>
          <w:bCs/>
        </w:rPr>
        <w:t xml:space="preserve">istinct </w:t>
      </w:r>
      <w:r w:rsidR="00FF41F1">
        <w:rPr>
          <w:b/>
          <w:bCs/>
        </w:rPr>
        <w:t>P</w:t>
      </w:r>
      <w:r w:rsidR="00FF41F1" w:rsidRPr="00F04C20">
        <w:rPr>
          <w:b/>
          <w:bCs/>
        </w:rPr>
        <w:t>hases</w:t>
      </w:r>
    </w:p>
    <w:p w14:paraId="5C09A13F" w14:textId="6B1857EB" w:rsidR="008F2560" w:rsidRDefault="008F2560" w:rsidP="000C06C0">
      <w:pPr>
        <w:pStyle w:val="NormalWeb"/>
        <w:spacing w:line="480" w:lineRule="auto"/>
        <w:jc w:val="both"/>
      </w:pPr>
      <w:r>
        <w:t xml:space="preserve">From a statistical and thermodynamic standpoint, the presence of phase separation and metastability can be conceptualized through free-energy landscapes and energetic barriers that emerge when a mixed system spontaneously decomposes into two coexisting phases. </w:t>
      </w:r>
      <w:r w:rsidR="005F426C">
        <w:t xml:space="preserve"> </w:t>
      </w:r>
      <w:r>
        <w:t xml:space="preserve">Each separated phase represents a region—characterized by distinct molecular densities, interaction strengths, or order parameters—where the system can locally minimize its free energy. </w:t>
      </w:r>
      <w:r w:rsidR="005F426C">
        <w:t xml:space="preserve"> In each</w:t>
      </w:r>
      <w:r>
        <w:t xml:space="preserve"> phase, the collective excitations, such as electrons, holes, or phonons, adopt specific </w:t>
      </w:r>
      <w:r w:rsidR="00D16AF9">
        <w:t xml:space="preserve">local </w:t>
      </w:r>
      <w:r>
        <w:t xml:space="preserve">equilibrium distributions and dispersion relations that are consistent </w:t>
      </w:r>
      <w:r w:rsidR="00587D90">
        <w:t xml:space="preserve">across </w:t>
      </w:r>
      <w:r w:rsidR="00D16AF9">
        <w:t>their phase boundaries</w:t>
      </w:r>
      <w:r>
        <w:t xml:space="preserve">. </w:t>
      </w:r>
      <w:r w:rsidR="00587D90">
        <w:t xml:space="preserve"> </w:t>
      </w:r>
      <w:r>
        <w:t>Metastable interfaces then form natural energy barriers, restricting certain excitations from freely crossing between phases.</w:t>
      </w:r>
      <w:r w:rsidR="00193D00">
        <w:t xml:space="preserve"> </w:t>
      </w:r>
      <w:r w:rsidR="00587D90">
        <w:t xml:space="preserve"> </w:t>
      </w:r>
      <w:r>
        <w:t xml:space="preserve">At the interface between these domains, there is an energy cost associated with gradients, governed by a surface tension term.  This surface tension imposes a potential barrier that excitations must overcome to </w:t>
      </w:r>
      <w:r w:rsidR="001F1E6E">
        <w:t xml:space="preserve">transform </w:t>
      </w:r>
      <w:r>
        <w:t>from one phase to another.</w:t>
      </w:r>
    </w:p>
    <w:p w14:paraId="787BE791" w14:textId="7BE0F9BF" w:rsidR="008F2560" w:rsidRDefault="004E3E0D" w:rsidP="00A22FC4">
      <w:pPr>
        <w:pStyle w:val="NormalWeb"/>
        <w:spacing w:line="480" w:lineRule="auto"/>
        <w:ind w:firstLine="720"/>
        <w:jc w:val="both"/>
      </w:pPr>
      <w:r>
        <w:t>Using Kramers’</w:t>
      </w:r>
      <w:r w:rsidR="00813E9E">
        <w:t xml:space="preserve"> escape</w:t>
      </w:r>
      <w:r w:rsidR="008F2560">
        <w:t xml:space="preserve"> model</w:t>
      </w:r>
      <w:r w:rsidR="008824C2">
        <w:fldChar w:fldCharType="begin"/>
      </w:r>
      <w:r w:rsidR="00785CB3">
        <w:instrText xml:space="preserve"> ADDIN ZOTERO_ITEM CSL_CITATION {"citationID":"VJNP8YQZ","properties":{"formattedCitation":"\\super 12\\nosupersub{}","plainCitation":"12","noteIndex":0},"citationItems":[{"id":1341,"uris":["http://zotero.org/users/12063952/items/F273YPH2"],"itemData":{"id":1341,"type":"article-journal","container-title":"Physical Review D","DOI":"10.1103/PhysRevD.100.076005","ISSN":"2470-0010, 2470-0029","issue":"7","journalAbbreviation":"Phys. Rev. D","language":"en","page":"076005","source":"DOI.org (Crossref)","title":"Formulating the Kramers problem in field theory","volume":"100","author":[{"family":"Berera","given":"Arjun"},{"family":"Mabillard","given":"Joël"},{"family":"Mintz","given":"Bruno W."},{"family":"Ramos","given":"Rudnei O."}],"issued":{"date-parts":[["2019",10,10]]}}}],"schema":"https://github.com/citation-style-language/schema/raw/master/csl-citation.json"} </w:instrText>
      </w:r>
      <w:r w:rsidR="008824C2">
        <w:fldChar w:fldCharType="separate"/>
      </w:r>
      <w:r w:rsidR="00785CB3" w:rsidRPr="00785CB3">
        <w:rPr>
          <w:vertAlign w:val="superscript"/>
        </w:rPr>
        <w:t>12</w:t>
      </w:r>
      <w:r w:rsidR="008824C2">
        <w:fldChar w:fldCharType="end"/>
      </w:r>
      <w:r w:rsidR="008F2560">
        <w:t xml:space="preserve">, if we treat electrons, holes, or phonons as quasiparticles with given energy distributions, their probability of occupying states in a given region is controlled by Boltzmann or Fermi-Dirac statistics. </w:t>
      </w:r>
      <w:r w:rsidR="00E44642">
        <w:t xml:space="preserve"> </w:t>
      </w:r>
      <w:r w:rsidR="008F2560">
        <w:t xml:space="preserve">Within one phase, the density of states, effective masses, or vibrational spectra differ from those in the other phase due to variations in underlying molecular arrangements.  The interface thus acts as an energy </w:t>
      </w:r>
      <w:r w:rsidR="00813E9E">
        <w:t>barrier</w:t>
      </w:r>
      <w:r w:rsidR="008F2560">
        <w:t xml:space="preserve"> to cross from one domain into the other, a quasiparticle must have sufficient energy to overcome differences in chemical potential, band alignment, or phonon dispersion relations. </w:t>
      </w:r>
      <w:r w:rsidR="008F04F0">
        <w:t xml:space="preserve"> </w:t>
      </w:r>
      <w:r w:rsidR="008F2560">
        <w:t xml:space="preserve">Mathematically, if the energy difference or barrier at the interface is </w:t>
      </w:r>
      <m:oMath>
        <m:r>
          <w:rPr>
            <w:rFonts w:ascii="Cambria Math" w:hAnsi="Cambria Math"/>
          </w:rPr>
          <m:t>ΔE</m:t>
        </m:r>
      </m:oMath>
      <w:r w:rsidR="008F2560">
        <w:t xml:space="preserve">, the probability of a quasiparticle in phase A entering phase B is suppressed by a Boltzmann factor </w:t>
      </w:r>
      <m:oMath>
        <m:sSup>
          <m:sSupPr>
            <m:ctrlPr>
              <w:rPr>
                <w:rFonts w:ascii="Cambria Math" w:hAnsi="Cambria Math"/>
                <w:i/>
              </w:rPr>
            </m:ctrlPr>
          </m:sSupPr>
          <m:e>
            <m:r>
              <w:rPr>
                <w:rFonts w:ascii="Cambria Math" w:hAnsi="Cambria Math"/>
              </w:rPr>
              <m:t>e</m:t>
            </m:r>
          </m:e>
          <m:sup>
            <m:r>
              <w:rPr>
                <w:rFonts w:ascii="Cambria Math" w:hAnsi="Cambria Math"/>
              </w:rPr>
              <m:t>-ΔE/kT</m:t>
            </m:r>
          </m:sup>
        </m:sSup>
      </m:oMath>
      <w:r w:rsidR="008F2560">
        <w:t xml:space="preserve"> or a related statistical weight. </w:t>
      </w:r>
      <w:r w:rsidR="008F04F0">
        <w:t xml:space="preserve"> </w:t>
      </w:r>
      <w:r w:rsidR="008F2560">
        <w:t xml:space="preserve">Hence, low-energy excitations may </w:t>
      </w:r>
      <w:r w:rsidR="008F2560">
        <w:lastRenderedPageBreak/>
        <w:t>remain confined to their original phase, ensuring that each domain preserves its characteristic properties.  The result is that charge carriers (electrons, holes) or vibrational modes (phonons) that might dominate transport or scattering in one phase do not simply diffuse into the other and dilute or disrupt its properties.</w:t>
      </w:r>
    </w:p>
    <w:p w14:paraId="446FA547" w14:textId="774A8412" w:rsidR="00ED3984" w:rsidRDefault="008F2560" w:rsidP="00A22FC4">
      <w:pPr>
        <w:pStyle w:val="NormalWeb"/>
        <w:spacing w:line="480" w:lineRule="auto"/>
        <w:ind w:firstLine="720"/>
        <w:jc w:val="both"/>
      </w:pPr>
      <w:r>
        <w:t xml:space="preserve">This confinement and barrier-limited exchange </w:t>
      </w:r>
      <w:r w:rsidR="00D8476D">
        <w:t>help</w:t>
      </w:r>
      <w:r>
        <w:t xml:space="preserve"> restore and preserve each phase’s intrinsic characteristics. </w:t>
      </w:r>
      <w:r w:rsidR="00D8476D">
        <w:t xml:space="preserve"> </w:t>
      </w:r>
      <w:r>
        <w:t>A dense, low-entropy phase may support efficient energy transfer and rapid reaction kinetics among localized molecular components, while the adjacent dilute phase allows for diffusion</w:t>
      </w:r>
      <w:r w:rsidR="00D8476D">
        <w:t>-based</w:t>
      </w:r>
      <w:r>
        <w:t xml:space="preserve"> exchange.  From a statistical perspective, these distinct distributions and transport properties become metastable states because attempts to randomize or homogenize the system must overcome interfacial free-energy costs. </w:t>
      </w:r>
      <w:r w:rsidR="008B075D">
        <w:t xml:space="preserve"> </w:t>
      </w:r>
      <w:r>
        <w:t>Thus, the interplay of energy minima, surface tension, and excitation statistics leads to stable coexistence, where each phase can maintain its unique set of properties despite adjacency.  In other words, phase separation and metastability enable a scenario where the system’s global free energy is lowered by permitting the local free-energy minima associated with each phase to coexist</w:t>
      </w:r>
      <w:r w:rsidR="003016E1">
        <w:t>.  Meanwhile</w:t>
      </w:r>
      <w:r>
        <w:t xml:space="preserve">, the energy barriers at the boundaries ensure the coherent restoration and maintenance of each phase’s distinct statistical and </w:t>
      </w:r>
      <w:r w:rsidR="008D5A1E">
        <w:t xml:space="preserve">dynamic </w:t>
      </w:r>
      <w:r>
        <w:t>characteristics.</w:t>
      </w:r>
    </w:p>
    <w:p w14:paraId="00B9A266" w14:textId="77777777" w:rsidR="00ED3984" w:rsidRDefault="00ED3984">
      <w:pPr>
        <w:spacing w:after="160" w:line="278" w:lineRule="auto"/>
      </w:pPr>
      <w:r>
        <w:br w:type="page"/>
      </w:r>
    </w:p>
    <w:p w14:paraId="2E0DBF40" w14:textId="3EFC8A7A" w:rsidR="00ED3984" w:rsidRDefault="00ED3984" w:rsidP="00ED3984">
      <w:pPr>
        <w:pStyle w:val="NormalWeb"/>
        <w:spacing w:line="480" w:lineRule="auto"/>
        <w:jc w:val="both"/>
        <w:rPr>
          <w:b/>
          <w:bCs/>
          <w:u w:val="single"/>
        </w:rPr>
      </w:pPr>
      <w:r w:rsidRPr="00ED3984">
        <w:rPr>
          <w:b/>
          <w:bCs/>
          <w:u w:val="single"/>
        </w:rPr>
        <w:lastRenderedPageBreak/>
        <w:t xml:space="preserve">Supplementary Note </w:t>
      </w:r>
      <w:r w:rsidR="008C1AD4">
        <w:rPr>
          <w:b/>
          <w:bCs/>
          <w:u w:val="single"/>
        </w:rPr>
        <w:t>5</w:t>
      </w:r>
    </w:p>
    <w:p w14:paraId="0D78AEE8" w14:textId="1033CB5F" w:rsidR="00ED3984" w:rsidRPr="00ED3984" w:rsidRDefault="00ED3984" w:rsidP="00ED3984">
      <w:pPr>
        <w:pStyle w:val="NormalWeb"/>
        <w:spacing w:line="480" w:lineRule="auto"/>
        <w:jc w:val="both"/>
        <w:rPr>
          <w:b/>
          <w:bCs/>
          <w:u w:val="single"/>
        </w:rPr>
      </w:pPr>
      <w:r w:rsidRPr="00ED3984">
        <w:rPr>
          <w:b/>
          <w:bCs/>
          <w:lang w:val="en-GB"/>
        </w:rPr>
        <w:t>Material Characterization of Ionic Biogel</w:t>
      </w:r>
    </w:p>
    <w:p w14:paraId="2ABB5F88" w14:textId="230553DB" w:rsidR="000C06C0" w:rsidRPr="000C06C0" w:rsidRDefault="000C06C0" w:rsidP="00ED3984">
      <w:pPr>
        <w:spacing w:line="480" w:lineRule="auto"/>
        <w:jc w:val="both"/>
        <w:rPr>
          <w:i/>
          <w:iCs/>
          <w:lang w:val="en-GB"/>
        </w:rPr>
      </w:pPr>
      <w:r w:rsidRPr="000C06C0">
        <w:rPr>
          <w:i/>
          <w:iCs/>
          <w:lang w:val="en-GB"/>
        </w:rPr>
        <w:t>X-ray photoelectron spectroscopy</w:t>
      </w:r>
    </w:p>
    <w:p w14:paraId="086E7C75" w14:textId="77777777" w:rsidR="007F374F" w:rsidRDefault="00ED3984" w:rsidP="00ED3984">
      <w:pPr>
        <w:spacing w:line="480" w:lineRule="auto"/>
        <w:jc w:val="both"/>
        <w:rPr>
          <w:lang w:val="en-GB"/>
        </w:rPr>
      </w:pPr>
      <w:r w:rsidRPr="00E24F72">
        <w:rPr>
          <w:lang w:val="en-GB"/>
        </w:rPr>
        <w:t>X-ray photoelectron spectroscopy (XPS) analysis of the ionic biogel reveals the presence of key carbon, nitrogen, and sulfur species, including CH</w:t>
      </w:r>
      <w:r w:rsidRPr="00E24F72">
        <w:rPr>
          <w:rFonts w:hint="eastAsia"/>
          <w:vertAlign w:val="subscript"/>
          <w:lang w:val="en-GB"/>
        </w:rPr>
        <w:t>x</w:t>
      </w:r>
      <w:r w:rsidRPr="00412DE8">
        <w:rPr>
          <w:lang w:val="en-GB"/>
        </w:rPr>
        <w:t xml:space="preserve"> </w:t>
      </w:r>
      <w:r w:rsidRPr="00E24F72">
        <w:rPr>
          <w:lang w:val="en-GB"/>
        </w:rPr>
        <w:t>(25.6%), C–(O,</w:t>
      </w:r>
      <w:r>
        <w:rPr>
          <w:lang w:val="en-GB"/>
        </w:rPr>
        <w:t xml:space="preserve"> </w:t>
      </w:r>
      <w:r w:rsidRPr="00E24F72">
        <w:rPr>
          <w:lang w:val="en-GB"/>
        </w:rPr>
        <w:t>N) (27.4%), and SO</w:t>
      </w:r>
      <w:r w:rsidRPr="00E24F72">
        <w:rPr>
          <w:vertAlign w:val="subscript"/>
          <w:lang w:val="en-GB"/>
        </w:rPr>
        <w:t>3</w:t>
      </w:r>
      <w:r>
        <w:rPr>
          <w:lang w:val="en-GB"/>
        </w:rPr>
        <w:t xml:space="preserve"> </w:t>
      </w:r>
      <w:r w:rsidRPr="00E24F72">
        <w:rPr>
          <w:lang w:val="en-GB"/>
        </w:rPr>
        <w:t>(6.2%)</w:t>
      </w:r>
      <w:r w:rsidRPr="436B9525">
        <w:rPr>
          <w:lang w:val="en-GB"/>
        </w:rPr>
        <w:t xml:space="preserve"> </w:t>
      </w:r>
      <w:r w:rsidRPr="436B9525">
        <w:rPr>
          <w:b/>
          <w:bCs/>
          <w:lang w:val="en-GB"/>
        </w:rPr>
        <w:t>(Figure S</w:t>
      </w:r>
      <w:r>
        <w:rPr>
          <w:b/>
          <w:bCs/>
          <w:lang w:val="en-GB"/>
        </w:rPr>
        <w:t>3</w:t>
      </w:r>
      <w:r w:rsidRPr="436B9525">
        <w:rPr>
          <w:b/>
          <w:bCs/>
          <w:lang w:val="en-GB"/>
        </w:rPr>
        <w:t>)</w:t>
      </w:r>
      <w:r w:rsidRPr="00DC64CA">
        <w:rPr>
          <w:lang w:val="en-GB"/>
        </w:rPr>
        <w:t xml:space="preserve">. </w:t>
      </w:r>
      <w:r>
        <w:rPr>
          <w:lang w:val="en-GB"/>
        </w:rPr>
        <w:t xml:space="preserve"> </w:t>
      </w:r>
      <w:r w:rsidRPr="00DC64CA">
        <w:rPr>
          <w:lang w:val="en-GB"/>
        </w:rPr>
        <w:t>The detection of sulfonate (SO</w:t>
      </w:r>
      <w:r w:rsidRPr="00DC64CA">
        <w:rPr>
          <w:vertAlign w:val="subscript"/>
          <w:lang w:val="en-GB"/>
        </w:rPr>
        <w:t>3</w:t>
      </w:r>
      <w:r w:rsidRPr="00DC64CA">
        <w:rPr>
          <w:lang w:val="en-GB"/>
        </w:rPr>
        <w:t xml:space="preserve">) groups and thiols confirms the functionality of PEDOT:PSS, while fluorocarbon and siloxane signals suggest interactions with the ionic liquid EMIM-TFSI. </w:t>
      </w:r>
      <w:r>
        <w:rPr>
          <w:lang w:val="en-GB"/>
        </w:rPr>
        <w:t xml:space="preserve"> </w:t>
      </w:r>
      <w:r w:rsidRPr="00DC64CA">
        <w:rPr>
          <w:lang w:val="en-GB"/>
        </w:rPr>
        <w:t>Additionally, the presence of protonated amines (N–C⁺, 2.9%) and carbonyl groups (C=O, 5.1%) underscores the role of the gelatin-glycerol matrix in stabilizing the ionic and electronic interfaces</w:t>
      </w:r>
      <w:r w:rsidRPr="436B9525">
        <w:rPr>
          <w:lang w:val="en-GB"/>
        </w:rPr>
        <w:t>.</w:t>
      </w:r>
      <w:r w:rsidRPr="451B7F4F">
        <w:rPr>
          <w:lang w:val="en-GB"/>
        </w:rPr>
        <w:t xml:space="preserve">  </w:t>
      </w:r>
    </w:p>
    <w:p w14:paraId="28438273" w14:textId="5C165567" w:rsidR="007F374F" w:rsidRPr="007F374F" w:rsidRDefault="007F374F" w:rsidP="00ED3984">
      <w:pPr>
        <w:spacing w:line="480" w:lineRule="auto"/>
        <w:jc w:val="both"/>
        <w:rPr>
          <w:i/>
          <w:iCs/>
          <w:lang w:val="en-GB"/>
        </w:rPr>
      </w:pPr>
      <w:r w:rsidRPr="007F374F">
        <w:rPr>
          <w:i/>
          <w:iCs/>
          <w:lang w:val="en-GB"/>
        </w:rPr>
        <w:t>Raman spectroscopy</w:t>
      </w:r>
    </w:p>
    <w:p w14:paraId="5EE9DBB6" w14:textId="1E00C0FF" w:rsidR="007F374F" w:rsidRDefault="00ED3984" w:rsidP="00ED3984">
      <w:pPr>
        <w:spacing w:line="480" w:lineRule="auto"/>
        <w:jc w:val="both"/>
        <w:rPr>
          <w:lang w:val="en-GB"/>
        </w:rPr>
      </w:pPr>
      <w:r w:rsidRPr="451B7F4F">
        <w:rPr>
          <w:lang w:val="en-GB"/>
        </w:rPr>
        <w:t xml:space="preserve">Raman spectroscopy at different temperatures analyses the synergistic aspect of the ionic biogel </w:t>
      </w:r>
      <w:r w:rsidRPr="451B7F4F">
        <w:rPr>
          <w:b/>
          <w:bCs/>
          <w:lang w:val="en-GB"/>
        </w:rPr>
        <w:t>(</w:t>
      </w:r>
      <w:r w:rsidR="00D35A58">
        <w:rPr>
          <w:b/>
          <w:bCs/>
          <w:lang w:val="en-GB"/>
        </w:rPr>
        <w:t xml:space="preserve">Extended </w:t>
      </w:r>
      <w:r w:rsidRPr="451B7F4F">
        <w:rPr>
          <w:b/>
          <w:bCs/>
          <w:lang w:val="en-GB"/>
        </w:rPr>
        <w:t>Figure</w:t>
      </w:r>
      <w:r w:rsidR="00D35A58">
        <w:rPr>
          <w:b/>
          <w:bCs/>
          <w:lang w:val="en-GB"/>
        </w:rPr>
        <w:t xml:space="preserve"> 2a</w:t>
      </w:r>
      <w:r w:rsidRPr="451B7F4F">
        <w:rPr>
          <w:b/>
          <w:bCs/>
          <w:lang w:val="en-GB"/>
        </w:rPr>
        <w:t>)</w:t>
      </w:r>
      <w:r w:rsidRPr="451B7F4F">
        <w:rPr>
          <w:lang w:val="en-GB"/>
        </w:rPr>
        <w:t>.  The Raman spectra reveal that the C</w:t>
      </w:r>
      <w:r w:rsidRPr="451B7F4F">
        <w:rPr>
          <w:vertAlign w:val="subscript"/>
          <w:lang w:val="en-GB"/>
        </w:rPr>
        <w:t>α</w:t>
      </w:r>
      <w:r w:rsidRPr="451B7F4F">
        <w:rPr>
          <w:lang w:val="en-GB"/>
        </w:rPr>
        <w:t>=C</w:t>
      </w:r>
      <w:r w:rsidRPr="451B7F4F">
        <w:rPr>
          <w:vertAlign w:val="subscript"/>
          <w:lang w:val="en-GB"/>
        </w:rPr>
        <w:t>β</w:t>
      </w:r>
      <w:r w:rsidRPr="451B7F4F">
        <w:rPr>
          <w:lang w:val="en-GB"/>
        </w:rPr>
        <w:t xml:space="preserve"> symmetric stretching vibration peaks of PEDOT exhibit a </w:t>
      </w:r>
      <w:r>
        <w:rPr>
          <w:lang w:val="en-GB"/>
        </w:rPr>
        <w:t>red</w:t>
      </w:r>
      <w:r w:rsidRPr="00B45632">
        <w:rPr>
          <w:lang w:val="en-GB"/>
        </w:rPr>
        <w:t xml:space="preserve"> shift</w:t>
      </w:r>
      <w:r w:rsidRPr="451B7F4F">
        <w:rPr>
          <w:lang w:val="en-GB"/>
        </w:rPr>
        <w:t xml:space="preserve"> from 1423</w:t>
      </w:r>
      <w:r>
        <w:rPr>
          <w:lang w:val="en-GB"/>
        </w:rPr>
        <w:t xml:space="preserve"> </w:t>
      </w:r>
      <w:r w:rsidRPr="451B7F4F">
        <w:rPr>
          <w:lang w:val="en-GB"/>
        </w:rPr>
        <w:t>cm⁻¹ at 25°C and 30°C to 1417</w:t>
      </w:r>
      <w:r>
        <w:rPr>
          <w:lang w:val="en-GB"/>
        </w:rPr>
        <w:t xml:space="preserve"> </w:t>
      </w:r>
      <w:r w:rsidRPr="451B7F4F">
        <w:rPr>
          <w:lang w:val="en-GB"/>
        </w:rPr>
        <w:t>cm⁻¹ at 40°C and 50°C, with an accompanying increase in intensity up to 40°C, followed by a decrease at 50°C post-phase transition.  This shift indicates that a higher proportion of benzoid moieties in PEDOT are converted to the quinoid structure due to oxidative charge transfer doping at elevated temperatures, resulting in a more planar polymer backbone</w:t>
      </w:r>
      <w:r>
        <w:rPr>
          <w:lang w:val="en-GB"/>
        </w:rPr>
        <w:fldChar w:fldCharType="begin"/>
      </w:r>
      <w:r w:rsidR="00785CB3">
        <w:rPr>
          <w:lang w:val="en-GB"/>
        </w:rPr>
        <w:instrText xml:space="preserve"> ADDIN ZOTERO_ITEM CSL_CITATION {"citationID":"J9z9p9NQ","properties":{"formattedCitation":"\\super 1\\nosupersub{}","plainCitation":"1","noteIndex":0},"citationItems":[{"id":1175,"uris":["http://zotero.org/users/12063952/items/IRML3VZ9"],"itemData":{"id":1175,"type":"article-journal","abstract":"A polymer is described that is conductive and stretchable, which can lead to electronics that can conform to the human body.\n          , \n            Previous breakthroughs in stretchable electronics stem from strain engineering and nanocomposite approaches. Routes toward intrinsically stretchable molecular materials remain scarce but, if successful, will enable simpler fabrication processes, such as direct printing and coating, mechanically robust devices, and more intimate contact with objects. We report a highly stretchable conducting polymer, realized with a range of enhancers that serve a dual function: (i) they change morphology and (ii) they act as conductivity-enhancing dopants in poly(3,4-ethylenedioxythiophene):poly(styrenesulfonate) (PEDOT:PSS). The polymer films exhibit conductivities comparable to the best reported values for PEDOT:PSS, with over 3100 S/cm under 0% strain and over 4100 S/cm under 100% strain—among the highest for reported stretchable conductors. It is highly durable under cyclic loading, with the conductivity maintained at 3600 S/cm even after 1000 cycles to 100% strain. The conductivity remained above 100 S/cm under 600% strain, with a fracture strain of 800%, which is superior to even the best silver nanowire– or carbon nanotube–based stretchable conductor films. The combination of excellent electrical and mechanical properties allowed it to serve as interconnects for field-effect transistor arrays with a device density that is five times higher than typical lithographically patterned wavy interconnects.","container-title":"Science Advances","DOI":"10.1126/sciadv.1602076","ISSN":"2375-2548","issue":"3","journalAbbreviation":"Sci. Adv.","language":"en","page":"e1602076","source":"DOI.org (Crossref)","title":"A highly stretchable, transparent, and conductive polymer","volume":"3","author":[{"family":"Wang","given":"Yue"},{"family":"Zhu","given":"Chenxin"},{"family":"Pfattner","given":"Raphael"},{"family":"Yan","given":"Hongping"},{"family":"Jin","given":"Lihua"},{"family":"Chen","given":"Shucheng"},{"family":"Molina-Lopez","given":"Francisco"},{"family":"Lissel","given":"Franziska"},{"family":"Liu","given":"Jia"},{"family":"Rabiah","given":"Noelle I."},{"family":"Chen","given":"Zheng"},{"family":"Chung","given":"Jong Won"},{"family":"Linder","given":"Christian"},{"family":"Toney","given":"Michael F."},{"family":"Murmann","given":"Boris"},{"family":"Bao","given":"Zhenan"}],"issued":{"date-parts":[["2017",3,3]]}}}],"schema":"https://github.com/citation-style-language/schema/raw/master/csl-citation.json"} </w:instrText>
      </w:r>
      <w:r>
        <w:rPr>
          <w:lang w:val="en-GB"/>
        </w:rPr>
        <w:fldChar w:fldCharType="separate"/>
      </w:r>
      <w:r w:rsidR="00785CB3" w:rsidRPr="00785CB3">
        <w:rPr>
          <w:vertAlign w:val="superscript"/>
        </w:rPr>
        <w:t>1</w:t>
      </w:r>
      <w:r>
        <w:rPr>
          <w:lang w:val="en-GB"/>
        </w:rPr>
        <w:fldChar w:fldCharType="end"/>
      </w:r>
      <w:r w:rsidRPr="451B7F4F">
        <w:rPr>
          <w:lang w:val="en-GB"/>
        </w:rPr>
        <w:t xml:space="preserve">.  The enhanced planarity facilitates greater π-electron delocalization and a higher degree of molecular packing, which may contribute to the observed rapid sol transition.  Concurrently, the Amide I band associated with the C=O stretching vibrations in gelatin increases in intensity from 25°C to 40°C and then diminishes at 50°C, suggesting the formation and subsequent disruption of intermolecular hydrogen bonding </w:t>
      </w:r>
      <w:r w:rsidRPr="451B7F4F">
        <w:rPr>
          <w:lang w:val="en-GB"/>
        </w:rPr>
        <w:lastRenderedPageBreak/>
        <w:t xml:space="preserve">interactions between gelatin and glycerol molecules.  These findings indicate that elevated temperatures promote both the unwrapping of gelatin's helical structure and the planarization of PEDOT chains, leading to synergistic enhancements in the electrical and mechanical properties of the ionic biogel.  </w:t>
      </w:r>
    </w:p>
    <w:p w14:paraId="032E4AB1" w14:textId="3FF8010F" w:rsidR="007F374F" w:rsidRPr="007F374F" w:rsidRDefault="007F374F" w:rsidP="00ED3984">
      <w:pPr>
        <w:spacing w:line="480" w:lineRule="auto"/>
        <w:jc w:val="both"/>
        <w:rPr>
          <w:i/>
          <w:iCs/>
          <w:lang w:val="en-GB"/>
        </w:rPr>
      </w:pPr>
      <w:r w:rsidRPr="007F374F">
        <w:rPr>
          <w:i/>
          <w:iCs/>
          <w:lang w:val="en-GB"/>
        </w:rPr>
        <w:t>Fourier-transform infrared spectroscopy</w:t>
      </w:r>
    </w:p>
    <w:p w14:paraId="021E126E" w14:textId="7EA34315" w:rsidR="00ED3984" w:rsidRPr="00D712CE" w:rsidRDefault="00ED3984" w:rsidP="00ED3984">
      <w:pPr>
        <w:spacing w:line="480" w:lineRule="auto"/>
        <w:jc w:val="both"/>
        <w:rPr>
          <w:lang w:val="en-GB"/>
        </w:rPr>
      </w:pPr>
      <w:r w:rsidRPr="451B7F4F">
        <w:rPr>
          <w:lang w:val="en-GB"/>
        </w:rPr>
        <w:t>The Fourier-transform infrared spectroscopy (FTIR) spectra reveal strong characteristic infrared absorption peaks of thiophene functional groups at 1,640</w:t>
      </w:r>
      <w:r>
        <w:rPr>
          <w:lang w:val="en-GB"/>
        </w:rPr>
        <w:t xml:space="preserve"> </w:t>
      </w:r>
      <w:r w:rsidRPr="451B7F4F">
        <w:rPr>
          <w:lang w:val="en-GB"/>
        </w:rPr>
        <w:t xml:space="preserve">cm⁻¹, with a markedly higher absorption intensity observed at 45°C compared to 25°C </w:t>
      </w:r>
      <w:r w:rsidRPr="451B7F4F">
        <w:rPr>
          <w:b/>
          <w:bCs/>
          <w:lang w:val="en-GB"/>
        </w:rPr>
        <w:t>(</w:t>
      </w:r>
      <w:r w:rsidR="00D35A58">
        <w:rPr>
          <w:b/>
          <w:bCs/>
          <w:lang w:val="en-GB"/>
        </w:rPr>
        <w:t xml:space="preserve">Extended </w:t>
      </w:r>
      <w:r w:rsidRPr="451B7F4F">
        <w:rPr>
          <w:b/>
          <w:bCs/>
          <w:lang w:val="en-GB"/>
        </w:rPr>
        <w:t xml:space="preserve">Figure </w:t>
      </w:r>
      <w:r w:rsidR="00D35A58">
        <w:rPr>
          <w:b/>
          <w:bCs/>
          <w:lang w:val="en-GB"/>
        </w:rPr>
        <w:t>2b</w:t>
      </w:r>
      <w:r w:rsidRPr="451B7F4F">
        <w:rPr>
          <w:b/>
          <w:bCs/>
          <w:lang w:val="en-GB"/>
        </w:rPr>
        <w:t>)</w:t>
      </w:r>
      <w:r w:rsidRPr="451B7F4F">
        <w:rPr>
          <w:lang w:val="en-GB"/>
        </w:rPr>
        <w:t>.  This increase in absorption intensity at elevated temperatures suggests enhanced vibrational activity of the thiophene rings within the PEDOT chains, potentially due to increased conjugation length arising from thermal effects.  Such changes may facilitate greater π-electron delocalization and contribute to the improved charge mobility or conductivity of the ionic biogel at higher temperatures.  The Amide A band—corresponding to the N–H and O–H stretching vibrations—exhibits a blue shift from 3,287</w:t>
      </w:r>
      <w:r>
        <w:rPr>
          <w:lang w:val="en-GB"/>
        </w:rPr>
        <w:t xml:space="preserve"> </w:t>
      </w:r>
      <w:r w:rsidRPr="451B7F4F">
        <w:rPr>
          <w:lang w:val="en-GB"/>
        </w:rPr>
        <w:t>cm⁻¹ at 25°C to 3,317</w:t>
      </w:r>
      <w:r>
        <w:rPr>
          <w:lang w:val="en-GB"/>
        </w:rPr>
        <w:t xml:space="preserve"> </w:t>
      </w:r>
      <w:r w:rsidRPr="451B7F4F">
        <w:rPr>
          <w:lang w:val="en-GB"/>
        </w:rPr>
        <w:t>cm⁻¹ at 45°C, along with notable peak broadening.  This shift to higher wavenumbers indicates a decrease in hydrogen bonding interactions within the gelatin-glycerol-salt hydrogel matrix as temperature increases.  The disruption of hydrogen bonds by thermal agitation strengthens the N–H bonds, causing them to absorb at higher frequencies (blue shift).  The observed peak broadening suggests increased molecular disorder and a wider distribution of hydrogen-bonding environments resulting from the enhanced thermal motion of gelatin chains</w:t>
      </w:r>
      <w:r>
        <w:rPr>
          <w:lang w:val="en-GB"/>
        </w:rPr>
        <w:fldChar w:fldCharType="begin"/>
      </w:r>
      <w:r w:rsidR="00F46DCD">
        <w:rPr>
          <w:lang w:val="en-GB"/>
        </w:rPr>
        <w:instrText xml:space="preserve"> ADDIN ZOTERO_ITEM CSL_CITATION {"citationID":"4qsM5qw5","properties":{"formattedCitation":"\\super 3\\nosupersub{}","plainCitation":"3","noteIndex":0},"citationItems":[{"id":1281,"uris":["http://zotero.org/users/12063952/items/SKMQ2AL6"],"itemData":{"id":1281,"type":"article-journal","abstract":"Abstract\n            Natural material‐based hydrogels are considered ideal candidates for constructing robust bio‐interfaces due to their environmentally sustainable nature and biocompatibility. However, these hydrogels often encounter limitations such as weak mechanical strength, low water resistance, and poor ionic conductivity. Here, inspired by the role of natural moisturizing factor (NMF) in skin, a straightforward yet versatile strategy is proposed for fabricating all‐natural ionic biogels that exhibit high resilience, ionic conductivity, resistance to dehydration, and complete degradability, without necessitating any chemical modification. A well‐balanced combination of gelatin and sodium pyrrolidone carboxylic acid (an NMF compound) gives rise to a significant enhancement in the mechanical strength, ionic conductivity, and water retention capacity of the biogel compared to pure gelatin hydrogel. The biogel manifests temperature‐controlled reversible fluid‐gel transition properties attributed to the triple‐helix junctions of gelatin, which enables in situ gelation on diverse substrates, thereby ensuring conformal contact and dynamic compliance with curved surfaces. Due to its salutary properties, the biogel can serve as an effective and biocompatible interface for high‐quality and long‐term electrophysiological signal recording. These findings provide a general and scalable approach for designing natural material‐based hydrogels with tailored functionalities to meet diverse application needs.","container-title":"Advanced Materials","DOI":"10.1002/adma.202401151","ISSN":"0935-9648, 1521-4095","issue":"25","journalAbbreviation":"Advanced Materials","language":"en","page":"2401151","source":"DOI.org (Crossref)","title":"Skin‐Inspired All‐Natural Biogel for Bioadhesive Interface","volume":"36","author":[{"family":"Lan","given":"Lingyi"},{"family":"Ping","given":"Jianfeng"},{"family":"Li","given":"Huiyan"},{"family":"Wang","given":"Chengjun"},{"family":"Li","given":"Guang"},{"family":"Song","given":"Jizhou"},{"family":"Ying","given":"Yibin"}],"issued":{"date-parts":[["2024",6]]}}}],"schema":"https://github.com/citation-style-language/schema/raw/master/csl-citation.json"} </w:instrText>
      </w:r>
      <w:r>
        <w:rPr>
          <w:lang w:val="en-GB"/>
        </w:rPr>
        <w:fldChar w:fldCharType="separate"/>
      </w:r>
      <w:r w:rsidR="00F46DCD" w:rsidRPr="00F46DCD">
        <w:rPr>
          <w:vertAlign w:val="superscript"/>
        </w:rPr>
        <w:t>3</w:t>
      </w:r>
      <w:r>
        <w:rPr>
          <w:lang w:val="en-GB"/>
        </w:rPr>
        <w:fldChar w:fldCharType="end"/>
      </w:r>
      <w:r w:rsidRPr="451B7F4F">
        <w:rPr>
          <w:lang w:val="en-GB"/>
        </w:rPr>
        <w:t xml:space="preserve">.  </w:t>
      </w:r>
    </w:p>
    <w:p w14:paraId="3A8B8DB3" w14:textId="77777777" w:rsidR="007F374F" w:rsidRDefault="007F374F" w:rsidP="00ED3984">
      <w:pPr>
        <w:spacing w:line="480" w:lineRule="auto"/>
        <w:jc w:val="both"/>
        <w:rPr>
          <w:i/>
          <w:iCs/>
          <w:lang w:val="en-GB"/>
        </w:rPr>
      </w:pPr>
    </w:p>
    <w:p w14:paraId="56B5A44E" w14:textId="20AD4392" w:rsidR="00ED3984" w:rsidRPr="007F374F" w:rsidRDefault="007F374F" w:rsidP="00ED3984">
      <w:pPr>
        <w:spacing w:line="480" w:lineRule="auto"/>
        <w:jc w:val="both"/>
        <w:rPr>
          <w:i/>
          <w:iCs/>
          <w:lang w:val="en-GB"/>
        </w:rPr>
      </w:pPr>
      <w:r>
        <w:rPr>
          <w:i/>
          <w:iCs/>
          <w:lang w:val="en-GB"/>
        </w:rPr>
        <w:t>A</w:t>
      </w:r>
      <w:r w:rsidRPr="007F374F">
        <w:rPr>
          <w:i/>
          <w:iCs/>
          <w:lang w:val="en-GB"/>
        </w:rPr>
        <w:t xml:space="preserve">tomic </w:t>
      </w:r>
      <w:r>
        <w:rPr>
          <w:i/>
          <w:iCs/>
          <w:lang w:val="en-GB"/>
        </w:rPr>
        <w:t>F</w:t>
      </w:r>
      <w:r w:rsidRPr="007F374F">
        <w:rPr>
          <w:i/>
          <w:iCs/>
          <w:lang w:val="en-GB"/>
        </w:rPr>
        <w:t xml:space="preserve">orce </w:t>
      </w:r>
      <w:r>
        <w:rPr>
          <w:i/>
          <w:iCs/>
          <w:lang w:val="en-GB"/>
        </w:rPr>
        <w:t>M</w:t>
      </w:r>
      <w:r w:rsidRPr="007F374F">
        <w:rPr>
          <w:i/>
          <w:iCs/>
          <w:lang w:val="en-GB"/>
        </w:rPr>
        <w:t>icroscopy</w:t>
      </w:r>
    </w:p>
    <w:p w14:paraId="18D135F3" w14:textId="77777777" w:rsidR="00516470" w:rsidRDefault="00ED3984" w:rsidP="00ED3984">
      <w:pPr>
        <w:spacing w:line="480" w:lineRule="auto"/>
        <w:jc w:val="both"/>
        <w:rPr>
          <w:lang w:val="en-GB"/>
        </w:rPr>
      </w:pPr>
      <w:r w:rsidRPr="451B7F4F">
        <w:rPr>
          <w:lang w:val="en-GB"/>
        </w:rPr>
        <w:t xml:space="preserve">The atomic force microscopy (AFM) images reveal a hierarchical porous architecture to feature interconnected pores ranging from nanometers to micrometers in size </w:t>
      </w:r>
      <w:r w:rsidRPr="451B7F4F">
        <w:rPr>
          <w:b/>
          <w:bCs/>
          <w:lang w:val="en-GB"/>
        </w:rPr>
        <w:t>(</w:t>
      </w:r>
      <w:r w:rsidR="00180890">
        <w:rPr>
          <w:b/>
          <w:bCs/>
          <w:lang w:val="en-GB"/>
        </w:rPr>
        <w:t xml:space="preserve">Extended </w:t>
      </w:r>
      <w:r w:rsidRPr="451B7F4F">
        <w:rPr>
          <w:b/>
          <w:bCs/>
          <w:lang w:val="en-GB"/>
        </w:rPr>
        <w:t xml:space="preserve">Figure </w:t>
      </w:r>
      <w:r w:rsidR="00180890">
        <w:rPr>
          <w:b/>
          <w:bCs/>
          <w:lang w:val="en-GB"/>
        </w:rPr>
        <w:t>2c</w:t>
      </w:r>
      <w:r w:rsidRPr="451B7F4F">
        <w:rPr>
          <w:b/>
          <w:bCs/>
          <w:lang w:val="en-GB"/>
        </w:rPr>
        <w:t>)</w:t>
      </w:r>
      <w:r w:rsidRPr="451B7F4F">
        <w:rPr>
          <w:lang w:val="en-GB"/>
        </w:rPr>
        <w:t xml:space="preserve">.  This </w:t>
      </w:r>
      <w:r w:rsidRPr="451B7F4F">
        <w:rPr>
          <w:lang w:val="en-GB"/>
        </w:rPr>
        <w:lastRenderedPageBreak/>
        <w:t>hierarchical porosity arises from the thermodynamically driven phase separation between the hydrophilic gelatin-glycerol network and the more hydrophobic PEDOT:PSS/EMIM-TFSI domains during the gelation process</w:t>
      </w:r>
      <w:r w:rsidR="00180890">
        <w:rPr>
          <w:lang w:val="en-GB"/>
        </w:rPr>
        <w:t xml:space="preserve"> </w:t>
      </w:r>
      <w:r w:rsidR="00180890" w:rsidRPr="00180890">
        <w:rPr>
          <w:b/>
          <w:bCs/>
          <w:lang w:val="en-GB"/>
        </w:rPr>
        <w:t>(Figure S</w:t>
      </w:r>
      <w:r w:rsidR="001A030D">
        <w:rPr>
          <w:b/>
          <w:bCs/>
          <w:lang w:val="en-GB"/>
        </w:rPr>
        <w:t>4</w:t>
      </w:r>
      <w:r w:rsidR="00180890" w:rsidRPr="00180890">
        <w:rPr>
          <w:b/>
          <w:bCs/>
          <w:lang w:val="en-GB"/>
        </w:rPr>
        <w:t>)</w:t>
      </w:r>
      <w:r w:rsidRPr="451B7F4F">
        <w:rPr>
          <w:lang w:val="en-GB"/>
        </w:rPr>
        <w:t xml:space="preserve">.  </w:t>
      </w:r>
    </w:p>
    <w:p w14:paraId="410C2B49" w14:textId="77777777" w:rsidR="00516470" w:rsidRDefault="00516470" w:rsidP="00ED3984">
      <w:pPr>
        <w:spacing w:line="480" w:lineRule="auto"/>
        <w:jc w:val="both"/>
        <w:rPr>
          <w:lang w:val="en-GB"/>
        </w:rPr>
      </w:pPr>
    </w:p>
    <w:p w14:paraId="32E19023" w14:textId="126354B3" w:rsidR="00516470" w:rsidRPr="00516470" w:rsidRDefault="00516470" w:rsidP="00ED3984">
      <w:pPr>
        <w:spacing w:line="480" w:lineRule="auto"/>
        <w:jc w:val="both"/>
        <w:rPr>
          <w:i/>
          <w:iCs/>
          <w:lang w:val="en-GB"/>
        </w:rPr>
      </w:pPr>
      <w:r w:rsidRPr="00516470">
        <w:rPr>
          <w:i/>
          <w:iCs/>
          <w:lang w:val="en-GB"/>
        </w:rPr>
        <w:t>UV–Vis</w:t>
      </w:r>
    </w:p>
    <w:p w14:paraId="289353D7" w14:textId="716D04A2" w:rsidR="007F374F" w:rsidRDefault="00ED3984" w:rsidP="00ED3984">
      <w:pPr>
        <w:spacing w:line="480" w:lineRule="auto"/>
        <w:jc w:val="both"/>
        <w:rPr>
          <w:lang w:val="en-GB"/>
        </w:rPr>
      </w:pPr>
      <w:r w:rsidRPr="451B7F4F">
        <w:rPr>
          <w:lang w:val="en-GB"/>
        </w:rPr>
        <w:t xml:space="preserve">The UV–Vis–NIR spectra exhibit a significant redshift, with the characteristic absorption peak of PEDOT appearing around 978 nm instead of the typical ~800 nm observed in pristine PEDOT films </w:t>
      </w:r>
      <w:r w:rsidRPr="451B7F4F">
        <w:rPr>
          <w:b/>
          <w:bCs/>
          <w:lang w:val="en-GB"/>
        </w:rPr>
        <w:t>(Figure S</w:t>
      </w:r>
      <w:r w:rsidR="001A030D">
        <w:rPr>
          <w:b/>
          <w:bCs/>
          <w:lang w:val="en-GB"/>
        </w:rPr>
        <w:t>5</w:t>
      </w:r>
      <w:r w:rsidRPr="451B7F4F">
        <w:rPr>
          <w:b/>
          <w:bCs/>
          <w:lang w:val="en-GB"/>
        </w:rPr>
        <w:t>)</w:t>
      </w:r>
      <w:r w:rsidRPr="451B7F4F">
        <w:rPr>
          <w:lang w:val="en-GB"/>
        </w:rPr>
        <w:t>.  This pronounced shift to longer wavelengths indicates an increase in the effective conjugation length and enhanced delocalization of π-electrons along the PEDOT backbone within the ionic biogel matrix</w:t>
      </w:r>
      <w:r>
        <w:rPr>
          <w:lang w:val="en-GB"/>
        </w:rPr>
        <w:fldChar w:fldCharType="begin"/>
      </w:r>
      <w:r w:rsidR="00785CB3">
        <w:rPr>
          <w:lang w:val="en-GB"/>
        </w:rPr>
        <w:instrText xml:space="preserve"> ADDIN ZOTERO_ITEM CSL_CITATION {"citationID":"HOCDVyFP","properties":{"formattedCitation":"\\super 1\\nosupersub{}","plainCitation":"1","noteIndex":0},"citationItems":[{"id":1175,"uris":["http://zotero.org/users/12063952/items/IRML3VZ9"],"itemData":{"id":1175,"type":"article-journal","abstract":"A polymer is described that is conductive and stretchable, which can lead to electronics that can conform to the human body.\n          , \n            Previous breakthroughs in stretchable electronics stem from strain engineering and nanocomposite approaches. Routes toward intrinsically stretchable molecular materials remain scarce but, if successful, will enable simpler fabrication processes, such as direct printing and coating, mechanically robust devices, and more intimate contact with objects. We report a highly stretchable conducting polymer, realized with a range of enhancers that serve a dual function: (i) they change morphology and (ii) they act as conductivity-enhancing dopants in poly(3,4-ethylenedioxythiophene):poly(styrenesulfonate) (PEDOT:PSS). The polymer films exhibit conductivities comparable to the best reported values for PEDOT:PSS, with over 3100 S/cm under 0% strain and over 4100 S/cm under 100% strain—among the highest for reported stretchable conductors. It is highly durable under cyclic loading, with the conductivity maintained at 3600 S/cm even after 1000 cycles to 100% strain. The conductivity remained above 100 S/cm under 600% strain, with a fracture strain of 800%, which is superior to even the best silver nanowire– or carbon nanotube–based stretchable conductor films. The combination of excellent electrical and mechanical properties allowed it to serve as interconnects for field-effect transistor arrays with a device density that is five times higher than typical lithographically patterned wavy interconnects.","container-title":"Science Advances","DOI":"10.1126/sciadv.1602076","ISSN":"2375-2548","issue":"3","journalAbbreviation":"Sci. Adv.","language":"en","page":"e1602076","source":"DOI.org (Crossref)","title":"A highly stretchable, transparent, and conductive polymer","volume":"3","author":[{"family":"Wang","given":"Yue"},{"family":"Zhu","given":"Chenxin"},{"family":"Pfattner","given":"Raphael"},{"family":"Yan","given":"Hongping"},{"family":"Jin","given":"Lihua"},{"family":"Chen","given":"Shucheng"},{"family":"Molina-Lopez","given":"Francisco"},{"family":"Lissel","given":"Franziska"},{"family":"Liu","given":"Jia"},{"family":"Rabiah","given":"Noelle I."},{"family":"Chen","given":"Zheng"},{"family":"Chung","given":"Jong Won"},{"family":"Linder","given":"Christian"},{"family":"Toney","given":"Michael F."},{"family":"Murmann","given":"Boris"},{"family":"Bao","given":"Zhenan"}],"issued":{"date-parts":[["2017",3,3]]}}}],"schema":"https://github.com/citation-style-language/schema/raw/master/csl-citation.json"} </w:instrText>
      </w:r>
      <w:r>
        <w:rPr>
          <w:lang w:val="en-GB"/>
        </w:rPr>
        <w:fldChar w:fldCharType="separate"/>
      </w:r>
      <w:r w:rsidR="00785CB3" w:rsidRPr="00785CB3">
        <w:rPr>
          <w:vertAlign w:val="superscript"/>
        </w:rPr>
        <w:t>1</w:t>
      </w:r>
      <w:r>
        <w:rPr>
          <w:lang w:val="en-GB"/>
        </w:rPr>
        <w:fldChar w:fldCharType="end"/>
      </w:r>
      <w:r w:rsidRPr="451B7F4F">
        <w:rPr>
          <w:lang w:val="en-GB"/>
        </w:rPr>
        <w:t xml:space="preserve">.  </w:t>
      </w:r>
    </w:p>
    <w:p w14:paraId="381D8CAE" w14:textId="77777777" w:rsidR="007F374F" w:rsidRDefault="007F374F" w:rsidP="00ED3984">
      <w:pPr>
        <w:spacing w:line="480" w:lineRule="auto"/>
        <w:jc w:val="both"/>
        <w:rPr>
          <w:lang w:val="en-GB"/>
        </w:rPr>
      </w:pPr>
    </w:p>
    <w:p w14:paraId="075E3964" w14:textId="7B8C0DD3" w:rsidR="007F374F" w:rsidRPr="007F374F" w:rsidRDefault="007F374F" w:rsidP="00ED3984">
      <w:pPr>
        <w:spacing w:line="480" w:lineRule="auto"/>
        <w:jc w:val="both"/>
        <w:rPr>
          <w:i/>
          <w:iCs/>
          <w:lang w:val="en-GB"/>
        </w:rPr>
      </w:pPr>
      <w:r>
        <w:rPr>
          <w:i/>
          <w:iCs/>
          <w:lang w:val="en-GB"/>
        </w:rPr>
        <w:t>G</w:t>
      </w:r>
      <w:r w:rsidRPr="007F374F">
        <w:rPr>
          <w:i/>
          <w:iCs/>
          <w:lang w:val="en-GB"/>
        </w:rPr>
        <w:t>razing-</w:t>
      </w:r>
      <w:r>
        <w:rPr>
          <w:i/>
          <w:iCs/>
          <w:lang w:val="en-GB"/>
        </w:rPr>
        <w:t>I</w:t>
      </w:r>
      <w:r w:rsidRPr="007F374F">
        <w:rPr>
          <w:i/>
          <w:iCs/>
          <w:lang w:val="en-GB"/>
        </w:rPr>
        <w:t xml:space="preserve">ncidence </w:t>
      </w:r>
      <w:r>
        <w:rPr>
          <w:i/>
          <w:iCs/>
          <w:lang w:val="en-GB"/>
        </w:rPr>
        <w:t>W</w:t>
      </w:r>
      <w:r w:rsidRPr="007F374F">
        <w:rPr>
          <w:i/>
          <w:iCs/>
          <w:lang w:val="en-GB"/>
        </w:rPr>
        <w:t>ide-</w:t>
      </w:r>
      <w:r>
        <w:rPr>
          <w:i/>
          <w:iCs/>
          <w:lang w:val="en-GB"/>
        </w:rPr>
        <w:t>A</w:t>
      </w:r>
      <w:r w:rsidRPr="007F374F">
        <w:rPr>
          <w:i/>
          <w:iCs/>
          <w:lang w:val="en-GB"/>
        </w:rPr>
        <w:t xml:space="preserve">ngle X-ray </w:t>
      </w:r>
      <w:r>
        <w:rPr>
          <w:i/>
          <w:iCs/>
          <w:lang w:val="en-GB"/>
        </w:rPr>
        <w:t>S</w:t>
      </w:r>
      <w:r w:rsidRPr="007F374F">
        <w:rPr>
          <w:i/>
          <w:iCs/>
          <w:lang w:val="en-GB"/>
        </w:rPr>
        <w:t>cattering</w:t>
      </w:r>
    </w:p>
    <w:p w14:paraId="116D33D6" w14:textId="7DCF50A4" w:rsidR="00ED3984" w:rsidRPr="00D712CE" w:rsidRDefault="00ED3984" w:rsidP="00ED3984">
      <w:pPr>
        <w:spacing w:line="480" w:lineRule="auto"/>
        <w:jc w:val="both"/>
        <w:rPr>
          <w:lang w:val="en-GB"/>
        </w:rPr>
      </w:pPr>
      <w:r w:rsidRPr="451B7F4F">
        <w:rPr>
          <w:lang w:val="en-GB"/>
        </w:rPr>
        <w:t xml:space="preserve">The grazing-incidence wide-angle X-ray scattering (GIWAXS) patterns reveal notable temperature-dependent changes in the crystalline ordering of the PEDOT:PSS domains within the biogel matrix </w:t>
      </w:r>
      <w:r w:rsidRPr="451B7F4F">
        <w:rPr>
          <w:b/>
          <w:bCs/>
          <w:lang w:val="en-GB"/>
        </w:rPr>
        <w:t>(</w:t>
      </w:r>
      <w:r w:rsidR="00FD1928">
        <w:rPr>
          <w:b/>
          <w:bCs/>
          <w:lang w:val="en-GB"/>
        </w:rPr>
        <w:t xml:space="preserve">Extended </w:t>
      </w:r>
      <w:r w:rsidRPr="451B7F4F">
        <w:rPr>
          <w:b/>
          <w:bCs/>
          <w:lang w:val="en-GB"/>
        </w:rPr>
        <w:t xml:space="preserve">Figure </w:t>
      </w:r>
      <w:r w:rsidR="00E3085A">
        <w:rPr>
          <w:b/>
          <w:bCs/>
          <w:lang w:val="en-GB"/>
        </w:rPr>
        <w:t>2d,e</w:t>
      </w:r>
      <w:r w:rsidRPr="451B7F4F">
        <w:rPr>
          <w:b/>
          <w:bCs/>
          <w:lang w:val="en-GB"/>
        </w:rPr>
        <w:t>)</w:t>
      </w:r>
      <w:r w:rsidRPr="451B7F4F">
        <w:rPr>
          <w:lang w:val="en-GB"/>
        </w:rPr>
        <w:t>.  Specifically, the (200) d-spacing, corresponding to the scattering vector q</w:t>
      </w:r>
      <w:r w:rsidRPr="451B7F4F">
        <w:rPr>
          <w:vertAlign w:val="subscript"/>
          <w:lang w:val="en-GB"/>
        </w:rPr>
        <w:t>z</w:t>
      </w:r>
      <w:r w:rsidRPr="451B7F4F">
        <w:rPr>
          <w:lang w:val="en-GB"/>
        </w:rPr>
        <w:t xml:space="preserve"> ~0.4</w:t>
      </w:r>
      <w:r>
        <w:rPr>
          <w:lang w:val="en-GB"/>
        </w:rPr>
        <w:t xml:space="preserve"> </w:t>
      </w:r>
      <w:r w:rsidRPr="451B7F4F">
        <w:rPr>
          <w:lang w:val="en-GB"/>
        </w:rPr>
        <w:t xml:space="preserve">Å⁻¹, exhibits an increase from </w:t>
      </w:r>
      <w:r>
        <w:rPr>
          <w:lang w:val="en-GB"/>
        </w:rPr>
        <w:t>0.011 (a.u.)</w:t>
      </w:r>
      <w:r w:rsidRPr="451B7F4F">
        <w:rPr>
          <w:lang w:val="en-GB"/>
        </w:rPr>
        <w:t xml:space="preserve"> to </w:t>
      </w:r>
      <w:r>
        <w:rPr>
          <w:lang w:val="en-GB"/>
        </w:rPr>
        <w:t>0.014 (a.u.)</w:t>
      </w:r>
      <w:r w:rsidRPr="451B7F4F">
        <w:rPr>
          <w:lang w:val="en-GB"/>
        </w:rPr>
        <w:t xml:space="preserve"> as the temperature is elevated from 25°C to 40°C </w:t>
      </w:r>
      <w:r w:rsidRPr="451B7F4F">
        <w:rPr>
          <w:b/>
          <w:bCs/>
          <w:lang w:val="en-GB"/>
        </w:rPr>
        <w:t xml:space="preserve">(Figure </w:t>
      </w:r>
      <w:r w:rsidR="003625A9">
        <w:rPr>
          <w:b/>
          <w:bCs/>
          <w:lang w:val="en-GB"/>
        </w:rPr>
        <w:t>S</w:t>
      </w:r>
      <w:r w:rsidR="001A030D">
        <w:rPr>
          <w:b/>
          <w:bCs/>
          <w:lang w:val="en-GB"/>
        </w:rPr>
        <w:t>6</w:t>
      </w:r>
      <w:r w:rsidRPr="451B7F4F">
        <w:rPr>
          <w:b/>
          <w:bCs/>
          <w:lang w:val="en-GB"/>
        </w:rPr>
        <w:t>)</w:t>
      </w:r>
      <w:r w:rsidRPr="451B7F4F">
        <w:rPr>
          <w:lang w:val="en-GB"/>
        </w:rPr>
        <w:t xml:space="preserve">.  This observation suggests an expansion of the lattice spacing within the PEDOT:PSS crystallites, potentially due to reduced intercalation of gelatin and glycerol molecules, </w:t>
      </w:r>
      <w:r>
        <w:rPr>
          <w:lang w:val="en-GB"/>
        </w:rPr>
        <w:t>when the temperature nears</w:t>
      </w:r>
      <w:r w:rsidRPr="451B7F4F">
        <w:rPr>
          <w:lang w:val="en-GB"/>
        </w:rPr>
        <w:t xml:space="preserve"> transition.  The decrease in d-spacing at 50°C can be attributed to the collapse or aggregation of PEDOT:PSS domains as the gelatin-glycerol matrix transitions into a sol state, reducing the steric hindrance and allowing the polymer chains to pack more closely. </w:t>
      </w:r>
      <w:r>
        <w:rPr>
          <w:lang w:val="en-GB"/>
        </w:rPr>
        <w:t xml:space="preserve"> </w:t>
      </w:r>
      <w:r w:rsidRPr="00D712CE">
        <w:rPr>
          <w:lang w:val="en-GB"/>
        </w:rPr>
        <w:t>The peak at q</w:t>
      </w:r>
      <w:r w:rsidRPr="00D712CE">
        <w:rPr>
          <w:vertAlign w:val="subscript"/>
          <w:lang w:val="en-GB"/>
        </w:rPr>
        <w:t>z</w:t>
      </w:r>
      <w:r w:rsidRPr="00D712CE">
        <w:rPr>
          <w:lang w:val="en-GB"/>
        </w:rPr>
        <w:t>≈0.87 Å⁻¹</w:t>
      </w:r>
      <w:r>
        <w:rPr>
          <w:lang w:val="en-GB"/>
        </w:rPr>
        <w:t xml:space="preserve"> in </w:t>
      </w:r>
      <w:r w:rsidRPr="00D712CE">
        <w:rPr>
          <w:lang w:val="en-GB"/>
        </w:rPr>
        <w:t>GIWAXS patterns</w:t>
      </w:r>
      <w:r>
        <w:rPr>
          <w:lang w:val="en-GB"/>
        </w:rPr>
        <w:t>,</w:t>
      </w:r>
      <w:r w:rsidRPr="00D712CE">
        <w:rPr>
          <w:lang w:val="en-GB"/>
        </w:rPr>
        <w:t xml:space="preserve"> previously assigned to the stacking of PEDOT chains along the π–π direction</w:t>
      </w:r>
      <w:r>
        <w:rPr>
          <w:lang w:val="en-GB"/>
        </w:rPr>
        <w:t>,</w:t>
      </w:r>
      <w:r w:rsidRPr="00D712CE">
        <w:rPr>
          <w:lang w:val="en-GB"/>
        </w:rPr>
        <w:t xml:space="preserve"> remain</w:t>
      </w:r>
      <w:r>
        <w:rPr>
          <w:lang w:val="en-GB"/>
        </w:rPr>
        <w:t>s</w:t>
      </w:r>
      <w:r w:rsidRPr="00D712CE">
        <w:rPr>
          <w:lang w:val="en-GB"/>
        </w:rPr>
        <w:t xml:space="preserve"> consistent in intensity </w:t>
      </w:r>
      <w:r w:rsidRPr="00D712CE">
        <w:rPr>
          <w:lang w:val="en-GB"/>
        </w:rPr>
        <w:lastRenderedPageBreak/>
        <w:t xml:space="preserve">and position at 25°C and 40°C, indicating stable π–π stacking interactions within the PEDOT domains across this temperature range.  The </w:t>
      </w:r>
      <w:r>
        <w:rPr>
          <w:lang w:val="en-GB"/>
        </w:rPr>
        <w:t xml:space="preserve">unchanged </w:t>
      </w:r>
      <w:r w:rsidRPr="00D712CE">
        <w:rPr>
          <w:lang w:val="en-GB"/>
        </w:rPr>
        <w:t xml:space="preserve">ordering suggests that the planarization and increased conjugation of the PEDOT chains at elevated temperatures up to 40°C do not disrupt the overall stacking arrangement but may enhance charge transport by improving orbital overlap.  At 50°C, the reduction implies a loss of π–π stacking order within the PEDOT domains, likely due to thermal agitation </w:t>
      </w:r>
      <w:r>
        <w:rPr>
          <w:lang w:val="en-GB"/>
        </w:rPr>
        <w:t>that overcomes</w:t>
      </w:r>
      <w:r w:rsidRPr="00D712CE">
        <w:rPr>
          <w:lang w:val="en-GB"/>
        </w:rPr>
        <w:t xml:space="preserve"> the weak van der Waals forces responsible for π–π interactions.</w:t>
      </w:r>
    </w:p>
    <w:p w14:paraId="256A47A6" w14:textId="77777777" w:rsidR="00ED3984" w:rsidRPr="00D712CE" w:rsidRDefault="00ED3984" w:rsidP="00ED3984">
      <w:pPr>
        <w:spacing w:line="480" w:lineRule="auto"/>
        <w:jc w:val="both"/>
        <w:rPr>
          <w:lang w:val="en-GB"/>
        </w:rPr>
      </w:pPr>
    </w:p>
    <w:p w14:paraId="31C850EE" w14:textId="3AB9C67F" w:rsidR="007F374F" w:rsidRPr="007F374F" w:rsidRDefault="007F374F" w:rsidP="00ED3984">
      <w:pPr>
        <w:spacing w:line="480" w:lineRule="auto"/>
        <w:jc w:val="both"/>
        <w:rPr>
          <w:i/>
          <w:iCs/>
          <w:lang w:val="en-GB"/>
        </w:rPr>
      </w:pPr>
      <w:r w:rsidRPr="007F374F">
        <w:rPr>
          <w:i/>
          <w:iCs/>
          <w:lang w:val="en-GB"/>
        </w:rPr>
        <w:t>Biocompatibility</w:t>
      </w:r>
    </w:p>
    <w:p w14:paraId="1BD2D40F" w14:textId="10F3F285" w:rsidR="00ED3984" w:rsidRPr="00ED3984" w:rsidRDefault="00ED3984" w:rsidP="00F172A1">
      <w:pPr>
        <w:spacing w:line="480" w:lineRule="auto"/>
        <w:jc w:val="both"/>
        <w:rPr>
          <w:lang w:val="en-GB"/>
        </w:rPr>
      </w:pPr>
      <w:r w:rsidRPr="451B7F4F">
        <w:rPr>
          <w:lang w:val="en-GB"/>
        </w:rPr>
        <w:t xml:space="preserve">Despite the known cytotoxicity of EMIM-TFSI, the inherent biocompatibility of the gelatin-glycerol matrix effectively encapsulates and screens the PEDOT:PSS/EMIM-TFSI components, ensuring that the composite can be safely integrated with the scalp or skin.  The gelatin-glycerol hydrogel acts as a biocompatible barrier, preventing direct contact between the ionic liquid and biological tissues while maintaining the composite's functional properties.  Applying the ionic biogel to the forearm skin of human subjects for one week evaluates the biocompatibility.  Throughout the application period, no signs of skin irritation, inflammation, or adverse reactions are observed </w:t>
      </w:r>
      <w:r w:rsidRPr="451B7F4F">
        <w:rPr>
          <w:b/>
          <w:bCs/>
          <w:lang w:val="en-GB"/>
        </w:rPr>
        <w:t>(Figure S</w:t>
      </w:r>
      <w:r w:rsidR="001A030D">
        <w:rPr>
          <w:b/>
          <w:bCs/>
          <w:lang w:val="en-GB"/>
        </w:rPr>
        <w:t>7</w:t>
      </w:r>
      <w:r w:rsidRPr="451B7F4F">
        <w:rPr>
          <w:b/>
          <w:bCs/>
          <w:lang w:val="en-GB"/>
        </w:rPr>
        <w:t>)</w:t>
      </w:r>
      <w:r w:rsidRPr="451B7F4F">
        <w:rPr>
          <w:lang w:val="en-GB"/>
        </w:rPr>
        <w:t>.  The biocompatibility of the ionic biogel is also confirmed with the MTT assay</w:t>
      </w:r>
      <w:r w:rsidR="003F32A0">
        <w:rPr>
          <w:lang w:val="en-GB"/>
        </w:rPr>
        <w:t xml:space="preserve"> </w:t>
      </w:r>
      <w:r w:rsidR="003F32A0" w:rsidRPr="003F32A0">
        <w:rPr>
          <w:b/>
          <w:bCs/>
          <w:lang w:val="en-GB"/>
        </w:rPr>
        <w:t>(Figure S</w:t>
      </w:r>
      <w:r w:rsidR="001A030D">
        <w:rPr>
          <w:b/>
          <w:bCs/>
          <w:lang w:val="en-GB"/>
        </w:rPr>
        <w:t>8</w:t>
      </w:r>
      <w:r w:rsidR="003F32A0" w:rsidRPr="003F32A0">
        <w:rPr>
          <w:b/>
          <w:bCs/>
          <w:lang w:val="en-GB"/>
        </w:rPr>
        <w:t>)</w:t>
      </w:r>
      <w:r w:rsidRPr="451B7F4F">
        <w:rPr>
          <w:lang w:val="en-GB"/>
        </w:rPr>
        <w:t xml:space="preserve">.  The cell viability of 89% and 110% in 24 h and 48 h is comparable to that of 100% and 127% from the control, supporting the proliferative effects of hydrogels on MCF-10A cells </w:t>
      </w:r>
      <w:r w:rsidRPr="451B7F4F">
        <w:rPr>
          <w:b/>
          <w:bCs/>
          <w:lang w:val="en-GB"/>
        </w:rPr>
        <w:t>(</w:t>
      </w:r>
      <w:r w:rsidR="00E3085A">
        <w:rPr>
          <w:b/>
          <w:bCs/>
          <w:lang w:val="en-GB"/>
        </w:rPr>
        <w:t xml:space="preserve">Extended </w:t>
      </w:r>
      <w:r w:rsidRPr="451B7F4F">
        <w:rPr>
          <w:b/>
          <w:bCs/>
          <w:lang w:val="en-GB"/>
        </w:rPr>
        <w:t xml:space="preserve">Figure </w:t>
      </w:r>
      <w:r w:rsidR="00E3085A">
        <w:rPr>
          <w:b/>
          <w:bCs/>
          <w:lang w:val="en-GB"/>
        </w:rPr>
        <w:t>2</w:t>
      </w:r>
      <w:r w:rsidR="003F32A0">
        <w:rPr>
          <w:b/>
          <w:bCs/>
          <w:lang w:val="en-GB"/>
        </w:rPr>
        <w:t>f</w:t>
      </w:r>
      <w:r w:rsidRPr="451B7F4F">
        <w:rPr>
          <w:b/>
          <w:bCs/>
          <w:lang w:val="en-GB"/>
        </w:rPr>
        <w:t>)</w:t>
      </w:r>
      <w:r w:rsidRPr="451B7F4F">
        <w:rPr>
          <w:lang w:val="en-GB"/>
        </w:rPr>
        <w:t xml:space="preserve">.  The demonstrated biocompatibility is critical to prevent adverse immune responses and ensure the longevity of the device.  </w:t>
      </w:r>
    </w:p>
    <w:p w14:paraId="17E666D8" w14:textId="40F7AF0C" w:rsidR="006E1931" w:rsidRDefault="006E1931" w:rsidP="00A441B4">
      <w:pPr>
        <w:pStyle w:val="NormalWeb"/>
        <w:spacing w:line="480" w:lineRule="auto"/>
        <w:jc w:val="both"/>
      </w:pPr>
      <w:r>
        <w:br w:type="page"/>
      </w:r>
    </w:p>
    <w:p w14:paraId="7A805E45" w14:textId="6DC44B27" w:rsidR="00676F5B" w:rsidRDefault="006E1931" w:rsidP="00E82A14">
      <w:pPr>
        <w:pStyle w:val="NormalWeb"/>
        <w:spacing w:line="480" w:lineRule="auto"/>
        <w:jc w:val="both"/>
        <w:rPr>
          <w:b/>
          <w:bCs/>
          <w:u w:val="single"/>
        </w:rPr>
      </w:pPr>
      <w:r w:rsidRPr="00A441B4">
        <w:rPr>
          <w:b/>
          <w:u w:val="single"/>
        </w:rPr>
        <w:lastRenderedPageBreak/>
        <w:t xml:space="preserve">Supplementary Note </w:t>
      </w:r>
      <w:r w:rsidR="008C1AD4">
        <w:rPr>
          <w:b/>
          <w:bCs/>
          <w:u w:val="single"/>
        </w:rPr>
        <w:t>6</w:t>
      </w:r>
    </w:p>
    <w:p w14:paraId="608C831D" w14:textId="774CB067" w:rsidR="00676F5B" w:rsidRPr="00676F5B" w:rsidRDefault="00676F5B" w:rsidP="00E82A14">
      <w:pPr>
        <w:pStyle w:val="NormalWeb"/>
        <w:spacing w:line="480" w:lineRule="auto"/>
        <w:jc w:val="both"/>
        <w:rPr>
          <w:b/>
          <w:bCs/>
        </w:rPr>
      </w:pPr>
      <w:r w:rsidRPr="00676F5B">
        <w:rPr>
          <w:b/>
          <w:bCs/>
        </w:rPr>
        <w:t>Rheological Characterization of Ionic Biogel</w:t>
      </w:r>
    </w:p>
    <w:p w14:paraId="52384601" w14:textId="09C80D77" w:rsidR="002F4C93" w:rsidRDefault="00D61B97" w:rsidP="00676F5B">
      <w:pPr>
        <w:spacing w:after="160" w:line="480" w:lineRule="auto"/>
        <w:jc w:val="both"/>
        <w:rPr>
          <w:lang w:val="en-GB"/>
        </w:rPr>
      </w:pPr>
      <w:r w:rsidRPr="00676F5B">
        <w:t xml:space="preserve">Temperature and time are critical factors in modulating and restoring the mechanical properties of thermoresponsive viscoelastic </w:t>
      </w:r>
      <w:r w:rsidRPr="00676F5B">
        <w:rPr>
          <w:lang w:val="en-GB"/>
        </w:rPr>
        <w:t>materials.</w:t>
      </w:r>
      <w:r>
        <w:rPr>
          <w:lang w:val="en-GB"/>
        </w:rPr>
        <w:t xml:space="preserve">  </w:t>
      </w:r>
      <w:r w:rsidR="00676F5B" w:rsidRPr="00676F5B">
        <w:rPr>
          <w:color w:val="000000" w:themeColor="text1"/>
        </w:rPr>
        <w:t xml:space="preserve">The loss modulus decreases from 490 Pa at room temperature to 210 Pa at 40°C, which marks the transition temperature of the ionic biogel as the loss modulus equals the storage modulus.  In comparison, the gelatin-glycerol-salt composite biogel without PEDOT:PSS and ionic liquid exhibits a higher transition temperature of around 45°C.  The higher storage modulus of 19 kPa (and loss modulus of 2.1 kPa) at room temperature reduces but still to a relatively higher storage (and loss) modulus of 800 Pa at 45°C.  The change of loss tangent with temperature is greater and earlier for ionic biogel with 0.25 1/K at ~39°C than biogel with 0.1 1/K at ~43°C </w:t>
      </w:r>
      <w:r w:rsidR="00676F5B" w:rsidRPr="00676F5B">
        <w:rPr>
          <w:b/>
          <w:color w:val="000000" w:themeColor="text1"/>
        </w:rPr>
        <w:t>(Figure S</w:t>
      </w:r>
      <w:r w:rsidR="00966B44">
        <w:rPr>
          <w:b/>
          <w:color w:val="000000" w:themeColor="text1"/>
        </w:rPr>
        <w:t>9</w:t>
      </w:r>
      <w:r w:rsidR="00676F5B" w:rsidRPr="00676F5B">
        <w:rPr>
          <w:b/>
          <w:color w:val="000000" w:themeColor="text1"/>
        </w:rPr>
        <w:t>)</w:t>
      </w:r>
      <w:r w:rsidR="00676F5B" w:rsidRPr="00676F5B">
        <w:rPr>
          <w:color w:val="000000" w:themeColor="text1"/>
        </w:rPr>
        <w:t xml:space="preserve">.  The dynamic viscosity of 1 kPa-s at ~34°C for both the ionic biogel and normal biogel decreases rapidly to 10 Pa-s for ionic biogel and 150 Pa-s for biogel at ~45°C, respectively </w:t>
      </w:r>
      <w:r w:rsidR="00676F5B" w:rsidRPr="00676F5B">
        <w:rPr>
          <w:b/>
          <w:color w:val="000000" w:themeColor="text1"/>
        </w:rPr>
        <w:t>(</w:t>
      </w:r>
      <w:r w:rsidR="00785215">
        <w:rPr>
          <w:b/>
          <w:color w:val="000000" w:themeColor="text1"/>
        </w:rPr>
        <w:t xml:space="preserve">Extended </w:t>
      </w:r>
      <w:r w:rsidR="00676F5B" w:rsidRPr="00676F5B">
        <w:rPr>
          <w:b/>
          <w:color w:val="000000" w:themeColor="text1"/>
        </w:rPr>
        <w:t xml:space="preserve">Figure </w:t>
      </w:r>
      <w:r w:rsidR="00785215">
        <w:rPr>
          <w:b/>
          <w:color w:val="000000" w:themeColor="text1"/>
        </w:rPr>
        <w:t>3a</w:t>
      </w:r>
      <w:r w:rsidR="00676F5B" w:rsidRPr="00676F5B">
        <w:rPr>
          <w:b/>
          <w:color w:val="000000" w:themeColor="text1"/>
        </w:rPr>
        <w:t>)</w:t>
      </w:r>
      <w:r w:rsidR="00676F5B" w:rsidRPr="00676F5B">
        <w:rPr>
          <w:color w:val="000000" w:themeColor="text1"/>
        </w:rPr>
        <w:t>.    All the measurements are taken at 1 Hz and 0.05% shear strain.  The material exhibits a shear-thinning property having a solid-liquid transition (</w:t>
      </w:r>
      <m:oMath>
        <m:func>
          <m:funcPr>
            <m:ctrlPr>
              <w:rPr>
                <w:rFonts w:ascii="Cambria Math" w:hAnsi="Cambria Math"/>
                <w:i/>
                <w:color w:val="000000" w:themeColor="text1"/>
                <w:lang w:val="en-GB"/>
              </w:rPr>
            </m:ctrlPr>
          </m:funcPr>
          <m:fName>
            <m:r>
              <m:rPr>
                <m:sty m:val="p"/>
              </m:rPr>
              <w:rPr>
                <w:rFonts w:ascii="Cambria Math" w:hAnsi="Cambria Math"/>
                <w:color w:val="000000" w:themeColor="text1"/>
                <w:lang w:val="en-GB"/>
              </w:rPr>
              <m:t>tan</m:t>
            </m:r>
          </m:fName>
          <m:e>
            <m:r>
              <w:rPr>
                <w:rFonts w:ascii="Cambria Math" w:hAnsi="Cambria Math"/>
                <w:color w:val="000000" w:themeColor="text1"/>
                <w:lang w:val="en-GB"/>
              </w:rPr>
              <m:t>δ</m:t>
            </m:r>
          </m:e>
        </m:func>
        <m:r>
          <w:rPr>
            <w:rFonts w:ascii="Cambria Math" w:hAnsi="Cambria Math"/>
            <w:color w:val="000000" w:themeColor="text1"/>
            <w:lang w:val="en-GB"/>
          </w:rPr>
          <m:t>=1</m:t>
        </m:r>
      </m:oMath>
      <w:r w:rsidR="00676F5B" w:rsidRPr="00676F5B">
        <w:rPr>
          <w:color w:val="000000" w:themeColor="text1"/>
        </w:rPr>
        <w:t xml:space="preserve">) at 190% shear strain with a dynamic viscosity of 400 Pa-s, sharply decreased from 1.3 kPa-s at 10% shear strain </w:t>
      </w:r>
      <w:r w:rsidR="00676F5B" w:rsidRPr="00676F5B">
        <w:rPr>
          <w:b/>
          <w:color w:val="000000" w:themeColor="text1"/>
        </w:rPr>
        <w:t>(Figure S</w:t>
      </w:r>
      <w:r w:rsidR="00966B44">
        <w:rPr>
          <w:b/>
          <w:color w:val="000000" w:themeColor="text1"/>
        </w:rPr>
        <w:t>10</w:t>
      </w:r>
      <w:r w:rsidR="00676F5B" w:rsidRPr="00676F5B">
        <w:rPr>
          <w:b/>
          <w:color w:val="000000" w:themeColor="text1"/>
        </w:rPr>
        <w:t>)</w:t>
      </w:r>
      <w:r w:rsidR="00676F5B" w:rsidRPr="00676F5B">
        <w:rPr>
          <w:color w:val="000000" w:themeColor="text1"/>
        </w:rPr>
        <w:t xml:space="preserve">.  With the increase in frequency, the loss tangent </w:t>
      </w:r>
      <m:oMath>
        <m:func>
          <m:funcPr>
            <m:ctrlPr>
              <w:rPr>
                <w:rFonts w:ascii="Cambria Math" w:hAnsi="Cambria Math"/>
                <w:i/>
                <w:color w:val="000000" w:themeColor="text1"/>
                <w:lang w:val="en-GB"/>
              </w:rPr>
            </m:ctrlPr>
          </m:funcPr>
          <m:fName>
            <m:r>
              <m:rPr>
                <m:sty m:val="p"/>
              </m:rPr>
              <w:rPr>
                <w:rFonts w:ascii="Cambria Math" w:hAnsi="Cambria Math"/>
                <w:color w:val="000000" w:themeColor="text1"/>
                <w:lang w:val="en-GB"/>
              </w:rPr>
              <m:t>tan</m:t>
            </m:r>
          </m:fName>
          <m:e>
            <m:r>
              <w:rPr>
                <w:rFonts w:ascii="Cambria Math" w:hAnsi="Cambria Math"/>
                <w:color w:val="000000" w:themeColor="text1"/>
                <w:lang w:val="en-GB"/>
              </w:rPr>
              <m:t>(δ)</m:t>
            </m:r>
          </m:e>
        </m:func>
      </m:oMath>
      <w:r w:rsidR="00676F5B" w:rsidRPr="00676F5B">
        <w:rPr>
          <w:color w:val="000000" w:themeColor="text1"/>
        </w:rPr>
        <w:t xml:space="preserve"> increases from 0.06 at 1 Hz to 2.4 at 100 Hz, and the viscosity decreases linearly from 7.7 kPa-s at 0.1 Hz to 11 Pa-s at 100 Hz </w:t>
      </w:r>
      <w:r w:rsidR="00676F5B" w:rsidRPr="00676F5B">
        <w:rPr>
          <w:b/>
          <w:color w:val="000000" w:themeColor="text1"/>
        </w:rPr>
        <w:t>(</w:t>
      </w:r>
      <w:r w:rsidR="006C6266">
        <w:rPr>
          <w:b/>
          <w:color w:val="000000" w:themeColor="text1"/>
        </w:rPr>
        <w:t xml:space="preserve">Extended </w:t>
      </w:r>
      <w:r w:rsidR="00676F5B" w:rsidRPr="00676F5B">
        <w:rPr>
          <w:b/>
          <w:color w:val="000000" w:themeColor="text1"/>
        </w:rPr>
        <w:t xml:space="preserve">Figure </w:t>
      </w:r>
      <w:r w:rsidR="006C6266">
        <w:rPr>
          <w:b/>
          <w:color w:val="000000" w:themeColor="text1"/>
        </w:rPr>
        <w:t>3b</w:t>
      </w:r>
      <w:r w:rsidR="00676F5B" w:rsidRPr="00676F5B">
        <w:rPr>
          <w:b/>
          <w:color w:val="000000" w:themeColor="text1"/>
        </w:rPr>
        <w:t>)</w:t>
      </w:r>
      <w:r w:rsidR="00676F5B" w:rsidRPr="00676F5B">
        <w:rPr>
          <w:color w:val="000000" w:themeColor="text1"/>
        </w:rPr>
        <w:t xml:space="preserve">.  </w:t>
      </w:r>
    </w:p>
    <w:p w14:paraId="2F5481F4" w14:textId="77777777" w:rsidR="002F4C93" w:rsidRDefault="002F4C93">
      <w:pPr>
        <w:spacing w:after="160" w:line="278" w:lineRule="auto"/>
        <w:rPr>
          <w:lang w:val="en-GB"/>
        </w:rPr>
      </w:pPr>
      <w:r>
        <w:rPr>
          <w:lang w:val="en-GB"/>
        </w:rPr>
        <w:br w:type="page"/>
      </w:r>
    </w:p>
    <w:p w14:paraId="580A3EB6" w14:textId="4CDD651F" w:rsidR="002F4C93" w:rsidRDefault="002F4C93" w:rsidP="002F4C93">
      <w:pPr>
        <w:pStyle w:val="NormalWeb"/>
        <w:spacing w:line="480" w:lineRule="auto"/>
        <w:jc w:val="both"/>
        <w:rPr>
          <w:b/>
          <w:bCs/>
          <w:u w:val="single"/>
        </w:rPr>
      </w:pPr>
      <w:r w:rsidRPr="00A441B4">
        <w:rPr>
          <w:b/>
          <w:u w:val="single"/>
        </w:rPr>
        <w:lastRenderedPageBreak/>
        <w:t xml:space="preserve">Supplementary Note </w:t>
      </w:r>
      <w:r w:rsidR="008C1AD4">
        <w:rPr>
          <w:b/>
          <w:bCs/>
          <w:u w:val="single"/>
        </w:rPr>
        <w:t>7</w:t>
      </w:r>
    </w:p>
    <w:p w14:paraId="1C14BA7D" w14:textId="77777777" w:rsidR="002F4C93" w:rsidRPr="00A50156" w:rsidRDefault="002F4C93" w:rsidP="002F4C93">
      <w:pPr>
        <w:pStyle w:val="NormalWeb"/>
        <w:spacing w:line="480" w:lineRule="auto"/>
        <w:jc w:val="both"/>
        <w:rPr>
          <w:b/>
          <w:bCs/>
        </w:rPr>
      </w:pPr>
      <w:r w:rsidRPr="00A50156">
        <w:rPr>
          <w:b/>
          <w:bCs/>
        </w:rPr>
        <w:t>Computational Model</w:t>
      </w:r>
      <w:r>
        <w:rPr>
          <w:b/>
          <w:bCs/>
        </w:rPr>
        <w:t>ling</w:t>
      </w:r>
      <w:r w:rsidRPr="00A50156">
        <w:rPr>
          <w:b/>
          <w:bCs/>
        </w:rPr>
        <w:t xml:space="preserve"> of Rheological </w:t>
      </w:r>
      <w:r>
        <w:rPr>
          <w:b/>
          <w:bCs/>
        </w:rPr>
        <w:t>Parameters for Ionic Biogel</w:t>
      </w:r>
    </w:p>
    <w:p w14:paraId="6243163D" w14:textId="7337B3FA" w:rsidR="002F4C93" w:rsidRDefault="002F4C93" w:rsidP="00D61B97">
      <w:pPr>
        <w:pStyle w:val="NormalWeb"/>
        <w:spacing w:line="480" w:lineRule="auto"/>
        <w:jc w:val="both"/>
        <w:rPr>
          <w:rStyle w:val="mord"/>
          <w:rFonts w:eastAsiaTheme="majorEastAsia"/>
        </w:rPr>
      </w:pPr>
      <w:r>
        <w:t>The adapted Ellis equation</w:t>
      </w:r>
      <w:r>
        <w:fldChar w:fldCharType="begin"/>
      </w:r>
      <w:r w:rsidR="00785CB3">
        <w:instrText xml:space="preserve"> ADDIN ZOTERO_ITEM CSL_CITATION {"citationID":"btMQXRqA","properties":{"formattedCitation":"\\super 13\\nosupersub{}","plainCitation":"13","noteIndex":0},"citationItems":[{"id":1342,"uris":["http://zotero.org/users/12063952/items/UDR5VLIN"],"itemData":{"id":1342,"type":"article-journal","abstract":"This study introduces a mathematical model for detailed characterization of temperature-responsive polymers, focusing on critical temperature, viscosity, storage modulus, their rate of change in the transition region, flow behavior, and potential hysteresis. Applied to gelatin (GEL) and poly(N-isopropylacrylamide) (pNIPAm), the model analyzes their rheological responses across various temperatures. It was observed that gel's critical temperature is slightly above its polymer's lower critical solution temperature, and vice versa for upper critical solution temperature polymers. The critical temperature for GEL was 28 °C, as opposed to 37 °C for pNIPAm. While concentration changes affected these values, the contribution of tetramethylethylenediamine (typically used in combination with various initiators to start the polymerization reaction) was found to be insignificant. GEL exhibited significant hysteresis, unlike pNIPAm's rapid transition. Their storage modulus and viscosity showed a linear correlation with concentration, with deviations at high pNIPAm concentrations suggesting the influence of polymer interactions and crosslinking. These findings offer valuable insights for applications requiring temperature sensitivity.","container-title":"Polymer Testing","DOI":"10.1016/j.polymertesting.2024.108402","ISSN":"0142-9418","journalAbbreviation":"Polymer Testing","page":"108402","source":"ScienceDirect","title":"Mathematical model for characterization of temperature-responsive polymers: A study on the rheological behavior of gelatin and poly(N-isopropylacrylamide)","title-short":"Mathematical model for characterization of temperature-responsive polymers","volume":"133","author":[{"family":"Kopač","given":"Tilen"}],"issued":{"date-parts":[["2024",4,1]]}}}],"schema":"https://github.com/citation-style-language/schema/raw/master/csl-citation.json"} </w:instrText>
      </w:r>
      <w:r>
        <w:fldChar w:fldCharType="separate"/>
      </w:r>
      <w:r w:rsidR="00785CB3" w:rsidRPr="00785CB3">
        <w:rPr>
          <w:vertAlign w:val="superscript"/>
        </w:rPr>
        <w:t>13</w:t>
      </w:r>
      <w:r>
        <w:fldChar w:fldCharType="end"/>
      </w:r>
      <w:r>
        <w:t xml:space="preserve"> that incorporates temperature dependence is used to model the temperature sweep rheology for capturing the nonlinear transition in viscosity and modulus near the critical temperature, </w:t>
      </w:r>
      <m:oMath>
        <m:sSub>
          <m:sSubPr>
            <m:ctrlPr>
              <w:rPr>
                <w:rStyle w:val="katex-mathml"/>
                <w:rFonts w:ascii="Cambria Math" w:hAnsi="Cambria Math"/>
                <w:i/>
                <w:iCs/>
              </w:rPr>
            </m:ctrlPr>
          </m:sSubPr>
          <m:e>
            <m:r>
              <w:rPr>
                <w:rStyle w:val="katex-mathml"/>
                <w:rFonts w:ascii="Cambria Math" w:hAnsi="Cambria Math"/>
              </w:rPr>
              <m:t>T</m:t>
            </m:r>
          </m:e>
          <m:sub>
            <m:r>
              <w:rPr>
                <w:rStyle w:val="katex-mathml"/>
                <w:rFonts w:ascii="Cambria Math" w:hAnsi="Cambria Math"/>
              </w:rPr>
              <m:t>c</m:t>
            </m:r>
          </m:sub>
        </m:sSub>
      </m:oMath>
      <w:r>
        <w:t xml:space="preserve">.  The temperature-dependent viscosity, </w:t>
      </w:r>
      <m:oMath>
        <m:r>
          <w:rPr>
            <w:rStyle w:val="katex-mathml"/>
            <w:rFonts w:ascii="Cambria Math" w:eastAsiaTheme="majorEastAsia" w:hAnsi="Cambria Math"/>
          </w:rPr>
          <m:t>η(T)</m:t>
        </m:r>
      </m:oMath>
      <w:r>
        <w:t>, with a sigmoidal expression</w:t>
      </w:r>
      <w:r w:rsidDel="003D2C65">
        <w:t xml:space="preserve"> </w:t>
      </w:r>
      <w:r>
        <w:t>provides a gradual viscosity transition across the Upper Critical Solution Temperature (UCST):</w:t>
      </w:r>
    </w:p>
    <w:p w14:paraId="42B91147" w14:textId="77777777" w:rsidR="002F4C93" w:rsidRPr="000F523F" w:rsidRDefault="002F4C93" w:rsidP="002F4C93">
      <w:pPr>
        <w:pStyle w:val="NormalWeb"/>
        <w:tabs>
          <w:tab w:val="center" w:pos="4680"/>
          <w:tab w:val="right" w:pos="9360"/>
        </w:tabs>
        <w:spacing w:line="480" w:lineRule="auto"/>
        <w:jc w:val="both"/>
        <w:rPr>
          <w:rStyle w:val="mord"/>
        </w:rPr>
      </w:pPr>
      <w:r>
        <w:tab/>
      </w:r>
      <m:oMath>
        <m:r>
          <w:rPr>
            <w:rStyle w:val="katex-mathml"/>
            <w:rFonts w:ascii="Cambria Math" w:eastAsiaTheme="majorEastAsia" w:hAnsi="Cambria Math"/>
          </w:rPr>
          <m:t>η(T)=</m:t>
        </m:r>
        <m:sSub>
          <m:sSubPr>
            <m:ctrlPr>
              <w:rPr>
                <w:rStyle w:val="katex-mathml"/>
                <w:rFonts w:ascii="Cambria Math" w:hAnsi="Cambria Math"/>
                <w:i/>
                <w:iCs/>
              </w:rPr>
            </m:ctrlPr>
          </m:sSubPr>
          <m:e>
            <m:r>
              <w:rPr>
                <w:rStyle w:val="katex-mathml"/>
                <w:rFonts w:ascii="Cambria Math" w:eastAsiaTheme="majorEastAsia" w:hAnsi="Cambria Math"/>
              </w:rPr>
              <m:t>η</m:t>
            </m:r>
          </m:e>
          <m:sub>
            <m:r>
              <w:rPr>
                <w:rStyle w:val="katex-mathml"/>
                <w:rFonts w:ascii="Cambria Math" w:hAnsi="Cambria Math"/>
              </w:rPr>
              <m:t>∞</m:t>
            </m:r>
          </m:sub>
        </m:sSub>
        <m:d>
          <m:dPr>
            <m:begChr m:val="["/>
            <m:endChr m:val="]"/>
            <m:ctrlPr>
              <w:rPr>
                <w:rStyle w:val="katex-mathml"/>
                <w:rFonts w:ascii="Cambria Math" w:hAnsi="Cambria Math"/>
                <w:i/>
                <w:iCs/>
              </w:rPr>
            </m:ctrlPr>
          </m:dPr>
          <m:e>
            <m:r>
              <w:rPr>
                <w:rStyle w:val="katex-mathml"/>
                <w:rFonts w:ascii="Cambria Math" w:hAnsi="Cambria Math"/>
              </w:rPr>
              <m:t>1+</m:t>
            </m:r>
            <m:sSup>
              <m:sSupPr>
                <m:ctrlPr>
                  <w:rPr>
                    <w:rStyle w:val="katex-mathml"/>
                    <w:rFonts w:ascii="Cambria Math" w:hAnsi="Cambria Math"/>
                    <w:i/>
                    <w:iCs/>
                  </w:rPr>
                </m:ctrlPr>
              </m:sSupPr>
              <m:e>
                <m:d>
                  <m:dPr>
                    <m:ctrlPr>
                      <w:rPr>
                        <w:rStyle w:val="katex-mathml"/>
                        <w:rFonts w:ascii="Cambria Math" w:hAnsi="Cambria Math"/>
                        <w:i/>
                        <w:iCs/>
                      </w:rPr>
                    </m:ctrlPr>
                  </m:dPr>
                  <m:e>
                    <m:f>
                      <m:fPr>
                        <m:ctrlPr>
                          <w:rPr>
                            <w:rStyle w:val="katex-mathml"/>
                            <w:rFonts w:ascii="Cambria Math" w:hAnsi="Cambria Math"/>
                            <w:i/>
                            <w:iCs/>
                          </w:rPr>
                        </m:ctrlPr>
                      </m:fPr>
                      <m:num>
                        <m:r>
                          <w:rPr>
                            <w:rStyle w:val="katex-mathml"/>
                            <w:rFonts w:ascii="Cambria Math" w:hAnsi="Cambria Math"/>
                          </w:rPr>
                          <m:t>T</m:t>
                        </m:r>
                      </m:num>
                      <m:den>
                        <m:sSub>
                          <m:sSubPr>
                            <m:ctrlPr>
                              <w:rPr>
                                <w:rStyle w:val="katex-mathml"/>
                                <w:rFonts w:ascii="Cambria Math" w:hAnsi="Cambria Math"/>
                                <w:i/>
                                <w:iCs/>
                              </w:rPr>
                            </m:ctrlPr>
                          </m:sSubPr>
                          <m:e>
                            <m:r>
                              <w:rPr>
                                <w:rStyle w:val="katex-mathml"/>
                                <w:rFonts w:ascii="Cambria Math" w:hAnsi="Cambria Math"/>
                              </w:rPr>
                              <m:t>T</m:t>
                            </m:r>
                          </m:e>
                          <m:sub>
                            <m:r>
                              <w:rPr>
                                <w:rStyle w:val="katex-mathml"/>
                                <w:rFonts w:ascii="Cambria Math" w:hAnsi="Cambria Math"/>
                              </w:rPr>
                              <m:t>2</m:t>
                            </m:r>
                          </m:sub>
                        </m:sSub>
                      </m:den>
                    </m:f>
                  </m:e>
                </m:d>
              </m:e>
              <m:sup>
                <m:r>
                  <w:rPr>
                    <w:rStyle w:val="katex-mathml"/>
                    <w:rFonts w:ascii="Cambria Math" w:hAnsi="Cambria Math"/>
                  </w:rPr>
                  <m:t>s</m:t>
                </m:r>
              </m:sup>
            </m:sSup>
          </m:e>
        </m:d>
        <m:r>
          <w:rPr>
            <w:rStyle w:val="katex-mathml"/>
            <w:rFonts w:ascii="Cambria Math" w:hAnsi="Cambria Math"/>
          </w:rPr>
          <m:t>+</m:t>
        </m:r>
        <m:f>
          <m:fPr>
            <m:ctrlPr>
              <w:rPr>
                <w:rStyle w:val="katex-mathml"/>
                <w:rFonts w:ascii="Cambria Math" w:hAnsi="Cambria Math"/>
                <w:i/>
                <w:iCs/>
              </w:rPr>
            </m:ctrlPr>
          </m:fPr>
          <m:num>
            <m:f>
              <m:fPr>
                <m:ctrlPr>
                  <w:rPr>
                    <w:rStyle w:val="katex-mathml"/>
                    <w:rFonts w:ascii="Cambria Math" w:hAnsi="Cambria Math"/>
                    <w:i/>
                    <w:iCs/>
                  </w:rPr>
                </m:ctrlPr>
              </m:fPr>
              <m:num>
                <m:sSub>
                  <m:sSubPr>
                    <m:ctrlPr>
                      <w:rPr>
                        <w:rStyle w:val="katex-mathml"/>
                        <w:rFonts w:ascii="Cambria Math" w:hAnsi="Cambria Math"/>
                        <w:i/>
                        <w:iCs/>
                      </w:rPr>
                    </m:ctrlPr>
                  </m:sSubPr>
                  <m:e>
                    <m:r>
                      <w:rPr>
                        <w:rStyle w:val="katex-mathml"/>
                        <w:rFonts w:ascii="Cambria Math" w:eastAsiaTheme="majorEastAsia" w:hAnsi="Cambria Math"/>
                      </w:rPr>
                      <m:t>η</m:t>
                    </m:r>
                  </m:e>
                  <m:sub>
                    <m:r>
                      <w:rPr>
                        <w:rStyle w:val="katex-mathml"/>
                        <w:rFonts w:ascii="Cambria Math" w:hAnsi="Cambria Math"/>
                      </w:rPr>
                      <m:t>0</m:t>
                    </m:r>
                  </m:sub>
                </m:sSub>
              </m:num>
              <m:den>
                <m:r>
                  <w:rPr>
                    <w:rStyle w:val="katex-mathml"/>
                    <w:rFonts w:ascii="Cambria Math" w:hAnsi="Cambria Math"/>
                  </w:rPr>
                  <m:t>1+</m:t>
                </m:r>
                <m:sSup>
                  <m:sSupPr>
                    <m:ctrlPr>
                      <w:rPr>
                        <w:rStyle w:val="katex-mathml"/>
                        <w:rFonts w:ascii="Cambria Math" w:hAnsi="Cambria Math"/>
                        <w:i/>
                        <w:iCs/>
                      </w:rPr>
                    </m:ctrlPr>
                  </m:sSupPr>
                  <m:e>
                    <m:d>
                      <m:dPr>
                        <m:ctrlPr>
                          <w:rPr>
                            <w:rStyle w:val="katex-mathml"/>
                            <w:rFonts w:ascii="Cambria Math" w:hAnsi="Cambria Math"/>
                            <w:i/>
                            <w:iCs/>
                          </w:rPr>
                        </m:ctrlPr>
                      </m:dPr>
                      <m:e>
                        <m:f>
                          <m:fPr>
                            <m:ctrlPr>
                              <w:rPr>
                                <w:rStyle w:val="katex-mathml"/>
                                <w:rFonts w:ascii="Cambria Math" w:hAnsi="Cambria Math"/>
                                <w:i/>
                                <w:iCs/>
                              </w:rPr>
                            </m:ctrlPr>
                          </m:fPr>
                          <m:num>
                            <m:r>
                              <w:rPr>
                                <w:rStyle w:val="katex-mathml"/>
                                <w:rFonts w:ascii="Cambria Math" w:hAnsi="Cambria Math"/>
                              </w:rPr>
                              <m:t>T</m:t>
                            </m:r>
                          </m:num>
                          <m:den>
                            <m:sSub>
                              <m:sSubPr>
                                <m:ctrlPr>
                                  <w:rPr>
                                    <w:rStyle w:val="katex-mathml"/>
                                    <w:rFonts w:ascii="Cambria Math" w:hAnsi="Cambria Math"/>
                                    <w:i/>
                                    <w:iCs/>
                                  </w:rPr>
                                </m:ctrlPr>
                              </m:sSubPr>
                              <m:e>
                                <m:r>
                                  <w:rPr>
                                    <w:rStyle w:val="katex-mathml"/>
                                    <w:rFonts w:ascii="Cambria Math" w:hAnsi="Cambria Math"/>
                                  </w:rPr>
                                  <m:t>T</m:t>
                                </m:r>
                              </m:e>
                              <m:sub>
                                <m:r>
                                  <w:rPr>
                                    <w:rStyle w:val="katex-mathml"/>
                                    <w:rFonts w:ascii="Cambria Math" w:hAnsi="Cambria Math"/>
                                  </w:rPr>
                                  <m:t>1</m:t>
                                </m:r>
                              </m:sub>
                            </m:sSub>
                          </m:den>
                        </m:f>
                      </m:e>
                    </m:d>
                  </m:e>
                  <m:sup>
                    <m:r>
                      <w:rPr>
                        <w:rStyle w:val="katex-mathml"/>
                        <w:rFonts w:ascii="Cambria Math" w:hAnsi="Cambria Math"/>
                      </w:rPr>
                      <m:t>p</m:t>
                    </m:r>
                  </m:sup>
                </m:sSup>
              </m:den>
            </m:f>
            <m:r>
              <w:rPr>
                <w:rStyle w:val="katex-mathml"/>
                <w:rFonts w:ascii="Cambria Math" w:hAnsi="Cambria Math"/>
              </w:rPr>
              <m:t>-</m:t>
            </m:r>
            <m:sSub>
              <m:sSubPr>
                <m:ctrlPr>
                  <w:rPr>
                    <w:rStyle w:val="katex-mathml"/>
                    <w:rFonts w:ascii="Cambria Math" w:hAnsi="Cambria Math"/>
                    <w:i/>
                    <w:iCs/>
                  </w:rPr>
                </m:ctrlPr>
              </m:sSubPr>
              <m:e>
                <m:r>
                  <w:rPr>
                    <w:rStyle w:val="katex-mathml"/>
                    <w:rFonts w:ascii="Cambria Math" w:eastAsiaTheme="majorEastAsia" w:hAnsi="Cambria Math"/>
                  </w:rPr>
                  <m:t>η</m:t>
                </m:r>
              </m:e>
              <m:sub>
                <m:r>
                  <w:rPr>
                    <w:rStyle w:val="katex-mathml"/>
                    <w:rFonts w:ascii="Cambria Math" w:hAnsi="Cambria Math"/>
                  </w:rPr>
                  <m:t>∞</m:t>
                </m:r>
              </m:sub>
            </m:sSub>
            <m:d>
              <m:dPr>
                <m:begChr m:val="["/>
                <m:endChr m:val="]"/>
                <m:ctrlPr>
                  <w:rPr>
                    <w:rStyle w:val="katex-mathml"/>
                    <w:rFonts w:ascii="Cambria Math" w:hAnsi="Cambria Math"/>
                    <w:i/>
                    <w:iCs/>
                  </w:rPr>
                </m:ctrlPr>
              </m:dPr>
              <m:e>
                <m:r>
                  <w:rPr>
                    <w:rStyle w:val="katex-mathml"/>
                    <w:rFonts w:ascii="Cambria Math" w:hAnsi="Cambria Math"/>
                  </w:rPr>
                  <m:t>1+</m:t>
                </m:r>
                <m:sSup>
                  <m:sSupPr>
                    <m:ctrlPr>
                      <w:rPr>
                        <w:rStyle w:val="katex-mathml"/>
                        <w:rFonts w:ascii="Cambria Math" w:hAnsi="Cambria Math"/>
                        <w:i/>
                        <w:iCs/>
                      </w:rPr>
                    </m:ctrlPr>
                  </m:sSupPr>
                  <m:e>
                    <m:d>
                      <m:dPr>
                        <m:ctrlPr>
                          <w:rPr>
                            <w:rStyle w:val="katex-mathml"/>
                            <w:rFonts w:ascii="Cambria Math" w:hAnsi="Cambria Math"/>
                            <w:i/>
                            <w:iCs/>
                          </w:rPr>
                        </m:ctrlPr>
                      </m:dPr>
                      <m:e>
                        <m:f>
                          <m:fPr>
                            <m:ctrlPr>
                              <w:rPr>
                                <w:rStyle w:val="katex-mathml"/>
                                <w:rFonts w:ascii="Cambria Math" w:hAnsi="Cambria Math"/>
                                <w:i/>
                                <w:iCs/>
                              </w:rPr>
                            </m:ctrlPr>
                          </m:fPr>
                          <m:num>
                            <m:r>
                              <w:rPr>
                                <w:rStyle w:val="katex-mathml"/>
                                <w:rFonts w:ascii="Cambria Math" w:hAnsi="Cambria Math"/>
                              </w:rPr>
                              <m:t>T</m:t>
                            </m:r>
                          </m:num>
                          <m:den>
                            <m:sSub>
                              <m:sSubPr>
                                <m:ctrlPr>
                                  <w:rPr>
                                    <w:rStyle w:val="katex-mathml"/>
                                    <w:rFonts w:ascii="Cambria Math" w:hAnsi="Cambria Math"/>
                                    <w:i/>
                                    <w:iCs/>
                                  </w:rPr>
                                </m:ctrlPr>
                              </m:sSubPr>
                              <m:e>
                                <m:r>
                                  <w:rPr>
                                    <w:rStyle w:val="katex-mathml"/>
                                    <w:rFonts w:ascii="Cambria Math" w:hAnsi="Cambria Math"/>
                                  </w:rPr>
                                  <m:t>T</m:t>
                                </m:r>
                              </m:e>
                              <m:sub>
                                <m:r>
                                  <w:rPr>
                                    <w:rStyle w:val="katex-mathml"/>
                                    <w:rFonts w:ascii="Cambria Math" w:hAnsi="Cambria Math"/>
                                  </w:rPr>
                                  <m:t>2</m:t>
                                </m:r>
                              </m:sub>
                            </m:sSub>
                          </m:den>
                        </m:f>
                      </m:e>
                    </m:d>
                  </m:e>
                  <m:sup>
                    <m:r>
                      <w:rPr>
                        <w:rStyle w:val="katex-mathml"/>
                        <w:rFonts w:ascii="Cambria Math" w:hAnsi="Cambria Math"/>
                      </w:rPr>
                      <m:t>s</m:t>
                    </m:r>
                  </m:sup>
                </m:sSup>
              </m:e>
            </m:d>
          </m:num>
          <m:den>
            <m:r>
              <w:rPr>
                <w:rStyle w:val="katex-mathml"/>
                <w:rFonts w:ascii="Cambria Math" w:hAnsi="Cambria Math"/>
              </w:rPr>
              <m:t>1+</m:t>
            </m:r>
            <m:sSup>
              <m:sSupPr>
                <m:ctrlPr>
                  <w:rPr>
                    <w:rStyle w:val="katex-mathml"/>
                    <w:rFonts w:ascii="Cambria Math" w:hAnsi="Cambria Math"/>
                    <w:i/>
                    <w:iCs/>
                  </w:rPr>
                </m:ctrlPr>
              </m:sSupPr>
              <m:e>
                <m:d>
                  <m:dPr>
                    <m:ctrlPr>
                      <w:rPr>
                        <w:rStyle w:val="katex-mathml"/>
                        <w:rFonts w:ascii="Cambria Math" w:hAnsi="Cambria Math"/>
                        <w:i/>
                        <w:iCs/>
                      </w:rPr>
                    </m:ctrlPr>
                  </m:dPr>
                  <m:e>
                    <m:f>
                      <m:fPr>
                        <m:ctrlPr>
                          <w:rPr>
                            <w:rStyle w:val="katex-mathml"/>
                            <w:rFonts w:ascii="Cambria Math" w:hAnsi="Cambria Math"/>
                            <w:i/>
                            <w:iCs/>
                          </w:rPr>
                        </m:ctrlPr>
                      </m:fPr>
                      <m:num>
                        <m:r>
                          <w:rPr>
                            <w:rStyle w:val="katex-mathml"/>
                            <w:rFonts w:ascii="Cambria Math" w:hAnsi="Cambria Math"/>
                          </w:rPr>
                          <m:t>T</m:t>
                        </m:r>
                      </m:num>
                      <m:den>
                        <m:sSub>
                          <m:sSubPr>
                            <m:ctrlPr>
                              <w:rPr>
                                <w:rStyle w:val="katex-mathml"/>
                                <w:rFonts w:ascii="Cambria Math" w:hAnsi="Cambria Math"/>
                                <w:i/>
                                <w:iCs/>
                              </w:rPr>
                            </m:ctrlPr>
                          </m:sSubPr>
                          <m:e>
                            <m:r>
                              <w:rPr>
                                <w:rStyle w:val="katex-mathml"/>
                                <w:rFonts w:ascii="Cambria Math" w:hAnsi="Cambria Math"/>
                              </w:rPr>
                              <m:t>T</m:t>
                            </m:r>
                          </m:e>
                          <m:sub>
                            <m:r>
                              <w:rPr>
                                <w:rStyle w:val="katex-mathml"/>
                                <w:rFonts w:ascii="Cambria Math" w:hAnsi="Cambria Math"/>
                              </w:rPr>
                              <m:t>c</m:t>
                            </m:r>
                          </m:sub>
                        </m:sSub>
                      </m:den>
                    </m:f>
                  </m:e>
                </m:d>
              </m:e>
              <m:sup>
                <m:r>
                  <w:rPr>
                    <w:rStyle w:val="katex-mathml"/>
                    <w:rFonts w:ascii="Cambria Math" w:hAnsi="Cambria Math"/>
                  </w:rPr>
                  <m:t>m</m:t>
                </m:r>
              </m:sup>
            </m:sSup>
          </m:den>
        </m:f>
      </m:oMath>
      <w:r>
        <w:rPr>
          <w:rStyle w:val="katex-mathml"/>
          <w:iCs/>
        </w:rPr>
        <w:t>,</w:t>
      </w:r>
      <w:r>
        <w:tab/>
        <w:t>(S12)</w:t>
      </w:r>
    </w:p>
    <w:p w14:paraId="50D8B8F1" w14:textId="77777777" w:rsidR="002F4C93" w:rsidRDefault="002F4C93" w:rsidP="002F4C93">
      <w:pPr>
        <w:pStyle w:val="NormalWeb"/>
        <w:spacing w:line="480" w:lineRule="auto"/>
        <w:jc w:val="both"/>
        <w:rPr>
          <w:rStyle w:val="katex-mathml"/>
          <w:rFonts w:eastAsiaTheme="majorEastAsia"/>
        </w:rPr>
      </w:pPr>
      <w:r>
        <w:t>where</w:t>
      </w:r>
      <w:r w:rsidDel="003E47B2">
        <w:t xml:space="preserve"> </w:t>
      </w:r>
      <m:oMath>
        <m:sSub>
          <m:sSubPr>
            <m:ctrlPr>
              <w:rPr>
                <w:rStyle w:val="katex-mathml"/>
                <w:rFonts w:ascii="Cambria Math" w:eastAsiaTheme="majorEastAsia" w:hAnsi="Cambria Math"/>
                <w:i/>
                <w:iCs/>
              </w:rPr>
            </m:ctrlPr>
          </m:sSubPr>
          <m:e>
            <m:r>
              <w:rPr>
                <w:rStyle w:val="katex-mathml"/>
                <w:rFonts w:ascii="Cambria Math" w:eastAsiaTheme="majorEastAsia" w:hAnsi="Cambria Math"/>
              </w:rPr>
              <m:t>η</m:t>
            </m:r>
          </m:e>
          <m:sub>
            <m:r>
              <w:rPr>
                <w:rStyle w:val="katex-mathml"/>
                <w:rFonts w:ascii="Cambria Math" w:eastAsiaTheme="majorEastAsia" w:hAnsi="Cambria Math"/>
              </w:rPr>
              <m:t>0</m:t>
            </m:r>
          </m:sub>
        </m:sSub>
      </m:oMath>
      <w:r>
        <w:t xml:space="preserve"> and </w:t>
      </w:r>
      <m:oMath>
        <m:sSub>
          <m:sSubPr>
            <m:ctrlPr>
              <w:rPr>
                <w:rStyle w:val="katex-mathml"/>
                <w:rFonts w:ascii="Cambria Math" w:eastAsiaTheme="majorEastAsia" w:hAnsi="Cambria Math"/>
                <w:i/>
                <w:iCs/>
              </w:rPr>
            </m:ctrlPr>
          </m:sSubPr>
          <m:e>
            <m:r>
              <w:rPr>
                <w:rStyle w:val="katex-mathml"/>
                <w:rFonts w:ascii="Cambria Math" w:eastAsiaTheme="majorEastAsia" w:hAnsi="Cambria Math"/>
              </w:rPr>
              <m:t>η</m:t>
            </m:r>
          </m:e>
          <m:sub>
            <m:r>
              <w:rPr>
                <w:rStyle w:val="katex-mathml"/>
                <w:rFonts w:ascii="Cambria Math" w:eastAsiaTheme="majorEastAsia" w:hAnsi="Cambria Math"/>
              </w:rPr>
              <m:t>∞</m:t>
            </m:r>
          </m:sub>
        </m:sSub>
      </m:oMath>
      <w:r w:rsidDel="003E47B2">
        <w:t xml:space="preserve"> </w:t>
      </w:r>
      <w:r>
        <w:t>represent low- and high-temperature viscosities, respectively, and empirical parameters</w:t>
      </w:r>
      <w:r>
        <w:rPr>
          <w:rStyle w:val="katex-mathml"/>
          <w:rFonts w:eastAsiaTheme="majorEastAsia"/>
        </w:rPr>
        <w:t xml:space="preserve"> </w:t>
      </w:r>
      <m:oMath>
        <m:sSub>
          <m:sSubPr>
            <m:ctrlPr>
              <w:rPr>
                <w:rStyle w:val="katex-mathml"/>
                <w:rFonts w:ascii="Cambria Math" w:hAnsi="Cambria Math"/>
                <w:i/>
                <w:iCs/>
              </w:rPr>
            </m:ctrlPr>
          </m:sSubPr>
          <m:e>
            <m:r>
              <w:rPr>
                <w:rStyle w:val="katex-mathml"/>
                <w:rFonts w:ascii="Cambria Math" w:hAnsi="Cambria Math"/>
              </w:rPr>
              <m:t>T</m:t>
            </m:r>
          </m:e>
          <m:sub>
            <m:r>
              <w:rPr>
                <w:rStyle w:val="katex-mathml"/>
                <w:rFonts w:ascii="Cambria Math" w:hAnsi="Cambria Math"/>
              </w:rPr>
              <m:t>1</m:t>
            </m:r>
          </m:sub>
        </m:sSub>
      </m:oMath>
      <w:r>
        <w:t xml:space="preserve">, </w:t>
      </w:r>
      <m:oMath>
        <m:sSub>
          <m:sSubPr>
            <m:ctrlPr>
              <w:rPr>
                <w:rStyle w:val="katex-mathml"/>
                <w:rFonts w:ascii="Cambria Math" w:hAnsi="Cambria Math"/>
                <w:i/>
                <w:iCs/>
              </w:rPr>
            </m:ctrlPr>
          </m:sSubPr>
          <m:e>
            <m:r>
              <w:rPr>
                <w:rStyle w:val="katex-mathml"/>
                <w:rFonts w:ascii="Cambria Math" w:hAnsi="Cambria Math"/>
              </w:rPr>
              <m:t>T</m:t>
            </m:r>
          </m:e>
          <m:sub>
            <m:r>
              <w:rPr>
                <w:rStyle w:val="katex-mathml"/>
                <w:rFonts w:ascii="Cambria Math" w:hAnsi="Cambria Math"/>
              </w:rPr>
              <m:t>2</m:t>
            </m:r>
          </m:sub>
        </m:sSub>
      </m:oMath>
      <w:r>
        <w:rPr>
          <w:rStyle w:val="katex-mathml"/>
          <w:iCs/>
        </w:rPr>
        <w:t>,</w:t>
      </w:r>
      <w:r>
        <w:t xml:space="preserve"> </w:t>
      </w:r>
      <m:oMath>
        <m:r>
          <w:rPr>
            <w:rStyle w:val="katex-mathml"/>
            <w:rFonts w:ascii="Cambria Math" w:hAnsi="Cambria Math"/>
          </w:rPr>
          <m:t>p</m:t>
        </m:r>
      </m:oMath>
      <w:r>
        <w:t xml:space="preserve">, </w:t>
      </w:r>
      <m:oMath>
        <m:r>
          <w:rPr>
            <w:rStyle w:val="katex-mathml"/>
            <w:rFonts w:ascii="Cambria Math" w:hAnsi="Cambria Math"/>
          </w:rPr>
          <m:t>s</m:t>
        </m:r>
      </m:oMath>
      <w:r>
        <w:t xml:space="preserve">, and </w:t>
      </w:r>
      <m:oMath>
        <m:r>
          <w:rPr>
            <w:rStyle w:val="katex-mathml"/>
            <w:rFonts w:ascii="Cambria Math" w:hAnsi="Cambria Math"/>
          </w:rPr>
          <m:t>m</m:t>
        </m:r>
      </m:oMath>
      <w:r>
        <w:t xml:space="preserve"> control the transition profile and accommodate temperature sensitivity near </w:t>
      </w:r>
      <m:oMath>
        <m:sSub>
          <m:sSubPr>
            <m:ctrlPr>
              <w:rPr>
                <w:rStyle w:val="katex-mathml"/>
                <w:rFonts w:ascii="Cambria Math" w:hAnsi="Cambria Math"/>
                <w:i/>
                <w:iCs/>
              </w:rPr>
            </m:ctrlPr>
          </m:sSubPr>
          <m:e>
            <m:r>
              <w:rPr>
                <w:rStyle w:val="katex-mathml"/>
                <w:rFonts w:ascii="Cambria Math" w:hAnsi="Cambria Math"/>
              </w:rPr>
              <m:t>T</m:t>
            </m:r>
          </m:e>
          <m:sub>
            <m:r>
              <w:rPr>
                <w:rStyle w:val="katex-mathml"/>
                <w:rFonts w:ascii="Cambria Math" w:hAnsi="Cambria Math"/>
              </w:rPr>
              <m:t>c</m:t>
            </m:r>
          </m:sub>
        </m:sSub>
      </m:oMath>
      <w:r>
        <w:t>.  This sigmoidal expression captures the dramatic viscosity reduction of gelatin with the increasing temperature that</w:t>
      </w:r>
      <w:r w:rsidDel="00615170">
        <w:t xml:space="preserve"> </w:t>
      </w:r>
      <w:r>
        <w:t>reflects the collapse of the gel network at the UCST.</w:t>
      </w:r>
      <w:r>
        <w:rPr>
          <w:rFonts w:eastAsiaTheme="majorEastAsia"/>
        </w:rPr>
        <w:t xml:space="preserve">  </w:t>
      </w:r>
      <w:r>
        <w:t>Similar to viscosity,</w:t>
      </w:r>
      <w:r w:rsidDel="00504D76">
        <w:t xml:space="preserve"> </w:t>
      </w:r>
      <w:r>
        <w:t xml:space="preserve">the temperature-dependent storage modulus </w:t>
      </w:r>
      <m:oMath>
        <m:r>
          <w:rPr>
            <w:rStyle w:val="katex-mathml"/>
            <w:rFonts w:ascii="Cambria Math" w:eastAsiaTheme="majorEastAsia" w:hAnsi="Cambria Math"/>
          </w:rPr>
          <m:t>G'(T)</m:t>
        </m:r>
      </m:oMath>
      <w:r>
        <w:t xml:space="preserve"> can also be expressed as a sigmoidal function: </w:t>
      </w:r>
    </w:p>
    <w:p w14:paraId="253BE1D3" w14:textId="77777777" w:rsidR="002F4C93" w:rsidRPr="000F523F" w:rsidRDefault="002F4C93" w:rsidP="002F4C93">
      <w:pPr>
        <w:pStyle w:val="NormalWeb"/>
        <w:tabs>
          <w:tab w:val="center" w:pos="4680"/>
          <w:tab w:val="right" w:pos="9360"/>
        </w:tabs>
        <w:spacing w:line="480" w:lineRule="auto"/>
        <w:jc w:val="both"/>
        <w:rPr>
          <w:rStyle w:val="katex-mathml"/>
        </w:rPr>
      </w:pPr>
      <w:r>
        <w:rPr>
          <w:rStyle w:val="katex-mathml"/>
          <w:rFonts w:eastAsiaTheme="majorEastAsia"/>
        </w:rPr>
        <w:tab/>
      </w:r>
      <m:oMath>
        <m:r>
          <w:rPr>
            <w:rStyle w:val="katex-mathml"/>
            <w:rFonts w:ascii="Cambria Math" w:eastAsiaTheme="majorEastAsia" w:hAnsi="Cambria Math"/>
          </w:rPr>
          <m:t>G'=</m:t>
        </m:r>
        <m:sSub>
          <m:sSubPr>
            <m:ctrlPr>
              <w:rPr>
                <w:rStyle w:val="katex-mathml"/>
                <w:rFonts w:ascii="Cambria Math" w:hAnsi="Cambria Math"/>
                <w:i/>
                <w:iCs/>
              </w:rPr>
            </m:ctrlPr>
          </m:sSubPr>
          <m:e>
            <m:r>
              <w:rPr>
                <w:rStyle w:val="katex-mathml"/>
                <w:rFonts w:ascii="Cambria Math" w:eastAsiaTheme="majorEastAsia" w:hAnsi="Cambria Math"/>
              </w:rPr>
              <m:t>G'</m:t>
            </m:r>
          </m:e>
          <m:sub>
            <m:r>
              <w:rPr>
                <w:rStyle w:val="katex-mathml"/>
                <w:rFonts w:ascii="Cambria Math" w:hAnsi="Cambria Math"/>
              </w:rPr>
              <m:t>∞</m:t>
            </m:r>
          </m:sub>
        </m:sSub>
        <m:d>
          <m:dPr>
            <m:begChr m:val="["/>
            <m:endChr m:val="]"/>
            <m:ctrlPr>
              <w:rPr>
                <w:rStyle w:val="katex-mathml"/>
                <w:rFonts w:ascii="Cambria Math" w:hAnsi="Cambria Math"/>
                <w:i/>
                <w:iCs/>
              </w:rPr>
            </m:ctrlPr>
          </m:dPr>
          <m:e>
            <m:r>
              <w:rPr>
                <w:rStyle w:val="katex-mathml"/>
                <w:rFonts w:ascii="Cambria Math" w:hAnsi="Cambria Math"/>
              </w:rPr>
              <m:t>1+</m:t>
            </m:r>
            <m:sSup>
              <m:sSupPr>
                <m:ctrlPr>
                  <w:rPr>
                    <w:rStyle w:val="katex-mathml"/>
                    <w:rFonts w:ascii="Cambria Math" w:hAnsi="Cambria Math"/>
                    <w:i/>
                    <w:iCs/>
                  </w:rPr>
                </m:ctrlPr>
              </m:sSupPr>
              <m:e>
                <m:d>
                  <m:dPr>
                    <m:ctrlPr>
                      <w:rPr>
                        <w:rStyle w:val="katex-mathml"/>
                        <w:rFonts w:ascii="Cambria Math" w:hAnsi="Cambria Math"/>
                        <w:i/>
                        <w:iCs/>
                      </w:rPr>
                    </m:ctrlPr>
                  </m:dPr>
                  <m:e>
                    <m:f>
                      <m:fPr>
                        <m:ctrlPr>
                          <w:rPr>
                            <w:rStyle w:val="katex-mathml"/>
                            <w:rFonts w:ascii="Cambria Math" w:hAnsi="Cambria Math"/>
                            <w:i/>
                            <w:iCs/>
                          </w:rPr>
                        </m:ctrlPr>
                      </m:fPr>
                      <m:num>
                        <m:r>
                          <w:rPr>
                            <w:rStyle w:val="katex-mathml"/>
                            <w:rFonts w:ascii="Cambria Math" w:hAnsi="Cambria Math"/>
                          </w:rPr>
                          <m:t>T</m:t>
                        </m:r>
                      </m:num>
                      <m:den>
                        <m:sSub>
                          <m:sSubPr>
                            <m:ctrlPr>
                              <w:rPr>
                                <w:rStyle w:val="katex-mathml"/>
                                <w:rFonts w:ascii="Cambria Math" w:hAnsi="Cambria Math"/>
                                <w:i/>
                                <w:iCs/>
                              </w:rPr>
                            </m:ctrlPr>
                          </m:sSubPr>
                          <m:e>
                            <m:r>
                              <w:rPr>
                                <w:rStyle w:val="katex-mathml"/>
                                <w:rFonts w:ascii="Cambria Math" w:hAnsi="Cambria Math"/>
                              </w:rPr>
                              <m:t>T</m:t>
                            </m:r>
                          </m:e>
                          <m:sub>
                            <m:r>
                              <w:rPr>
                                <w:rStyle w:val="katex-mathml"/>
                                <w:rFonts w:ascii="Cambria Math" w:hAnsi="Cambria Math"/>
                              </w:rPr>
                              <m:t>2</m:t>
                            </m:r>
                          </m:sub>
                        </m:sSub>
                      </m:den>
                    </m:f>
                  </m:e>
                </m:d>
              </m:e>
              <m:sup>
                <m:r>
                  <w:rPr>
                    <w:rStyle w:val="katex-mathml"/>
                    <w:rFonts w:ascii="Cambria Math" w:hAnsi="Cambria Math"/>
                  </w:rPr>
                  <m:t>s</m:t>
                </m:r>
              </m:sup>
            </m:sSup>
          </m:e>
        </m:d>
        <m:r>
          <w:rPr>
            <w:rStyle w:val="katex-mathml"/>
            <w:rFonts w:ascii="Cambria Math" w:hAnsi="Cambria Math"/>
          </w:rPr>
          <m:t>+</m:t>
        </m:r>
        <m:f>
          <m:fPr>
            <m:ctrlPr>
              <w:rPr>
                <w:rStyle w:val="katex-mathml"/>
                <w:rFonts w:ascii="Cambria Math" w:hAnsi="Cambria Math"/>
                <w:i/>
                <w:iCs/>
              </w:rPr>
            </m:ctrlPr>
          </m:fPr>
          <m:num>
            <m:f>
              <m:fPr>
                <m:ctrlPr>
                  <w:rPr>
                    <w:rStyle w:val="katex-mathml"/>
                    <w:rFonts w:ascii="Cambria Math" w:hAnsi="Cambria Math"/>
                    <w:i/>
                    <w:iCs/>
                  </w:rPr>
                </m:ctrlPr>
              </m:fPr>
              <m:num>
                <m:sSub>
                  <m:sSubPr>
                    <m:ctrlPr>
                      <w:rPr>
                        <w:rStyle w:val="katex-mathml"/>
                        <w:rFonts w:ascii="Cambria Math" w:hAnsi="Cambria Math"/>
                        <w:i/>
                        <w:iCs/>
                      </w:rPr>
                    </m:ctrlPr>
                  </m:sSubPr>
                  <m:e>
                    <m:r>
                      <w:rPr>
                        <w:rStyle w:val="katex-mathml"/>
                        <w:rFonts w:ascii="Cambria Math" w:eastAsiaTheme="majorEastAsia" w:hAnsi="Cambria Math"/>
                      </w:rPr>
                      <m:t>G'</m:t>
                    </m:r>
                  </m:e>
                  <m:sub>
                    <m:r>
                      <w:rPr>
                        <w:rStyle w:val="katex-mathml"/>
                        <w:rFonts w:ascii="Cambria Math" w:hAnsi="Cambria Math"/>
                      </w:rPr>
                      <m:t>0</m:t>
                    </m:r>
                  </m:sub>
                </m:sSub>
              </m:num>
              <m:den>
                <m:r>
                  <w:rPr>
                    <w:rStyle w:val="katex-mathml"/>
                    <w:rFonts w:ascii="Cambria Math" w:hAnsi="Cambria Math"/>
                  </w:rPr>
                  <m:t>1+</m:t>
                </m:r>
                <m:sSup>
                  <m:sSupPr>
                    <m:ctrlPr>
                      <w:rPr>
                        <w:rStyle w:val="katex-mathml"/>
                        <w:rFonts w:ascii="Cambria Math" w:hAnsi="Cambria Math"/>
                        <w:i/>
                        <w:iCs/>
                      </w:rPr>
                    </m:ctrlPr>
                  </m:sSupPr>
                  <m:e>
                    <m:d>
                      <m:dPr>
                        <m:ctrlPr>
                          <w:rPr>
                            <w:rStyle w:val="katex-mathml"/>
                            <w:rFonts w:ascii="Cambria Math" w:hAnsi="Cambria Math"/>
                            <w:i/>
                            <w:iCs/>
                          </w:rPr>
                        </m:ctrlPr>
                      </m:dPr>
                      <m:e>
                        <m:f>
                          <m:fPr>
                            <m:ctrlPr>
                              <w:rPr>
                                <w:rStyle w:val="katex-mathml"/>
                                <w:rFonts w:ascii="Cambria Math" w:hAnsi="Cambria Math"/>
                                <w:i/>
                                <w:iCs/>
                              </w:rPr>
                            </m:ctrlPr>
                          </m:fPr>
                          <m:num>
                            <m:r>
                              <w:rPr>
                                <w:rStyle w:val="katex-mathml"/>
                                <w:rFonts w:ascii="Cambria Math" w:hAnsi="Cambria Math"/>
                              </w:rPr>
                              <m:t>T</m:t>
                            </m:r>
                          </m:num>
                          <m:den>
                            <m:sSub>
                              <m:sSubPr>
                                <m:ctrlPr>
                                  <w:rPr>
                                    <w:rStyle w:val="katex-mathml"/>
                                    <w:rFonts w:ascii="Cambria Math" w:hAnsi="Cambria Math"/>
                                    <w:i/>
                                    <w:iCs/>
                                  </w:rPr>
                                </m:ctrlPr>
                              </m:sSubPr>
                              <m:e>
                                <m:r>
                                  <w:rPr>
                                    <w:rStyle w:val="katex-mathml"/>
                                    <w:rFonts w:ascii="Cambria Math" w:hAnsi="Cambria Math"/>
                                  </w:rPr>
                                  <m:t>T</m:t>
                                </m:r>
                              </m:e>
                              <m:sub>
                                <m:r>
                                  <w:rPr>
                                    <w:rStyle w:val="katex-mathml"/>
                                    <w:rFonts w:ascii="Cambria Math" w:hAnsi="Cambria Math"/>
                                  </w:rPr>
                                  <m:t>1</m:t>
                                </m:r>
                              </m:sub>
                            </m:sSub>
                          </m:den>
                        </m:f>
                      </m:e>
                    </m:d>
                  </m:e>
                  <m:sup>
                    <m:r>
                      <w:rPr>
                        <w:rStyle w:val="katex-mathml"/>
                        <w:rFonts w:ascii="Cambria Math" w:hAnsi="Cambria Math"/>
                      </w:rPr>
                      <m:t>p</m:t>
                    </m:r>
                  </m:sup>
                </m:sSup>
              </m:den>
            </m:f>
            <m:r>
              <w:rPr>
                <w:rStyle w:val="katex-mathml"/>
                <w:rFonts w:ascii="Cambria Math" w:hAnsi="Cambria Math"/>
              </w:rPr>
              <m:t>-</m:t>
            </m:r>
            <m:sSub>
              <m:sSubPr>
                <m:ctrlPr>
                  <w:rPr>
                    <w:rStyle w:val="katex-mathml"/>
                    <w:rFonts w:ascii="Cambria Math" w:hAnsi="Cambria Math"/>
                    <w:i/>
                    <w:iCs/>
                  </w:rPr>
                </m:ctrlPr>
              </m:sSubPr>
              <m:e>
                <m:r>
                  <w:rPr>
                    <w:rStyle w:val="katex-mathml"/>
                    <w:rFonts w:ascii="Cambria Math" w:eastAsiaTheme="majorEastAsia" w:hAnsi="Cambria Math"/>
                  </w:rPr>
                  <m:t>G'</m:t>
                </m:r>
              </m:e>
              <m:sub>
                <m:r>
                  <w:rPr>
                    <w:rStyle w:val="katex-mathml"/>
                    <w:rFonts w:ascii="Cambria Math" w:hAnsi="Cambria Math"/>
                  </w:rPr>
                  <m:t>∞</m:t>
                </m:r>
              </m:sub>
            </m:sSub>
            <m:d>
              <m:dPr>
                <m:begChr m:val="["/>
                <m:endChr m:val="]"/>
                <m:ctrlPr>
                  <w:rPr>
                    <w:rStyle w:val="katex-mathml"/>
                    <w:rFonts w:ascii="Cambria Math" w:hAnsi="Cambria Math"/>
                    <w:i/>
                    <w:iCs/>
                  </w:rPr>
                </m:ctrlPr>
              </m:dPr>
              <m:e>
                <m:r>
                  <w:rPr>
                    <w:rStyle w:val="katex-mathml"/>
                    <w:rFonts w:ascii="Cambria Math" w:hAnsi="Cambria Math"/>
                  </w:rPr>
                  <m:t>1+</m:t>
                </m:r>
                <m:sSup>
                  <m:sSupPr>
                    <m:ctrlPr>
                      <w:rPr>
                        <w:rStyle w:val="katex-mathml"/>
                        <w:rFonts w:ascii="Cambria Math" w:hAnsi="Cambria Math"/>
                        <w:i/>
                        <w:iCs/>
                      </w:rPr>
                    </m:ctrlPr>
                  </m:sSupPr>
                  <m:e>
                    <m:d>
                      <m:dPr>
                        <m:ctrlPr>
                          <w:rPr>
                            <w:rStyle w:val="katex-mathml"/>
                            <w:rFonts w:ascii="Cambria Math" w:hAnsi="Cambria Math"/>
                            <w:i/>
                            <w:iCs/>
                          </w:rPr>
                        </m:ctrlPr>
                      </m:dPr>
                      <m:e>
                        <m:f>
                          <m:fPr>
                            <m:ctrlPr>
                              <w:rPr>
                                <w:rStyle w:val="katex-mathml"/>
                                <w:rFonts w:ascii="Cambria Math" w:hAnsi="Cambria Math"/>
                                <w:i/>
                                <w:iCs/>
                              </w:rPr>
                            </m:ctrlPr>
                          </m:fPr>
                          <m:num>
                            <m:r>
                              <w:rPr>
                                <w:rStyle w:val="katex-mathml"/>
                                <w:rFonts w:ascii="Cambria Math" w:hAnsi="Cambria Math"/>
                              </w:rPr>
                              <m:t>T</m:t>
                            </m:r>
                          </m:num>
                          <m:den>
                            <m:sSub>
                              <m:sSubPr>
                                <m:ctrlPr>
                                  <w:rPr>
                                    <w:rStyle w:val="katex-mathml"/>
                                    <w:rFonts w:ascii="Cambria Math" w:hAnsi="Cambria Math"/>
                                    <w:i/>
                                    <w:iCs/>
                                  </w:rPr>
                                </m:ctrlPr>
                              </m:sSubPr>
                              <m:e>
                                <m:r>
                                  <w:rPr>
                                    <w:rStyle w:val="katex-mathml"/>
                                    <w:rFonts w:ascii="Cambria Math" w:hAnsi="Cambria Math"/>
                                  </w:rPr>
                                  <m:t>T</m:t>
                                </m:r>
                              </m:e>
                              <m:sub>
                                <m:r>
                                  <w:rPr>
                                    <w:rStyle w:val="katex-mathml"/>
                                    <w:rFonts w:ascii="Cambria Math" w:hAnsi="Cambria Math"/>
                                  </w:rPr>
                                  <m:t>2</m:t>
                                </m:r>
                              </m:sub>
                            </m:sSub>
                          </m:den>
                        </m:f>
                      </m:e>
                    </m:d>
                  </m:e>
                  <m:sup>
                    <m:r>
                      <w:rPr>
                        <w:rStyle w:val="katex-mathml"/>
                        <w:rFonts w:ascii="Cambria Math" w:hAnsi="Cambria Math"/>
                      </w:rPr>
                      <m:t>s</m:t>
                    </m:r>
                  </m:sup>
                </m:sSup>
              </m:e>
            </m:d>
          </m:num>
          <m:den>
            <m:r>
              <w:rPr>
                <w:rStyle w:val="katex-mathml"/>
                <w:rFonts w:ascii="Cambria Math" w:hAnsi="Cambria Math"/>
              </w:rPr>
              <m:t>1+</m:t>
            </m:r>
            <m:sSup>
              <m:sSupPr>
                <m:ctrlPr>
                  <w:rPr>
                    <w:rStyle w:val="katex-mathml"/>
                    <w:rFonts w:ascii="Cambria Math" w:hAnsi="Cambria Math"/>
                    <w:i/>
                    <w:iCs/>
                  </w:rPr>
                </m:ctrlPr>
              </m:sSupPr>
              <m:e>
                <m:d>
                  <m:dPr>
                    <m:ctrlPr>
                      <w:rPr>
                        <w:rStyle w:val="katex-mathml"/>
                        <w:rFonts w:ascii="Cambria Math" w:hAnsi="Cambria Math"/>
                        <w:i/>
                        <w:iCs/>
                      </w:rPr>
                    </m:ctrlPr>
                  </m:dPr>
                  <m:e>
                    <m:f>
                      <m:fPr>
                        <m:ctrlPr>
                          <w:rPr>
                            <w:rStyle w:val="katex-mathml"/>
                            <w:rFonts w:ascii="Cambria Math" w:hAnsi="Cambria Math"/>
                            <w:i/>
                            <w:iCs/>
                          </w:rPr>
                        </m:ctrlPr>
                      </m:fPr>
                      <m:num>
                        <m:r>
                          <w:rPr>
                            <w:rStyle w:val="katex-mathml"/>
                            <w:rFonts w:ascii="Cambria Math" w:hAnsi="Cambria Math"/>
                          </w:rPr>
                          <m:t>T</m:t>
                        </m:r>
                      </m:num>
                      <m:den>
                        <m:sSub>
                          <m:sSubPr>
                            <m:ctrlPr>
                              <w:rPr>
                                <w:rStyle w:val="katex-mathml"/>
                                <w:rFonts w:ascii="Cambria Math" w:hAnsi="Cambria Math"/>
                                <w:i/>
                                <w:iCs/>
                              </w:rPr>
                            </m:ctrlPr>
                          </m:sSubPr>
                          <m:e>
                            <m:r>
                              <w:rPr>
                                <w:rStyle w:val="katex-mathml"/>
                                <w:rFonts w:ascii="Cambria Math" w:hAnsi="Cambria Math"/>
                              </w:rPr>
                              <m:t>T</m:t>
                            </m:r>
                          </m:e>
                          <m:sub>
                            <m:r>
                              <w:rPr>
                                <w:rStyle w:val="katex-mathml"/>
                                <w:rFonts w:ascii="Cambria Math" w:hAnsi="Cambria Math"/>
                              </w:rPr>
                              <m:t>c</m:t>
                            </m:r>
                          </m:sub>
                        </m:sSub>
                      </m:den>
                    </m:f>
                  </m:e>
                </m:d>
              </m:e>
              <m:sup>
                <m:r>
                  <w:rPr>
                    <w:rStyle w:val="katex-mathml"/>
                    <w:rFonts w:ascii="Cambria Math" w:hAnsi="Cambria Math"/>
                  </w:rPr>
                  <m:t>m</m:t>
                </m:r>
              </m:sup>
            </m:sSup>
          </m:den>
        </m:f>
      </m:oMath>
      <w:r>
        <w:rPr>
          <w:rStyle w:val="katex-mathml"/>
          <w:rFonts w:eastAsiaTheme="majorEastAsia"/>
          <w:iCs/>
        </w:rPr>
        <w:t>,</w:t>
      </w:r>
      <w:r>
        <w:rPr>
          <w:rStyle w:val="katex-mathml"/>
          <w:iCs/>
        </w:rPr>
        <w:tab/>
        <w:t>(S13)</w:t>
      </w:r>
    </w:p>
    <w:p w14:paraId="18A44F84" w14:textId="05532131" w:rsidR="00676F5B" w:rsidRPr="00676F5B" w:rsidRDefault="002F4C93" w:rsidP="002F4C93">
      <w:pPr>
        <w:spacing w:after="160" w:line="480" w:lineRule="auto"/>
        <w:jc w:val="both"/>
        <w:rPr>
          <w:b/>
          <w:bCs/>
          <w:u w:val="single"/>
        </w:rPr>
      </w:pPr>
      <w:r>
        <w:t xml:space="preserve">where </w:t>
      </w:r>
      <m:oMath>
        <m:sSub>
          <m:sSubPr>
            <m:ctrlPr>
              <w:rPr>
                <w:rStyle w:val="katex-mathml"/>
                <w:rFonts w:ascii="Cambria Math" w:hAnsi="Cambria Math"/>
                <w:i/>
                <w:iCs/>
              </w:rPr>
            </m:ctrlPr>
          </m:sSubPr>
          <m:e>
            <m:r>
              <w:rPr>
                <w:rStyle w:val="katex-mathml"/>
                <w:rFonts w:ascii="Cambria Math" w:eastAsiaTheme="majorEastAsia" w:hAnsi="Cambria Math"/>
              </w:rPr>
              <m:t>G'</m:t>
            </m:r>
          </m:e>
          <m:sub>
            <m:r>
              <w:rPr>
                <w:rStyle w:val="katex-mathml"/>
                <w:rFonts w:ascii="Cambria Math" w:hAnsi="Cambria Math"/>
              </w:rPr>
              <m:t>0</m:t>
            </m:r>
          </m:sub>
        </m:sSub>
      </m:oMath>
      <w:r>
        <w:rPr>
          <w:rStyle w:val="vlist-s"/>
        </w:rPr>
        <w:t xml:space="preserve"> and </w:t>
      </w:r>
      <m:oMath>
        <m:sSub>
          <m:sSubPr>
            <m:ctrlPr>
              <w:rPr>
                <w:rStyle w:val="katex-mathml"/>
                <w:rFonts w:ascii="Cambria Math" w:hAnsi="Cambria Math"/>
                <w:i/>
                <w:iCs/>
              </w:rPr>
            </m:ctrlPr>
          </m:sSubPr>
          <m:e>
            <m:r>
              <w:rPr>
                <w:rStyle w:val="katex-mathml"/>
                <w:rFonts w:ascii="Cambria Math" w:eastAsiaTheme="majorEastAsia" w:hAnsi="Cambria Math"/>
              </w:rPr>
              <m:t>G'</m:t>
            </m:r>
          </m:e>
          <m:sub>
            <m:r>
              <w:rPr>
                <w:rStyle w:val="katex-mathml"/>
                <w:rFonts w:ascii="Cambria Math" w:hAnsi="Cambria Math"/>
              </w:rPr>
              <m:t>∞</m:t>
            </m:r>
          </m:sub>
        </m:sSub>
      </m:oMath>
      <w:r>
        <w:t xml:space="preserve"> denote the low- and high-temperature asymptotic values of the storage modulus, respectively. </w:t>
      </w:r>
      <w:r w:rsidR="00676F5B" w:rsidRPr="00676F5B">
        <w:rPr>
          <w:b/>
          <w:bCs/>
          <w:u w:val="single"/>
        </w:rPr>
        <w:br w:type="page"/>
      </w:r>
    </w:p>
    <w:p w14:paraId="3B041F7B" w14:textId="302158D6" w:rsidR="00F77530" w:rsidRDefault="00676F5B" w:rsidP="00E82A14">
      <w:pPr>
        <w:pStyle w:val="NormalWeb"/>
        <w:spacing w:line="480" w:lineRule="auto"/>
        <w:jc w:val="both"/>
        <w:rPr>
          <w:b/>
          <w:bCs/>
          <w:u w:val="single"/>
        </w:rPr>
      </w:pPr>
      <w:r w:rsidRPr="00A441B4">
        <w:rPr>
          <w:b/>
          <w:u w:val="single"/>
        </w:rPr>
        <w:lastRenderedPageBreak/>
        <w:t xml:space="preserve">Supplementary Note </w:t>
      </w:r>
      <w:r w:rsidR="008C1AD4">
        <w:rPr>
          <w:b/>
          <w:bCs/>
          <w:u w:val="single"/>
        </w:rPr>
        <w:t>8</w:t>
      </w:r>
    </w:p>
    <w:p w14:paraId="5E42292F" w14:textId="35FA11C2" w:rsidR="00F77530" w:rsidRPr="00F77530" w:rsidRDefault="00F77530" w:rsidP="00E82A14">
      <w:pPr>
        <w:pStyle w:val="NormalWeb"/>
        <w:spacing w:line="480" w:lineRule="auto"/>
        <w:jc w:val="both"/>
        <w:rPr>
          <w:b/>
          <w:bCs/>
        </w:rPr>
      </w:pPr>
      <w:r w:rsidRPr="00F77530">
        <w:rPr>
          <w:b/>
          <w:bCs/>
        </w:rPr>
        <w:t>Repeated Rheological Characterization of Ionic Biogel</w:t>
      </w:r>
      <w:r w:rsidR="008C1AD4">
        <w:rPr>
          <w:b/>
          <w:bCs/>
        </w:rPr>
        <w:t xml:space="preserve"> showing Metastability</w:t>
      </w:r>
    </w:p>
    <w:p w14:paraId="19AD7217" w14:textId="09DB3007" w:rsidR="00F77530" w:rsidRPr="00F172A1" w:rsidRDefault="00F77530" w:rsidP="00E82A14">
      <w:pPr>
        <w:pStyle w:val="NormalWeb"/>
        <w:spacing w:line="480" w:lineRule="auto"/>
        <w:jc w:val="both"/>
        <w:rPr>
          <w:color w:val="000000" w:themeColor="text1"/>
        </w:rPr>
      </w:pPr>
      <w:r w:rsidRPr="50D1ADB2">
        <w:t xml:space="preserve">In this experiment, the temperature is ramped up from room temperature to 60°C at a rate of 5°C/min and back to room temperature, along with holding for a 15-minute equilibrium period before repeating the cycle </w:t>
      </w:r>
      <w:r w:rsidRPr="50D1ADB2">
        <w:rPr>
          <w:b/>
        </w:rPr>
        <w:t>(Figure S1</w:t>
      </w:r>
      <w:r w:rsidR="000B5ED5">
        <w:rPr>
          <w:b/>
        </w:rPr>
        <w:t>1</w:t>
      </w:r>
      <w:r w:rsidRPr="50D1ADB2">
        <w:rPr>
          <w:b/>
        </w:rPr>
        <w:t>)</w:t>
      </w:r>
      <w:r w:rsidRPr="50D1ADB2">
        <w:t xml:space="preserve">.  </w:t>
      </w:r>
      <w:r w:rsidRPr="50D1ADB2">
        <w:rPr>
          <w:color w:val="000000" w:themeColor="text1"/>
        </w:rPr>
        <w:t xml:space="preserve">The loss tangent </w:t>
      </w:r>
      <m:oMath>
        <m:func>
          <m:funcPr>
            <m:ctrlPr>
              <w:rPr>
                <w:rFonts w:ascii="Cambria Math" w:hAnsi="Cambria Math"/>
                <w:i/>
                <w:color w:val="000000" w:themeColor="text1"/>
                <w:lang w:val="en-GB"/>
              </w:rPr>
            </m:ctrlPr>
          </m:funcPr>
          <m:fName>
            <m:r>
              <m:rPr>
                <m:sty m:val="p"/>
              </m:rPr>
              <w:rPr>
                <w:rFonts w:ascii="Cambria Math" w:hAnsi="Cambria Math"/>
                <w:color w:val="000000" w:themeColor="text1"/>
                <w:lang w:val="en-GB"/>
              </w:rPr>
              <m:t>tan</m:t>
            </m:r>
          </m:fName>
          <m:e>
            <m:r>
              <w:rPr>
                <w:rFonts w:ascii="Cambria Math" w:hAnsi="Cambria Math"/>
                <w:color w:val="000000" w:themeColor="text1"/>
                <w:lang w:val="en-GB"/>
              </w:rPr>
              <m:t>(δ)</m:t>
            </m:r>
          </m:e>
        </m:func>
      </m:oMath>
      <w:r w:rsidRPr="50D1ADB2">
        <w:rPr>
          <w:color w:val="000000" w:themeColor="text1"/>
        </w:rPr>
        <w:t xml:space="preserve"> increases from 0.1 at room temperature to 2.2 at 60°C, and then to 0.9 back at room temperature </w:t>
      </w:r>
      <w:r w:rsidRPr="50D1ADB2">
        <w:rPr>
          <w:b/>
          <w:color w:val="000000" w:themeColor="text1"/>
        </w:rPr>
        <w:t xml:space="preserve">(Figure </w:t>
      </w:r>
      <w:r w:rsidR="003665BF">
        <w:rPr>
          <w:b/>
          <w:color w:val="000000" w:themeColor="text1"/>
        </w:rPr>
        <w:t>S1</w:t>
      </w:r>
      <w:r w:rsidR="000B5ED5">
        <w:rPr>
          <w:b/>
          <w:color w:val="000000" w:themeColor="text1"/>
        </w:rPr>
        <w:t>2</w:t>
      </w:r>
      <w:r w:rsidRPr="50D1ADB2">
        <w:rPr>
          <w:b/>
          <w:color w:val="000000" w:themeColor="text1"/>
        </w:rPr>
        <w:t>)</w:t>
      </w:r>
      <w:r w:rsidRPr="50D1ADB2">
        <w:rPr>
          <w:color w:val="000000" w:themeColor="text1"/>
        </w:rPr>
        <w:t xml:space="preserve">.  Keeping the material at room temperature for 15 minutes decreases the loss tangent from 0.9 to 0.2.  In the second temperature cycle, the loss tangent increases to 1.7 at 60°C and recovers to 0.9 back at room temperature again.  Similarly, the dynamic viscosity decreases rapidly from 1.7 kPa-s at room temperature to 10 Pa-s at 60°C and then increases to 200 Pa-s back at the room temperature, followed by a further increase to 950 Pa-s after keeping it isothermal for 15 mins </w:t>
      </w:r>
      <w:r w:rsidRPr="50D1ADB2">
        <w:rPr>
          <w:b/>
          <w:color w:val="000000" w:themeColor="text1"/>
        </w:rPr>
        <w:t>(Figure S</w:t>
      </w:r>
      <w:r w:rsidR="000B5ED5">
        <w:rPr>
          <w:b/>
          <w:color w:val="000000" w:themeColor="text1"/>
        </w:rPr>
        <w:t>13</w:t>
      </w:r>
      <w:r w:rsidRPr="50D1ADB2">
        <w:rPr>
          <w:b/>
          <w:color w:val="000000" w:themeColor="text1"/>
        </w:rPr>
        <w:t>)</w:t>
      </w:r>
      <w:r w:rsidRPr="50D1ADB2">
        <w:rPr>
          <w:color w:val="000000" w:themeColor="text1"/>
        </w:rPr>
        <w:t>.  During the second cycle, the viscosity decreases to 30 Pa-s at 60°C and increases back to 210 Pa-s at room temperature.  The storage modulus reduces from 6 kPa at room temperature to 110 Pa at 60°C for the second ramp-up, whereas the loss modulus reduces from 1.1 kPa at room temperature to 190 Pa at 60°C</w:t>
      </w:r>
      <w:r w:rsidRPr="50D1ADB2">
        <w:rPr>
          <w:b/>
          <w:bCs/>
          <w:color w:val="000000" w:themeColor="text1"/>
        </w:rPr>
        <w:t xml:space="preserve"> </w:t>
      </w:r>
      <w:r w:rsidRPr="50D1ADB2">
        <w:rPr>
          <w:b/>
          <w:color w:val="000000" w:themeColor="text1"/>
        </w:rPr>
        <w:t>(Figure S</w:t>
      </w:r>
      <w:r w:rsidR="000B5ED5">
        <w:rPr>
          <w:b/>
          <w:color w:val="000000" w:themeColor="text1"/>
        </w:rPr>
        <w:t>14</w:t>
      </w:r>
      <w:r w:rsidRPr="50D1ADB2">
        <w:rPr>
          <w:b/>
          <w:color w:val="000000" w:themeColor="text1"/>
        </w:rPr>
        <w:t>)</w:t>
      </w:r>
      <w:r w:rsidRPr="50D1ADB2">
        <w:rPr>
          <w:color w:val="000000" w:themeColor="text1"/>
        </w:rPr>
        <w:t>.  A similar pattern is observed during the temperature ramp-down, where both loss and storage moduli increase with the decreasin</w:t>
      </w:r>
      <w:r>
        <w:rPr>
          <w:color w:val="000000" w:themeColor="text1"/>
        </w:rPr>
        <w:t>g</w:t>
      </w:r>
      <w:r w:rsidRPr="50D1ADB2">
        <w:rPr>
          <w:color w:val="000000" w:themeColor="text1"/>
        </w:rPr>
        <w:t xml:space="preserve"> temperature. </w:t>
      </w:r>
      <w:r>
        <w:rPr>
          <w:color w:val="000000" w:themeColor="text1"/>
        </w:rPr>
        <w:t xml:space="preserve"> </w:t>
      </w:r>
      <w:r w:rsidRPr="50D1ADB2">
        <w:rPr>
          <w:color w:val="000000" w:themeColor="text1"/>
        </w:rPr>
        <w:t xml:space="preserve">For example, in </w:t>
      </w:r>
      <w:r>
        <w:rPr>
          <w:color w:val="000000" w:themeColor="text1"/>
        </w:rPr>
        <w:t xml:space="preserve">the </w:t>
      </w:r>
      <w:r w:rsidRPr="50D1ADB2">
        <w:rPr>
          <w:color w:val="000000" w:themeColor="text1"/>
        </w:rPr>
        <w:t>second ramp, storage (or loss) modulus increases from 60 (or 110) Pa at 60°C to 1 kPa at room temperature, probably due to metastability</w:t>
      </w:r>
      <w:r>
        <w:rPr>
          <w:color w:val="000000" w:themeColor="text1"/>
        </w:rPr>
        <w:t xml:space="preserve"> and </w:t>
      </w:r>
      <w:r w:rsidRPr="50D1ADB2">
        <w:rPr>
          <w:color w:val="000000" w:themeColor="text1"/>
        </w:rPr>
        <w:t xml:space="preserve">a high efficiency of recovery for the gelatin chains to re-establish hydrogen bonds </w:t>
      </w:r>
      <w:r w:rsidRPr="50D1ADB2">
        <w:rPr>
          <w:b/>
          <w:color w:val="000000" w:themeColor="text1"/>
        </w:rPr>
        <w:t>(Figure S</w:t>
      </w:r>
      <w:r w:rsidR="000B5ED5">
        <w:rPr>
          <w:b/>
          <w:color w:val="000000" w:themeColor="text1"/>
        </w:rPr>
        <w:t>15</w:t>
      </w:r>
      <w:r w:rsidRPr="50D1ADB2">
        <w:rPr>
          <w:b/>
          <w:color w:val="000000" w:themeColor="text1"/>
        </w:rPr>
        <w:t>)</w:t>
      </w:r>
      <w:r w:rsidRPr="50D1ADB2">
        <w:rPr>
          <w:color w:val="000000" w:themeColor="text1"/>
        </w:rPr>
        <w:t xml:space="preserve">.  </w:t>
      </w:r>
      <w:r w:rsidR="005E3978" w:rsidRPr="50D1ADB2">
        <w:rPr>
          <w:color w:val="000000" w:themeColor="text1"/>
        </w:rPr>
        <w:t xml:space="preserve">  After the first cycle to remove excess water, the viscosity normalized by the viscosity at the end of the 2</w:t>
      </w:r>
      <w:r w:rsidR="005E3978" w:rsidRPr="50D1ADB2">
        <w:rPr>
          <w:color w:val="000000" w:themeColor="text1"/>
          <w:vertAlign w:val="superscript"/>
        </w:rPr>
        <w:t>nd</w:t>
      </w:r>
      <w:r w:rsidR="005E3978" w:rsidRPr="50D1ADB2">
        <w:rPr>
          <w:color w:val="000000" w:themeColor="text1"/>
        </w:rPr>
        <w:t xml:space="preserve"> isothermal process remains almost unchanged (with only </w:t>
      </w:r>
      <m:oMath>
        <m:r>
          <w:rPr>
            <w:rFonts w:ascii="Cambria Math" w:hAnsi="Cambria Math"/>
            <w:color w:val="000000" w:themeColor="text1"/>
            <w:lang w:val="en-GB"/>
          </w:rPr>
          <m:t>±3%</m:t>
        </m:r>
      </m:oMath>
      <w:r w:rsidR="005E3978" w:rsidRPr="50D1ADB2">
        <w:rPr>
          <w:color w:val="000000" w:themeColor="text1"/>
        </w:rPr>
        <w:t xml:space="preserve"> variation) at the end of the isothermal process after additional cycles (N=1, 2, and 3), showcasing a thermoreversible material (with minimal thermal fatigue)</w:t>
      </w:r>
      <w:r w:rsidR="005E3978">
        <w:rPr>
          <w:color w:val="000000" w:themeColor="text1"/>
        </w:rPr>
        <w:t xml:space="preserve"> with </w:t>
      </w:r>
      <w:r w:rsidR="005E3978">
        <w:rPr>
          <w:color w:val="000000" w:themeColor="text1"/>
        </w:rPr>
        <w:lastRenderedPageBreak/>
        <w:t>metastable characteristics</w:t>
      </w:r>
      <w:r w:rsidR="005E3978" w:rsidRPr="50D1ADB2">
        <w:rPr>
          <w:color w:val="000000" w:themeColor="text1"/>
        </w:rPr>
        <w:t xml:space="preserve"> </w:t>
      </w:r>
      <w:r w:rsidR="005E3978" w:rsidRPr="50D1ADB2">
        <w:rPr>
          <w:b/>
          <w:color w:val="000000" w:themeColor="text1"/>
        </w:rPr>
        <w:t xml:space="preserve">(Figure </w:t>
      </w:r>
      <w:r w:rsidR="00681ACC">
        <w:rPr>
          <w:b/>
          <w:color w:val="000000" w:themeColor="text1"/>
        </w:rPr>
        <w:t>2</w:t>
      </w:r>
      <w:r w:rsidR="00D952A1">
        <w:rPr>
          <w:b/>
          <w:color w:val="000000" w:themeColor="text1"/>
        </w:rPr>
        <w:t>b</w:t>
      </w:r>
      <w:r w:rsidR="005E3978" w:rsidRPr="50D1ADB2">
        <w:rPr>
          <w:b/>
          <w:color w:val="000000" w:themeColor="text1"/>
        </w:rPr>
        <w:t>)</w:t>
      </w:r>
      <w:r w:rsidR="005E3978" w:rsidRPr="50D1ADB2">
        <w:rPr>
          <w:color w:val="000000" w:themeColor="text1"/>
        </w:rPr>
        <w:t xml:space="preserve">.  However, there is a 10% increase in the normalized viscosity at the end of each ramp-down process (or starting of </w:t>
      </w:r>
      <w:r w:rsidR="005E3978">
        <w:rPr>
          <w:color w:val="000000" w:themeColor="text1"/>
        </w:rPr>
        <w:t xml:space="preserve">the </w:t>
      </w:r>
      <w:r w:rsidR="005E3978" w:rsidRPr="50D1ADB2">
        <w:rPr>
          <w:color w:val="000000" w:themeColor="text1"/>
        </w:rPr>
        <w:t xml:space="preserve">isothermal process), possibly due to the slower recovery time of </w:t>
      </w:r>
      <w:r w:rsidR="005E3978">
        <w:rPr>
          <w:color w:val="000000" w:themeColor="text1"/>
        </w:rPr>
        <w:t xml:space="preserve">the </w:t>
      </w:r>
      <w:r w:rsidR="005E3978" w:rsidRPr="50D1ADB2">
        <w:rPr>
          <w:color w:val="000000" w:themeColor="text1"/>
        </w:rPr>
        <w:t xml:space="preserve">formation of hydrogen bonds (but with high efficiency) or altering alignment of distinct phases.  This result indicates that the recovery or recombination of hydrogen bonding (larger time constant) during the ramp-down exhibits a larger thermal hysteresis than the breaking of the hydrogen bonding (smaller time constant) of the gelatin chains during the ramp-up </w:t>
      </w:r>
      <w:r w:rsidR="005E3978" w:rsidRPr="50D1ADB2">
        <w:rPr>
          <w:b/>
          <w:color w:val="000000" w:themeColor="text1"/>
        </w:rPr>
        <w:t>(Figure S</w:t>
      </w:r>
      <w:r w:rsidR="000B5ED5">
        <w:rPr>
          <w:b/>
          <w:color w:val="000000" w:themeColor="text1"/>
        </w:rPr>
        <w:t>16</w:t>
      </w:r>
      <w:r w:rsidR="005E3978" w:rsidRPr="50D1ADB2">
        <w:rPr>
          <w:b/>
          <w:color w:val="000000" w:themeColor="text1"/>
        </w:rPr>
        <w:t>)</w:t>
      </w:r>
      <w:r w:rsidR="005E3978" w:rsidRPr="50D1ADB2">
        <w:rPr>
          <w:color w:val="000000" w:themeColor="text1"/>
        </w:rPr>
        <w:t xml:space="preserve">.  A very similar trend is also observed in the ~3-month-old sample kept at room temperature with only </w:t>
      </w:r>
      <m:oMath>
        <m:r>
          <w:rPr>
            <w:rFonts w:ascii="Cambria Math" w:hAnsi="Cambria Math"/>
            <w:color w:val="000000" w:themeColor="text1"/>
            <w:lang w:val="en-GB"/>
          </w:rPr>
          <m:t>±4%</m:t>
        </m:r>
      </m:oMath>
      <w:r w:rsidR="005E3978" w:rsidRPr="50D1ADB2">
        <w:rPr>
          <w:color w:val="000000" w:themeColor="text1"/>
        </w:rPr>
        <w:t xml:space="preserve"> variation at the end of the isothermal process for N= 1, 2, and 3 </w:t>
      </w:r>
      <w:r w:rsidR="005E3978" w:rsidRPr="50D1ADB2">
        <w:rPr>
          <w:b/>
          <w:color w:val="000000" w:themeColor="text1"/>
        </w:rPr>
        <w:t>(</w:t>
      </w:r>
      <w:r w:rsidR="006C6266">
        <w:rPr>
          <w:b/>
          <w:color w:val="000000" w:themeColor="text1"/>
        </w:rPr>
        <w:t xml:space="preserve">Extended </w:t>
      </w:r>
      <w:r w:rsidR="005E3978" w:rsidRPr="50D1ADB2">
        <w:rPr>
          <w:b/>
          <w:color w:val="000000" w:themeColor="text1"/>
        </w:rPr>
        <w:t xml:space="preserve">Figure </w:t>
      </w:r>
      <w:r w:rsidR="006C6266">
        <w:rPr>
          <w:b/>
          <w:color w:val="000000" w:themeColor="text1"/>
        </w:rPr>
        <w:t>3c</w:t>
      </w:r>
      <w:r w:rsidR="005E3978" w:rsidRPr="50D1ADB2">
        <w:rPr>
          <w:b/>
          <w:color w:val="000000" w:themeColor="text1"/>
        </w:rPr>
        <w:t>)</w:t>
      </w:r>
      <w:r w:rsidR="005E3978" w:rsidRPr="50D1ADB2">
        <w:rPr>
          <w:color w:val="000000" w:themeColor="text1"/>
        </w:rPr>
        <w:t xml:space="preserve">.  </w:t>
      </w:r>
    </w:p>
    <w:p w14:paraId="21D0A569" w14:textId="77777777" w:rsidR="00F77530" w:rsidRDefault="00F77530">
      <w:pPr>
        <w:spacing w:after="160" w:line="278" w:lineRule="auto"/>
        <w:rPr>
          <w:b/>
          <w:bCs/>
          <w:u w:val="single"/>
        </w:rPr>
      </w:pPr>
      <w:r>
        <w:rPr>
          <w:b/>
          <w:bCs/>
          <w:u w:val="single"/>
        </w:rPr>
        <w:br w:type="page"/>
      </w:r>
    </w:p>
    <w:p w14:paraId="5240B5B4" w14:textId="1AFE969A" w:rsidR="00D5403D" w:rsidRDefault="0067414B" w:rsidP="00E82A14">
      <w:pPr>
        <w:spacing w:line="480" w:lineRule="auto"/>
        <w:jc w:val="both"/>
        <w:rPr>
          <w:b/>
          <w:bCs/>
          <w:u w:val="single"/>
        </w:rPr>
      </w:pPr>
      <w:r w:rsidRPr="009F29EF">
        <w:rPr>
          <w:b/>
          <w:bCs/>
          <w:u w:val="single"/>
        </w:rPr>
        <w:lastRenderedPageBreak/>
        <w:t xml:space="preserve">Supplementary Note </w:t>
      </w:r>
      <w:r w:rsidR="00A271E5">
        <w:rPr>
          <w:b/>
          <w:bCs/>
          <w:u w:val="single"/>
        </w:rPr>
        <w:t>9</w:t>
      </w:r>
    </w:p>
    <w:p w14:paraId="5A3E7E16" w14:textId="40D97D16" w:rsidR="006D7E40" w:rsidRPr="00545534" w:rsidRDefault="006D7E40" w:rsidP="00E82A14">
      <w:pPr>
        <w:spacing w:line="480" w:lineRule="auto"/>
        <w:jc w:val="both"/>
        <w:rPr>
          <w:b/>
          <w:bCs/>
        </w:rPr>
      </w:pPr>
      <w:r w:rsidRPr="00545534">
        <w:rPr>
          <w:b/>
          <w:bCs/>
        </w:rPr>
        <w:t xml:space="preserve">Computational Model of </w:t>
      </w:r>
      <w:r w:rsidR="00545534" w:rsidRPr="00545534">
        <w:rPr>
          <w:b/>
          <w:bCs/>
        </w:rPr>
        <w:t xml:space="preserve">Temperature-dependent Rheology using Spring-Damper </w:t>
      </w:r>
    </w:p>
    <w:p w14:paraId="55C92307" w14:textId="223C2B65" w:rsidR="00D5403D" w:rsidRPr="00E27EE2" w:rsidRDefault="00E27EE2" w:rsidP="00A271E5">
      <w:pPr>
        <w:spacing w:before="100" w:beforeAutospacing="1" w:after="100" w:afterAutospacing="1" w:line="480" w:lineRule="auto"/>
        <w:jc w:val="both"/>
      </w:pPr>
      <w:r w:rsidRPr="00E27EE2">
        <w:t xml:space="preserve">Viscoelastic materials exhibit both elastic (storage) and viscous (loss) characteristics, which are traditionally modeled using fundamental spring-damper systems, </w:t>
      </w:r>
      <w:r w:rsidR="003E3E76">
        <w:t>as in</w:t>
      </w:r>
      <w:r w:rsidR="003E3E76" w:rsidRPr="00E27EE2">
        <w:t xml:space="preserve"> </w:t>
      </w:r>
      <w:r w:rsidRPr="00E27EE2">
        <w:t>the Maxwell and Kelvin-Voigt models</w:t>
      </w:r>
      <w:r w:rsidR="00EF42B3">
        <w:fldChar w:fldCharType="begin"/>
      </w:r>
      <w:r w:rsidR="00785CB3">
        <w:instrText xml:space="preserve"> ADDIN ZOTERO_ITEM CSL_CITATION {"citationID":"HwCZRmK1","properties":{"formattedCitation":"\\super 13\\nosupersub{}","plainCitation":"13","noteIndex":0},"citationItems":[{"id":1342,"uris":["http://zotero.org/users/12063952/items/UDR5VLIN"],"itemData":{"id":1342,"type":"article-journal","abstract":"This study introduces a mathematical model for detailed characterization of temperature-responsive polymers, focusing on critical temperature, viscosity, storage modulus, their rate of change in the transition region, flow behavior, and potential hysteresis. Applied to gelatin (GEL) and poly(N-isopropylacrylamide) (pNIPAm), the model analyzes their rheological responses across various temperatures. It was observed that gel's critical temperature is slightly above its polymer's lower critical solution temperature, and vice versa for upper critical solution temperature polymers. The critical temperature for GEL was 28 °C, as opposed to 37 °C for pNIPAm. While concentration changes affected these values, the contribution of tetramethylethylenediamine (typically used in combination with various initiators to start the polymerization reaction) was found to be insignificant. GEL exhibited significant hysteresis, unlike pNIPAm's rapid transition. Their storage modulus and viscosity showed a linear correlation with concentration, with deviations at high pNIPAm concentrations suggesting the influence of polymer interactions and crosslinking. These findings offer valuable insights for applications requiring temperature sensitivity.","container-title":"Polymer Testing","DOI":"10.1016/j.polymertesting.2024.108402","ISSN":"0142-9418","journalAbbreviation":"Polymer Testing","page":"108402","source":"ScienceDirect","title":"Mathematical model for characterization of temperature-responsive polymers: A study on the rheological behavior of gelatin and poly(N-isopropylacrylamide)","title-short":"Mathematical model for characterization of temperature-responsive polymers","volume":"133","author":[{"family":"Kopač","given":"Tilen"}],"issued":{"date-parts":[["2024",4,1]]}}}],"schema":"https://github.com/citation-style-language/schema/raw/master/csl-citation.json"} </w:instrText>
      </w:r>
      <w:r w:rsidR="00EF42B3">
        <w:fldChar w:fldCharType="separate"/>
      </w:r>
      <w:r w:rsidR="00785CB3" w:rsidRPr="00785CB3">
        <w:rPr>
          <w:vertAlign w:val="superscript"/>
        </w:rPr>
        <w:t>13</w:t>
      </w:r>
      <w:r w:rsidR="00EF42B3">
        <w:fldChar w:fldCharType="end"/>
      </w:r>
      <w:r w:rsidRPr="00E27EE2">
        <w:t xml:space="preserve">. </w:t>
      </w:r>
      <w:r w:rsidR="00620A42">
        <w:t xml:space="preserve"> </w:t>
      </w:r>
      <w:r w:rsidRPr="00E27EE2">
        <w:t xml:space="preserve">The </w:t>
      </w:r>
      <w:r w:rsidRPr="00E27EE2">
        <w:rPr>
          <w:b/>
          <w:bCs/>
        </w:rPr>
        <w:t>Maxwell Model</w:t>
      </w:r>
      <w:r w:rsidRPr="00E27EE2">
        <w:t xml:space="preserve">, arranged in series, is well-suited for describing time-dependent stress relaxation, capturing the loss modulus under constant strain as the material dissipates energy over time. </w:t>
      </w:r>
      <w:r w:rsidR="00EA5E98">
        <w:t xml:space="preserve"> </w:t>
      </w:r>
      <w:r w:rsidRPr="00E27EE2">
        <w:t xml:space="preserve">In contrast, the </w:t>
      </w:r>
      <w:r w:rsidRPr="00E27EE2">
        <w:rPr>
          <w:b/>
          <w:bCs/>
        </w:rPr>
        <w:t>Kelvin-Voigt Model</w:t>
      </w:r>
      <w:r w:rsidRPr="00E27EE2">
        <w:t xml:space="preserve">, arranged in parallel, effectively represents </w:t>
      </w:r>
      <w:r w:rsidRPr="00E27EE2" w:rsidDel="00095487">
        <w:t xml:space="preserve">the </w:t>
      </w:r>
      <w:r w:rsidRPr="00E27EE2">
        <w:t>creep recovery</w:t>
      </w:r>
      <w:r w:rsidR="00095487">
        <w:t xml:space="preserve"> of </w:t>
      </w:r>
      <w:r w:rsidR="00095487" w:rsidRPr="00E27EE2">
        <w:t>the material</w:t>
      </w:r>
      <w:r w:rsidRPr="00E27EE2">
        <w:t xml:space="preserve">, where the elastic response under constant stress can be quantified by the storage modulus, especially in cyclic loading scenarios. </w:t>
      </w:r>
      <w:r w:rsidR="00D57BFD">
        <w:t xml:space="preserve"> </w:t>
      </w:r>
      <w:r w:rsidRPr="00E27EE2">
        <w:t>While these classic models provide foundational insights into viscoelastic behavior</w:t>
      </w:r>
      <w:r w:rsidR="006716E9">
        <w:t>s</w:t>
      </w:r>
      <w:r w:rsidRPr="00E27EE2">
        <w:t xml:space="preserve">, they require adaptation to accurately represent thermoresponsive materials, where </w:t>
      </w:r>
      <w:r w:rsidR="00B41C56" w:rsidRPr="00E27EE2">
        <w:t xml:space="preserve">changes </w:t>
      </w:r>
      <w:r w:rsidR="00B41C56">
        <w:t xml:space="preserve">in the </w:t>
      </w:r>
      <w:r w:rsidRPr="00E27EE2">
        <w:t>modulus are temperature-dependent, and shear-thinning behavio</w:t>
      </w:r>
      <w:r w:rsidR="007C7114">
        <w:t>u</w:t>
      </w:r>
      <w:r w:rsidRPr="00E27EE2">
        <w:t xml:space="preserve">r induces nonlinear dependencies on both temperature and shear rate. </w:t>
      </w:r>
    </w:p>
    <w:p w14:paraId="3F927FD1" w14:textId="3D14FA0E" w:rsidR="00DD7433" w:rsidRDefault="00B85C5B" w:rsidP="00A22FC4">
      <w:pPr>
        <w:spacing w:before="100" w:beforeAutospacing="1" w:after="100" w:afterAutospacing="1" w:line="480" w:lineRule="auto"/>
        <w:ind w:firstLine="720"/>
        <w:jc w:val="both"/>
      </w:pPr>
      <w:r>
        <w:t>The Kelvin-Voigt model combines a spring and damper in parallel, describing a material that behaves elastically when subjected to a constant strain</w:t>
      </w:r>
      <w:r w:rsidR="00DD7433">
        <w:t>:</w:t>
      </w:r>
    </w:p>
    <w:p w14:paraId="337EAACB" w14:textId="69987E09" w:rsidR="00B85C5B" w:rsidRPr="009C5842" w:rsidRDefault="00F85137" w:rsidP="00A22FC4">
      <w:pPr>
        <w:tabs>
          <w:tab w:val="center" w:pos="4680"/>
          <w:tab w:val="right" w:pos="9360"/>
        </w:tabs>
        <w:spacing w:before="100" w:beforeAutospacing="1" w:after="100" w:afterAutospacing="1" w:line="480" w:lineRule="auto"/>
        <w:jc w:val="both"/>
      </w:pPr>
      <w:r>
        <w:tab/>
      </w:r>
      <m:oMath>
        <m:r>
          <w:rPr>
            <w:rStyle w:val="katex-mathml"/>
            <w:rFonts w:ascii="Cambria Math" w:hAnsi="Cambria Math"/>
          </w:rPr>
          <m:t>σ(t)=Eε(t)+η</m:t>
        </m:r>
        <m:f>
          <m:fPr>
            <m:ctrlPr>
              <w:rPr>
                <w:rStyle w:val="katex-mathml"/>
                <w:rFonts w:ascii="Cambria Math" w:hAnsi="Cambria Math"/>
                <w:i/>
                <w:iCs/>
              </w:rPr>
            </m:ctrlPr>
          </m:fPr>
          <m:num>
            <m:r>
              <w:rPr>
                <w:rStyle w:val="katex-mathml"/>
                <w:rFonts w:ascii="Cambria Math" w:hAnsi="Cambria Math"/>
              </w:rPr>
              <m:t>∂ε(t)</m:t>
            </m:r>
          </m:num>
          <m:den>
            <m:r>
              <w:rPr>
                <w:rStyle w:val="katex-mathml"/>
                <w:rFonts w:ascii="Cambria Math" w:hAnsi="Cambria Math"/>
              </w:rPr>
              <m:t>∂t</m:t>
            </m:r>
          </m:den>
        </m:f>
      </m:oMath>
      <w:r w:rsidR="007C7114">
        <w:rPr>
          <w:rStyle w:val="katex-mathml"/>
          <w:iCs/>
        </w:rPr>
        <w:t>,</w:t>
      </w:r>
      <w:r w:rsidR="009E3F85">
        <w:tab/>
        <w:t>(</w:t>
      </w:r>
      <w:r w:rsidR="0079614C">
        <w:t>S</w:t>
      </w:r>
      <w:r w:rsidR="009E3F85">
        <w:t>14)</w:t>
      </w:r>
    </w:p>
    <w:p w14:paraId="4DF791C5" w14:textId="12E9BD51" w:rsidR="009C5842" w:rsidRDefault="009C5842" w:rsidP="003F7C08">
      <w:pPr>
        <w:tabs>
          <w:tab w:val="left" w:pos="4680"/>
        </w:tabs>
        <w:spacing w:before="100" w:beforeAutospacing="1" w:after="100" w:afterAutospacing="1" w:line="480" w:lineRule="auto"/>
        <w:jc w:val="both"/>
      </w:pPr>
      <w:r>
        <w:t xml:space="preserve">where </w:t>
      </w:r>
      <m:oMath>
        <m:r>
          <w:rPr>
            <w:rFonts w:ascii="Cambria Math" w:hAnsi="Cambria Math"/>
          </w:rPr>
          <m:t>σ(t)</m:t>
        </m:r>
      </m:oMath>
      <w:r w:rsidR="004B7D27">
        <w:t xml:space="preserve"> is the stress, </w:t>
      </w:r>
      <m:oMath>
        <m:r>
          <w:rPr>
            <w:rFonts w:ascii="Cambria Math" w:hAnsi="Cambria Math"/>
          </w:rPr>
          <m:t>ε(t)</m:t>
        </m:r>
      </m:oMath>
      <w:r w:rsidR="004B7D27">
        <w:t xml:space="preserve"> is the </w:t>
      </w:r>
      <w:r w:rsidR="00116905">
        <w:t xml:space="preserve">strain, </w:t>
      </w:r>
      <m:oMath>
        <m:r>
          <w:rPr>
            <w:rFonts w:ascii="Cambria Math" w:hAnsi="Cambria Math"/>
          </w:rPr>
          <m:t>E</m:t>
        </m:r>
      </m:oMath>
      <w:r w:rsidR="00116905">
        <w:t xml:space="preserve"> is the elastic modulus of the individual spring</w:t>
      </w:r>
      <w:r w:rsidR="007C7114">
        <w:t>,</w:t>
      </w:r>
      <w:r w:rsidR="00116905">
        <w:t xml:space="preserve"> and </w:t>
      </w:r>
      <m:oMath>
        <m:r>
          <w:rPr>
            <w:rFonts w:ascii="Cambria Math" w:hAnsi="Cambria Math"/>
          </w:rPr>
          <m:t>η</m:t>
        </m:r>
      </m:oMath>
      <w:r w:rsidR="00116905">
        <w:t xml:space="preserve"> is the </w:t>
      </w:r>
      <w:r w:rsidR="00CD225C">
        <w:t>viscosity of the individual damper.</w:t>
      </w:r>
      <w:r w:rsidR="007654E5">
        <w:t xml:space="preserve">  For materials that exhibit complex, multi-stage recovery of storage and loss modul</w:t>
      </w:r>
      <w:r w:rsidR="007C7114">
        <w:t>i</w:t>
      </w:r>
      <w:r w:rsidR="007654E5">
        <w:t>, we can generalize the Kelvin-Voigt model by introducing several spring-damper units in parallel, each with distinct moduli (</w:t>
      </w:r>
      <m:oMath>
        <m:sSub>
          <m:sSubPr>
            <m:ctrlPr>
              <w:rPr>
                <w:rFonts w:ascii="Cambria Math" w:hAnsi="Cambria Math"/>
                <w:i/>
              </w:rPr>
            </m:ctrlPr>
          </m:sSubPr>
          <m:e>
            <m:r>
              <w:rPr>
                <w:rFonts w:ascii="Cambria Math" w:hAnsi="Cambria Math"/>
              </w:rPr>
              <m:t>E</m:t>
            </m:r>
          </m:e>
          <m:sub>
            <m:r>
              <w:rPr>
                <w:rFonts w:ascii="Cambria Math" w:hAnsi="Cambria Math"/>
              </w:rPr>
              <m:t>i</m:t>
            </m:r>
          </m:sub>
        </m:sSub>
      </m:oMath>
      <w:r w:rsidR="007654E5">
        <w:t>) and viscosities (</w:t>
      </w:r>
      <m:oMath>
        <m:sSub>
          <m:sSubPr>
            <m:ctrlPr>
              <w:rPr>
                <w:rFonts w:ascii="Cambria Math" w:hAnsi="Cambria Math"/>
                <w:i/>
              </w:rPr>
            </m:ctrlPr>
          </m:sSubPr>
          <m:e>
            <m:r>
              <w:rPr>
                <w:rFonts w:ascii="Cambria Math" w:hAnsi="Cambria Math"/>
              </w:rPr>
              <m:t>η</m:t>
            </m:r>
          </m:e>
          <m:sub>
            <m:r>
              <w:rPr>
                <w:rFonts w:ascii="Cambria Math" w:hAnsi="Cambria Math"/>
              </w:rPr>
              <m:t>i</m:t>
            </m:r>
          </m:sub>
        </m:sSub>
      </m:oMath>
      <w:r w:rsidR="007654E5">
        <w:t>)</w:t>
      </w:r>
      <w:r w:rsidR="00BF5CD0">
        <w:t>:</w:t>
      </w:r>
    </w:p>
    <w:p w14:paraId="0F397D55" w14:textId="11AB3FB6" w:rsidR="00BF5CD0" w:rsidRPr="00E27EE2" w:rsidRDefault="00486515" w:rsidP="00A22FC4">
      <w:pPr>
        <w:tabs>
          <w:tab w:val="center" w:pos="4680"/>
          <w:tab w:val="right" w:pos="9360"/>
        </w:tabs>
        <w:spacing w:before="100" w:beforeAutospacing="1" w:after="100" w:afterAutospacing="1" w:line="480" w:lineRule="auto"/>
        <w:jc w:val="both"/>
      </w:pPr>
      <w:r>
        <w:lastRenderedPageBreak/>
        <w:tab/>
      </w:r>
      <m:oMath>
        <m:r>
          <w:rPr>
            <w:rFonts w:ascii="Cambria Math" w:hAnsi="Cambria Math"/>
          </w:rPr>
          <m:t>σ(t)=</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E</m:t>
                </m:r>
              </m:e>
              <m:sub>
                <m:r>
                  <w:rPr>
                    <w:rFonts w:ascii="Cambria Math" w:hAnsi="Cambria Math"/>
                  </w:rPr>
                  <m:t>i</m:t>
                </m:r>
              </m:sub>
            </m:sSub>
            <m:r>
              <w:rPr>
                <w:rFonts w:ascii="Cambria Math" w:hAnsi="Cambria Math"/>
              </w:rPr>
              <m:t>ε(t)+</m:t>
            </m:r>
            <m:sSub>
              <m:sSubPr>
                <m:ctrlPr>
                  <w:rPr>
                    <w:rFonts w:ascii="Cambria Math" w:hAnsi="Cambria Math"/>
                    <w:i/>
                  </w:rPr>
                </m:ctrlPr>
              </m:sSubPr>
              <m:e>
                <m:r>
                  <w:rPr>
                    <w:rFonts w:ascii="Cambria Math" w:hAnsi="Cambria Math"/>
                  </w:rPr>
                  <m:t>η</m:t>
                </m:r>
              </m:e>
              <m:sub>
                <m:r>
                  <w:rPr>
                    <w:rFonts w:ascii="Cambria Math" w:hAnsi="Cambria Math"/>
                  </w:rPr>
                  <m:t>i</m:t>
                </m:r>
              </m:sub>
            </m:sSub>
            <m:f>
              <m:fPr>
                <m:ctrlPr>
                  <w:rPr>
                    <w:rFonts w:ascii="Cambria Math" w:hAnsi="Cambria Math"/>
                    <w:i/>
                  </w:rPr>
                </m:ctrlPr>
              </m:fPr>
              <m:num>
                <m:r>
                  <w:rPr>
                    <w:rFonts w:ascii="Cambria Math" w:hAnsi="Cambria Math"/>
                  </w:rPr>
                  <m:t>∂ε(t)</m:t>
                </m:r>
              </m:num>
              <m:den>
                <m:r>
                  <w:rPr>
                    <w:rFonts w:ascii="Cambria Math" w:hAnsi="Cambria Math"/>
                  </w:rPr>
                  <m:t>∂t</m:t>
                </m:r>
              </m:den>
            </m:f>
          </m:e>
        </m:nary>
      </m:oMath>
      <w:r w:rsidR="007C7114">
        <w:t>.</w:t>
      </w:r>
      <w:r w:rsidR="0079614C">
        <w:tab/>
        <w:t>(S15)</w:t>
      </w:r>
    </w:p>
    <w:p w14:paraId="48B83BD9" w14:textId="1D5D7F50" w:rsidR="00B24AA6" w:rsidRDefault="00B24AA6" w:rsidP="00E82A14">
      <w:pPr>
        <w:spacing w:before="100" w:beforeAutospacing="1" w:after="100" w:afterAutospacing="1" w:line="480" w:lineRule="auto"/>
        <w:jc w:val="both"/>
      </w:pPr>
      <w:r>
        <w:t xml:space="preserve">Each spring-damper unit contributes to a unique </w:t>
      </w:r>
      <w:r w:rsidRPr="003F7C08">
        <w:t>time constant</w:t>
      </w:r>
      <w:r>
        <w:t xml:space="preserve"> </w:t>
      </w:r>
      <m:oMath>
        <m:sSub>
          <m:sSubPr>
            <m:ctrlPr>
              <w:rPr>
                <w:rFonts w:ascii="Cambria Math" w:hAnsi="Cambria Math"/>
                <w:i/>
              </w:rPr>
            </m:ctrlPr>
          </m:sSubPr>
          <m:e>
            <m:r>
              <w:rPr>
                <w:rFonts w:ascii="Cambria Math" w:hAnsi="Cambria Math"/>
              </w:rPr>
              <m:t>τ</m:t>
            </m:r>
          </m:e>
          <m:sub>
            <m:r>
              <w:rPr>
                <w:rFonts w:ascii="Cambria Math" w:hAnsi="Cambria Math"/>
              </w:rPr>
              <m:t>i</m:t>
            </m:r>
          </m:sub>
        </m:sSub>
        <m:r>
          <w:rPr>
            <w:rFonts w:ascii="Cambria Math" w:hAnsi="Cambria Math"/>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η</m:t>
                </m:r>
              </m:e>
              <m:sub>
                <m:r>
                  <w:rPr>
                    <w:rFonts w:ascii="Cambria Math" w:hAnsi="Cambria Math"/>
                  </w:rPr>
                  <m:t>i</m:t>
                </m:r>
              </m:sub>
            </m:sSub>
          </m:num>
          <m:den>
            <m:sSub>
              <m:sSubPr>
                <m:ctrlPr>
                  <w:rPr>
                    <w:rFonts w:ascii="Cambria Math" w:hAnsi="Cambria Math"/>
                    <w:i/>
                  </w:rPr>
                </m:ctrlPr>
              </m:sSubPr>
              <m:e>
                <m:r>
                  <w:rPr>
                    <w:rFonts w:ascii="Cambria Math" w:hAnsi="Cambria Math"/>
                  </w:rPr>
                  <m:t>E</m:t>
                </m:r>
              </m:e>
              <m:sub>
                <m:r>
                  <w:rPr>
                    <w:rFonts w:ascii="Cambria Math" w:hAnsi="Cambria Math"/>
                  </w:rPr>
                  <m:t>i</m:t>
                </m:r>
              </m:sub>
            </m:sSub>
          </m:den>
        </m:f>
      </m:oMath>
      <w:r>
        <w:t xml:space="preserve">, allowing the model to simulate various rates of recovery. </w:t>
      </w:r>
      <w:r w:rsidR="00486515">
        <w:t xml:space="preserve"> </w:t>
      </w:r>
      <w:r>
        <w:t xml:space="preserve">The </w:t>
      </w:r>
      <w:r w:rsidR="002B2D9F">
        <w:t>storage</w:t>
      </w:r>
      <w:r w:rsidRPr="003F7C08">
        <w:t xml:space="preserve"> modulus</w:t>
      </w:r>
      <w:r>
        <w:t xml:space="preserve"> (</w:t>
      </w:r>
      <m:oMath>
        <m:r>
          <w:rPr>
            <w:rFonts w:ascii="Cambria Math" w:hAnsi="Cambria Math"/>
          </w:rPr>
          <m:t>G'</m:t>
        </m:r>
      </m:oMath>
      <w:r>
        <w:t xml:space="preserve">) and </w:t>
      </w:r>
      <w:r w:rsidRPr="003F7C08">
        <w:t>loss modulus</w:t>
      </w:r>
      <w:r>
        <w:t xml:space="preserve"> (</w:t>
      </w:r>
      <m:oMath>
        <m:r>
          <w:rPr>
            <w:rFonts w:ascii="Cambria Math" w:hAnsi="Cambria Math"/>
          </w:rPr>
          <m:t>G''</m:t>
        </m:r>
      </m:oMath>
      <w:r>
        <w:t>) can then be expressed as:</w:t>
      </w:r>
    </w:p>
    <w:p w14:paraId="66E373B4" w14:textId="76C0A022" w:rsidR="00FB0E5C" w:rsidRPr="008828EA" w:rsidRDefault="0079614C" w:rsidP="00A22FC4">
      <w:pPr>
        <w:tabs>
          <w:tab w:val="center" w:pos="4680"/>
          <w:tab w:val="right" w:pos="9360"/>
        </w:tabs>
        <w:spacing w:before="100" w:beforeAutospacing="1" w:after="100" w:afterAutospacing="1" w:line="480" w:lineRule="auto"/>
        <w:jc w:val="both"/>
      </w:pPr>
      <w:r>
        <w:tab/>
      </w:r>
      <m:oMath>
        <m:r>
          <w:rPr>
            <w:rFonts w:ascii="Cambria Math" w:hAnsi="Cambria Math"/>
          </w:rPr>
          <m:t>G'(t,T)=</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i</m:t>
                    </m:r>
                  </m:sub>
                </m:sSub>
                <m:sSup>
                  <m:sSupPr>
                    <m:ctrlPr>
                      <w:rPr>
                        <w:rFonts w:ascii="Cambria Math" w:hAnsi="Cambria Math"/>
                        <w:i/>
                      </w:rPr>
                    </m:ctrlPr>
                  </m:sSupPr>
                  <m:e>
                    <m:r>
                      <w:rPr>
                        <w:rFonts w:ascii="Cambria Math" w:hAnsi="Cambria Math"/>
                      </w:rPr>
                      <m:t>e</m:t>
                    </m:r>
                  </m:e>
                  <m:sup>
                    <m:r>
                      <w:rPr>
                        <w:rFonts w:ascii="Cambria Math" w:hAnsi="Cambria Math"/>
                      </w:rPr>
                      <m:t>-t/</m:t>
                    </m:r>
                    <m:sSub>
                      <m:sSubPr>
                        <m:ctrlPr>
                          <w:rPr>
                            <w:rFonts w:ascii="Cambria Math" w:hAnsi="Cambria Math"/>
                            <w:i/>
                          </w:rPr>
                        </m:ctrlPr>
                      </m:sSubPr>
                      <m:e>
                        <m:r>
                          <w:rPr>
                            <w:rFonts w:ascii="Cambria Math" w:hAnsi="Cambria Math"/>
                          </w:rPr>
                          <m:t>τ</m:t>
                        </m:r>
                      </m:e>
                      <m:sub>
                        <m:r>
                          <w:rPr>
                            <w:rFonts w:ascii="Cambria Math" w:hAnsi="Cambria Math"/>
                          </w:rPr>
                          <m:t>i</m:t>
                        </m:r>
                      </m:sub>
                    </m:sSub>
                  </m:sup>
                </m:sSup>
              </m:e>
            </m:d>
          </m:e>
        </m:nary>
      </m:oMath>
      <w:r w:rsidR="00C01CAB">
        <w:t>,</w:t>
      </w:r>
      <w:r>
        <w:tab/>
        <w:t>(S16)</w:t>
      </w:r>
    </w:p>
    <w:p w14:paraId="4A8757B6" w14:textId="56CC3388" w:rsidR="008828EA" w:rsidRDefault="00F43A20" w:rsidP="00A22FC4">
      <w:pPr>
        <w:tabs>
          <w:tab w:val="center" w:pos="4680"/>
          <w:tab w:val="right" w:pos="9360"/>
        </w:tabs>
        <w:spacing w:before="100" w:beforeAutospacing="1" w:after="100" w:afterAutospacing="1" w:line="480" w:lineRule="auto"/>
        <w:jc w:val="both"/>
      </w:pPr>
      <w:r>
        <w:tab/>
      </w:r>
      <m:oMath>
        <m:sSup>
          <m:sSupPr>
            <m:ctrlPr>
              <w:rPr>
                <w:rFonts w:ascii="Cambria Math" w:hAnsi="Cambria Math"/>
                <w:i/>
              </w:rPr>
            </m:ctrlPr>
          </m:sSupPr>
          <m:e>
            <m:r>
              <w:rPr>
                <w:rFonts w:ascii="Cambria Math" w:hAnsi="Cambria Math"/>
              </w:rPr>
              <m:t>G</m:t>
            </m:r>
          </m:e>
          <m:sup>
            <m:r>
              <w:rPr>
                <w:rFonts w:ascii="Cambria Math" w:hAnsi="Cambria Math"/>
              </w:rPr>
              <m:t>''</m:t>
            </m:r>
          </m:sup>
        </m:sSup>
        <m:d>
          <m:dPr>
            <m:ctrlPr>
              <w:rPr>
                <w:rFonts w:ascii="Cambria Math" w:hAnsi="Cambria Math"/>
                <w:i/>
              </w:rPr>
            </m:ctrlPr>
          </m:dPr>
          <m:e>
            <m:r>
              <w:rPr>
                <w:rFonts w:ascii="Cambria Math" w:hAnsi="Cambria Math"/>
              </w:rPr>
              <m:t>t,T</m:t>
            </m:r>
          </m:e>
        </m:d>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η</m:t>
                        </m:r>
                      </m:e>
                      <m:sub>
                        <m:r>
                          <w:rPr>
                            <w:rFonts w:ascii="Cambria Math" w:hAnsi="Cambria Math"/>
                          </w:rPr>
                          <m:t>i</m:t>
                        </m:r>
                      </m:sub>
                    </m:sSub>
                  </m:num>
                  <m:den>
                    <m:sSub>
                      <m:sSubPr>
                        <m:ctrlPr>
                          <w:rPr>
                            <w:rFonts w:ascii="Cambria Math" w:hAnsi="Cambria Math"/>
                            <w:i/>
                          </w:rPr>
                        </m:ctrlPr>
                      </m:sSubPr>
                      <m:e>
                        <m:r>
                          <w:rPr>
                            <w:rFonts w:ascii="Cambria Math" w:hAnsi="Cambria Math"/>
                          </w:rPr>
                          <m:t>τ</m:t>
                        </m:r>
                      </m:e>
                      <m:sub>
                        <m:r>
                          <w:rPr>
                            <w:rFonts w:ascii="Cambria Math" w:hAnsi="Cambria Math"/>
                          </w:rPr>
                          <m:t>i</m:t>
                        </m:r>
                      </m:sub>
                    </m:sSub>
                  </m:den>
                </m:f>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r>
                          <w:rPr>
                            <w:rFonts w:ascii="Cambria Math" w:hAnsi="Cambria Math"/>
                          </w:rPr>
                          <m:t>t</m:t>
                        </m:r>
                      </m:num>
                      <m:den>
                        <m:sSub>
                          <m:sSubPr>
                            <m:ctrlPr>
                              <w:rPr>
                                <w:rFonts w:ascii="Cambria Math" w:hAnsi="Cambria Math"/>
                                <w:i/>
                              </w:rPr>
                            </m:ctrlPr>
                          </m:sSubPr>
                          <m:e>
                            <m:r>
                              <w:rPr>
                                <w:rFonts w:ascii="Cambria Math" w:hAnsi="Cambria Math"/>
                              </w:rPr>
                              <m:t>τ</m:t>
                            </m:r>
                          </m:e>
                          <m:sub>
                            <m:r>
                              <w:rPr>
                                <w:rFonts w:ascii="Cambria Math" w:hAnsi="Cambria Math"/>
                              </w:rPr>
                              <m:t>i</m:t>
                            </m:r>
                          </m:sub>
                        </m:sSub>
                      </m:den>
                    </m:f>
                  </m:sup>
                </m:sSup>
              </m:e>
            </m:d>
          </m:e>
        </m:nary>
      </m:oMath>
      <w:r w:rsidR="00C01CAB">
        <w:t>.</w:t>
      </w:r>
      <w:r>
        <w:tab/>
        <w:t>(S17)</w:t>
      </w:r>
    </w:p>
    <w:p w14:paraId="141CD5FF" w14:textId="43C72EF7" w:rsidR="00927508" w:rsidRPr="00927508" w:rsidRDefault="00927508" w:rsidP="00E82A14">
      <w:pPr>
        <w:spacing w:before="100" w:beforeAutospacing="1" w:after="100" w:afterAutospacing="1" w:line="480" w:lineRule="auto"/>
        <w:jc w:val="both"/>
      </w:pPr>
      <w:r w:rsidRPr="00927508">
        <w:t xml:space="preserve">For </w:t>
      </w:r>
      <w:r w:rsidR="008E0F92">
        <w:t>the ionic biogel</w:t>
      </w:r>
      <w:r w:rsidRPr="00927508">
        <w:t xml:space="preserve">, viscosity </w:t>
      </w:r>
      <m:oMath>
        <m:sSub>
          <m:sSubPr>
            <m:ctrlPr>
              <w:rPr>
                <w:rFonts w:ascii="Cambria Math" w:hAnsi="Cambria Math"/>
                <w:i/>
              </w:rPr>
            </m:ctrlPr>
          </m:sSubPr>
          <m:e>
            <m:r>
              <w:rPr>
                <w:rFonts w:ascii="Cambria Math" w:hAnsi="Cambria Math"/>
              </w:rPr>
              <m:t>η</m:t>
            </m:r>
          </m:e>
          <m:sub>
            <m:r>
              <w:rPr>
                <w:rFonts w:ascii="Cambria Math" w:hAnsi="Cambria Math"/>
              </w:rPr>
              <m:t>i</m:t>
            </m:r>
          </m:sub>
        </m:sSub>
        <m:r>
          <w:rPr>
            <w:rFonts w:ascii="Cambria Math" w:hAnsi="Cambria Math"/>
          </w:rPr>
          <m:t>(T)</m:t>
        </m:r>
      </m:oMath>
      <w:r w:rsidRPr="00927508">
        <w:t xml:space="preserve"> typically decreases with temperature </w:t>
      </w:r>
      <m:oMath>
        <m:r>
          <w:rPr>
            <w:rFonts w:ascii="Cambria Math" w:hAnsi="Cambria Math"/>
          </w:rPr>
          <m:t>T</m:t>
        </m:r>
      </m:oMath>
      <w:r w:rsidR="00A9786A">
        <w:t xml:space="preserve"> as </w:t>
      </w:r>
      <w:r w:rsidR="00A326EF">
        <w:t xml:space="preserve">indicated </w:t>
      </w:r>
      <w:r w:rsidR="00A9786A">
        <w:t xml:space="preserve">in </w:t>
      </w:r>
      <w:r w:rsidR="00A326EF">
        <w:t>Eq. (S1</w:t>
      </w:r>
      <w:r w:rsidR="003A6076">
        <w:t>2</w:t>
      </w:r>
      <w:r w:rsidR="00A326EF">
        <w:t>)</w:t>
      </w:r>
      <w:r w:rsidR="00812EDC">
        <w:t>.</w:t>
      </w:r>
      <w:r w:rsidR="00A326EF">
        <w:t xml:space="preserve"> </w:t>
      </w:r>
      <w:r w:rsidR="00812EDC">
        <w:t xml:space="preserve"> </w:t>
      </w:r>
      <w:r w:rsidR="00B83BC2">
        <w:t xml:space="preserve">However, </w:t>
      </w:r>
      <w:r w:rsidR="003F2B7E">
        <w:t xml:space="preserve">the rheological parameters </w:t>
      </w:r>
      <w:r w:rsidR="00FA4591">
        <w:t xml:space="preserve">such as </w:t>
      </w:r>
      <w:r w:rsidR="003F2B7E">
        <w:t>viscosity and modulus</w:t>
      </w:r>
      <w:r w:rsidR="00D207BF">
        <w:t xml:space="preserve"> </w:t>
      </w:r>
      <w:r w:rsidR="00A87D1E">
        <w:t>are</w:t>
      </w:r>
      <w:r w:rsidR="00D207BF">
        <w:t xml:space="preserve"> not symmetrical </w:t>
      </w:r>
      <w:r w:rsidR="000E79FD">
        <w:t xml:space="preserve">probably </w:t>
      </w:r>
      <w:r w:rsidR="00865A55">
        <w:t xml:space="preserve">due to </w:t>
      </w:r>
      <w:r w:rsidR="000E79FD">
        <w:t xml:space="preserve">the </w:t>
      </w:r>
      <w:r w:rsidR="00195FAB">
        <w:t xml:space="preserve">difference in </w:t>
      </w:r>
      <w:r w:rsidR="0025491D">
        <w:t xml:space="preserve">time scales of </w:t>
      </w:r>
      <w:r w:rsidR="006B5507">
        <w:t xml:space="preserve">breaking and </w:t>
      </w:r>
      <w:r w:rsidR="00182E3E">
        <w:t>formation of hydrogen bonds</w:t>
      </w:r>
      <w:r w:rsidR="00FA4591">
        <w:t>;</w:t>
      </w:r>
      <w:r w:rsidR="00D207BF">
        <w:t xml:space="preserve"> </w:t>
      </w:r>
      <w:r w:rsidR="00DF689F">
        <w:t>therefore</w:t>
      </w:r>
      <w:r w:rsidR="00FA4591">
        <w:t>,</w:t>
      </w:r>
      <w:r w:rsidR="00DF689F">
        <w:t xml:space="preserve"> the </w:t>
      </w:r>
      <w:r w:rsidR="00B827EB">
        <w:t>time constant</w:t>
      </w:r>
      <w:r w:rsidR="00FA4591">
        <w:t>s</w:t>
      </w:r>
      <w:r w:rsidR="00B827EB">
        <w:t xml:space="preserve"> for </w:t>
      </w:r>
      <w:r w:rsidR="000E79FD">
        <w:t>temperature ramp up (</w:t>
      </w:r>
      <m:oMath>
        <m:sSub>
          <m:sSubPr>
            <m:ctrlPr>
              <w:rPr>
                <w:rFonts w:ascii="Cambria Math" w:hAnsi="Cambria Math"/>
                <w:b/>
                <w:bCs/>
                <w:i/>
                <w:iCs/>
              </w:rPr>
            </m:ctrlPr>
          </m:sSubPr>
          <m:e>
            <m:r>
              <m:rPr>
                <m:sty m:val="bi"/>
              </m:rPr>
              <w:rPr>
                <w:rFonts w:ascii="Cambria Math" w:hAnsi="Cambria Math"/>
              </w:rPr>
              <m:t>τ</m:t>
            </m:r>
          </m:e>
          <m:sub>
            <m:r>
              <m:rPr>
                <m:sty m:val="bi"/>
              </m:rPr>
              <w:rPr>
                <w:rFonts w:ascii="Cambria Math" w:hAnsi="Cambria Math"/>
              </w:rPr>
              <m:t>breaking</m:t>
            </m:r>
          </m:sub>
        </m:sSub>
      </m:oMath>
      <w:r w:rsidR="000E79FD">
        <w:t>) and down</w:t>
      </w:r>
      <w:r w:rsidR="007C054A">
        <w:t xml:space="preserve"> (</w:t>
      </w:r>
      <m:oMath>
        <m:sSub>
          <m:sSubPr>
            <m:ctrlPr>
              <w:rPr>
                <w:rFonts w:ascii="Cambria Math" w:hAnsi="Cambria Math"/>
                <w:b/>
                <w:bCs/>
                <w:i/>
                <w:iCs/>
              </w:rPr>
            </m:ctrlPr>
          </m:sSubPr>
          <m:e>
            <m:r>
              <m:rPr>
                <m:sty m:val="bi"/>
              </m:rPr>
              <w:rPr>
                <w:rFonts w:ascii="Cambria Math" w:hAnsi="Cambria Math"/>
              </w:rPr>
              <m:t>τ</m:t>
            </m:r>
          </m:e>
          <m:sub>
            <m:r>
              <m:rPr>
                <m:sty m:val="bi"/>
              </m:rPr>
              <w:rPr>
                <w:rFonts w:ascii="Cambria Math" w:hAnsi="Cambria Math"/>
              </w:rPr>
              <m:t>recovery</m:t>
            </m:r>
          </m:sub>
        </m:sSub>
      </m:oMath>
      <w:r w:rsidR="007C054A">
        <w:t>)</w:t>
      </w:r>
      <w:r w:rsidR="000E79FD">
        <w:t xml:space="preserve"> are different.</w:t>
      </w:r>
      <w:r w:rsidR="003F2B7E">
        <w:t xml:space="preserve"> </w:t>
      </w:r>
      <w:r w:rsidR="000E79FD">
        <w:t xml:space="preserve"> </w:t>
      </w:r>
      <w:r w:rsidR="00994205">
        <w:t>At a</w:t>
      </w:r>
      <w:r w:rsidR="00752732">
        <w:t xml:space="preserve"> constant </w:t>
      </w:r>
      <w:r w:rsidR="00A15063">
        <w:t>shear rate</w:t>
      </w:r>
      <w:r w:rsidR="00A21727">
        <w:t xml:space="preserve"> (1 Hz)</w:t>
      </w:r>
      <w:r w:rsidR="00FD0440">
        <w:t>,</w:t>
      </w:r>
      <w:r w:rsidR="00353DDC">
        <w:t xml:space="preserve"> </w:t>
      </w:r>
      <w:r w:rsidR="00A15063">
        <w:t>shear</w:t>
      </w:r>
      <w:r w:rsidR="00353DDC">
        <w:t xml:space="preserve"> </w:t>
      </w:r>
      <w:r w:rsidR="00AC4151">
        <w:t xml:space="preserve">strain </w:t>
      </w:r>
      <w:r w:rsidR="00A21727">
        <w:t>(0.05%),</w:t>
      </w:r>
      <w:r w:rsidR="00353DDC">
        <w:t xml:space="preserve"> </w:t>
      </w:r>
      <w:r w:rsidR="00FD0440">
        <w:t>and</w:t>
      </w:r>
      <w:r w:rsidR="00353DDC">
        <w:t xml:space="preserve"> </w:t>
      </w:r>
      <w:r w:rsidR="00752732">
        <w:t>temperature rate</w:t>
      </w:r>
      <w:r w:rsidR="001B390F">
        <w:t xml:space="preserve"> (</w:t>
      </w:r>
      <m:oMath>
        <m:r>
          <w:rPr>
            <w:rFonts w:ascii="Cambria Math" w:hAnsi="Cambria Math"/>
          </w:rPr>
          <m:t>±5℃/min</m:t>
        </m:r>
      </m:oMath>
      <w:r w:rsidR="00A76056">
        <w:t>)</w:t>
      </w:r>
      <w:r w:rsidR="00B115A7">
        <w:t>,</w:t>
      </w:r>
      <w:r w:rsidR="0092310B">
        <w:t xml:space="preserve"> </w:t>
      </w:r>
      <w:r w:rsidR="00D2467A">
        <w:t>(</w:t>
      </w:r>
      <w:r w:rsidR="00923453">
        <w:t xml:space="preserve">positive </w:t>
      </w:r>
      <w:r w:rsidR="008273D7">
        <w:t xml:space="preserve">or </w:t>
      </w:r>
      <w:r w:rsidR="00E13BD2">
        <w:t xml:space="preserve">negative </w:t>
      </w:r>
      <w:r w:rsidR="00923453">
        <w:t xml:space="preserve">for increase </w:t>
      </w:r>
      <w:r w:rsidR="008273D7">
        <w:t xml:space="preserve">or </w:t>
      </w:r>
      <w:r w:rsidR="00E13BD2">
        <w:t xml:space="preserve">decrease </w:t>
      </w:r>
      <w:r w:rsidR="00923453">
        <w:t>in temperature</w:t>
      </w:r>
      <w:r w:rsidR="008273D7">
        <w:t xml:space="preserve"> with</w:t>
      </w:r>
      <w:r w:rsidR="00923453">
        <w:t xml:space="preserve"> zero for</w:t>
      </w:r>
      <w:r w:rsidR="002F126C">
        <w:t xml:space="preserve"> the</w:t>
      </w:r>
      <w:r w:rsidR="00923453">
        <w:t xml:space="preserve"> isothermal condition</w:t>
      </w:r>
      <w:r w:rsidR="001B390F">
        <w:t>)</w:t>
      </w:r>
      <w:r w:rsidR="00752732">
        <w:t xml:space="preserve">, </w:t>
      </w:r>
      <w:r w:rsidR="00E26BC7">
        <w:t xml:space="preserve">the </w:t>
      </w:r>
      <w:r w:rsidR="000B7348">
        <w:t>dynamics</w:t>
      </w:r>
      <w:r w:rsidRPr="00927508">
        <w:t xml:space="preserve"> of </w:t>
      </w:r>
      <w:r w:rsidR="005B359A">
        <w:t>rheological</w:t>
      </w:r>
      <w:r w:rsidRPr="00927508">
        <w:t xml:space="preserve"> properties under cyclic heating can be modeled with two distinct time constants:</w:t>
      </w:r>
    </w:p>
    <w:p w14:paraId="314A53F5" w14:textId="00468047" w:rsidR="00927508" w:rsidRPr="00927508" w:rsidRDefault="00927508" w:rsidP="00E82A14">
      <w:pPr>
        <w:numPr>
          <w:ilvl w:val="0"/>
          <w:numId w:val="6"/>
        </w:numPr>
        <w:spacing w:before="100" w:beforeAutospacing="1" w:after="100" w:afterAutospacing="1" w:line="480" w:lineRule="auto"/>
        <w:jc w:val="both"/>
      </w:pPr>
      <w:r w:rsidRPr="00927508">
        <w:rPr>
          <w:b/>
          <w:bCs/>
        </w:rPr>
        <w:t>Time Constant</w:t>
      </w:r>
      <w:r w:rsidR="00BC2005">
        <w:rPr>
          <w:b/>
          <w:bCs/>
        </w:rPr>
        <w:t xml:space="preserve"> for breaking hydrogen bonds</w:t>
      </w:r>
      <w:r w:rsidRPr="00927508">
        <w:rPr>
          <w:b/>
          <w:bCs/>
        </w:rPr>
        <w:t xml:space="preserve"> (</w:t>
      </w:r>
      <m:oMath>
        <m:sSub>
          <m:sSubPr>
            <m:ctrlPr>
              <w:rPr>
                <w:rFonts w:ascii="Cambria Math" w:hAnsi="Cambria Math"/>
                <w:b/>
                <w:bCs/>
                <w:i/>
                <w:iCs/>
              </w:rPr>
            </m:ctrlPr>
          </m:sSubPr>
          <m:e>
            <m:r>
              <m:rPr>
                <m:sty m:val="bi"/>
              </m:rPr>
              <w:rPr>
                <w:rFonts w:ascii="Cambria Math" w:hAnsi="Cambria Math"/>
              </w:rPr>
              <m:t>τ</m:t>
            </m:r>
          </m:e>
          <m:sub>
            <m:r>
              <m:rPr>
                <m:sty m:val="bi"/>
              </m:rPr>
              <w:rPr>
                <w:rFonts w:ascii="Cambria Math" w:hAnsi="Cambria Math"/>
              </w:rPr>
              <m:t>breaking</m:t>
            </m:r>
          </m:sub>
        </m:sSub>
      </m:oMath>
      <w:r w:rsidRPr="00927508">
        <w:rPr>
          <w:b/>
          <w:bCs/>
        </w:rPr>
        <w:t>)</w:t>
      </w:r>
      <w:r w:rsidR="002F126C" w:rsidRPr="00A22FC4">
        <w:t>,</w:t>
      </w:r>
      <w:r w:rsidRPr="00927508">
        <w:t xml:space="preserve"> </w:t>
      </w:r>
      <w:r w:rsidR="002F126C">
        <w:t>which</w:t>
      </w:r>
      <w:r w:rsidR="002F126C" w:rsidRPr="00927508" w:rsidDel="003867FC">
        <w:t xml:space="preserve"> </w:t>
      </w:r>
      <w:r w:rsidR="00906CD7">
        <w:t xml:space="preserve">describes </w:t>
      </w:r>
      <w:r w:rsidR="00EE6E1F">
        <w:t>a</w:t>
      </w:r>
      <w:r w:rsidRPr="00927508">
        <w:t xml:space="preserve"> rapid reduction in viscosity and modulus </w:t>
      </w:r>
      <w:r w:rsidR="00C618A7">
        <w:t>upon</w:t>
      </w:r>
      <w:r w:rsidR="00C618A7" w:rsidRPr="00927508">
        <w:t xml:space="preserve"> </w:t>
      </w:r>
      <w:r w:rsidRPr="00927508">
        <w:t>heating</w:t>
      </w:r>
      <w:r w:rsidR="00915E60">
        <w:t>;</w:t>
      </w:r>
    </w:p>
    <w:p w14:paraId="0B8399F3" w14:textId="5077F2C9" w:rsidR="00927508" w:rsidRPr="00927508" w:rsidRDefault="00927508" w:rsidP="00E82A14">
      <w:pPr>
        <w:numPr>
          <w:ilvl w:val="0"/>
          <w:numId w:val="6"/>
        </w:numPr>
        <w:spacing w:before="100" w:beforeAutospacing="1" w:after="100" w:afterAutospacing="1" w:line="480" w:lineRule="auto"/>
        <w:jc w:val="both"/>
      </w:pPr>
      <w:r w:rsidRPr="00927508">
        <w:rPr>
          <w:b/>
          <w:bCs/>
        </w:rPr>
        <w:t xml:space="preserve">Time Constant </w:t>
      </w:r>
      <w:r w:rsidR="00BC2005">
        <w:rPr>
          <w:b/>
          <w:bCs/>
        </w:rPr>
        <w:t xml:space="preserve">for recovering </w:t>
      </w:r>
      <w:r w:rsidR="00C618A7">
        <w:rPr>
          <w:b/>
          <w:bCs/>
        </w:rPr>
        <w:t xml:space="preserve">hydrogen bonds </w:t>
      </w:r>
      <w:r w:rsidRPr="00927508">
        <w:rPr>
          <w:b/>
          <w:bCs/>
        </w:rPr>
        <w:t>(</w:t>
      </w:r>
      <m:oMath>
        <m:sSub>
          <m:sSubPr>
            <m:ctrlPr>
              <w:rPr>
                <w:rFonts w:ascii="Cambria Math" w:hAnsi="Cambria Math"/>
                <w:b/>
                <w:bCs/>
                <w:i/>
                <w:iCs/>
              </w:rPr>
            </m:ctrlPr>
          </m:sSubPr>
          <m:e>
            <m:r>
              <m:rPr>
                <m:sty m:val="bi"/>
              </m:rPr>
              <w:rPr>
                <w:rFonts w:ascii="Cambria Math" w:hAnsi="Cambria Math"/>
              </w:rPr>
              <m:t>τ</m:t>
            </m:r>
          </m:e>
          <m:sub>
            <m:r>
              <m:rPr>
                <m:sty m:val="bi"/>
              </m:rPr>
              <w:rPr>
                <w:rFonts w:ascii="Cambria Math" w:hAnsi="Cambria Math"/>
              </w:rPr>
              <m:t>recovery</m:t>
            </m:r>
          </m:sub>
        </m:sSub>
      </m:oMath>
      <w:r w:rsidRPr="00927508">
        <w:rPr>
          <w:b/>
          <w:bCs/>
        </w:rPr>
        <w:t>)</w:t>
      </w:r>
      <w:r w:rsidR="002F126C" w:rsidRPr="00946C93">
        <w:t>,</w:t>
      </w:r>
      <w:r w:rsidR="002F126C" w:rsidRPr="00927508">
        <w:t xml:space="preserve"> </w:t>
      </w:r>
      <w:r w:rsidR="002F126C">
        <w:t>which</w:t>
      </w:r>
      <w:r w:rsidRPr="00927508" w:rsidDel="002F126C">
        <w:t xml:space="preserve"> </w:t>
      </w:r>
      <w:r w:rsidR="00E338E1">
        <w:t>g</w:t>
      </w:r>
      <w:r w:rsidR="00E338E1" w:rsidRPr="00927508">
        <w:t xml:space="preserve">overns </w:t>
      </w:r>
      <w:r w:rsidR="00DA2060">
        <w:t>the increase</w:t>
      </w:r>
      <w:r w:rsidR="00F6142A">
        <w:t>d</w:t>
      </w:r>
      <w:r w:rsidR="00DA2060">
        <w:t xml:space="preserve"> viscosity and modulus </w:t>
      </w:r>
      <w:r w:rsidRPr="00927508">
        <w:t>upon cooling, describing the reformation or "healing" of the structure.</w:t>
      </w:r>
    </w:p>
    <w:p w14:paraId="21635318" w14:textId="65678578" w:rsidR="00927508" w:rsidRPr="00927508" w:rsidRDefault="00927508" w:rsidP="00E82A14">
      <w:pPr>
        <w:spacing w:line="480" w:lineRule="auto"/>
        <w:jc w:val="both"/>
        <w:rPr>
          <w:iCs/>
        </w:rPr>
      </w:pPr>
      <w:r w:rsidRPr="00927508">
        <w:lastRenderedPageBreak/>
        <w:t>To capture these behavio</w:t>
      </w:r>
      <w:r w:rsidR="008B79C8">
        <w:t>u</w:t>
      </w:r>
      <w:r w:rsidRPr="00927508">
        <w:t xml:space="preserve">rs, </w:t>
      </w:r>
      <w:r w:rsidR="004B7364">
        <w:t>the</w:t>
      </w:r>
      <w:r w:rsidRPr="00927508">
        <w:t xml:space="preserve"> </w:t>
      </w:r>
      <w:r w:rsidR="00B74142" w:rsidRPr="003F7C08">
        <w:t>generalized</w:t>
      </w:r>
      <w:r w:rsidR="00B74142" w:rsidRPr="00927508">
        <w:rPr>
          <w:b/>
          <w:bCs/>
        </w:rPr>
        <w:t xml:space="preserve"> Kelvin-Voigt model</w:t>
      </w:r>
      <w:r w:rsidR="00B74142" w:rsidRPr="00927508" w:rsidDel="00B74142">
        <w:t xml:space="preserve"> </w:t>
      </w:r>
      <w:r w:rsidR="00F3468C">
        <w:t xml:space="preserve">in </w:t>
      </w:r>
      <w:r w:rsidR="006A0110">
        <w:t>Eq</w:t>
      </w:r>
      <w:r w:rsidR="00E6097F">
        <w:t>n</w:t>
      </w:r>
      <w:r w:rsidR="00FC6A96">
        <w:t>s</w:t>
      </w:r>
      <w:r w:rsidR="003621E0">
        <w:t>. (</w:t>
      </w:r>
      <w:r w:rsidR="00305958">
        <w:t xml:space="preserve">S15-17) </w:t>
      </w:r>
      <w:r w:rsidRPr="00927508">
        <w:t>with parallel spring-damper elements</w:t>
      </w:r>
      <w:r w:rsidR="0070504C">
        <w:t xml:space="preserve"> can be extended</w:t>
      </w:r>
      <w:r w:rsidR="00024136">
        <w:t xml:space="preserve">, with </w:t>
      </w:r>
      <w:r w:rsidR="00305958">
        <w:t xml:space="preserve">temperature-dependent </w:t>
      </w:r>
      <w:r w:rsidR="00024136">
        <w:t>moduli (</w:t>
      </w:r>
      <m:oMath>
        <m:sSub>
          <m:sSubPr>
            <m:ctrlPr>
              <w:rPr>
                <w:rStyle w:val="katex-mathml"/>
                <w:rFonts w:ascii="Cambria Math" w:eastAsiaTheme="majorEastAsia" w:hAnsi="Cambria Math"/>
                <w:i/>
              </w:rPr>
            </m:ctrlPr>
          </m:sSubPr>
          <m:e>
            <m:r>
              <w:rPr>
                <w:rStyle w:val="katex-mathml"/>
                <w:rFonts w:ascii="Cambria Math" w:eastAsiaTheme="majorEastAsia" w:hAnsi="Cambria Math"/>
              </w:rPr>
              <m:t>E</m:t>
            </m:r>
          </m:e>
          <m:sub>
            <m:r>
              <w:rPr>
                <w:rStyle w:val="katex-mathml"/>
                <w:rFonts w:ascii="Cambria Math" w:eastAsiaTheme="majorEastAsia" w:hAnsi="Cambria Math"/>
              </w:rPr>
              <m:t>i</m:t>
            </m:r>
          </m:sub>
        </m:sSub>
        <m:r>
          <w:rPr>
            <w:rStyle w:val="katex-mathml"/>
            <w:rFonts w:ascii="Cambria Math" w:eastAsiaTheme="majorEastAsia" w:hAnsi="Cambria Math"/>
          </w:rPr>
          <m:t>(T)</m:t>
        </m:r>
      </m:oMath>
      <w:r w:rsidR="00024136">
        <w:t>) and viscosities (</w:t>
      </w:r>
      <m:oMath>
        <m:sSub>
          <m:sSubPr>
            <m:ctrlPr>
              <w:rPr>
                <w:rStyle w:val="katex-mathml"/>
                <w:rFonts w:ascii="Cambria Math" w:eastAsiaTheme="majorEastAsia" w:hAnsi="Cambria Math"/>
                <w:i/>
              </w:rPr>
            </m:ctrlPr>
          </m:sSubPr>
          <m:e>
            <m:r>
              <w:rPr>
                <w:rStyle w:val="katex-mathml"/>
                <w:rFonts w:ascii="Cambria Math" w:eastAsiaTheme="majorEastAsia" w:hAnsi="Cambria Math"/>
              </w:rPr>
              <m:t>η</m:t>
            </m:r>
          </m:e>
          <m:sub>
            <m:r>
              <w:rPr>
                <w:rStyle w:val="katex-mathml"/>
                <w:rFonts w:ascii="Cambria Math" w:eastAsiaTheme="majorEastAsia" w:hAnsi="Cambria Math"/>
              </w:rPr>
              <m:t>i</m:t>
            </m:r>
          </m:sub>
        </m:sSub>
        <m:r>
          <w:rPr>
            <w:rStyle w:val="katex-mathml"/>
            <w:rFonts w:ascii="Cambria Math" w:eastAsiaTheme="majorEastAsia" w:hAnsi="Cambria Math"/>
          </w:rPr>
          <m:t>(T)</m:t>
        </m:r>
      </m:oMath>
      <w:r w:rsidR="00024136">
        <w:t>)</w:t>
      </w:r>
      <w:r w:rsidRPr="00927508">
        <w:t xml:space="preserve"> </w:t>
      </w:r>
      <w:r w:rsidR="00D05576">
        <w:t xml:space="preserve">that </w:t>
      </w:r>
      <w:r w:rsidR="00D05576" w:rsidRPr="00927508">
        <w:t xml:space="preserve">integrate </w:t>
      </w:r>
      <w:r w:rsidRPr="00927508">
        <w:t>decay</w:t>
      </w:r>
      <w:r w:rsidR="007715EF">
        <w:t>/</w:t>
      </w:r>
      <w:r w:rsidRPr="00927508">
        <w:t>recovery time constants into the storage and loss modulus equations</w:t>
      </w:r>
      <w:r w:rsidR="001059AF">
        <w:t xml:space="preserve"> for each element</w:t>
      </w:r>
      <w:r w:rsidRPr="00927508">
        <w:t xml:space="preserve">. </w:t>
      </w:r>
      <w:r w:rsidR="000553E2">
        <w:t xml:space="preserve"> </w:t>
      </w:r>
      <w:r w:rsidR="008D0BE8">
        <w:t>T</w:t>
      </w:r>
      <w:r w:rsidR="008D0BE8" w:rsidRPr="00927508">
        <w:t xml:space="preserve">he moduli </w:t>
      </w:r>
      <m:oMath>
        <m:r>
          <w:rPr>
            <w:rFonts w:ascii="Cambria Math" w:hAnsi="Cambria Math"/>
          </w:rPr>
          <m:t>G'(t,T)</m:t>
        </m:r>
      </m:oMath>
      <w:r w:rsidR="008D0BE8" w:rsidRPr="00927508">
        <w:t xml:space="preserve"> and </w:t>
      </w:r>
      <m:oMath>
        <m:r>
          <w:rPr>
            <w:rFonts w:ascii="Cambria Math" w:hAnsi="Cambria Math"/>
          </w:rPr>
          <m:t>G''(t,T)</m:t>
        </m:r>
      </m:oMath>
      <w:r w:rsidRPr="00927508">
        <w:t xml:space="preserve"> </w:t>
      </w:r>
      <w:r w:rsidR="0008716B">
        <w:t>can be</w:t>
      </w:r>
      <w:r w:rsidRPr="00927508">
        <w:t xml:space="preserve"> </w:t>
      </w:r>
      <w:r w:rsidR="003F7EAC">
        <w:t>extended</w:t>
      </w:r>
      <w:r w:rsidR="003F7EAC" w:rsidRPr="00927508">
        <w:t xml:space="preserve"> </w:t>
      </w:r>
      <w:r w:rsidRPr="00927508">
        <w:t>as follows:</w:t>
      </w:r>
    </w:p>
    <w:p w14:paraId="319CE0C6" w14:textId="19E99810" w:rsidR="00D75110" w:rsidRPr="0023481A" w:rsidRDefault="00005954" w:rsidP="00A22FC4">
      <w:pPr>
        <w:tabs>
          <w:tab w:val="right" w:pos="9360"/>
        </w:tabs>
        <w:spacing w:before="100" w:beforeAutospacing="1" w:after="100" w:afterAutospacing="1" w:line="480" w:lineRule="auto"/>
        <w:jc w:val="both"/>
      </w:pPr>
      <m:oMathPara>
        <m:oMath>
          <m:r>
            <w:rPr>
              <w:rFonts w:ascii="Cambria Math" w:hAnsi="Cambria Math"/>
            </w:rPr>
            <m:t>G'(t,T)=</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i</m:t>
                      </m:r>
                    </m:sub>
                  </m:sSub>
                  <m:r>
                    <w:rPr>
                      <w:rFonts w:ascii="Cambria Math" w:hAnsi="Cambria Math"/>
                    </w:rPr>
                    <m:t>(T)</m:t>
                  </m:r>
                  <m:sSup>
                    <m:sSupPr>
                      <m:ctrlPr>
                        <w:rPr>
                          <w:rFonts w:ascii="Cambria Math" w:hAnsi="Cambria Math"/>
                          <w:i/>
                        </w:rPr>
                      </m:ctrlPr>
                    </m:sSupPr>
                    <m:e>
                      <m:r>
                        <w:rPr>
                          <w:rFonts w:ascii="Cambria Math" w:hAnsi="Cambria Math"/>
                        </w:rPr>
                        <m:t>e</m:t>
                      </m:r>
                    </m:e>
                    <m:sup>
                      <m:r>
                        <w:rPr>
                          <w:rFonts w:ascii="Cambria Math" w:hAnsi="Cambria Math"/>
                        </w:rPr>
                        <m:t>-t/</m:t>
                      </m:r>
                      <m:sSub>
                        <m:sSubPr>
                          <m:ctrlPr>
                            <w:rPr>
                              <w:rFonts w:ascii="Cambria Math" w:hAnsi="Cambria Math"/>
                              <w:i/>
                              <w:iCs/>
                            </w:rPr>
                          </m:ctrlPr>
                        </m:sSubPr>
                        <m:e>
                          <m:r>
                            <w:rPr>
                              <w:rFonts w:ascii="Cambria Math" w:hAnsi="Cambria Math"/>
                            </w:rPr>
                            <m:t>τ</m:t>
                          </m:r>
                        </m:e>
                        <m:sub>
                          <m:r>
                            <w:rPr>
                              <w:rFonts w:ascii="Cambria Math" w:hAnsi="Cambria Math"/>
                            </w:rPr>
                            <m:t>breaking</m:t>
                          </m:r>
                        </m:sub>
                      </m:sSub>
                    </m:sup>
                  </m:sSup>
                  <m:r>
                    <m:rPr>
                      <m:scr m:val="script"/>
                    </m:rPr>
                    <w:rPr>
                      <w:rFonts w:ascii="Cambria Math" w:hAnsi="Cambria Math"/>
                    </w:rPr>
                    <m:t>H(</m:t>
                  </m:r>
                  <m:sSub>
                    <m:sSubPr>
                      <m:ctrlPr>
                        <w:rPr>
                          <w:rFonts w:ascii="Cambria Math" w:hAnsi="Cambria Math"/>
                          <w:i/>
                          <w:iCs/>
                        </w:rPr>
                      </m:ctrlPr>
                    </m:sSubPr>
                    <m:e>
                      <m:r>
                        <w:rPr>
                          <w:rFonts w:ascii="Cambria Math" w:hAnsi="Cambria Math"/>
                        </w:rPr>
                        <m:t>t</m:t>
                      </m:r>
                    </m:e>
                    <m:sub>
                      <m:r>
                        <w:rPr>
                          <w:rFonts w:ascii="Cambria Math" w:hAnsi="Cambria Math"/>
                        </w:rPr>
                        <m:t>breaking</m:t>
                      </m:r>
                    </m:sub>
                  </m:sSub>
                  <m:r>
                    <w:rPr>
                      <w:rFonts w:ascii="Cambria Math" w:hAnsi="Cambria Math"/>
                    </w:rPr>
                    <m:t>-t)+</m:t>
                  </m:r>
                  <m:sSub>
                    <m:sSubPr>
                      <m:ctrlPr>
                        <w:rPr>
                          <w:rFonts w:ascii="Cambria Math" w:hAnsi="Cambria Math"/>
                          <w:i/>
                        </w:rPr>
                      </m:ctrlPr>
                    </m:sSubPr>
                    <m:e>
                      <m:r>
                        <w:rPr>
                          <w:rFonts w:ascii="Cambria Math" w:hAnsi="Cambria Math"/>
                        </w:rPr>
                        <m:t>E</m:t>
                      </m:r>
                    </m:e>
                    <m:sub>
                      <m:r>
                        <w:rPr>
                          <w:rFonts w:ascii="Cambria Math" w:hAnsi="Cambria Math"/>
                        </w:rPr>
                        <m:t>i</m:t>
                      </m:r>
                    </m:sub>
                  </m:sSub>
                  <m:r>
                    <w:rPr>
                      <w:rFonts w:ascii="Cambria Math" w:hAnsi="Cambria Math"/>
                    </w:rPr>
                    <m:t>(T)</m:t>
                  </m:r>
                  <m:sSup>
                    <m:sSupPr>
                      <m:ctrlPr>
                        <w:rPr>
                          <w:rFonts w:ascii="Cambria Math" w:hAnsi="Cambria Math"/>
                          <w:i/>
                        </w:rPr>
                      </m:ctrlPr>
                    </m:sSupPr>
                    <m:e>
                      <m:r>
                        <w:rPr>
                          <w:rFonts w:ascii="Cambria Math" w:hAnsi="Cambria Math"/>
                        </w:rPr>
                        <m:t>(1 - e</m:t>
                      </m:r>
                    </m:e>
                    <m:sup>
                      <m:r>
                        <w:rPr>
                          <w:rFonts w:ascii="Cambria Math" w:hAnsi="Cambria Math"/>
                        </w:rPr>
                        <m:t>-t/</m:t>
                      </m:r>
                      <m:sSub>
                        <m:sSubPr>
                          <m:ctrlPr>
                            <w:rPr>
                              <w:rFonts w:ascii="Cambria Math" w:hAnsi="Cambria Math"/>
                              <w:i/>
                            </w:rPr>
                          </m:ctrlPr>
                        </m:sSubPr>
                        <m:e>
                          <m:r>
                            <w:rPr>
                              <w:rFonts w:ascii="Cambria Math" w:hAnsi="Cambria Math"/>
                            </w:rPr>
                            <m:t>τ</m:t>
                          </m:r>
                        </m:e>
                        <m:sub>
                          <m:r>
                            <w:rPr>
                              <w:rFonts w:ascii="Cambria Math" w:hAnsi="Cambria Math"/>
                            </w:rPr>
                            <m:t>recovery</m:t>
                          </m:r>
                        </m:sub>
                      </m:sSub>
                    </m:sup>
                  </m:sSup>
                  <m:r>
                    <m:rPr>
                      <m:scr m:val="script"/>
                    </m:rPr>
                    <w:rPr>
                      <w:rFonts w:ascii="Cambria Math" w:hAnsi="Cambria Math"/>
                    </w:rPr>
                    <m:t>)H(</m:t>
                  </m:r>
                  <m:sSub>
                    <m:sSubPr>
                      <m:ctrlPr>
                        <w:rPr>
                          <w:rFonts w:ascii="Cambria Math" w:hAnsi="Cambria Math"/>
                          <w:i/>
                        </w:rPr>
                      </m:ctrlPr>
                    </m:sSubPr>
                    <m:e>
                      <m:r>
                        <w:rPr>
                          <w:rFonts w:ascii="Cambria Math" w:hAnsi="Cambria Math"/>
                        </w:rPr>
                        <m:t>t-t</m:t>
                      </m:r>
                    </m:e>
                    <m:sub>
                      <m:r>
                        <w:rPr>
                          <w:rFonts w:ascii="Cambria Math" w:hAnsi="Cambria Math"/>
                        </w:rPr>
                        <m:t>recovery</m:t>
                      </m:r>
                    </m:sub>
                  </m:sSub>
                  <m:r>
                    <w:rPr>
                      <w:rFonts w:ascii="Cambria Math" w:hAnsi="Cambria Math"/>
                    </w:rPr>
                    <m:t>)</m:t>
                  </m:r>
                </m:e>
              </m:d>
            </m:e>
          </m:nary>
        </m:oMath>
      </m:oMathPara>
    </w:p>
    <w:p w14:paraId="18C4939C" w14:textId="65C75493" w:rsidR="0023481A" w:rsidRPr="00486168" w:rsidRDefault="0023481A" w:rsidP="00A22FC4">
      <w:pPr>
        <w:tabs>
          <w:tab w:val="right" w:pos="9360"/>
        </w:tabs>
        <w:spacing w:before="100" w:beforeAutospacing="1" w:after="100" w:afterAutospacing="1" w:line="480" w:lineRule="auto"/>
        <w:jc w:val="right"/>
      </w:pPr>
      <w:r>
        <w:t>(S18)</w:t>
      </w:r>
    </w:p>
    <w:p w14:paraId="0AB5DF0E" w14:textId="3914E7E4" w:rsidR="00486168" w:rsidRPr="0023481A" w:rsidRDefault="00005954">
      <w:pPr>
        <w:tabs>
          <w:tab w:val="center" w:pos="4680"/>
        </w:tabs>
        <w:spacing w:before="100" w:beforeAutospacing="1" w:after="100" w:afterAutospacing="1" w:line="480" w:lineRule="auto"/>
        <w:jc w:val="both"/>
      </w:pPr>
      <m:oMathPara>
        <m:oMath>
          <m:r>
            <w:rPr>
              <w:rFonts w:ascii="Cambria Math" w:hAnsi="Cambria Math"/>
            </w:rPr>
            <m:t>G''(t,T)=</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η</m:t>
                          </m:r>
                        </m:e>
                        <m:sub>
                          <m:r>
                            <w:rPr>
                              <w:rFonts w:ascii="Cambria Math" w:hAnsi="Cambria Math"/>
                            </w:rPr>
                            <m:t>i</m:t>
                          </m:r>
                        </m:sub>
                      </m:sSub>
                      <m:r>
                        <w:rPr>
                          <w:rFonts w:ascii="Cambria Math" w:hAnsi="Cambria Math"/>
                        </w:rPr>
                        <m:t>(T)</m:t>
                      </m:r>
                    </m:num>
                    <m:den>
                      <m:sSub>
                        <m:sSubPr>
                          <m:ctrlPr>
                            <w:rPr>
                              <w:rFonts w:ascii="Cambria Math" w:hAnsi="Cambria Math"/>
                              <w:i/>
                            </w:rPr>
                          </m:ctrlPr>
                        </m:sSubPr>
                        <m:e>
                          <m:r>
                            <w:rPr>
                              <w:rFonts w:ascii="Cambria Math" w:hAnsi="Cambria Math"/>
                            </w:rPr>
                            <m:t>τ</m:t>
                          </m:r>
                        </m:e>
                        <m:sub>
                          <m:r>
                            <w:rPr>
                              <w:rFonts w:ascii="Cambria Math" w:hAnsi="Cambria Math"/>
                            </w:rPr>
                            <m:t>breaking</m:t>
                          </m:r>
                        </m:sub>
                      </m:sSub>
                    </m:den>
                  </m:f>
                  <m:sSup>
                    <m:sSupPr>
                      <m:ctrlPr>
                        <w:rPr>
                          <w:rFonts w:ascii="Cambria Math" w:hAnsi="Cambria Math"/>
                          <w:i/>
                        </w:rPr>
                      </m:ctrlPr>
                    </m:sSupPr>
                    <m:e>
                      <m:r>
                        <w:rPr>
                          <w:rFonts w:ascii="Cambria Math" w:hAnsi="Cambria Math"/>
                        </w:rPr>
                        <m:t>e</m:t>
                      </m:r>
                    </m:e>
                    <m:sup>
                      <m:r>
                        <w:rPr>
                          <w:rFonts w:ascii="Cambria Math" w:hAnsi="Cambria Math"/>
                        </w:rPr>
                        <m:t>-t/</m:t>
                      </m:r>
                      <m:sSub>
                        <m:sSubPr>
                          <m:ctrlPr>
                            <w:rPr>
                              <w:rFonts w:ascii="Cambria Math" w:hAnsi="Cambria Math"/>
                              <w:i/>
                            </w:rPr>
                          </m:ctrlPr>
                        </m:sSubPr>
                        <m:e>
                          <m:r>
                            <w:rPr>
                              <w:rFonts w:ascii="Cambria Math" w:hAnsi="Cambria Math"/>
                            </w:rPr>
                            <m:t>τ</m:t>
                          </m:r>
                        </m:e>
                        <m:sub>
                          <m:r>
                            <w:rPr>
                              <w:rFonts w:ascii="Cambria Math" w:hAnsi="Cambria Math"/>
                            </w:rPr>
                            <m:t>breaking</m:t>
                          </m:r>
                        </m:sub>
                      </m:sSub>
                    </m:sup>
                  </m:sSup>
                  <m:r>
                    <m:rPr>
                      <m:scr m:val="script"/>
                    </m:rPr>
                    <w:rPr>
                      <w:rFonts w:ascii="Cambria Math" w:hAnsi="Cambria Math"/>
                    </w:rPr>
                    <m:t>H(</m:t>
                  </m:r>
                  <m:sSub>
                    <m:sSubPr>
                      <m:ctrlPr>
                        <w:rPr>
                          <w:rFonts w:ascii="Cambria Math" w:hAnsi="Cambria Math"/>
                          <w:i/>
                        </w:rPr>
                      </m:ctrlPr>
                    </m:sSubPr>
                    <m:e>
                      <m:r>
                        <w:rPr>
                          <w:rFonts w:ascii="Cambria Math" w:hAnsi="Cambria Math"/>
                        </w:rPr>
                        <m:t>t</m:t>
                      </m:r>
                    </m:e>
                    <m:sub>
                      <m:r>
                        <w:rPr>
                          <w:rFonts w:ascii="Cambria Math" w:hAnsi="Cambria Math"/>
                        </w:rPr>
                        <m:t>breaking</m:t>
                      </m:r>
                    </m:sub>
                  </m:sSub>
                  <m:r>
                    <w:rPr>
                      <w:rFonts w:ascii="Cambria Math" w:hAnsi="Cambria Math"/>
                    </w:rPr>
                    <m:t>-t)+</m:t>
                  </m:r>
                  <m:f>
                    <m:fPr>
                      <m:ctrlPr>
                        <w:rPr>
                          <w:rFonts w:ascii="Cambria Math" w:hAnsi="Cambria Math"/>
                          <w:i/>
                        </w:rPr>
                      </m:ctrlPr>
                    </m:fPr>
                    <m:num>
                      <m:sSub>
                        <m:sSubPr>
                          <m:ctrlPr>
                            <w:rPr>
                              <w:rFonts w:ascii="Cambria Math" w:hAnsi="Cambria Math"/>
                              <w:i/>
                            </w:rPr>
                          </m:ctrlPr>
                        </m:sSubPr>
                        <m:e>
                          <m:r>
                            <w:rPr>
                              <w:rFonts w:ascii="Cambria Math" w:hAnsi="Cambria Math"/>
                            </w:rPr>
                            <m:t>η</m:t>
                          </m:r>
                        </m:e>
                        <m:sub>
                          <m:r>
                            <w:rPr>
                              <w:rFonts w:ascii="Cambria Math" w:hAnsi="Cambria Math"/>
                            </w:rPr>
                            <m:t>i</m:t>
                          </m:r>
                        </m:sub>
                      </m:sSub>
                      <m:r>
                        <w:rPr>
                          <w:rFonts w:ascii="Cambria Math" w:hAnsi="Cambria Math"/>
                        </w:rPr>
                        <m:t>(T)</m:t>
                      </m:r>
                    </m:num>
                    <m:den>
                      <m:sSub>
                        <m:sSubPr>
                          <m:ctrlPr>
                            <w:rPr>
                              <w:rFonts w:ascii="Cambria Math" w:hAnsi="Cambria Math"/>
                              <w:i/>
                            </w:rPr>
                          </m:ctrlPr>
                        </m:sSubPr>
                        <m:e>
                          <m:r>
                            <w:rPr>
                              <w:rFonts w:ascii="Cambria Math" w:hAnsi="Cambria Math"/>
                            </w:rPr>
                            <m:t>τ</m:t>
                          </m:r>
                        </m:e>
                        <m:sub>
                          <m:r>
                            <w:rPr>
                              <w:rFonts w:ascii="Cambria Math" w:hAnsi="Cambria Math"/>
                            </w:rPr>
                            <m:t>recovery</m:t>
                          </m:r>
                        </m:sub>
                      </m:sSub>
                    </m:den>
                  </m:f>
                  <m:sSup>
                    <m:sSupPr>
                      <m:ctrlPr>
                        <w:rPr>
                          <w:rFonts w:ascii="Cambria Math" w:hAnsi="Cambria Math"/>
                          <w:i/>
                        </w:rPr>
                      </m:ctrlPr>
                    </m:sSupPr>
                    <m:e>
                      <m:r>
                        <w:rPr>
                          <w:rFonts w:ascii="Cambria Math" w:hAnsi="Cambria Math"/>
                        </w:rPr>
                        <m:t>(1 - e</m:t>
                      </m:r>
                    </m:e>
                    <m:sup>
                      <m:r>
                        <w:rPr>
                          <w:rFonts w:ascii="Cambria Math" w:hAnsi="Cambria Math"/>
                        </w:rPr>
                        <m:t>-t/</m:t>
                      </m:r>
                      <m:sSub>
                        <m:sSubPr>
                          <m:ctrlPr>
                            <w:rPr>
                              <w:rFonts w:ascii="Cambria Math" w:hAnsi="Cambria Math"/>
                              <w:i/>
                            </w:rPr>
                          </m:ctrlPr>
                        </m:sSubPr>
                        <m:e>
                          <m:r>
                            <w:rPr>
                              <w:rFonts w:ascii="Cambria Math" w:hAnsi="Cambria Math"/>
                            </w:rPr>
                            <m:t>τ</m:t>
                          </m:r>
                        </m:e>
                        <m:sub>
                          <m:r>
                            <w:rPr>
                              <w:rFonts w:ascii="Cambria Math" w:hAnsi="Cambria Math"/>
                            </w:rPr>
                            <m:t>recovery</m:t>
                          </m:r>
                        </m:sub>
                      </m:sSub>
                    </m:sup>
                  </m:sSup>
                  <m:r>
                    <m:rPr>
                      <m:scr m:val="script"/>
                    </m:rPr>
                    <w:rPr>
                      <w:rFonts w:ascii="Cambria Math" w:hAnsi="Cambria Math"/>
                    </w:rPr>
                    <m:t>)H(</m:t>
                  </m:r>
                  <m:sSub>
                    <m:sSubPr>
                      <m:ctrlPr>
                        <w:rPr>
                          <w:rFonts w:ascii="Cambria Math" w:hAnsi="Cambria Math"/>
                          <w:i/>
                        </w:rPr>
                      </m:ctrlPr>
                    </m:sSubPr>
                    <m:e>
                      <m:r>
                        <w:rPr>
                          <w:rFonts w:ascii="Cambria Math" w:hAnsi="Cambria Math"/>
                        </w:rPr>
                        <m:t>t-t</m:t>
                      </m:r>
                    </m:e>
                    <m:sub>
                      <m:r>
                        <w:rPr>
                          <w:rFonts w:ascii="Cambria Math" w:hAnsi="Cambria Math"/>
                        </w:rPr>
                        <m:t>recovery</m:t>
                      </m:r>
                    </m:sub>
                  </m:sSub>
                  <m:r>
                    <w:rPr>
                      <w:rFonts w:ascii="Cambria Math" w:hAnsi="Cambria Math"/>
                    </w:rPr>
                    <m:t>)</m:t>
                  </m:r>
                </m:e>
              </m:d>
            </m:e>
          </m:nary>
        </m:oMath>
      </m:oMathPara>
    </w:p>
    <w:p w14:paraId="34D60B2B" w14:textId="661985C0" w:rsidR="0023481A" w:rsidRPr="000430ED" w:rsidRDefault="0023481A" w:rsidP="00A22FC4">
      <w:pPr>
        <w:tabs>
          <w:tab w:val="center" w:pos="4950"/>
        </w:tabs>
        <w:spacing w:before="100" w:beforeAutospacing="1" w:after="100" w:afterAutospacing="1" w:line="480" w:lineRule="auto"/>
        <w:jc w:val="right"/>
      </w:pPr>
      <w:r>
        <w:t>(S19)</w:t>
      </w:r>
    </w:p>
    <w:p w14:paraId="02E70746" w14:textId="4DE563A9" w:rsidR="0045101E" w:rsidRDefault="00927508">
      <w:pPr>
        <w:spacing w:before="100" w:beforeAutospacing="1" w:after="100" w:afterAutospacing="1" w:line="480" w:lineRule="auto"/>
        <w:jc w:val="both"/>
      </w:pPr>
      <w:r w:rsidRPr="00927508">
        <w:t xml:space="preserve">where </w:t>
      </w:r>
      <m:oMath>
        <m:r>
          <m:rPr>
            <m:scr m:val="script"/>
          </m:rPr>
          <w:rPr>
            <w:rFonts w:ascii="Cambria Math" w:hAnsi="Cambria Math"/>
          </w:rPr>
          <m:t>H</m:t>
        </m:r>
      </m:oMath>
      <w:r w:rsidR="000430ED">
        <w:t xml:space="preserve"> </w:t>
      </w:r>
      <w:r w:rsidRPr="00927508">
        <w:t xml:space="preserve">is the Heaviside step function, dividing </w:t>
      </w:r>
      <w:r w:rsidR="0052233D">
        <w:t xml:space="preserve">temperature ramp up </w:t>
      </w:r>
      <w:r w:rsidR="00505193">
        <w:t>(</w:t>
      </w:r>
      <m:oMath>
        <m:r>
          <w:rPr>
            <w:rFonts w:ascii="Cambria Math" w:hAnsi="Cambria Math"/>
          </w:rPr>
          <m:t>t&lt;</m:t>
        </m:r>
        <m:sSub>
          <m:sSubPr>
            <m:ctrlPr>
              <w:rPr>
                <w:rFonts w:ascii="Cambria Math" w:hAnsi="Cambria Math"/>
                <w:i/>
                <w:iCs/>
              </w:rPr>
            </m:ctrlPr>
          </m:sSubPr>
          <m:e>
            <m:r>
              <w:rPr>
                <w:rFonts w:ascii="Cambria Math" w:hAnsi="Cambria Math"/>
              </w:rPr>
              <m:t>t</m:t>
            </m:r>
          </m:e>
          <m:sub>
            <m:r>
              <w:rPr>
                <w:rFonts w:ascii="Cambria Math" w:hAnsi="Cambria Math"/>
              </w:rPr>
              <m:t>breaking</m:t>
            </m:r>
          </m:sub>
        </m:sSub>
      </m:oMath>
      <w:r w:rsidR="00505193">
        <w:t>)</w:t>
      </w:r>
      <w:r w:rsidRPr="00927508">
        <w:t xml:space="preserve"> and </w:t>
      </w:r>
      <w:r w:rsidR="0052233D">
        <w:t xml:space="preserve">down </w:t>
      </w:r>
      <w:r w:rsidR="00505193">
        <w:t>(</w:t>
      </w:r>
      <m:oMath>
        <m:sSub>
          <m:sSubPr>
            <m:ctrlPr>
              <w:rPr>
                <w:rFonts w:ascii="Cambria Math" w:hAnsi="Cambria Math"/>
                <w:i/>
              </w:rPr>
            </m:ctrlPr>
          </m:sSubPr>
          <m:e>
            <m:r>
              <w:rPr>
                <w:rFonts w:ascii="Cambria Math" w:hAnsi="Cambria Math"/>
              </w:rPr>
              <m:t>t&gt;t</m:t>
            </m:r>
          </m:e>
          <m:sub>
            <m:r>
              <w:rPr>
                <w:rFonts w:ascii="Cambria Math" w:hAnsi="Cambria Math"/>
              </w:rPr>
              <m:t>recovery</m:t>
            </m:r>
          </m:sub>
        </m:sSub>
      </m:oMath>
      <w:r w:rsidR="00505193">
        <w:t>)</w:t>
      </w:r>
      <w:r w:rsidRPr="00927508">
        <w:t xml:space="preserve"> phases</w:t>
      </w:r>
      <w:r w:rsidR="00AB04C5">
        <w:t xml:space="preserve">. </w:t>
      </w:r>
      <w:r w:rsidR="00E87DA6" w:rsidDel="00AB04C5">
        <w:t xml:space="preserve"> </w:t>
      </w:r>
    </w:p>
    <w:p w14:paraId="742D340A" w14:textId="77777777" w:rsidR="0045101E" w:rsidRDefault="0045101E">
      <w:pPr>
        <w:spacing w:after="160" w:line="278" w:lineRule="auto"/>
      </w:pPr>
      <w:r>
        <w:br w:type="page"/>
      </w:r>
    </w:p>
    <w:p w14:paraId="44355AB3" w14:textId="619C07B0" w:rsidR="00B40040" w:rsidRDefault="0045101E">
      <w:pPr>
        <w:spacing w:before="100" w:beforeAutospacing="1" w:after="100" w:afterAutospacing="1" w:line="480" w:lineRule="auto"/>
        <w:jc w:val="both"/>
        <w:rPr>
          <w:b/>
          <w:bCs/>
          <w:u w:val="single"/>
        </w:rPr>
      </w:pPr>
      <w:r w:rsidRPr="0045101E">
        <w:rPr>
          <w:b/>
          <w:bCs/>
          <w:u w:val="single"/>
        </w:rPr>
        <w:lastRenderedPageBreak/>
        <w:t>Supplementary Note 10</w:t>
      </w:r>
    </w:p>
    <w:p w14:paraId="262551CB" w14:textId="11A24603" w:rsidR="00EC026A" w:rsidRPr="00EB5F28" w:rsidRDefault="00EB5F28">
      <w:pPr>
        <w:spacing w:before="100" w:beforeAutospacing="1" w:after="100" w:afterAutospacing="1" w:line="480" w:lineRule="auto"/>
        <w:jc w:val="both"/>
        <w:rPr>
          <w:b/>
          <w:bCs/>
        </w:rPr>
      </w:pPr>
      <w:r w:rsidRPr="00EB5F28">
        <w:rPr>
          <w:b/>
          <w:bCs/>
        </w:rPr>
        <w:t xml:space="preserve">Compression </w:t>
      </w:r>
      <w:r>
        <w:rPr>
          <w:b/>
          <w:bCs/>
        </w:rPr>
        <w:t xml:space="preserve">and Adhesion </w:t>
      </w:r>
      <w:r w:rsidRPr="00EB5F28">
        <w:rPr>
          <w:b/>
          <w:bCs/>
        </w:rPr>
        <w:t>Test of Ionic Biogel</w:t>
      </w:r>
    </w:p>
    <w:p w14:paraId="591C917F" w14:textId="4B8B5F5D" w:rsidR="00B16888" w:rsidRDefault="0045101E">
      <w:pPr>
        <w:spacing w:before="100" w:beforeAutospacing="1" w:after="100" w:afterAutospacing="1" w:line="480" w:lineRule="auto"/>
        <w:jc w:val="both"/>
        <w:rPr>
          <w:color w:val="000000" w:themeColor="text1"/>
          <w:lang w:val="en-GB"/>
        </w:rPr>
      </w:pPr>
      <w:r w:rsidRPr="451B7F4F">
        <w:rPr>
          <w:color w:val="000000" w:themeColor="text1"/>
          <w:lang w:val="en-GB"/>
        </w:rPr>
        <w:t xml:space="preserve">The ionic biogel has a very low shear modulus of 6.75 kPa </w:t>
      </w:r>
      <w:r w:rsidRPr="451B7F4F">
        <w:rPr>
          <w:b/>
          <w:bCs/>
          <w:color w:val="000000" w:themeColor="text1"/>
          <w:lang w:val="en-GB"/>
        </w:rPr>
        <w:t>(Figure S</w:t>
      </w:r>
      <w:r w:rsidR="00FE2D48">
        <w:rPr>
          <w:b/>
          <w:bCs/>
          <w:color w:val="000000" w:themeColor="text1"/>
          <w:lang w:val="en-GB"/>
        </w:rPr>
        <w:t>17</w:t>
      </w:r>
      <w:r w:rsidRPr="451B7F4F">
        <w:rPr>
          <w:b/>
          <w:bCs/>
          <w:color w:val="000000" w:themeColor="text1"/>
          <w:lang w:val="en-GB"/>
        </w:rPr>
        <w:t>)</w:t>
      </w:r>
      <w:r w:rsidRPr="451B7F4F">
        <w:rPr>
          <w:color w:val="000000" w:themeColor="text1"/>
          <w:lang w:val="en-GB"/>
        </w:rPr>
        <w:t>.  However, the material exhibits a strain-stiffening effect</w:t>
      </w:r>
      <w:r>
        <w:rPr>
          <w:color w:val="000000" w:themeColor="text1"/>
          <w:lang w:val="en-GB"/>
        </w:rPr>
        <w:fldChar w:fldCharType="begin"/>
      </w:r>
      <w:r w:rsidR="00785CB3">
        <w:rPr>
          <w:color w:val="000000" w:themeColor="text1"/>
          <w:lang w:val="en-GB"/>
        </w:rPr>
        <w:instrText xml:space="preserve"> ADDIN ZOTERO_ITEM CSL_CITATION {"citationID":"AlzV1pD4","properties":{"formattedCitation":"\\super 14\\nosupersub{}","plainCitation":"14","noteIndex":0},"citationItems":[{"id":1295,"uris":["http://zotero.org/users/12063952/items/HDTIQENW"],"itemData":{"id":1295,"type":"article-journal","abstract":"Abstract\n            The stiffness of hydrogels is crucial for their application. Nature’s hydrogels become stiffer as they are strained. This stiffness is not constant but increases when the gel is strained. This stiffening is used, for instance, by cells that actively strain their environment to modulate their function. When optimized, such strain-stiffening materials become extremely sensitive and very responsive to stress. Strain stiffening, however, is unexplored in synthetic gels since the structural design parameters are unknown. Here we uncover how readily tuneable parameters such as concentration, temperature and polymer length impact the stiffening behaviour. Our work also reveals the marginal point, a well-described but never observed, critical point in the gelation process. Around this point, we observe a transition from a low-viscous liquid to an elastic gel upon applying minute stresses. Our experimental work in combination with network theory yields universal design principles for future strain-stiffening materials.","container-title":"Nature Communications","DOI":"10.1038/ncomms6808","ISSN":"2041-1723","issue":"1","journalAbbreviation":"Nat Commun","language":"en","page":"5808","source":"DOI.org (Crossref)","title":"Ultra-responsive soft matter from strain-stiffening hydrogels","volume":"5","author":[{"family":"Jaspers","given":"Maarten"},{"family":"Dennison","given":"Matthew"},{"family":"Mabesoone","given":"Mathijs F. J."},{"family":"MacKintosh","given":"Frederick C."},{"family":"Rowan","given":"Alan E."},{"family":"Kouwer","given":"Paul H. J."}],"issued":{"date-parts":[["2014",12,16]]}}}],"schema":"https://github.com/citation-style-language/schema/raw/master/csl-citation.json"} </w:instrText>
      </w:r>
      <w:r>
        <w:rPr>
          <w:color w:val="000000" w:themeColor="text1"/>
          <w:lang w:val="en-GB"/>
        </w:rPr>
        <w:fldChar w:fldCharType="separate"/>
      </w:r>
      <w:r w:rsidR="00785CB3" w:rsidRPr="00785CB3">
        <w:rPr>
          <w:vertAlign w:val="superscript"/>
        </w:rPr>
        <w:t>14</w:t>
      </w:r>
      <w:r>
        <w:rPr>
          <w:color w:val="000000" w:themeColor="text1"/>
          <w:lang w:val="en-GB"/>
        </w:rPr>
        <w:fldChar w:fldCharType="end"/>
      </w:r>
      <w:r w:rsidRPr="451B7F4F">
        <w:rPr>
          <w:color w:val="000000" w:themeColor="text1"/>
          <w:lang w:val="en-GB"/>
        </w:rPr>
        <w:t xml:space="preserve"> </w:t>
      </w:r>
      <w:r>
        <w:rPr>
          <w:color w:val="000000" w:themeColor="text1"/>
          <w:lang w:val="en-GB"/>
        </w:rPr>
        <w:t xml:space="preserve">for larger strain (&gt;20%) </w:t>
      </w:r>
      <w:r w:rsidRPr="451B7F4F">
        <w:rPr>
          <w:color w:val="000000" w:themeColor="text1"/>
          <w:lang w:val="en-GB"/>
        </w:rPr>
        <w:t xml:space="preserve">in the compression test with </w:t>
      </w:r>
      <w:r>
        <w:rPr>
          <w:color w:val="000000" w:themeColor="text1"/>
          <w:lang w:val="en-GB"/>
        </w:rPr>
        <w:t>a plateau modulus</w:t>
      </w:r>
      <w:r w:rsidRPr="451B7F4F">
        <w:rPr>
          <w:color w:val="000000" w:themeColor="text1"/>
          <w:lang w:val="en-GB"/>
        </w:rPr>
        <w:t xml:space="preserve"> of </w:t>
      </w:r>
      <w:r>
        <w:rPr>
          <w:color w:val="000000" w:themeColor="text1"/>
          <w:lang w:val="en-GB"/>
        </w:rPr>
        <w:t>~50</w:t>
      </w:r>
      <w:r w:rsidRPr="451B7F4F">
        <w:rPr>
          <w:color w:val="000000" w:themeColor="text1"/>
          <w:lang w:val="en-GB"/>
        </w:rPr>
        <w:t xml:space="preserve"> </w:t>
      </w:r>
      <w:r>
        <w:rPr>
          <w:color w:val="000000" w:themeColor="text1"/>
          <w:lang w:val="en-GB"/>
        </w:rPr>
        <w:t>k</w:t>
      </w:r>
      <w:r w:rsidRPr="451B7F4F">
        <w:rPr>
          <w:color w:val="000000" w:themeColor="text1"/>
          <w:lang w:val="en-GB"/>
        </w:rPr>
        <w:t>Pa</w:t>
      </w:r>
      <w:r>
        <w:rPr>
          <w:color w:val="000000" w:themeColor="text1"/>
          <w:lang w:val="en-GB"/>
        </w:rPr>
        <w:t xml:space="preserve"> </w:t>
      </w:r>
      <w:r w:rsidRPr="451B7F4F">
        <w:rPr>
          <w:b/>
          <w:bCs/>
          <w:color w:val="000000" w:themeColor="text1"/>
          <w:lang w:val="en-GB"/>
        </w:rPr>
        <w:t xml:space="preserve">(Figure </w:t>
      </w:r>
      <w:r w:rsidR="00D55603">
        <w:rPr>
          <w:b/>
          <w:bCs/>
          <w:color w:val="000000" w:themeColor="text1"/>
          <w:lang w:val="en-GB"/>
        </w:rPr>
        <w:t>S</w:t>
      </w:r>
      <w:r w:rsidR="00FE2D48">
        <w:rPr>
          <w:b/>
          <w:bCs/>
          <w:color w:val="000000" w:themeColor="text1"/>
          <w:lang w:val="en-GB"/>
        </w:rPr>
        <w:t>18</w:t>
      </w:r>
      <w:r w:rsidRPr="451B7F4F">
        <w:rPr>
          <w:b/>
          <w:bCs/>
          <w:color w:val="000000" w:themeColor="text1"/>
          <w:lang w:val="en-GB"/>
        </w:rPr>
        <w:t>)</w:t>
      </w:r>
      <w:r w:rsidRPr="451B7F4F">
        <w:rPr>
          <w:color w:val="000000" w:themeColor="text1"/>
          <w:lang w:val="en-GB"/>
        </w:rPr>
        <w:t xml:space="preserve">.  Compared with the strong adhesion in the normal direction </w:t>
      </w:r>
      <w:r w:rsidRPr="451B7F4F">
        <w:rPr>
          <w:b/>
          <w:bCs/>
          <w:color w:val="000000" w:themeColor="text1"/>
          <w:lang w:val="en-GB"/>
        </w:rPr>
        <w:t>(Figure S</w:t>
      </w:r>
      <w:r w:rsidR="00FE2D48">
        <w:rPr>
          <w:b/>
          <w:bCs/>
          <w:color w:val="000000" w:themeColor="text1"/>
          <w:lang w:val="en-GB"/>
        </w:rPr>
        <w:t>19</w:t>
      </w:r>
      <w:r w:rsidRPr="451B7F4F">
        <w:rPr>
          <w:b/>
          <w:bCs/>
          <w:color w:val="000000" w:themeColor="text1"/>
          <w:lang w:val="en-GB"/>
        </w:rPr>
        <w:t>)</w:t>
      </w:r>
      <w:r w:rsidRPr="008B1044">
        <w:rPr>
          <w:color w:val="000000" w:themeColor="text1"/>
          <w:lang w:val="en-GB"/>
        </w:rPr>
        <w:t>,</w:t>
      </w:r>
      <w:r w:rsidRPr="451B7F4F">
        <w:rPr>
          <w:color w:val="000000" w:themeColor="text1"/>
          <w:lang w:val="en-GB"/>
        </w:rPr>
        <w:t xml:space="preserve"> the lap-shear adhesion strength in the shear direction is significantly smaller </w:t>
      </w:r>
      <w:r w:rsidRPr="451B7F4F">
        <w:rPr>
          <w:b/>
          <w:bCs/>
          <w:color w:val="000000" w:themeColor="text1"/>
          <w:lang w:val="en-GB"/>
        </w:rPr>
        <w:t>(</w:t>
      </w:r>
      <w:r w:rsidR="00115D10">
        <w:rPr>
          <w:b/>
          <w:bCs/>
          <w:color w:val="000000" w:themeColor="text1"/>
          <w:lang w:val="en-GB"/>
        </w:rPr>
        <w:t xml:space="preserve">Extended </w:t>
      </w:r>
      <w:r w:rsidRPr="451B7F4F">
        <w:rPr>
          <w:b/>
          <w:bCs/>
          <w:color w:val="000000" w:themeColor="text1"/>
          <w:lang w:val="en-GB"/>
        </w:rPr>
        <w:t xml:space="preserve">Figure </w:t>
      </w:r>
      <w:r w:rsidR="00115D10">
        <w:rPr>
          <w:b/>
          <w:bCs/>
          <w:color w:val="000000" w:themeColor="text1"/>
          <w:lang w:val="en-GB"/>
        </w:rPr>
        <w:t>3d</w:t>
      </w:r>
      <w:r w:rsidRPr="451B7F4F">
        <w:rPr>
          <w:b/>
          <w:bCs/>
          <w:color w:val="000000" w:themeColor="text1"/>
          <w:lang w:val="en-GB"/>
        </w:rPr>
        <w:t>)</w:t>
      </w:r>
      <w:r w:rsidRPr="451B7F4F">
        <w:rPr>
          <w:color w:val="000000" w:themeColor="text1"/>
          <w:lang w:val="en-GB"/>
        </w:rPr>
        <w:t>.</w:t>
      </w:r>
    </w:p>
    <w:p w14:paraId="29FD2412" w14:textId="77777777" w:rsidR="00B16888" w:rsidRDefault="00B16888">
      <w:pPr>
        <w:spacing w:after="160" w:line="278" w:lineRule="auto"/>
        <w:rPr>
          <w:color w:val="000000" w:themeColor="text1"/>
          <w:lang w:val="en-GB"/>
        </w:rPr>
      </w:pPr>
      <w:r>
        <w:rPr>
          <w:color w:val="000000" w:themeColor="text1"/>
          <w:lang w:val="en-GB"/>
        </w:rPr>
        <w:br w:type="page"/>
      </w:r>
    </w:p>
    <w:p w14:paraId="3B090E68" w14:textId="4E9E8875" w:rsidR="0045101E" w:rsidRDefault="00B16888">
      <w:pPr>
        <w:spacing w:before="100" w:beforeAutospacing="1" w:after="100" w:afterAutospacing="1" w:line="480" w:lineRule="auto"/>
        <w:jc w:val="both"/>
        <w:rPr>
          <w:b/>
          <w:bCs/>
          <w:u w:val="single"/>
        </w:rPr>
      </w:pPr>
      <w:r w:rsidRPr="002D2355">
        <w:rPr>
          <w:b/>
          <w:bCs/>
          <w:u w:val="single"/>
        </w:rPr>
        <w:lastRenderedPageBreak/>
        <w:t>Supplementary Note 11</w:t>
      </w:r>
    </w:p>
    <w:p w14:paraId="4630A77B" w14:textId="1C144593" w:rsidR="00EB5F28" w:rsidRPr="0087788B" w:rsidRDefault="0087788B">
      <w:pPr>
        <w:spacing w:before="100" w:beforeAutospacing="1" w:after="100" w:afterAutospacing="1" w:line="480" w:lineRule="auto"/>
        <w:jc w:val="both"/>
        <w:rPr>
          <w:b/>
          <w:bCs/>
        </w:rPr>
      </w:pPr>
      <w:r w:rsidRPr="0087788B">
        <w:rPr>
          <w:b/>
          <w:bCs/>
        </w:rPr>
        <w:t>Water Retention, Water Vapor Transmission Rate Test for Ionic Biogel</w:t>
      </w:r>
    </w:p>
    <w:p w14:paraId="332BF3AE" w14:textId="4868C16A" w:rsidR="00B16888" w:rsidRDefault="002D2355">
      <w:pPr>
        <w:spacing w:before="100" w:beforeAutospacing="1" w:after="100" w:afterAutospacing="1" w:line="480" w:lineRule="auto"/>
        <w:jc w:val="both"/>
      </w:pPr>
      <w:r w:rsidRPr="451B7F4F">
        <w:rPr>
          <w:color w:val="000000" w:themeColor="text1"/>
          <w:lang w:val="en-GB"/>
        </w:rPr>
        <w:t xml:space="preserve">Thermogravimetric analysis (TGA) is carried out by ramping the temperature at a rate of 5°C/min to 150°C followed by holding for 5 mins.  The ionic biogel shows a much better water-retention property (~97% at 70°C) compared to the normal biogel (~88%) </w:t>
      </w:r>
      <w:r w:rsidRPr="451B7F4F">
        <w:rPr>
          <w:b/>
          <w:bCs/>
          <w:color w:val="000000" w:themeColor="text1"/>
          <w:lang w:val="en-GB"/>
        </w:rPr>
        <w:t xml:space="preserve">(Figure </w:t>
      </w:r>
      <w:r w:rsidR="002215D9">
        <w:rPr>
          <w:b/>
          <w:bCs/>
          <w:color w:val="000000" w:themeColor="text1"/>
          <w:lang w:val="en-GB"/>
        </w:rPr>
        <w:t>2c</w:t>
      </w:r>
      <w:r w:rsidRPr="451B7F4F">
        <w:rPr>
          <w:b/>
          <w:bCs/>
          <w:color w:val="000000" w:themeColor="text1"/>
          <w:lang w:val="en-GB"/>
        </w:rPr>
        <w:t>)</w:t>
      </w:r>
      <w:r w:rsidRPr="451B7F4F">
        <w:rPr>
          <w:color w:val="000000" w:themeColor="text1"/>
          <w:lang w:val="en-GB"/>
        </w:rPr>
        <w:t xml:space="preserve">.  The ionic biogel also retains about 91% of its weight </w:t>
      </w:r>
      <w:r>
        <w:rPr>
          <w:color w:val="000000" w:themeColor="text1"/>
          <w:lang w:val="en-GB"/>
        </w:rPr>
        <w:t>in the</w:t>
      </w:r>
      <w:r w:rsidRPr="451B7F4F">
        <w:rPr>
          <w:color w:val="000000" w:themeColor="text1"/>
          <w:lang w:val="en-GB"/>
        </w:rPr>
        <w:t xml:space="preserve"> </w:t>
      </w:r>
      <w:r>
        <w:rPr>
          <w:color w:val="000000" w:themeColor="text1"/>
          <w:lang w:val="en-GB"/>
        </w:rPr>
        <w:t>first</w:t>
      </w:r>
      <w:r w:rsidRPr="451B7F4F">
        <w:rPr>
          <w:color w:val="000000" w:themeColor="text1"/>
          <w:lang w:val="en-GB"/>
        </w:rPr>
        <w:t xml:space="preserve"> week</w:t>
      </w:r>
      <w:r>
        <w:rPr>
          <w:color w:val="000000" w:themeColor="text1"/>
          <w:lang w:val="en-GB"/>
        </w:rPr>
        <w:t xml:space="preserve"> and saturates around 89% till 3 weeks</w:t>
      </w:r>
      <w:r w:rsidRPr="451B7F4F">
        <w:rPr>
          <w:color w:val="000000" w:themeColor="text1"/>
          <w:lang w:val="en-GB"/>
        </w:rPr>
        <w:t xml:space="preserve">, whereas the biogel counterpart loses about 20% of its weight </w:t>
      </w:r>
      <w:r>
        <w:rPr>
          <w:color w:val="000000" w:themeColor="text1"/>
          <w:lang w:val="en-GB"/>
        </w:rPr>
        <w:t xml:space="preserve">in the first week </w:t>
      </w:r>
      <w:r w:rsidRPr="451B7F4F">
        <w:rPr>
          <w:b/>
          <w:bCs/>
          <w:color w:val="000000" w:themeColor="text1"/>
          <w:lang w:val="en-GB"/>
        </w:rPr>
        <w:t>(Figure S</w:t>
      </w:r>
      <w:r w:rsidR="00153C71">
        <w:rPr>
          <w:b/>
          <w:bCs/>
          <w:color w:val="000000" w:themeColor="text1"/>
          <w:lang w:val="en-GB"/>
        </w:rPr>
        <w:t>2</w:t>
      </w:r>
      <w:r w:rsidR="00B469DA">
        <w:rPr>
          <w:b/>
          <w:bCs/>
          <w:color w:val="000000" w:themeColor="text1"/>
          <w:lang w:val="en-GB"/>
        </w:rPr>
        <w:t>0</w:t>
      </w:r>
      <w:r w:rsidRPr="451B7F4F">
        <w:rPr>
          <w:b/>
          <w:bCs/>
          <w:color w:val="000000" w:themeColor="text1"/>
          <w:lang w:val="en-GB"/>
        </w:rPr>
        <w:t>)</w:t>
      </w:r>
      <w:r w:rsidRPr="451B7F4F">
        <w:rPr>
          <w:color w:val="000000" w:themeColor="text1"/>
          <w:lang w:val="en-GB"/>
        </w:rPr>
        <w:t xml:space="preserve">.  The hierarchically porous structure of the ionic biogel from phase separation also exhibits a high water vapour transmission rate (WVTR) of ~1417 </w:t>
      </w:r>
      <w:r>
        <w:rPr>
          <w:color w:val="000000" w:themeColor="text1"/>
          <w:lang w:val="en-GB"/>
        </w:rPr>
        <w:t>g/</w:t>
      </w:r>
      <w:r w:rsidRPr="451B7F4F">
        <w:rPr>
          <w:color w:val="000000" w:themeColor="text1"/>
          <w:lang w:val="en-GB"/>
        </w:rPr>
        <w:t>m</w:t>
      </w:r>
      <w:r w:rsidRPr="451B7F4F">
        <w:rPr>
          <w:color w:val="000000" w:themeColor="text1"/>
          <w:vertAlign w:val="superscript"/>
          <w:lang w:val="en-GB"/>
        </w:rPr>
        <w:t>2</w:t>
      </w:r>
      <w:r w:rsidRPr="451B7F4F">
        <w:rPr>
          <w:color w:val="000000" w:themeColor="text1"/>
          <w:lang w:val="en-GB"/>
        </w:rPr>
        <w:t>/day</w:t>
      </w:r>
      <w:r>
        <w:rPr>
          <w:color w:val="000000" w:themeColor="text1"/>
          <w:lang w:val="en-GB"/>
        </w:rPr>
        <w:t>,</w:t>
      </w:r>
      <w:r w:rsidRPr="451B7F4F">
        <w:rPr>
          <w:color w:val="000000" w:themeColor="text1"/>
          <w:lang w:val="en-GB"/>
        </w:rPr>
        <w:t xml:space="preserve"> </w:t>
      </w:r>
      <w:r>
        <w:rPr>
          <w:color w:val="000000" w:themeColor="text1"/>
          <w:lang w:val="en-GB"/>
        </w:rPr>
        <w:t xml:space="preserve">which </w:t>
      </w:r>
      <w:r w:rsidRPr="451B7F4F">
        <w:rPr>
          <w:color w:val="000000" w:themeColor="text1"/>
          <w:lang w:val="en-GB"/>
        </w:rPr>
        <w:t xml:space="preserve">is reasonably close to that of 1725 </w:t>
      </w:r>
      <w:r>
        <w:rPr>
          <w:color w:val="000000" w:themeColor="text1"/>
          <w:lang w:val="en-GB"/>
        </w:rPr>
        <w:t>g/</w:t>
      </w:r>
      <w:r w:rsidRPr="451B7F4F">
        <w:rPr>
          <w:color w:val="000000" w:themeColor="text1"/>
          <w:lang w:val="en-GB"/>
        </w:rPr>
        <w:t>m</w:t>
      </w:r>
      <w:r w:rsidRPr="451B7F4F">
        <w:rPr>
          <w:color w:val="000000" w:themeColor="text1"/>
          <w:vertAlign w:val="superscript"/>
          <w:lang w:val="en-GB"/>
        </w:rPr>
        <w:t>2</w:t>
      </w:r>
      <w:r w:rsidRPr="451B7F4F">
        <w:rPr>
          <w:color w:val="000000" w:themeColor="text1"/>
          <w:lang w:val="en-GB"/>
        </w:rPr>
        <w:t>/day from the open bottle</w:t>
      </w:r>
      <w:r>
        <w:rPr>
          <w:color w:val="000000" w:themeColor="text1"/>
          <w:lang w:val="en-GB"/>
        </w:rPr>
        <w:t xml:space="preserve"> and more than the maximum transdermal water loss of 1050 g/</w:t>
      </w:r>
      <w:r w:rsidRPr="451B7F4F">
        <w:rPr>
          <w:color w:val="000000" w:themeColor="text1"/>
          <w:lang w:val="en-GB"/>
        </w:rPr>
        <w:t>m</w:t>
      </w:r>
      <w:r w:rsidRPr="451B7F4F">
        <w:rPr>
          <w:color w:val="000000" w:themeColor="text1"/>
          <w:vertAlign w:val="superscript"/>
          <w:lang w:val="en-GB"/>
        </w:rPr>
        <w:t>2</w:t>
      </w:r>
      <w:r w:rsidRPr="451B7F4F">
        <w:rPr>
          <w:color w:val="000000" w:themeColor="text1"/>
          <w:lang w:val="en-GB"/>
        </w:rPr>
        <w:t>/day</w:t>
      </w:r>
      <w:r>
        <w:rPr>
          <w:color w:val="000000" w:themeColor="text1"/>
          <w:lang w:val="en-GB"/>
        </w:rPr>
        <w:t xml:space="preserve"> (typically from </w:t>
      </w:r>
      <w:r w:rsidRPr="00815702">
        <w:rPr>
          <w:color w:val="000000" w:themeColor="text1"/>
          <w:lang w:val="en-GB"/>
        </w:rPr>
        <w:t>axilla</w:t>
      </w:r>
      <w:r>
        <w:rPr>
          <w:color w:val="000000" w:themeColor="text1"/>
          <w:lang w:val="en-GB"/>
        </w:rPr>
        <w:t>)</w:t>
      </w:r>
      <w:r>
        <w:rPr>
          <w:color w:val="000000" w:themeColor="text1"/>
          <w:lang w:val="en-GB"/>
        </w:rPr>
        <w:fldChar w:fldCharType="begin"/>
      </w:r>
      <w:r w:rsidR="00785CB3">
        <w:rPr>
          <w:color w:val="000000" w:themeColor="text1"/>
          <w:lang w:val="en-GB"/>
        </w:rPr>
        <w:instrText xml:space="preserve"> ADDIN ZOTERO_ITEM CSL_CITATION {"citationID":"vThlvyVn","properties":{"formattedCitation":"\\super 15\\nosupersub{}","plainCitation":"15","noteIndex":0},"citationItems":[{"id":1299,"uris":["http://zotero.org/users/12063952/items/IPSTNWDT"],"itemData":{"id":1299,"type":"article-journal","abstract":"Transepidermal water loss (TEWL) is regarded as one of the most important parameters for characterizing skin barrier function but an agreed upon definition of what a “normal” TEWL is does not exist. In order to determine generalizable TEWL values for healthy adults, a systematic review and meta-analysis was conducted. The databases MEDLINE and EMBASE and publication lists were screened. After full-text appraisal of 398 studies, 231 studies were excluded due to unclear or insufficient reporting. 167 studies providing data about 50 skin areas were included in the final data synthesis. Pooled sample sizes ranged from n = 5 for the left cheek and the left lower back to a maximum of n = 2,838 for the right midvolar forearm area. The lowest TEWL of 2.3 (95 % CI 1.9–2.7) g/m2/h was calculated for the breast skin, the highest TEWL of 44.0 (39.8–48.2) g/m2/h for the axilla. TEWL in individuals being 65 years and above was consistently lower compared to the group of 18- to 64-year-old individuals. The quality of reporting TEWL in humans should be increased in future studies.","container-title":"Archives of Dermatological Research","DOI":"10.1007/s00403-012-1313-6","ISSN":"1432-069X","issue":"4","journalAbbreviation":"Arch Dermatol Res","language":"en","page":"315-323","source":"Springer Link","title":"Transepidermal water loss in young and aged healthy humans: a systematic review and meta-analysis","title-short":"Transepidermal water loss in young and aged healthy humans","volume":"305","author":[{"family":"Kottner","given":"Jan"},{"family":"Lichterfeld","given":"Andrea"},{"family":"Blume-Peytavi","given":"Ulrike"}],"issued":{"date-parts":[["2013",5,1]]}}}],"schema":"https://github.com/citation-style-language/schema/raw/master/csl-citation.json"} </w:instrText>
      </w:r>
      <w:r>
        <w:rPr>
          <w:color w:val="000000" w:themeColor="text1"/>
          <w:lang w:val="en-GB"/>
        </w:rPr>
        <w:fldChar w:fldCharType="separate"/>
      </w:r>
      <w:r w:rsidR="00785CB3" w:rsidRPr="00785CB3">
        <w:rPr>
          <w:vertAlign w:val="superscript"/>
        </w:rPr>
        <w:t>15</w:t>
      </w:r>
      <w:r>
        <w:rPr>
          <w:color w:val="000000" w:themeColor="text1"/>
          <w:lang w:val="en-GB"/>
        </w:rPr>
        <w:fldChar w:fldCharType="end"/>
      </w:r>
      <w:r w:rsidRPr="451B7F4F">
        <w:rPr>
          <w:color w:val="000000" w:themeColor="text1"/>
          <w:lang w:val="en-GB"/>
        </w:rPr>
        <w:t xml:space="preserve"> </w:t>
      </w:r>
      <w:r w:rsidRPr="451B7F4F">
        <w:rPr>
          <w:b/>
          <w:bCs/>
          <w:color w:val="000000" w:themeColor="text1"/>
          <w:lang w:val="en-GB"/>
        </w:rPr>
        <w:t>(</w:t>
      </w:r>
      <w:r w:rsidR="00115D10">
        <w:rPr>
          <w:b/>
          <w:bCs/>
          <w:color w:val="000000" w:themeColor="text1"/>
          <w:lang w:val="en-GB"/>
        </w:rPr>
        <w:t xml:space="preserve">Extended </w:t>
      </w:r>
      <w:r w:rsidRPr="451B7F4F">
        <w:rPr>
          <w:b/>
          <w:bCs/>
          <w:color w:val="000000" w:themeColor="text1"/>
          <w:lang w:val="en-GB"/>
        </w:rPr>
        <w:t xml:space="preserve">Figure </w:t>
      </w:r>
      <w:r w:rsidR="00115D10">
        <w:rPr>
          <w:b/>
          <w:bCs/>
          <w:color w:val="000000" w:themeColor="text1"/>
          <w:lang w:val="en-GB"/>
        </w:rPr>
        <w:t>3e</w:t>
      </w:r>
      <w:r w:rsidRPr="451B7F4F">
        <w:rPr>
          <w:b/>
          <w:bCs/>
          <w:color w:val="000000" w:themeColor="text1"/>
          <w:lang w:val="en-GB"/>
        </w:rPr>
        <w:t>)</w:t>
      </w:r>
      <w:r w:rsidRPr="451B7F4F">
        <w:rPr>
          <w:color w:val="000000" w:themeColor="text1"/>
          <w:lang w:val="en-GB"/>
        </w:rPr>
        <w:t xml:space="preserve"> as measured according to the ASTM E96-95 standard.  As a result, the ionic biogel with high air and moisture permeabilities makes it particularly suitable for comfortable, long-term use on the skin surface in varying complex scenarios.</w:t>
      </w:r>
    </w:p>
    <w:p w14:paraId="72689AAE" w14:textId="77777777" w:rsidR="00B40040" w:rsidRDefault="00B40040">
      <w:pPr>
        <w:spacing w:after="160" w:line="278" w:lineRule="auto"/>
      </w:pPr>
      <w:r>
        <w:br w:type="page"/>
      </w:r>
    </w:p>
    <w:p w14:paraId="0056B0B1" w14:textId="5BF283B2" w:rsidR="00C440BB" w:rsidRDefault="00C440BB" w:rsidP="00C440BB">
      <w:pPr>
        <w:spacing w:line="480" w:lineRule="auto"/>
        <w:jc w:val="both"/>
        <w:rPr>
          <w:b/>
          <w:bCs/>
          <w:u w:val="single"/>
        </w:rPr>
      </w:pPr>
      <w:r w:rsidRPr="009F29EF">
        <w:rPr>
          <w:b/>
          <w:bCs/>
          <w:u w:val="single"/>
        </w:rPr>
        <w:lastRenderedPageBreak/>
        <w:t xml:space="preserve">Supplementary Note </w:t>
      </w:r>
      <w:r w:rsidR="00E006EF">
        <w:rPr>
          <w:b/>
          <w:bCs/>
          <w:u w:val="single"/>
        </w:rPr>
        <w:t>12</w:t>
      </w:r>
    </w:p>
    <w:p w14:paraId="6BA761DF" w14:textId="7C2CF934" w:rsidR="00C440BB" w:rsidRPr="003F7C08" w:rsidRDefault="00C440BB" w:rsidP="00C440BB">
      <w:pPr>
        <w:spacing w:before="100" w:beforeAutospacing="1" w:after="100" w:afterAutospacing="1" w:line="480" w:lineRule="auto"/>
        <w:jc w:val="both"/>
        <w:rPr>
          <w:b/>
        </w:rPr>
      </w:pPr>
      <w:r w:rsidRPr="003F7C08">
        <w:rPr>
          <w:b/>
        </w:rPr>
        <w:t>Synergistic Thermodiffusion and Thermogalvanic</w:t>
      </w:r>
      <w:r w:rsidR="006E0682" w:rsidRPr="003F7C08">
        <w:rPr>
          <w:b/>
        </w:rPr>
        <w:t xml:space="preserve"> </w:t>
      </w:r>
      <w:r w:rsidR="009B4BFD">
        <w:rPr>
          <w:b/>
          <w:bCs/>
        </w:rPr>
        <w:t>Effect</w:t>
      </w:r>
      <w:r w:rsidR="009B4BFD" w:rsidRPr="003F7C08">
        <w:rPr>
          <w:b/>
          <w:bCs/>
        </w:rPr>
        <w:t xml:space="preserve"> </w:t>
      </w:r>
      <w:r w:rsidR="006E0682" w:rsidRPr="003F7C08">
        <w:rPr>
          <w:b/>
        </w:rPr>
        <w:t xml:space="preserve">on Ionic </w:t>
      </w:r>
      <w:r w:rsidR="00A44484" w:rsidRPr="003F7C08">
        <w:rPr>
          <w:b/>
        </w:rPr>
        <w:t>Biogel</w:t>
      </w:r>
    </w:p>
    <w:p w14:paraId="5F0477F9" w14:textId="16FE8076" w:rsidR="00B40040" w:rsidRDefault="00B40040" w:rsidP="00E006EF">
      <w:pPr>
        <w:spacing w:before="100" w:beforeAutospacing="1" w:after="100" w:afterAutospacing="1" w:line="480" w:lineRule="auto"/>
        <w:jc w:val="both"/>
      </w:pPr>
      <w:r>
        <w:t>The observed thermoelectric behavio</w:t>
      </w:r>
      <w:r w:rsidR="00357751">
        <w:t>u</w:t>
      </w:r>
      <w:r>
        <w:t xml:space="preserve">r in the </w:t>
      </w:r>
      <w:r w:rsidR="00A44484">
        <w:t>ionic biogel</w:t>
      </w:r>
      <w:r>
        <w:t xml:space="preserve"> composite arises from the </w:t>
      </w:r>
      <w:r w:rsidR="00A44484">
        <w:t>synergy</w:t>
      </w:r>
      <w:r>
        <w:t xml:space="preserve"> of thermodiffusion and thermogalvanic effects, each of which has been studied separately in previous works</w:t>
      </w:r>
      <w:r w:rsidR="00C96D17">
        <w:fldChar w:fldCharType="begin"/>
      </w:r>
      <w:r w:rsidR="00785CB3">
        <w:instrText xml:space="preserve"> ADDIN ZOTERO_ITEM CSL_CITATION {"citationID":"1eg06RxT","properties":{"formattedCitation":"\\super 16\\nosupersub{}","plainCitation":"16","noteIndex":0},"citationItems":[{"id":1221,"uris":["http://zotero.org/users/12063952/items/4FVJCLFE"],"itemData":{"id":1221,"type":"article-journal","abstract":"Improving ionic thermoelectrics\n            \n              Using ions as charge carriers in thermoelectric devices usually requires using either thermal diffusion or redox reactions at two electrodes with different temperatures. Han\n              et al.\n              leveraged both of these strategies to develop a gelatin-based ionic thermoelectric device that uses alkali salts and an iron-based redox couple to generate a large thermopower. This device is capable of generating useful amounts of energy from body heat.\n            \n            \n              Science\n              , this issue p.\n              1091\n            \n          , \n            A gelatin-based ionic thermoelectric material has high thermopower for conversion of body heat to energy.\n          , \n            \n              Harvesting heat from the environment into electricity has the potential to power Internet-of-things (IoT) sensors, freeing them from cables or batteries and thus making them especially useful for wearable devices. We demonstrate a giant positive thermopower of 17.0 millivolts per degree Kelvin in a flexible, quasi-solid-state, ionic thermoelectric material using synergistic thermodiffusion and thermogalvanic effects. The ionic thermoelectric material is a gelatin matrix modulated with ion providers (KCl, NaCl, and KNO\n              3\n              ) for thermodiffusion effect and a redox couple [Fe(CN)\n              6\n              4–\n              /Fe(CN)\n              6\n              3–\n              ] for thermogalvanic effect. A proof-of-concept wearable device consisting of 25 unipolar elements generated more than 2 volts and a peak power of 5 microwatts using body heat. This ionic gelatin shows promise for environmental heat-to-electric energy conversion using ions as energy carriers.","container-title":"Science","DOI":"10.1126/science.aaz5045","ISSN":"0036-8075, 1095-9203","issue":"6495","journalAbbreviation":"Science","language":"en","page":"1091-1098","source":"DOI.org (Crossref)","title":"Giant thermopower of ionic gelatin near room temperature","volume":"368","author":[{"family":"Han","given":"Cheng-Gong"},{"family":"Qian","given":"Xin"},{"family":"Li","given":"Qikai"},{"family":"Deng","given":"Biao"},{"family":"Zhu","given":"Yongbin"},{"family":"Han","given":"Zhijia"},{"family":"Zhang","given":"Wenqing"},{"family":"Wang","given":"Weichao"},{"family":"Feng","given":"Shien-Ping"},{"family":"Chen","given":"Gang"},{"family":"Liu","given":"Weishu"}],"issued":{"date-parts":[["2020",6,5]]}}}],"schema":"https://github.com/citation-style-language/schema/raw/master/csl-citation.json"} </w:instrText>
      </w:r>
      <w:r w:rsidR="00C96D17">
        <w:fldChar w:fldCharType="separate"/>
      </w:r>
      <w:r w:rsidR="00785CB3" w:rsidRPr="00785CB3">
        <w:rPr>
          <w:vertAlign w:val="superscript"/>
        </w:rPr>
        <w:t>16</w:t>
      </w:r>
      <w:r w:rsidR="00C96D17">
        <w:fldChar w:fldCharType="end"/>
      </w:r>
      <w:r>
        <w:t xml:space="preserve">. </w:t>
      </w:r>
      <w:r w:rsidR="00F830BD">
        <w:t xml:space="preserve"> </w:t>
      </w:r>
      <w:r>
        <w:t xml:space="preserve">Thermogalvanic cells rely on temperature-dependent redox reactions, </w:t>
      </w:r>
      <w:r w:rsidR="009A4FD0">
        <w:t>whereas</w:t>
      </w:r>
      <w:r>
        <w:t xml:space="preserve"> thermodiffusion-based ionic thermoelectric devices </w:t>
      </w:r>
      <w:r w:rsidR="00C24B5A">
        <w:t>leverage</w:t>
      </w:r>
      <w:r>
        <w:t xml:space="preserve"> ion transport under thermal gradients</w:t>
      </w:r>
      <w:r w:rsidR="00645A34">
        <w:t xml:space="preserve">.  </w:t>
      </w:r>
      <w:r w:rsidR="00755063">
        <w:t>While both effects</w:t>
      </w:r>
      <w:r>
        <w:t xml:space="preserve"> </w:t>
      </w:r>
      <w:r w:rsidR="00C24B5A">
        <w:t>hold</w:t>
      </w:r>
      <w:r>
        <w:t xml:space="preserve"> promise for low-grade heat harvesting, attempts to combine these effects within a single ionic thermoelectric (i-TE) system remain relatively limited.</w:t>
      </w:r>
      <w:r w:rsidR="00C25352">
        <w:t xml:space="preserve">  </w:t>
      </w:r>
      <w:r>
        <w:t xml:space="preserve">In </w:t>
      </w:r>
      <w:r w:rsidR="000433CB">
        <w:t>ionic biogel</w:t>
      </w:r>
      <w:r>
        <w:t xml:space="preserve">, the Seebeck coefficient reaches approximately 21 mV/K under a temperature difference of 0–3 K </w:t>
      </w:r>
      <w:r w:rsidR="00DC1173">
        <w:t xml:space="preserve">(dominated by </w:t>
      </w:r>
      <w:r w:rsidR="00C20611">
        <w:t>the synergy</w:t>
      </w:r>
      <w:r w:rsidR="00203D11">
        <w:t xml:space="preserve"> of thermogalvanic and thermodiffusion</w:t>
      </w:r>
      <w:r w:rsidR="00DC1173">
        <w:t xml:space="preserve">) </w:t>
      </w:r>
      <w:r>
        <w:t>and decreases to about 4.6 mV/K for gradients between 3–8 K</w:t>
      </w:r>
      <w:r w:rsidR="00C20611">
        <w:t xml:space="preserve"> (probably dominated by </w:t>
      </w:r>
      <w:r w:rsidR="000433CB">
        <w:t>either of the</w:t>
      </w:r>
      <w:r w:rsidR="00C20611">
        <w:t xml:space="preserve"> mechanism)</w:t>
      </w:r>
      <w:r>
        <w:t xml:space="preserve">. </w:t>
      </w:r>
      <w:r w:rsidR="00607C49">
        <w:t xml:space="preserve"> </w:t>
      </w:r>
      <w:r>
        <w:t xml:space="preserve">This response exceeds the typical </w:t>
      </w:r>
      <w:r w:rsidR="00445A21">
        <w:t xml:space="preserve">value of </w:t>
      </w:r>
      <w:r>
        <w:t>~100 to 200 µV/K</w:t>
      </w:r>
      <w:r w:rsidDel="005645C5">
        <w:t xml:space="preserve"> </w:t>
      </w:r>
      <w:r w:rsidR="005645C5">
        <w:t>from</w:t>
      </w:r>
      <w:r>
        <w:t xml:space="preserve"> conventional electronic thermoelectric materials based on narrow-bandgap semiconductors</w:t>
      </w:r>
      <w:r w:rsidR="00643AEE">
        <w:fldChar w:fldCharType="begin"/>
      </w:r>
      <w:r w:rsidR="00785CB3">
        <w:instrText xml:space="preserve"> ADDIN ZOTERO_ITEM CSL_CITATION {"citationID":"HbdWqFrm","properties":{"formattedCitation":"\\super 17\\nosupersub{}","plainCitation":"17","noteIndex":0},"citationItems":[{"id":1345,"uris":["http://zotero.org/users/12063952/items/69JEBRG7"],"itemData":{"id":1345,"type":"article-journal","abstract":"Searching an effective method to enhance the thermoelectric properties of flexible organic films can significantly widen the application of flexible thermoelectric devices. Tuning the microstacking structure and oxidation level can effectively optimize the thermoelectric properties of poly(3,4-ethylenedioxithiophene):poly(styrenesulfonate) (PEDOT:PSS) organic films. Here, we adopt triple post-treatments with formamide (CH3NO), concentrated sulfuric acid (H2SO4), and sodium borohydride in sequence to engineer flexible PEDOT:PSS thermoelectric films. A high power factor of 141 μWm–1 K–2 at 25 °C has been obtained for the PEDOT:PSS film. Such a high power factor stems from the high σ (1786 Scm–1) and S (28.1 μVK–1) after post-treatment with CH3NO, H2SO4, and NaBH4 in order. The increased carrier mobility resulting from both the selective removal of excess insulating PSS within the films and the conformation transition after CH3NO and H2SO4 treatments is responsible for the enhancement of σ, while the subsequent NaBH4 treatment optimize the electrical properties (σ and S) by modulating the oxidation level. A homemade thermoelectric device has also been fabricated using the as-prepared flexible PEDOT:PSS films and had a high output power density of </w:instrText>
      </w:r>
      <w:r w:rsidR="00785CB3">
        <w:rPr>
          <w:rFonts w:ascii="Cambria Math" w:hAnsi="Cambria Math" w:cs="Cambria Math"/>
        </w:rPr>
        <w:instrText>∼</w:instrText>
      </w:r>
      <w:r w:rsidR="00785CB3">
        <w:instrText xml:space="preserve">1 μWcm–2 with human arm as a heating source. This study indicates that flexible thermoelectric devices based on cheap conducting polymers have great potential in wearable electronics.","container-title":"Chemistry of Materials","DOI":"10.1021/acs.chemmater.9b01500","ISSN":"0897-4756","issue":"14","journalAbbreviation":"Chem. Mater.","note":"publisher: American Chemical Society","page":"5238-5244","source":"ACS Publications","title":"High-Performance PEDOT:PSS Flexible Thermoelectric Materials and Their Devices by Triple Post-Treatments","title-short":"High-Performance PEDOT","volume":"31","author":[{"family":"Xu","given":"Shengduo"},{"family":"Hong","given":"Min"},{"family":"Shi","given":"Xiao-Lei"},{"family":"Wang","given":"Yuan"},{"family":"Ge","given":"Lei"},{"family":"Bai","given":"Yang"},{"family":"Wang","given":"Lianzhou"},{"family":"Dargusch","given":"Matthew"},{"family":"Zou","given":"Jin"},{"family":"Chen","given":"Zhi-Gang"}],"issued":{"date-parts":[["2019",7,23]]}}}],"schema":"https://github.com/citation-style-language/schema/raw/master/csl-citation.json"} </w:instrText>
      </w:r>
      <w:r w:rsidR="00643AEE">
        <w:fldChar w:fldCharType="separate"/>
      </w:r>
      <w:r w:rsidR="00785CB3" w:rsidRPr="00785CB3">
        <w:rPr>
          <w:vertAlign w:val="superscript"/>
        </w:rPr>
        <w:t>17</w:t>
      </w:r>
      <w:r w:rsidR="00643AEE">
        <w:fldChar w:fldCharType="end"/>
      </w:r>
      <w:r>
        <w:t xml:space="preserve">. </w:t>
      </w:r>
      <w:r w:rsidR="00B5033C">
        <w:t xml:space="preserve"> </w:t>
      </w:r>
      <w:r>
        <w:t>The observed behavio</w:t>
      </w:r>
      <w:r w:rsidR="00B5033C">
        <w:t>u</w:t>
      </w:r>
      <w:r>
        <w:t xml:space="preserve">r is attributed to a non-linear coupling of ion migration </w:t>
      </w:r>
      <w:r w:rsidR="00716989">
        <w:t xml:space="preserve">with </w:t>
      </w:r>
      <w:r>
        <w:t xml:space="preserve">redox-driven electrochemical potentials. </w:t>
      </w:r>
    </w:p>
    <w:p w14:paraId="21C3D9ED" w14:textId="22A302D9" w:rsidR="00B40040" w:rsidRDefault="00B40040" w:rsidP="00A22FC4">
      <w:pPr>
        <w:spacing w:before="100" w:beforeAutospacing="1" w:after="100" w:afterAutospacing="1" w:line="480" w:lineRule="auto"/>
        <w:ind w:firstLine="720"/>
        <w:jc w:val="both"/>
      </w:pPr>
      <w:r>
        <w:t xml:space="preserve">The thermodiffusion mechanism, guided by the Soret effect, drives ions along the temperature gradient. </w:t>
      </w:r>
      <w:r w:rsidR="0079061B">
        <w:t xml:space="preserve"> </w:t>
      </w:r>
      <w:r>
        <w:t>In our composite, the gelatin–ionic liquid matrix provides a porous, quasi-solid environment that enhances ionic mobility while maintaining mechanical stability.</w:t>
      </w:r>
      <w:r w:rsidR="002E75C1">
        <w:t xml:space="preserve"> </w:t>
      </w:r>
      <w:r w:rsidR="00FD6C7A">
        <w:t xml:space="preserve"> </w:t>
      </w:r>
      <w:r>
        <w:t xml:space="preserve">Simultaneously, the thermogalvanic mechanism leverages the temperature-dependent redox potential of the PEDOT:PSS component. </w:t>
      </w:r>
      <w:r w:rsidR="00BD477C">
        <w:t xml:space="preserve"> </w:t>
      </w:r>
      <w:r>
        <w:t xml:space="preserve">In </w:t>
      </w:r>
      <w:r w:rsidR="00BE2499">
        <w:t>ionic biogel</w:t>
      </w:r>
      <w:r>
        <w:t>, the PEDOT:PSS domains undergo entropy-driven changes that, when aligned with ionic thermodiffusion, produce an additional voltage contribution.</w:t>
      </w:r>
    </w:p>
    <w:p w14:paraId="68E0D1BB" w14:textId="01FC84E8" w:rsidR="00EF4F67" w:rsidRDefault="00B40040" w:rsidP="00A22FC4">
      <w:pPr>
        <w:spacing w:before="100" w:beforeAutospacing="1" w:after="100" w:afterAutospacing="1" w:line="480" w:lineRule="auto"/>
        <w:ind w:firstLine="720"/>
        <w:jc w:val="both"/>
      </w:pPr>
      <w:r>
        <w:lastRenderedPageBreak/>
        <w:t xml:space="preserve">At lower temperature gradients (0–3 K), both the ionic and redox contributions </w:t>
      </w:r>
      <w:r w:rsidR="00842988">
        <w:t xml:space="preserve">combine </w:t>
      </w:r>
      <w:r>
        <w:t>effectively</w:t>
      </w:r>
      <w:r w:rsidR="005138AE">
        <w:t xml:space="preserve"> to </w:t>
      </w:r>
      <w:r>
        <w:t>generat</w:t>
      </w:r>
      <w:r w:rsidR="005138AE">
        <w:t>e</w:t>
      </w:r>
      <w:r>
        <w:t xml:space="preserve"> higher </w:t>
      </w:r>
      <w:r w:rsidR="001C1AAA">
        <w:t xml:space="preserve">thermoelectric </w:t>
      </w:r>
      <w:r>
        <w:t xml:space="preserve">voltages. </w:t>
      </w:r>
      <w:r w:rsidR="00FF1DF0">
        <w:t xml:space="preserve"> </w:t>
      </w:r>
      <w:r>
        <w:t xml:space="preserve">This synergy decreases at larger temperature differences, possibly due to the saturation of ion migration pathways and a diminished redox response, leading to lower effective Seebeck coefficients. </w:t>
      </w:r>
      <w:r w:rsidR="00AC0496">
        <w:t xml:space="preserve"> </w:t>
      </w:r>
      <w:r>
        <w:t>The resulti</w:t>
      </w:r>
      <w:r w:rsidR="00586AF9">
        <w:t>ng</w:t>
      </w:r>
      <w:r>
        <w:t xml:space="preserve"> thermopower profile suggests </w:t>
      </w:r>
      <w:r w:rsidR="00586AF9">
        <w:t xml:space="preserve">that </w:t>
      </w:r>
      <w:r>
        <w:t xml:space="preserve">the </w:t>
      </w:r>
      <w:r w:rsidR="006004D3">
        <w:t>composite’s</w:t>
      </w:r>
      <w:r>
        <w:t xml:space="preserve"> performance can be fine-tuned by the interplay between thermodiffusion and thermogalvanic effects, as well as by optimizing composition and nanostructure to enhance ionic selectivity and redox activity</w:t>
      </w:r>
      <w:r w:rsidR="001C1AAA">
        <w:t>.</w:t>
      </w:r>
    </w:p>
    <w:p w14:paraId="4F837B6B" w14:textId="77777777" w:rsidR="00EF4F67" w:rsidRDefault="00EF4F67">
      <w:pPr>
        <w:spacing w:after="160" w:line="278" w:lineRule="auto"/>
      </w:pPr>
      <w:r>
        <w:br w:type="page"/>
      </w:r>
    </w:p>
    <w:p w14:paraId="2134CF2C" w14:textId="4150A970" w:rsidR="002276EB" w:rsidRDefault="00EF4F67" w:rsidP="00EF4F67">
      <w:pPr>
        <w:spacing w:before="100" w:beforeAutospacing="1" w:after="100" w:afterAutospacing="1" w:line="480" w:lineRule="auto"/>
        <w:jc w:val="both"/>
        <w:rPr>
          <w:b/>
          <w:bCs/>
          <w:u w:val="single"/>
        </w:rPr>
      </w:pPr>
      <w:r w:rsidRPr="00EF4F67">
        <w:rPr>
          <w:b/>
          <w:bCs/>
          <w:u w:val="single"/>
        </w:rPr>
        <w:lastRenderedPageBreak/>
        <w:t>Supplementary Note 13</w:t>
      </w:r>
    </w:p>
    <w:p w14:paraId="20AA15B7" w14:textId="11C0DA76" w:rsidR="0087788B" w:rsidRPr="00265745" w:rsidRDefault="0087788B" w:rsidP="00EF4F67">
      <w:pPr>
        <w:spacing w:before="100" w:beforeAutospacing="1" w:after="100" w:afterAutospacing="1" w:line="480" w:lineRule="auto"/>
        <w:jc w:val="both"/>
        <w:rPr>
          <w:b/>
          <w:bCs/>
        </w:rPr>
      </w:pPr>
      <w:r w:rsidRPr="00265745">
        <w:rPr>
          <w:b/>
          <w:bCs/>
        </w:rPr>
        <w:t xml:space="preserve">Tensile Properties </w:t>
      </w:r>
      <w:r w:rsidR="00265745" w:rsidRPr="00265745">
        <w:rPr>
          <w:b/>
          <w:bCs/>
        </w:rPr>
        <w:t>and Self-Healing Property of Ionic Biogel</w:t>
      </w:r>
    </w:p>
    <w:p w14:paraId="45584B27" w14:textId="05D2BF66" w:rsidR="00EF4F67" w:rsidRDefault="00EF4F67" w:rsidP="00EF4F67">
      <w:pPr>
        <w:spacing w:before="100" w:beforeAutospacing="1" w:after="100" w:afterAutospacing="1" w:line="480" w:lineRule="auto"/>
        <w:jc w:val="both"/>
      </w:pPr>
      <w:r>
        <w:rPr>
          <w:color w:val="000000" w:themeColor="text1"/>
        </w:rPr>
        <w:t>T</w:t>
      </w:r>
      <w:r w:rsidRPr="451B7F4F">
        <w:rPr>
          <w:color w:val="000000" w:themeColor="text1"/>
        </w:rPr>
        <w:t xml:space="preserve">he </w:t>
      </w:r>
      <w:r>
        <w:rPr>
          <w:color w:val="000000" w:themeColor="text1"/>
        </w:rPr>
        <w:t xml:space="preserve">ionic biogel shows </w:t>
      </w:r>
      <w:r w:rsidRPr="451B7F4F">
        <w:rPr>
          <w:color w:val="000000" w:themeColor="text1"/>
        </w:rPr>
        <w:t xml:space="preserve">smaller Young’s Modulus of 33 ± 0.5 kPa compared to 71 kPa for the biogel </w:t>
      </w:r>
      <w:r w:rsidRPr="451B7F4F">
        <w:rPr>
          <w:b/>
          <w:bCs/>
          <w:color w:val="000000" w:themeColor="text1"/>
        </w:rPr>
        <w:t xml:space="preserve">(Figure </w:t>
      </w:r>
      <w:r w:rsidR="00DB6F68">
        <w:rPr>
          <w:b/>
          <w:bCs/>
          <w:color w:val="000000" w:themeColor="text1"/>
        </w:rPr>
        <w:t>S</w:t>
      </w:r>
      <w:r w:rsidR="00C033F8">
        <w:rPr>
          <w:b/>
          <w:bCs/>
          <w:color w:val="000000" w:themeColor="text1"/>
        </w:rPr>
        <w:t>21</w:t>
      </w:r>
      <w:r w:rsidRPr="451B7F4F">
        <w:rPr>
          <w:b/>
          <w:bCs/>
          <w:color w:val="000000" w:themeColor="text1"/>
        </w:rPr>
        <w:t>)</w:t>
      </w:r>
      <w:r w:rsidRPr="451B7F4F">
        <w:rPr>
          <w:color w:val="000000" w:themeColor="text1"/>
        </w:rPr>
        <w:t xml:space="preserve">.  The ionic biogel could be stretched to 380% with a tensile strength of 84 ± 0.1 kPa.  The self-healing property of the material allows the recovery of Young’s modulus to 33 kPa as in pristine condition after cutting and healing at room temperature for 12 hours, but with lowered tensile strength (26 ± 0.2 kPa) and stretchability (120%).  However, if the temperature is raised above the transition temperature, the material exhibits a 100% self-healing capability </w:t>
      </w:r>
      <w:r>
        <w:rPr>
          <w:color w:val="000000" w:themeColor="text1"/>
        </w:rPr>
        <w:t xml:space="preserve">for both </w:t>
      </w:r>
      <w:r w:rsidRPr="451B7F4F">
        <w:rPr>
          <w:color w:val="000000" w:themeColor="text1"/>
        </w:rPr>
        <w:t xml:space="preserve">tensile strength </w:t>
      </w:r>
      <w:r>
        <w:rPr>
          <w:color w:val="000000" w:themeColor="text1"/>
        </w:rPr>
        <w:t xml:space="preserve">and </w:t>
      </w:r>
      <w:r w:rsidRPr="451B7F4F">
        <w:rPr>
          <w:color w:val="000000" w:themeColor="text1"/>
        </w:rPr>
        <w:t xml:space="preserve">stretchability (as in the repeated temperature cycles), so self-healing at higher temperatures is not shown explicitly.  The material also shows instantaneous self-healing property accelerated by its inherent adhesive property </w:t>
      </w:r>
      <w:r w:rsidRPr="451B7F4F">
        <w:rPr>
          <w:b/>
          <w:bCs/>
          <w:color w:val="000000" w:themeColor="text1"/>
        </w:rPr>
        <w:t xml:space="preserve">(Figure </w:t>
      </w:r>
      <w:r w:rsidR="00DB6F68">
        <w:rPr>
          <w:b/>
          <w:bCs/>
          <w:color w:val="000000" w:themeColor="text1"/>
        </w:rPr>
        <w:t>S</w:t>
      </w:r>
      <w:r w:rsidR="005626D0">
        <w:rPr>
          <w:b/>
          <w:bCs/>
          <w:color w:val="000000" w:themeColor="text1"/>
        </w:rPr>
        <w:t>22</w:t>
      </w:r>
      <w:r w:rsidRPr="451B7F4F">
        <w:rPr>
          <w:b/>
          <w:bCs/>
          <w:color w:val="000000" w:themeColor="text1"/>
        </w:rPr>
        <w:t>)</w:t>
      </w:r>
      <w:r w:rsidRPr="451B7F4F">
        <w:rPr>
          <w:color w:val="000000" w:themeColor="text1"/>
        </w:rPr>
        <w:t>.</w:t>
      </w:r>
    </w:p>
    <w:p w14:paraId="19C2D92D" w14:textId="77777777" w:rsidR="002276EB" w:rsidRDefault="002276EB">
      <w:pPr>
        <w:spacing w:after="160" w:line="278" w:lineRule="auto"/>
      </w:pPr>
      <w:r>
        <w:br w:type="page"/>
      </w:r>
    </w:p>
    <w:p w14:paraId="3284812E" w14:textId="5E2D76B0" w:rsidR="00EC63A1" w:rsidRDefault="002276EB" w:rsidP="002276EB">
      <w:pPr>
        <w:spacing w:before="100" w:beforeAutospacing="1" w:after="100" w:afterAutospacing="1" w:line="480" w:lineRule="auto"/>
        <w:jc w:val="both"/>
        <w:rPr>
          <w:b/>
          <w:bCs/>
          <w:u w:val="single"/>
        </w:rPr>
      </w:pPr>
      <w:r w:rsidRPr="00031D4F">
        <w:rPr>
          <w:b/>
          <w:bCs/>
          <w:u w:val="single"/>
        </w:rPr>
        <w:lastRenderedPageBreak/>
        <w:t>Supplementary Note</w:t>
      </w:r>
      <w:r w:rsidR="00031D4F" w:rsidRPr="00031D4F">
        <w:rPr>
          <w:b/>
          <w:bCs/>
          <w:u w:val="single"/>
        </w:rPr>
        <w:t xml:space="preserve"> 14</w:t>
      </w:r>
    </w:p>
    <w:p w14:paraId="6D971673" w14:textId="261049E4" w:rsidR="00265745" w:rsidRPr="00265745" w:rsidRDefault="00265745" w:rsidP="002276EB">
      <w:pPr>
        <w:spacing w:before="100" w:beforeAutospacing="1" w:after="100" w:afterAutospacing="1" w:line="480" w:lineRule="auto"/>
        <w:jc w:val="both"/>
        <w:rPr>
          <w:b/>
          <w:bCs/>
        </w:rPr>
      </w:pPr>
      <w:r w:rsidRPr="00265745">
        <w:rPr>
          <w:b/>
          <w:bCs/>
        </w:rPr>
        <w:t>Electrode Performance of Ionic Biogel</w:t>
      </w:r>
    </w:p>
    <w:p w14:paraId="7655B823" w14:textId="12AEA107" w:rsidR="002E09AD" w:rsidRDefault="002276EB" w:rsidP="002276EB">
      <w:pPr>
        <w:pStyle w:val="NormalWeb"/>
        <w:spacing w:line="480" w:lineRule="auto"/>
        <w:jc w:val="both"/>
        <w:rPr>
          <w:lang w:val="en-GB"/>
        </w:rPr>
      </w:pPr>
      <w:r w:rsidRPr="451B7F4F">
        <w:rPr>
          <w:color w:val="000000" w:themeColor="text1"/>
          <w:lang w:val="en-GB"/>
        </w:rPr>
        <w:t xml:space="preserve">The ionic biogel with a thickness of 5 mm has a low electrical impedance of 190 Ω at 4 kHz in the thickness direction </w:t>
      </w:r>
      <w:r w:rsidRPr="451B7F4F">
        <w:rPr>
          <w:b/>
          <w:bCs/>
          <w:color w:val="000000" w:themeColor="text1"/>
          <w:lang w:val="en-GB"/>
        </w:rPr>
        <w:t>(Figure S</w:t>
      </w:r>
      <w:r w:rsidR="002B0492">
        <w:rPr>
          <w:b/>
          <w:bCs/>
          <w:color w:val="000000" w:themeColor="text1"/>
          <w:lang w:val="en-GB"/>
        </w:rPr>
        <w:t>24</w:t>
      </w:r>
      <w:r w:rsidRPr="451B7F4F">
        <w:rPr>
          <w:b/>
          <w:bCs/>
          <w:color w:val="000000" w:themeColor="text1"/>
          <w:lang w:val="en-GB"/>
        </w:rPr>
        <w:t>)</w:t>
      </w:r>
      <w:r w:rsidRPr="451B7F4F">
        <w:rPr>
          <w:color w:val="000000" w:themeColor="text1"/>
          <w:lang w:val="en-GB"/>
        </w:rPr>
        <w:t xml:space="preserve">, which decreases to 16 Ω as the thickness is reduced to 0.5 mm </w:t>
      </w:r>
      <w:r w:rsidRPr="451B7F4F">
        <w:rPr>
          <w:b/>
          <w:bCs/>
          <w:color w:val="000000" w:themeColor="text1"/>
          <w:lang w:val="en-GB"/>
        </w:rPr>
        <w:t>(Figure S</w:t>
      </w:r>
      <w:r w:rsidR="002B0492">
        <w:rPr>
          <w:b/>
          <w:bCs/>
          <w:color w:val="000000" w:themeColor="text1"/>
          <w:lang w:val="en-GB"/>
        </w:rPr>
        <w:t>25</w:t>
      </w:r>
      <w:r w:rsidRPr="451B7F4F">
        <w:rPr>
          <w:b/>
          <w:bCs/>
          <w:color w:val="000000" w:themeColor="text1"/>
          <w:lang w:val="en-GB"/>
        </w:rPr>
        <w:t>)</w:t>
      </w:r>
      <w:r w:rsidRPr="451B7F4F">
        <w:rPr>
          <w:color w:val="000000" w:themeColor="text1"/>
          <w:lang w:val="en-GB"/>
        </w:rPr>
        <w:t xml:space="preserve">.  These impedance values are reduced by more than 50% compared to the normal biogel.  The </w:t>
      </w:r>
      <w:r>
        <w:rPr>
          <w:color w:val="000000" w:themeColor="text1"/>
          <w:lang w:val="en-GB"/>
        </w:rPr>
        <w:t>normalized</w:t>
      </w:r>
      <w:r w:rsidRPr="451B7F4F">
        <w:rPr>
          <w:color w:val="000000" w:themeColor="text1"/>
          <w:lang w:val="en-GB"/>
        </w:rPr>
        <w:t xml:space="preserve"> skin contact impedance of </w:t>
      </w:r>
      <w:r>
        <w:rPr>
          <w:color w:val="000000" w:themeColor="text1"/>
          <w:lang w:val="en-GB"/>
        </w:rPr>
        <w:t>6.4</w:t>
      </w:r>
      <w:r w:rsidRPr="451B7F4F">
        <w:rPr>
          <w:color w:val="000000" w:themeColor="text1"/>
          <w:lang w:val="en-GB"/>
        </w:rPr>
        <w:t xml:space="preserve"> kΩ</w:t>
      </w:r>
      <w:r>
        <w:rPr>
          <w:color w:val="000000" w:themeColor="text1"/>
          <w:lang w:val="en-GB"/>
        </w:rPr>
        <w:t>.cm</w:t>
      </w:r>
      <w:r w:rsidRPr="00693687">
        <w:rPr>
          <w:color w:val="000000" w:themeColor="text1"/>
          <w:vertAlign w:val="superscript"/>
          <w:lang w:val="en-GB"/>
        </w:rPr>
        <w:t>2</w:t>
      </w:r>
      <w:r w:rsidRPr="451B7F4F">
        <w:rPr>
          <w:color w:val="000000" w:themeColor="text1"/>
          <w:lang w:val="en-GB"/>
        </w:rPr>
        <w:t xml:space="preserve"> at 4 kHz from the ionic biogel at 40°C is 70% lower than that of </w:t>
      </w:r>
      <w:r>
        <w:rPr>
          <w:color w:val="000000" w:themeColor="text1"/>
          <w:lang w:val="en-GB"/>
        </w:rPr>
        <w:t>20.7</w:t>
      </w:r>
      <w:r w:rsidRPr="451B7F4F">
        <w:rPr>
          <w:color w:val="000000" w:themeColor="text1"/>
          <w:lang w:val="en-GB"/>
        </w:rPr>
        <w:t xml:space="preserve"> kΩ</w:t>
      </w:r>
      <w:r>
        <w:rPr>
          <w:color w:val="000000" w:themeColor="text1"/>
          <w:lang w:val="en-GB"/>
        </w:rPr>
        <w:t>.cm</w:t>
      </w:r>
      <w:r w:rsidRPr="005534F1">
        <w:rPr>
          <w:color w:val="000000" w:themeColor="text1"/>
          <w:vertAlign w:val="superscript"/>
          <w:lang w:val="en-GB"/>
        </w:rPr>
        <w:t>2</w:t>
      </w:r>
      <w:r w:rsidRPr="451B7F4F">
        <w:rPr>
          <w:color w:val="000000" w:themeColor="text1"/>
          <w:lang w:val="en-GB"/>
        </w:rPr>
        <w:t xml:space="preserve"> for the normal biogel </w:t>
      </w:r>
      <w:r w:rsidRPr="451B7F4F">
        <w:rPr>
          <w:b/>
          <w:bCs/>
          <w:color w:val="000000" w:themeColor="text1"/>
          <w:lang w:val="en-GB"/>
        </w:rPr>
        <w:t>(</w:t>
      </w:r>
      <w:r w:rsidR="001D25F3">
        <w:rPr>
          <w:b/>
          <w:bCs/>
          <w:color w:val="000000" w:themeColor="text1"/>
          <w:lang w:val="en-GB"/>
        </w:rPr>
        <w:t xml:space="preserve">Extended </w:t>
      </w:r>
      <w:r w:rsidRPr="451B7F4F">
        <w:rPr>
          <w:b/>
          <w:bCs/>
          <w:color w:val="000000" w:themeColor="text1"/>
          <w:lang w:val="en-GB"/>
        </w:rPr>
        <w:t xml:space="preserve">Figure </w:t>
      </w:r>
      <w:r w:rsidR="001D25F3">
        <w:rPr>
          <w:b/>
          <w:bCs/>
          <w:color w:val="000000" w:themeColor="text1"/>
          <w:lang w:val="en-GB"/>
        </w:rPr>
        <w:t>4a</w:t>
      </w:r>
      <w:r w:rsidRPr="451B7F4F">
        <w:rPr>
          <w:b/>
          <w:bCs/>
          <w:color w:val="000000" w:themeColor="text1"/>
          <w:lang w:val="en-GB"/>
        </w:rPr>
        <w:t>)</w:t>
      </w:r>
      <w:r w:rsidRPr="451B7F4F">
        <w:rPr>
          <w:color w:val="000000" w:themeColor="text1"/>
          <w:lang w:val="en-GB"/>
        </w:rPr>
        <w:t xml:space="preserve">.  The </w:t>
      </w:r>
      <w:r>
        <w:rPr>
          <w:color w:val="000000" w:themeColor="text1"/>
          <w:lang w:val="en-GB"/>
        </w:rPr>
        <w:t xml:space="preserve">normalized </w:t>
      </w:r>
      <w:r w:rsidRPr="451B7F4F">
        <w:rPr>
          <w:color w:val="000000" w:themeColor="text1"/>
          <w:lang w:val="en-GB"/>
        </w:rPr>
        <w:t xml:space="preserve">impedance decreases from </w:t>
      </w:r>
      <w:r>
        <w:rPr>
          <w:color w:val="000000" w:themeColor="text1"/>
          <w:lang w:val="en-GB"/>
        </w:rPr>
        <w:t>12.6</w:t>
      </w:r>
      <w:r w:rsidRPr="451B7F4F">
        <w:rPr>
          <w:color w:val="000000" w:themeColor="text1"/>
          <w:lang w:val="en-GB"/>
        </w:rPr>
        <w:t xml:space="preserve"> kΩ</w:t>
      </w:r>
      <w:r>
        <w:rPr>
          <w:color w:val="000000" w:themeColor="text1"/>
          <w:lang w:val="en-GB"/>
        </w:rPr>
        <w:t>.cm</w:t>
      </w:r>
      <w:r w:rsidRPr="005534F1">
        <w:rPr>
          <w:color w:val="000000" w:themeColor="text1"/>
          <w:vertAlign w:val="superscript"/>
          <w:lang w:val="en-GB"/>
        </w:rPr>
        <w:t>2</w:t>
      </w:r>
      <w:r w:rsidRPr="451B7F4F">
        <w:rPr>
          <w:color w:val="000000" w:themeColor="text1"/>
          <w:lang w:val="en-GB"/>
        </w:rPr>
        <w:t xml:space="preserve"> at 30°C (4</w:t>
      </w:r>
      <w:r>
        <w:rPr>
          <w:color w:val="000000" w:themeColor="text1"/>
          <w:lang w:val="en-GB"/>
        </w:rPr>
        <w:t xml:space="preserve"> </w:t>
      </w:r>
      <w:r w:rsidRPr="451B7F4F">
        <w:rPr>
          <w:color w:val="000000" w:themeColor="text1"/>
          <w:lang w:val="en-GB"/>
        </w:rPr>
        <w:t xml:space="preserve">kHz) to </w:t>
      </w:r>
      <w:r>
        <w:rPr>
          <w:color w:val="000000" w:themeColor="text1"/>
          <w:lang w:val="en-GB"/>
        </w:rPr>
        <w:t>6.4</w:t>
      </w:r>
      <w:r w:rsidRPr="451B7F4F">
        <w:rPr>
          <w:color w:val="000000" w:themeColor="text1"/>
          <w:lang w:val="en-GB"/>
        </w:rPr>
        <w:t xml:space="preserve"> kΩ</w:t>
      </w:r>
      <w:r>
        <w:rPr>
          <w:color w:val="000000" w:themeColor="text1"/>
          <w:lang w:val="en-GB"/>
        </w:rPr>
        <w:t>.cm</w:t>
      </w:r>
      <w:r w:rsidRPr="00693687">
        <w:rPr>
          <w:color w:val="000000" w:themeColor="text1"/>
          <w:vertAlign w:val="superscript"/>
          <w:lang w:val="en-GB"/>
        </w:rPr>
        <w:t>2</w:t>
      </w:r>
      <w:r w:rsidRPr="451B7F4F">
        <w:rPr>
          <w:color w:val="000000" w:themeColor="text1"/>
          <w:lang w:val="en-GB"/>
        </w:rPr>
        <w:t xml:space="preserve"> at 40°C and remains almost the same at 50°C </w:t>
      </w:r>
      <w:r w:rsidRPr="451B7F4F">
        <w:rPr>
          <w:b/>
          <w:bCs/>
          <w:color w:val="000000" w:themeColor="text1"/>
          <w:lang w:val="en-GB"/>
        </w:rPr>
        <w:t>(</w:t>
      </w:r>
      <w:r w:rsidR="001D25F3">
        <w:rPr>
          <w:b/>
          <w:bCs/>
          <w:color w:val="000000" w:themeColor="text1"/>
          <w:lang w:val="en-GB"/>
        </w:rPr>
        <w:t xml:space="preserve">Extended </w:t>
      </w:r>
      <w:r w:rsidRPr="451B7F4F">
        <w:rPr>
          <w:b/>
          <w:bCs/>
          <w:color w:val="000000" w:themeColor="text1"/>
          <w:lang w:val="en-GB"/>
        </w:rPr>
        <w:t xml:space="preserve">Figure </w:t>
      </w:r>
      <w:r w:rsidR="001D25F3">
        <w:rPr>
          <w:b/>
          <w:bCs/>
          <w:color w:val="000000" w:themeColor="text1"/>
          <w:lang w:val="en-GB"/>
        </w:rPr>
        <w:t>4b</w:t>
      </w:r>
      <w:r w:rsidRPr="451B7F4F">
        <w:rPr>
          <w:b/>
          <w:bCs/>
          <w:color w:val="000000" w:themeColor="text1"/>
          <w:lang w:val="en-GB"/>
        </w:rPr>
        <w:t>)</w:t>
      </w:r>
      <w:r w:rsidRPr="451B7F4F">
        <w:rPr>
          <w:color w:val="000000" w:themeColor="text1"/>
          <w:lang w:val="en-GB"/>
        </w:rPr>
        <w:t xml:space="preserve">.  The </w:t>
      </w:r>
      <w:r>
        <w:rPr>
          <w:color w:val="000000" w:themeColor="text1"/>
          <w:lang w:val="en-GB"/>
        </w:rPr>
        <w:t>normalized</w:t>
      </w:r>
      <w:r w:rsidRPr="451B7F4F">
        <w:rPr>
          <w:color w:val="000000" w:themeColor="text1"/>
          <w:lang w:val="en-GB"/>
        </w:rPr>
        <w:t xml:space="preserve"> skin contact impedance for the ionic biogel with a diameter of 2</w:t>
      </w:r>
      <w:r>
        <w:rPr>
          <w:color w:val="000000" w:themeColor="text1"/>
          <w:lang w:val="en-GB"/>
        </w:rPr>
        <w:t>.2</w:t>
      </w:r>
      <w:r w:rsidRPr="451B7F4F">
        <w:rPr>
          <w:color w:val="000000" w:themeColor="text1"/>
          <w:lang w:val="en-GB"/>
        </w:rPr>
        <w:t xml:space="preserve"> cm is </w:t>
      </w:r>
      <w:r>
        <w:rPr>
          <w:color w:val="000000" w:themeColor="text1"/>
          <w:lang w:val="en-GB"/>
        </w:rPr>
        <w:t>12.5</w:t>
      </w:r>
      <w:r w:rsidRPr="451B7F4F">
        <w:rPr>
          <w:color w:val="000000" w:themeColor="text1"/>
          <w:lang w:val="en-GB"/>
        </w:rPr>
        <w:t xml:space="preserve"> kΩ</w:t>
      </w:r>
      <w:r>
        <w:rPr>
          <w:color w:val="000000" w:themeColor="text1"/>
          <w:lang w:val="en-GB"/>
        </w:rPr>
        <w:t>.cm</w:t>
      </w:r>
      <w:r w:rsidRPr="005534F1">
        <w:rPr>
          <w:color w:val="000000" w:themeColor="text1"/>
          <w:vertAlign w:val="superscript"/>
          <w:lang w:val="en-GB"/>
        </w:rPr>
        <w:t>2</w:t>
      </w:r>
      <w:r w:rsidRPr="451B7F4F">
        <w:rPr>
          <w:color w:val="000000" w:themeColor="text1"/>
          <w:lang w:val="en-GB"/>
        </w:rPr>
        <w:t xml:space="preserve"> at 30°C, which is </w:t>
      </w:r>
      <w:r>
        <w:rPr>
          <w:color w:val="000000" w:themeColor="text1"/>
          <w:lang w:val="en-GB"/>
        </w:rPr>
        <w:t>27% lower than</w:t>
      </w:r>
      <w:r w:rsidRPr="451B7F4F">
        <w:rPr>
          <w:color w:val="000000" w:themeColor="text1"/>
          <w:lang w:val="en-GB"/>
        </w:rPr>
        <w:t xml:space="preserve"> the commercial Ag/AgCl </w:t>
      </w:r>
      <w:r>
        <w:rPr>
          <w:color w:val="000000" w:themeColor="text1"/>
          <w:lang w:val="en-GB"/>
        </w:rPr>
        <w:t xml:space="preserve">(17.1 </w:t>
      </w:r>
      <w:r w:rsidRPr="451B7F4F">
        <w:rPr>
          <w:color w:val="000000" w:themeColor="text1"/>
          <w:lang w:val="en-GB"/>
        </w:rPr>
        <w:t>kΩ</w:t>
      </w:r>
      <w:r>
        <w:rPr>
          <w:color w:val="000000" w:themeColor="text1"/>
          <w:lang w:val="en-GB"/>
        </w:rPr>
        <w:t>.cm</w:t>
      </w:r>
      <w:r w:rsidRPr="00693687">
        <w:rPr>
          <w:color w:val="000000" w:themeColor="text1"/>
          <w:vertAlign w:val="superscript"/>
          <w:lang w:val="en-GB"/>
        </w:rPr>
        <w:t>2</w:t>
      </w:r>
      <w:r>
        <w:rPr>
          <w:color w:val="000000" w:themeColor="text1"/>
          <w:lang w:val="en-GB"/>
        </w:rPr>
        <w:t>)</w:t>
      </w:r>
      <w:r w:rsidRPr="451B7F4F">
        <w:rPr>
          <w:color w:val="000000" w:themeColor="text1"/>
          <w:lang w:val="en-GB"/>
        </w:rPr>
        <w:t xml:space="preserve"> </w:t>
      </w:r>
      <w:r w:rsidRPr="451B7F4F">
        <w:rPr>
          <w:b/>
          <w:bCs/>
          <w:color w:val="000000" w:themeColor="text1"/>
          <w:lang w:val="en-GB"/>
        </w:rPr>
        <w:t xml:space="preserve">(Figure </w:t>
      </w:r>
      <w:r w:rsidR="00A92A9F">
        <w:rPr>
          <w:b/>
          <w:bCs/>
          <w:color w:val="000000" w:themeColor="text1"/>
          <w:lang w:val="en-GB"/>
        </w:rPr>
        <w:t>S</w:t>
      </w:r>
      <w:r w:rsidR="002B0492">
        <w:rPr>
          <w:b/>
          <w:bCs/>
          <w:color w:val="000000" w:themeColor="text1"/>
          <w:lang w:val="en-GB"/>
        </w:rPr>
        <w:t>26</w:t>
      </w:r>
      <w:r w:rsidRPr="451B7F4F">
        <w:rPr>
          <w:b/>
          <w:bCs/>
          <w:color w:val="000000" w:themeColor="text1"/>
          <w:lang w:val="en-GB"/>
        </w:rPr>
        <w:t>)</w:t>
      </w:r>
      <w:r w:rsidRPr="451B7F4F">
        <w:rPr>
          <w:color w:val="000000" w:themeColor="text1"/>
          <w:lang w:val="en-GB"/>
        </w:rPr>
        <w:t xml:space="preserve">.  The </w:t>
      </w:r>
      <w:r>
        <w:rPr>
          <w:color w:val="000000" w:themeColor="text1"/>
          <w:lang w:val="en-GB"/>
        </w:rPr>
        <w:t xml:space="preserve">normalized </w:t>
      </w:r>
      <w:r w:rsidRPr="451B7F4F">
        <w:rPr>
          <w:color w:val="000000" w:themeColor="text1"/>
          <w:lang w:val="en-GB"/>
        </w:rPr>
        <w:t xml:space="preserve">skin contact impedance </w:t>
      </w:r>
      <w:r>
        <w:rPr>
          <w:color w:val="000000" w:themeColor="text1"/>
          <w:lang w:val="en-GB"/>
        </w:rPr>
        <w:t>de</w:t>
      </w:r>
      <w:r w:rsidRPr="451B7F4F">
        <w:rPr>
          <w:color w:val="000000" w:themeColor="text1"/>
          <w:lang w:val="en-GB"/>
        </w:rPr>
        <w:t xml:space="preserve">creases to </w:t>
      </w:r>
      <w:r>
        <w:rPr>
          <w:color w:val="000000" w:themeColor="text1"/>
          <w:lang w:val="en-GB"/>
        </w:rPr>
        <w:t>3.6</w:t>
      </w:r>
      <w:r w:rsidRPr="451B7F4F">
        <w:rPr>
          <w:color w:val="000000" w:themeColor="text1"/>
          <w:lang w:val="en-GB"/>
        </w:rPr>
        <w:t xml:space="preserve"> kΩ</w:t>
      </w:r>
      <w:r>
        <w:rPr>
          <w:color w:val="000000" w:themeColor="text1"/>
          <w:lang w:val="en-GB"/>
        </w:rPr>
        <w:t>.cm</w:t>
      </w:r>
      <w:r w:rsidRPr="00693687">
        <w:rPr>
          <w:color w:val="000000" w:themeColor="text1"/>
          <w:vertAlign w:val="superscript"/>
          <w:lang w:val="en-GB"/>
        </w:rPr>
        <w:t>2</w:t>
      </w:r>
      <w:r w:rsidRPr="451B7F4F">
        <w:rPr>
          <w:color w:val="000000" w:themeColor="text1"/>
          <w:lang w:val="en-GB"/>
        </w:rPr>
        <w:t xml:space="preserve"> </w:t>
      </w:r>
      <w:r>
        <w:rPr>
          <w:color w:val="000000" w:themeColor="text1"/>
          <w:lang w:val="en-GB"/>
        </w:rPr>
        <w:t>(from 7.2</w:t>
      </w:r>
      <w:r w:rsidRPr="451B7F4F">
        <w:rPr>
          <w:color w:val="000000" w:themeColor="text1"/>
          <w:lang w:val="en-GB"/>
        </w:rPr>
        <w:t xml:space="preserve"> kΩ</w:t>
      </w:r>
      <w:r>
        <w:rPr>
          <w:color w:val="000000" w:themeColor="text1"/>
          <w:lang w:val="en-GB"/>
        </w:rPr>
        <w:t>.cm</w:t>
      </w:r>
      <w:r w:rsidRPr="00693687">
        <w:rPr>
          <w:color w:val="000000" w:themeColor="text1"/>
          <w:vertAlign w:val="superscript"/>
          <w:lang w:val="en-GB"/>
        </w:rPr>
        <w:t>2</w:t>
      </w:r>
      <w:r>
        <w:rPr>
          <w:color w:val="000000" w:themeColor="text1"/>
          <w:lang w:val="en-GB"/>
        </w:rPr>
        <w:t>)</w:t>
      </w:r>
      <w:r w:rsidRPr="451B7F4F">
        <w:rPr>
          <w:color w:val="000000" w:themeColor="text1"/>
          <w:lang w:val="en-GB"/>
        </w:rPr>
        <w:t xml:space="preserve"> as the electrode diameter decreases to 5 mm </w:t>
      </w:r>
      <w:r>
        <w:rPr>
          <w:color w:val="000000" w:themeColor="text1"/>
          <w:lang w:val="en-GB"/>
        </w:rPr>
        <w:t xml:space="preserve">(from 15 mm) probably </w:t>
      </w:r>
      <w:r w:rsidRPr="451B7F4F">
        <w:rPr>
          <w:color w:val="000000" w:themeColor="text1"/>
          <w:lang w:val="en-GB"/>
        </w:rPr>
        <w:t xml:space="preserve">due to the </w:t>
      </w:r>
      <w:r>
        <w:rPr>
          <w:color w:val="000000" w:themeColor="text1"/>
          <w:lang w:val="en-GB"/>
        </w:rPr>
        <w:t>increased</w:t>
      </w:r>
      <w:r w:rsidRPr="451B7F4F">
        <w:rPr>
          <w:color w:val="000000" w:themeColor="text1"/>
          <w:lang w:val="en-GB"/>
        </w:rPr>
        <w:t xml:space="preserve"> </w:t>
      </w:r>
      <w:r>
        <w:rPr>
          <w:color w:val="000000" w:themeColor="text1"/>
          <w:lang w:val="en-GB"/>
        </w:rPr>
        <w:t xml:space="preserve">normalized </w:t>
      </w:r>
      <w:r w:rsidRPr="451B7F4F">
        <w:rPr>
          <w:color w:val="000000" w:themeColor="text1"/>
          <w:lang w:val="en-GB"/>
        </w:rPr>
        <w:t>capacit</w:t>
      </w:r>
      <w:r>
        <w:rPr>
          <w:color w:val="000000" w:themeColor="text1"/>
          <w:lang w:val="en-GB"/>
        </w:rPr>
        <w:t xml:space="preserve">ance governed by the electric double layer </w:t>
      </w:r>
      <w:r w:rsidRPr="451B7F4F">
        <w:rPr>
          <w:b/>
          <w:bCs/>
          <w:color w:val="000000" w:themeColor="text1"/>
          <w:lang w:val="en-GB"/>
        </w:rPr>
        <w:t>(Figure S</w:t>
      </w:r>
      <w:r w:rsidR="002B0492">
        <w:rPr>
          <w:b/>
          <w:bCs/>
          <w:color w:val="000000" w:themeColor="text1"/>
          <w:lang w:val="en-GB"/>
        </w:rPr>
        <w:t>27</w:t>
      </w:r>
      <w:r>
        <w:rPr>
          <w:b/>
          <w:bCs/>
          <w:color w:val="000000" w:themeColor="text1"/>
          <w:lang w:val="en-GB"/>
        </w:rPr>
        <w:t>)</w:t>
      </w:r>
      <w:r w:rsidRPr="451B7F4F">
        <w:rPr>
          <w:color w:val="000000" w:themeColor="text1"/>
          <w:lang w:val="en-GB"/>
        </w:rPr>
        <w:t xml:space="preserve">.  Both the ionic and normal biogel have a low contact resistance of 28 Ω at the high frequency of 0.1 MHz according to the electrochemical impedance spectra (EIS) </w:t>
      </w:r>
      <w:r w:rsidRPr="451B7F4F">
        <w:rPr>
          <w:b/>
          <w:bCs/>
          <w:color w:val="000000" w:themeColor="text1"/>
          <w:lang w:val="en-GB"/>
        </w:rPr>
        <w:t>(</w:t>
      </w:r>
      <w:r w:rsidR="000F64A1">
        <w:rPr>
          <w:b/>
          <w:bCs/>
          <w:color w:val="000000" w:themeColor="text1"/>
          <w:lang w:val="en-GB"/>
        </w:rPr>
        <w:t xml:space="preserve">Extended </w:t>
      </w:r>
      <w:r w:rsidRPr="451B7F4F">
        <w:rPr>
          <w:b/>
          <w:bCs/>
          <w:color w:val="000000" w:themeColor="text1"/>
          <w:lang w:val="en-GB"/>
        </w:rPr>
        <w:t xml:space="preserve">Figure </w:t>
      </w:r>
      <w:r w:rsidR="000F64A1">
        <w:rPr>
          <w:b/>
          <w:bCs/>
          <w:color w:val="000000" w:themeColor="text1"/>
          <w:lang w:val="en-GB"/>
        </w:rPr>
        <w:t>4c</w:t>
      </w:r>
      <w:r w:rsidRPr="451B7F4F">
        <w:rPr>
          <w:b/>
          <w:bCs/>
          <w:color w:val="000000" w:themeColor="text1"/>
          <w:lang w:val="en-GB"/>
        </w:rPr>
        <w:t>)</w:t>
      </w:r>
      <w:r w:rsidRPr="451B7F4F">
        <w:rPr>
          <w:color w:val="000000" w:themeColor="text1"/>
          <w:lang w:val="en-GB"/>
        </w:rPr>
        <w:t xml:space="preserve">.  However, the ionic biogel has a lower charge transfer resistance of 160 Ω than that of 267 Ω from the normal biogel owing to the high electric double layer formation at the boundary.  The electric double layer capacitance for ionic biogel increases from 62.5 µF (at a peak frequency of 100 Hz) to 2 mF (at a peak frequency of 1 Hz) after complete swelling to reach a steady state in the </w:t>
      </w:r>
      <w:r w:rsidRPr="0004352E">
        <w:rPr>
          <w:color w:val="000000" w:themeColor="text1"/>
          <w:lang w:val="en-GB"/>
        </w:rPr>
        <w:t>PBS</w:t>
      </w:r>
      <w:r w:rsidRPr="451B7F4F">
        <w:rPr>
          <w:color w:val="000000" w:themeColor="text1"/>
          <w:lang w:val="en-GB"/>
        </w:rPr>
        <w:t xml:space="preserve"> electrolyte.  This substantial increase suggests enhanced capacitive behaviour due to an increased effective interfacial area and greater ion accessibility.  The swelling process likely leads to the expansion of the biogel matrix and the exposure of additional active sites, facilitating the </w:t>
      </w:r>
      <w:r w:rsidRPr="451B7F4F">
        <w:rPr>
          <w:color w:val="000000" w:themeColor="text1"/>
          <w:lang w:val="en-GB"/>
        </w:rPr>
        <w:lastRenderedPageBreak/>
        <w:t xml:space="preserve">formation of electric double layers at multiple interfaces within the porous structure.  The contact resistance and charge transfer resistance also increase from 160 Ω to 730 Ω with swelling in the EIS electrolyte </w:t>
      </w:r>
      <w:r w:rsidRPr="451B7F4F">
        <w:rPr>
          <w:b/>
          <w:bCs/>
          <w:color w:val="000000" w:themeColor="text1"/>
          <w:lang w:val="en-GB"/>
        </w:rPr>
        <w:t>(Figure S</w:t>
      </w:r>
      <w:r w:rsidR="00C4101E">
        <w:rPr>
          <w:b/>
          <w:bCs/>
          <w:color w:val="000000" w:themeColor="text1"/>
          <w:lang w:val="en-GB"/>
        </w:rPr>
        <w:t>28</w:t>
      </w:r>
      <w:r w:rsidRPr="451B7F4F">
        <w:rPr>
          <w:b/>
          <w:bCs/>
          <w:color w:val="000000" w:themeColor="text1"/>
          <w:lang w:val="en-GB"/>
        </w:rPr>
        <w:t>)</w:t>
      </w:r>
      <w:r w:rsidRPr="451B7F4F">
        <w:rPr>
          <w:color w:val="000000" w:themeColor="text1"/>
          <w:lang w:val="en-GB"/>
        </w:rPr>
        <w:t xml:space="preserve">.  This increase in resistance can be attributed to the excessive swelling or partial dissolution of the gelatin component in the electrolyte.  The gelatin-glycerol matrix, upon swelling, may disrupt the percolation network of the conductive PEDOT:PSS/EMIM-TFSI domains by increasing the distance between conductive pathways or introducing insulating barriers.  </w:t>
      </w:r>
      <w:r w:rsidRPr="451B7F4F">
        <w:rPr>
          <w:lang w:val="en-GB"/>
        </w:rPr>
        <w:t>At lower frequencies (typically below 100</w:t>
      </w:r>
      <w:r w:rsidRPr="451B7F4F">
        <w:rPr>
          <w:rFonts w:ascii="Arial" w:hAnsi="Arial" w:cs="Arial"/>
          <w:lang w:val="en-GB"/>
        </w:rPr>
        <w:t> </w:t>
      </w:r>
      <w:r w:rsidRPr="451B7F4F">
        <w:rPr>
          <w:lang w:val="en-GB"/>
        </w:rPr>
        <w:t>Hz), the swelling of the ionic biogel from sweat or the environment can hinder ion mobility over time (from several hours to days) by increasing the disorderness of the ionic pathways.  However, at higher frequencies (typically above 1</w:t>
      </w:r>
      <w:r>
        <w:rPr>
          <w:rFonts w:ascii="Arial" w:hAnsi="Arial" w:cs="Arial"/>
          <w:lang w:val="en-GB"/>
        </w:rPr>
        <w:t xml:space="preserve"> </w:t>
      </w:r>
      <w:r w:rsidRPr="451B7F4F">
        <w:rPr>
          <w:lang w:val="en-GB"/>
        </w:rPr>
        <w:t xml:space="preserve">kHz), the impedance of the skin-biogel interface is predominantly governed by capacitive reactance, </w:t>
      </w:r>
      <w:r w:rsidRPr="451B7F4F">
        <w:rPr>
          <w:rStyle w:val="mord"/>
          <w:rFonts w:eastAsiaTheme="majorEastAsia"/>
          <w:lang w:val="en-GB"/>
        </w:rPr>
        <w:t>which</w:t>
      </w:r>
      <w:r w:rsidRPr="451B7F4F">
        <w:rPr>
          <w:lang w:val="en-GB"/>
        </w:rPr>
        <w:t xml:space="preserve"> </w:t>
      </w:r>
      <w:r>
        <w:rPr>
          <w:lang w:val="en-GB"/>
        </w:rPr>
        <w:t>de</w:t>
      </w:r>
      <w:r w:rsidRPr="451B7F4F">
        <w:rPr>
          <w:lang w:val="en-GB"/>
        </w:rPr>
        <w:t xml:space="preserve">creases over time due to both increased contact area and enhanced ion accumulation.  The impedance of the ionic biogel at higher frequencies such as 40 kHz is slightly decreased by 16% over 11 hours, whereas the impedance at low frequencies such as 4 Hz is markedly increased by 130% </w:t>
      </w:r>
      <w:r w:rsidRPr="451B7F4F">
        <w:rPr>
          <w:b/>
          <w:bCs/>
          <w:lang w:val="en-GB"/>
        </w:rPr>
        <w:t xml:space="preserve">(Figure </w:t>
      </w:r>
      <w:r w:rsidR="003F128B">
        <w:rPr>
          <w:b/>
          <w:bCs/>
          <w:lang w:val="en-GB"/>
        </w:rPr>
        <w:t>S</w:t>
      </w:r>
      <w:r w:rsidR="00C4101E">
        <w:rPr>
          <w:b/>
          <w:bCs/>
          <w:lang w:val="en-GB"/>
        </w:rPr>
        <w:t>29</w:t>
      </w:r>
      <w:r w:rsidRPr="451B7F4F">
        <w:rPr>
          <w:b/>
          <w:bCs/>
          <w:lang w:val="en-GB"/>
        </w:rPr>
        <w:t>)</w:t>
      </w:r>
      <w:r w:rsidRPr="451B7F4F">
        <w:rPr>
          <w:lang w:val="en-GB"/>
        </w:rPr>
        <w:t xml:space="preserve">.  A similar trend follows over a span of 8 days, where the impedance at the high frequency of 1 kHz is decreased by 32.5% </w:t>
      </w:r>
      <w:r w:rsidRPr="451B7F4F">
        <w:rPr>
          <w:b/>
          <w:bCs/>
          <w:lang w:val="en-GB"/>
        </w:rPr>
        <w:t>(</w:t>
      </w:r>
      <w:r w:rsidR="001B3184">
        <w:rPr>
          <w:b/>
          <w:bCs/>
          <w:lang w:val="en-GB"/>
        </w:rPr>
        <w:t xml:space="preserve">Extended </w:t>
      </w:r>
      <w:r w:rsidRPr="451B7F4F">
        <w:rPr>
          <w:b/>
          <w:bCs/>
          <w:lang w:val="en-GB"/>
        </w:rPr>
        <w:t xml:space="preserve">Figure </w:t>
      </w:r>
      <w:r w:rsidR="001B3184">
        <w:rPr>
          <w:b/>
          <w:bCs/>
          <w:lang w:val="en-GB"/>
        </w:rPr>
        <w:t>4d</w:t>
      </w:r>
      <w:r w:rsidRPr="451B7F4F">
        <w:rPr>
          <w:b/>
          <w:bCs/>
          <w:lang w:val="en-GB"/>
        </w:rPr>
        <w:t>)</w:t>
      </w:r>
      <w:r w:rsidRPr="451B7F4F">
        <w:rPr>
          <w:lang w:val="en-GB"/>
        </w:rPr>
        <w:t>.</w:t>
      </w:r>
    </w:p>
    <w:p w14:paraId="126C5C36" w14:textId="34FD4E81" w:rsidR="002276EB" w:rsidRDefault="002E09AD" w:rsidP="002E09AD">
      <w:pPr>
        <w:spacing w:after="160" w:line="278" w:lineRule="auto"/>
        <w:rPr>
          <w:lang w:val="en-GB"/>
        </w:rPr>
      </w:pPr>
      <w:r>
        <w:rPr>
          <w:lang w:val="en-GB"/>
        </w:rPr>
        <w:br w:type="page"/>
      </w:r>
    </w:p>
    <w:p w14:paraId="0D163434" w14:textId="5CD69A78" w:rsidR="002E09AD" w:rsidRDefault="002E09AD" w:rsidP="002E09AD">
      <w:pPr>
        <w:spacing w:after="160" w:line="278" w:lineRule="auto"/>
        <w:rPr>
          <w:b/>
          <w:bCs/>
          <w:u w:val="single"/>
          <w:lang w:val="en-GB"/>
        </w:rPr>
      </w:pPr>
      <w:r w:rsidRPr="009C4043">
        <w:rPr>
          <w:b/>
          <w:bCs/>
          <w:u w:val="single"/>
          <w:lang w:val="en-GB"/>
        </w:rPr>
        <w:lastRenderedPageBreak/>
        <w:t xml:space="preserve">Supplementary Note </w:t>
      </w:r>
      <w:r w:rsidR="009C4043" w:rsidRPr="009C4043">
        <w:rPr>
          <w:b/>
          <w:bCs/>
          <w:u w:val="single"/>
          <w:lang w:val="en-GB"/>
        </w:rPr>
        <w:t>15</w:t>
      </w:r>
    </w:p>
    <w:p w14:paraId="058EB719" w14:textId="77777777" w:rsidR="006A527E" w:rsidRDefault="006A527E" w:rsidP="002E09AD">
      <w:pPr>
        <w:spacing w:after="160" w:line="278" w:lineRule="auto"/>
        <w:rPr>
          <w:b/>
          <w:bCs/>
          <w:u w:val="single"/>
          <w:lang w:val="en-GB"/>
        </w:rPr>
      </w:pPr>
    </w:p>
    <w:p w14:paraId="31B52D13" w14:textId="102EA773" w:rsidR="006A527E" w:rsidRPr="006A527E" w:rsidRDefault="006A527E" w:rsidP="002E09AD">
      <w:pPr>
        <w:pStyle w:val="NormalWeb"/>
        <w:spacing w:line="480" w:lineRule="auto"/>
        <w:jc w:val="both"/>
        <w:rPr>
          <w:b/>
          <w:bCs/>
          <w:color w:val="000000" w:themeColor="text1"/>
          <w:lang w:val="en-GB"/>
        </w:rPr>
      </w:pPr>
      <w:r w:rsidRPr="006A527E">
        <w:rPr>
          <w:b/>
          <w:bCs/>
          <w:color w:val="000000" w:themeColor="text1"/>
          <w:lang w:val="en-GB"/>
        </w:rPr>
        <w:t>Electromyography (EMG) Characteristics using Ionic Biogel</w:t>
      </w:r>
    </w:p>
    <w:p w14:paraId="4D8E8E2F" w14:textId="193A754D" w:rsidR="002E09AD" w:rsidRPr="00D712CE" w:rsidRDefault="002E09AD" w:rsidP="002E09AD">
      <w:pPr>
        <w:pStyle w:val="NormalWeb"/>
        <w:spacing w:line="480" w:lineRule="auto"/>
        <w:jc w:val="both"/>
        <w:rPr>
          <w:color w:val="000000" w:themeColor="text1"/>
          <w:lang w:val="en-GB"/>
        </w:rPr>
      </w:pPr>
      <w:r w:rsidRPr="451B7F4F">
        <w:rPr>
          <w:color w:val="000000" w:themeColor="text1"/>
          <w:lang w:val="en-GB"/>
        </w:rPr>
        <w:t xml:space="preserve">Owing to the high ionic conductivity and low skin contact impedance of the ionic biogel, a high signal-to-noise ratio (SNR) of 26 dB is obtained from the measured electromyography (EMG) signal at room temperature </w:t>
      </w:r>
      <w:r w:rsidRPr="451B7F4F">
        <w:rPr>
          <w:b/>
          <w:bCs/>
          <w:color w:val="000000" w:themeColor="text1"/>
          <w:lang w:val="en-GB"/>
        </w:rPr>
        <w:t>(Figure S</w:t>
      </w:r>
      <w:r w:rsidR="003144AC">
        <w:rPr>
          <w:b/>
          <w:bCs/>
          <w:color w:val="000000" w:themeColor="text1"/>
          <w:lang w:val="en-GB"/>
        </w:rPr>
        <w:t>30</w:t>
      </w:r>
      <w:r w:rsidRPr="451B7F4F">
        <w:rPr>
          <w:b/>
          <w:bCs/>
          <w:color w:val="000000" w:themeColor="text1"/>
          <w:lang w:val="en-GB"/>
        </w:rPr>
        <w:t>)</w:t>
      </w:r>
      <w:r w:rsidRPr="451B7F4F">
        <w:rPr>
          <w:color w:val="000000" w:themeColor="text1"/>
          <w:lang w:val="en-GB"/>
        </w:rPr>
        <w:t xml:space="preserve">, which increases to 36 dB at 40°C </w:t>
      </w:r>
      <w:r w:rsidRPr="451B7F4F">
        <w:rPr>
          <w:b/>
          <w:bCs/>
          <w:color w:val="000000" w:themeColor="text1"/>
          <w:lang w:val="en-GB"/>
        </w:rPr>
        <w:t>(Figure S</w:t>
      </w:r>
      <w:r w:rsidR="003144AC">
        <w:rPr>
          <w:b/>
          <w:bCs/>
          <w:color w:val="000000" w:themeColor="text1"/>
          <w:lang w:val="en-GB"/>
        </w:rPr>
        <w:t>31</w:t>
      </w:r>
      <w:r w:rsidRPr="451B7F4F">
        <w:rPr>
          <w:b/>
          <w:bCs/>
          <w:color w:val="000000" w:themeColor="text1"/>
          <w:lang w:val="en-GB"/>
        </w:rPr>
        <w:t>)</w:t>
      </w:r>
      <w:r w:rsidRPr="451B7F4F">
        <w:rPr>
          <w:color w:val="000000" w:themeColor="text1"/>
          <w:lang w:val="en-GB"/>
        </w:rPr>
        <w:t xml:space="preserve">.  Both the EMG voltage </w:t>
      </w:r>
      <w:r w:rsidRPr="451B7F4F">
        <w:rPr>
          <w:b/>
          <w:bCs/>
          <w:color w:val="000000" w:themeColor="text1"/>
          <w:lang w:val="en-GB"/>
        </w:rPr>
        <w:t>(Figure S</w:t>
      </w:r>
      <w:r w:rsidR="003144AC">
        <w:rPr>
          <w:b/>
          <w:bCs/>
          <w:color w:val="000000" w:themeColor="text1"/>
          <w:lang w:val="en-GB"/>
        </w:rPr>
        <w:t>32</w:t>
      </w:r>
      <w:r w:rsidRPr="451B7F4F">
        <w:rPr>
          <w:b/>
          <w:bCs/>
          <w:color w:val="000000" w:themeColor="text1"/>
          <w:lang w:val="en-GB"/>
        </w:rPr>
        <w:t>)</w:t>
      </w:r>
      <w:r w:rsidRPr="451B7F4F">
        <w:rPr>
          <w:color w:val="000000" w:themeColor="text1"/>
          <w:lang w:val="en-GB"/>
        </w:rPr>
        <w:t xml:space="preserve"> and frequency amplitude </w:t>
      </w:r>
      <w:r w:rsidRPr="451B7F4F">
        <w:rPr>
          <w:b/>
          <w:bCs/>
          <w:color w:val="000000" w:themeColor="text1"/>
          <w:lang w:val="en-GB"/>
        </w:rPr>
        <w:t>(Figure S</w:t>
      </w:r>
      <w:r w:rsidR="003144AC">
        <w:rPr>
          <w:b/>
          <w:bCs/>
          <w:color w:val="000000" w:themeColor="text1"/>
          <w:lang w:val="en-GB"/>
        </w:rPr>
        <w:t>33</w:t>
      </w:r>
      <w:r w:rsidRPr="451B7F4F">
        <w:rPr>
          <w:b/>
          <w:bCs/>
          <w:color w:val="000000" w:themeColor="text1"/>
          <w:lang w:val="en-GB"/>
        </w:rPr>
        <w:t xml:space="preserve">) </w:t>
      </w:r>
      <w:r w:rsidRPr="451B7F4F">
        <w:rPr>
          <w:color w:val="000000" w:themeColor="text1"/>
          <w:lang w:val="en-GB"/>
        </w:rPr>
        <w:t xml:space="preserve">increase with the increasing force applied during grasping, which captures the varied muscle action potentials with </w:t>
      </w:r>
      <w:r>
        <w:rPr>
          <w:color w:val="000000" w:themeColor="text1"/>
          <w:lang w:val="en-GB"/>
        </w:rPr>
        <w:t>two</w:t>
      </w:r>
      <w:r w:rsidRPr="451B7F4F">
        <w:rPr>
          <w:color w:val="000000" w:themeColor="text1"/>
          <w:lang w:val="en-GB"/>
        </w:rPr>
        <w:t xml:space="preserve"> electrodes placed over different muscle groups </w:t>
      </w:r>
      <w:r>
        <w:rPr>
          <w:color w:val="000000" w:themeColor="text1"/>
          <w:lang w:val="en-GB"/>
        </w:rPr>
        <w:t>(</w:t>
      </w:r>
      <w:r w:rsidRPr="00F20695">
        <w:rPr>
          <w:color w:val="000000" w:themeColor="text1"/>
          <w:lang w:val="en-GB"/>
        </w:rPr>
        <w:t>flexor digitorum superficialis and flexor carpi ulnaris</w:t>
      </w:r>
      <w:r>
        <w:rPr>
          <w:color w:val="000000" w:themeColor="text1"/>
          <w:lang w:val="en-GB"/>
        </w:rPr>
        <w:t>)</w:t>
      </w:r>
      <w:r w:rsidRPr="451B7F4F">
        <w:rPr>
          <w:color w:val="000000" w:themeColor="text1"/>
          <w:lang w:val="en-GB"/>
        </w:rPr>
        <w:t xml:space="preserve"> in the arm.  It is also possible to decipher different materials (e.g., cotton and Ecoflex) from the measured EMG amplitude as they provide different contact forces on the arm during grasping </w:t>
      </w:r>
      <w:r w:rsidRPr="451B7F4F">
        <w:rPr>
          <w:b/>
          <w:bCs/>
          <w:color w:val="000000" w:themeColor="text1"/>
          <w:lang w:val="en-GB"/>
        </w:rPr>
        <w:t>(Figure S</w:t>
      </w:r>
      <w:r w:rsidR="003144AC">
        <w:rPr>
          <w:b/>
          <w:bCs/>
          <w:color w:val="000000" w:themeColor="text1"/>
          <w:lang w:val="en-GB"/>
        </w:rPr>
        <w:t>34</w:t>
      </w:r>
      <w:r w:rsidRPr="451B7F4F">
        <w:rPr>
          <w:b/>
          <w:bCs/>
          <w:color w:val="000000" w:themeColor="text1"/>
          <w:lang w:val="en-GB"/>
        </w:rPr>
        <w:t>)</w:t>
      </w:r>
      <w:r w:rsidRPr="451B7F4F">
        <w:rPr>
          <w:color w:val="000000" w:themeColor="text1"/>
          <w:lang w:val="en-GB"/>
        </w:rPr>
        <w:t xml:space="preserve">. </w:t>
      </w:r>
    </w:p>
    <w:p w14:paraId="4474BD4A" w14:textId="77777777" w:rsidR="002E09AD" w:rsidRPr="002E09AD" w:rsidRDefault="002E09AD" w:rsidP="002E09AD">
      <w:pPr>
        <w:spacing w:after="160" w:line="278" w:lineRule="auto"/>
        <w:rPr>
          <w:lang w:val="en-GB"/>
        </w:rPr>
      </w:pPr>
    </w:p>
    <w:p w14:paraId="1BC882FC" w14:textId="77777777" w:rsidR="002276EB" w:rsidRPr="002276EB" w:rsidRDefault="002276EB" w:rsidP="002276EB">
      <w:pPr>
        <w:spacing w:before="100" w:beforeAutospacing="1" w:after="100" w:afterAutospacing="1" w:line="480" w:lineRule="auto"/>
        <w:jc w:val="both"/>
        <w:rPr>
          <w:lang w:val="en-GB"/>
        </w:rPr>
      </w:pPr>
    </w:p>
    <w:p w14:paraId="7913000E" w14:textId="77777777" w:rsidR="00EC63A1" w:rsidRDefault="00EC63A1">
      <w:pPr>
        <w:spacing w:after="160" w:line="278" w:lineRule="auto"/>
      </w:pPr>
      <w:r>
        <w:br w:type="page"/>
      </w:r>
    </w:p>
    <w:p w14:paraId="00332986" w14:textId="46F9B2A3" w:rsidR="00BF5402" w:rsidRDefault="00BF5402" w:rsidP="00E82A14">
      <w:pPr>
        <w:spacing w:line="480" w:lineRule="auto"/>
        <w:jc w:val="both"/>
        <w:rPr>
          <w:b/>
          <w:bCs/>
          <w:u w:val="single"/>
        </w:rPr>
      </w:pPr>
      <w:r w:rsidRPr="003F7C08">
        <w:rPr>
          <w:b/>
          <w:u w:val="single"/>
        </w:rPr>
        <w:lastRenderedPageBreak/>
        <w:t xml:space="preserve">Supplementary Note </w:t>
      </w:r>
      <w:r w:rsidR="009C6529">
        <w:rPr>
          <w:b/>
          <w:bCs/>
          <w:u w:val="single"/>
        </w:rPr>
        <w:t>1</w:t>
      </w:r>
      <w:r w:rsidR="009C4043">
        <w:rPr>
          <w:b/>
          <w:bCs/>
          <w:u w:val="single"/>
        </w:rPr>
        <w:t>6</w:t>
      </w:r>
    </w:p>
    <w:p w14:paraId="239095FB" w14:textId="0436E8C7" w:rsidR="006A527E" w:rsidRPr="006A527E" w:rsidRDefault="006A527E" w:rsidP="00E82A14">
      <w:pPr>
        <w:spacing w:line="480" w:lineRule="auto"/>
        <w:jc w:val="both"/>
      </w:pPr>
      <w:r w:rsidRPr="006A527E">
        <w:rPr>
          <w:b/>
          <w:bCs/>
        </w:rPr>
        <w:t>Charge Injection Capacity of Ionic Biogel</w:t>
      </w:r>
    </w:p>
    <w:p w14:paraId="0D75571A" w14:textId="51B60F26" w:rsidR="00BF5402" w:rsidRDefault="00BF5402" w:rsidP="009C4043">
      <w:pPr>
        <w:spacing w:line="480" w:lineRule="auto"/>
        <w:jc w:val="both"/>
      </w:pPr>
      <w:r w:rsidRPr="003F7C08">
        <w:t xml:space="preserve">The charge injection capacity (CIC) is a critical parameter that ensures the safety of electrodes during stimulation.  It is defined as the maximum charge density that an electrode can inject without exceeding the water electrolysis threshold. </w:t>
      </w:r>
      <w:r w:rsidR="00483E0B">
        <w:t xml:space="preserve"> </w:t>
      </w:r>
      <w:r w:rsidRPr="003F7C08">
        <w:t>Exceeding these thresholds can result in electrode damage, generation of toxic byproducts, or tissue damage.  Safe stimulation relies on maintaining the maximum cathodal voltage (E</w:t>
      </w:r>
      <w:r w:rsidRPr="003F7C08">
        <w:rPr>
          <w:vertAlign w:val="subscript"/>
        </w:rPr>
        <w:t>mc</w:t>
      </w:r>
      <w:r w:rsidRPr="003F7C08">
        <w:t>) within the electrochemical water window, typically between -0.6 V and 0.8 V</w:t>
      </w:r>
      <w:r w:rsidR="00BE2499">
        <w:fldChar w:fldCharType="begin"/>
      </w:r>
      <w:r w:rsidR="00785CB3">
        <w:instrText xml:space="preserve"> ADDIN ZOTERO_ITEM CSL_CITATION {"citationID":"BGPwVr8M","properties":{"formattedCitation":"\\super 18\\nosupersub{}","plainCitation":"18","noteIndex":0},"citationItems":[{"id":1178,"uris":["http://zotero.org/users/12063952/items/3K37SB6J"],"itemData":{"id":1178,"type":"article-journal","abstract":"Abstract\n            The efficacy of electrical brain stimulation in combatting neurodegenerative diseases and initiating function is expected to be significantly enhanced with the development of smaller scale microstimulation electrodes and refined stimulation protocols. These benefits cannot be realized without a thorough understanding of scaling effects on electrochemical charge injection characteristics. This study fabricates and characterizes the electrochemical stimulation capabilities of Au, Pt, poly(3,4‐ethylenedioxythiophene):polystyrene sulfonate (PEDOT:PSS/Au), and PEDOT:PSS/Pt electrode arrays in the 20–2000 µm diameter range. This study observes substantial enhancement in charge injection capacity up to 9.5× for PEDOT:PSS microelectrodes compared to metal ones, and 88% lower required power for injecting the same charge density. These significant benefits are strongest for electrode diameters below 200 µm. Detailed quantitative analyses are provided, enabling optimization of charge injection capacity with potential bias and symmetric and asymmetric pulse width engineering for all diameters. These systematic analyses inform the optimal design for acute and potentially chronic implants in regards to safety and clinically effective stimulation protocols, ensure the longevity of the electrodes below critical electrochemical limits of stimulation, and demonstrate that the material choice and pulse design can lead to more energy efficiency stimulation protocols that are of critical importance for fully implanted devices.","container-title":"Advanced Functional Materials","DOI":"10.1002/adfm.201703019","ISSN":"1616-301X, 1616-3028","issue":"42","journalAbbreviation":"Adv Funct Materials","language":"en","license":"http://onlinelibrary.wiley.com/termsAndConditions#am","page":"1703019","source":"DOI.org (Crossref)","title":"Scaling Effects on the Electrochemical Stimulation Performance of Au, Pt, and PEDOT:PSS Electrocorticography Arrays","title-short":"Scaling Effects on the Electrochemical Stimulation Performance of Au, Pt, and PEDOT","volume":"27","author":[{"family":"Ganji","given":"Mehran"},{"family":"Tanaka","given":"Atsunori"},{"family":"Gilja","given":"Vikash"},{"family":"Halgren","given":"Eric"},{"family":"Dayeh","given":"Shadi A."}],"issued":{"date-parts":[["2017",11]]}}}],"schema":"https://github.com/citation-style-language/schema/raw/master/csl-citation.json"} </w:instrText>
      </w:r>
      <w:r w:rsidR="00BE2499">
        <w:fldChar w:fldCharType="separate"/>
      </w:r>
      <w:r w:rsidR="00785CB3" w:rsidRPr="00785CB3">
        <w:rPr>
          <w:vertAlign w:val="superscript"/>
        </w:rPr>
        <w:t>18</w:t>
      </w:r>
      <w:r w:rsidR="00BE2499">
        <w:fldChar w:fldCharType="end"/>
      </w:r>
      <w:r w:rsidR="00120CB1">
        <w:t>.</w:t>
      </w:r>
    </w:p>
    <w:p w14:paraId="346326CA" w14:textId="28B3A01A" w:rsidR="00AB673F" w:rsidRPr="00751E65" w:rsidRDefault="00AB673F" w:rsidP="00A22FC4">
      <w:pPr>
        <w:spacing w:line="480" w:lineRule="auto"/>
        <w:ind w:firstLine="720"/>
        <w:jc w:val="both"/>
      </w:pPr>
      <w:r w:rsidRPr="00751E65">
        <w:rPr>
          <w:i/>
        </w:rPr>
        <w:t>Voltage-Transient Analysis:</w:t>
      </w:r>
      <w:r w:rsidRPr="00751E65">
        <w:t xml:space="preserve"> The CIC is derived from voltage transients during a biphasic current pulse. </w:t>
      </w:r>
      <w:r w:rsidR="008048BE">
        <w:t xml:space="preserve"> </w:t>
      </w:r>
      <w:r w:rsidRPr="00751E65">
        <w:t>The cathodal and anodal pulse widths (</w:t>
      </w:r>
      <m:oMath>
        <m:sSub>
          <m:sSubPr>
            <m:ctrlPr>
              <w:rPr>
                <w:rFonts w:ascii="Cambria Math" w:hAnsi="Cambria Math"/>
                <w:i/>
              </w:rPr>
            </m:ctrlPr>
          </m:sSubPr>
          <m:e>
            <m:r>
              <w:rPr>
                <w:rFonts w:ascii="Cambria Math" w:hAnsi="Cambria Math"/>
              </w:rPr>
              <m:t>t</m:t>
            </m:r>
          </m:e>
          <m:sub>
            <m:r>
              <w:rPr>
                <w:rFonts w:ascii="Cambria Math" w:hAnsi="Cambria Math"/>
              </w:rPr>
              <m:t>c</m:t>
            </m:r>
          </m:sub>
        </m:sSub>
      </m:oMath>
      <w:r w:rsidRPr="00751E65" w:rsidDel="00805B83">
        <w:t>,</w:t>
      </w:r>
      <w:r w:rsidR="00805B83">
        <w:t xml:space="preserve"> </w:t>
      </w:r>
      <m:oMath>
        <m:sSub>
          <m:sSubPr>
            <m:ctrlPr>
              <w:rPr>
                <w:rFonts w:ascii="Cambria Math" w:hAnsi="Cambria Math"/>
                <w:i/>
              </w:rPr>
            </m:ctrlPr>
          </m:sSubPr>
          <m:e>
            <m:r>
              <w:rPr>
                <w:rFonts w:ascii="Cambria Math" w:hAnsi="Cambria Math"/>
              </w:rPr>
              <m:t>t</m:t>
            </m:r>
          </m:e>
          <m:sub>
            <m:r>
              <w:rPr>
                <w:rFonts w:ascii="Cambria Math" w:hAnsi="Cambria Math"/>
              </w:rPr>
              <m:t>a</m:t>
            </m:r>
          </m:sub>
        </m:sSub>
      </m:oMath>
      <w:r w:rsidRPr="00751E65">
        <w:t>) and respective currents (</w:t>
      </w:r>
      <m:oMath>
        <m:sSub>
          <m:sSubPr>
            <m:ctrlPr>
              <w:rPr>
                <w:rFonts w:ascii="Cambria Math" w:hAnsi="Cambria Math"/>
                <w:i/>
              </w:rPr>
            </m:ctrlPr>
          </m:sSubPr>
          <m:e>
            <m:r>
              <w:rPr>
                <w:rFonts w:ascii="Cambria Math" w:hAnsi="Cambria Math"/>
              </w:rPr>
              <m:t>i</m:t>
            </m:r>
          </m:e>
          <m:sub>
            <m:r>
              <w:rPr>
                <w:rFonts w:ascii="Cambria Math" w:hAnsi="Cambria Math"/>
              </w:rPr>
              <m:t>c</m:t>
            </m:r>
          </m:sub>
        </m:sSub>
      </m:oMath>
      <w:r w:rsidRPr="00751E65">
        <w:t>,</w:t>
      </w:r>
      <w:r w:rsidR="00805B83">
        <w:t xml:space="preserve"> </w:t>
      </w:r>
      <m:oMath>
        <m:sSub>
          <m:sSubPr>
            <m:ctrlPr>
              <w:rPr>
                <w:rFonts w:ascii="Cambria Math" w:hAnsi="Cambria Math"/>
                <w:i/>
              </w:rPr>
            </m:ctrlPr>
          </m:sSubPr>
          <m:e>
            <m:r>
              <w:rPr>
                <w:rFonts w:ascii="Cambria Math" w:hAnsi="Cambria Math"/>
              </w:rPr>
              <m:t>i</m:t>
            </m:r>
          </m:e>
          <m:sub>
            <m:r>
              <w:rPr>
                <w:rFonts w:ascii="Cambria Math" w:hAnsi="Cambria Math"/>
              </w:rPr>
              <m:t>a</m:t>
            </m:r>
          </m:sub>
        </m:sSub>
      </m:oMath>
      <w:r w:rsidRPr="00751E65">
        <w:t>) determine the injected charge:</w:t>
      </w:r>
    </w:p>
    <w:p w14:paraId="5AD3D817" w14:textId="59EA1C27" w:rsidR="00AB673F" w:rsidRPr="00751E65" w:rsidRDefault="00166B66" w:rsidP="00A22FC4">
      <w:pPr>
        <w:tabs>
          <w:tab w:val="center" w:pos="4680"/>
          <w:tab w:val="right" w:pos="9360"/>
        </w:tabs>
        <w:spacing w:line="480" w:lineRule="auto"/>
        <w:jc w:val="both"/>
      </w:pPr>
      <w:r>
        <w:tab/>
      </w:r>
      <m:oMath>
        <m:sSub>
          <m:sSubPr>
            <m:ctrlPr>
              <w:rPr>
                <w:rFonts w:ascii="Cambria Math" w:hAnsi="Cambria Math"/>
                <w:i/>
              </w:rPr>
            </m:ctrlPr>
          </m:sSubPr>
          <m:e>
            <m:r>
              <w:rPr>
                <w:rFonts w:ascii="Cambria Math" w:hAnsi="Cambria Math"/>
              </w:rPr>
              <m:t>Q</m:t>
            </m:r>
          </m:e>
          <m:sub>
            <m:r>
              <w:rPr>
                <w:rFonts w:ascii="Cambria Math" w:hAnsi="Cambria Math"/>
              </w:rPr>
              <m:t>inj</m:t>
            </m:r>
          </m:sub>
        </m:sSub>
        <m:r>
          <w:rPr>
            <w:rFonts w:ascii="Cambria Math" w:hAnsi="Cambria Math"/>
          </w:rPr>
          <m:t>=</m:t>
        </m:r>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w:rPr>
                    <w:rFonts w:ascii="Cambria Math" w:hAnsi="Cambria Math"/>
                  </w:rPr>
                  <m:t>c</m:t>
                </m:r>
              </m:sub>
            </m:sSub>
          </m:sup>
          <m:e>
            <m:sSub>
              <m:sSubPr>
                <m:ctrlPr>
                  <w:rPr>
                    <w:rFonts w:ascii="Cambria Math" w:hAnsi="Cambria Math"/>
                    <w:i/>
                  </w:rPr>
                </m:ctrlPr>
              </m:sSubPr>
              <m:e>
                <m:r>
                  <w:rPr>
                    <w:rFonts w:ascii="Cambria Math" w:hAnsi="Cambria Math"/>
                  </w:rPr>
                  <m:t>i</m:t>
                </m:r>
              </m:e>
              <m:sub>
                <m:r>
                  <w:rPr>
                    <w:rFonts w:ascii="Cambria Math" w:hAnsi="Cambria Math"/>
                  </w:rPr>
                  <m:t>c</m:t>
                </m:r>
              </m:sub>
            </m:sSub>
            <m:r>
              <w:rPr>
                <w:rFonts w:ascii="Cambria Math" w:hAnsi="Cambria Math"/>
              </w:rPr>
              <m:t>(t)dt</m:t>
            </m:r>
          </m:e>
        </m:nary>
        <m:r>
          <w:rPr>
            <w:rFonts w:ascii="Cambria Math" w:hAnsi="Cambria Math"/>
          </w:rPr>
          <m:t>+</m:t>
        </m:r>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w:rPr>
                    <w:rFonts w:ascii="Cambria Math" w:hAnsi="Cambria Math"/>
                  </w:rPr>
                  <m:t>a</m:t>
                </m:r>
              </m:sub>
            </m:sSub>
          </m:sup>
          <m:e>
            <m:sSub>
              <m:sSubPr>
                <m:ctrlPr>
                  <w:rPr>
                    <w:rFonts w:ascii="Cambria Math" w:hAnsi="Cambria Math"/>
                    <w:i/>
                  </w:rPr>
                </m:ctrlPr>
              </m:sSubPr>
              <m:e>
                <m:r>
                  <w:rPr>
                    <w:rFonts w:ascii="Cambria Math" w:hAnsi="Cambria Math"/>
                  </w:rPr>
                  <m:t>i</m:t>
                </m:r>
              </m:e>
              <m:sub>
                <m:r>
                  <w:rPr>
                    <w:rFonts w:ascii="Cambria Math" w:hAnsi="Cambria Math"/>
                  </w:rPr>
                  <m:t>a</m:t>
                </m:r>
              </m:sub>
            </m:sSub>
            <m:r>
              <w:rPr>
                <w:rFonts w:ascii="Cambria Math" w:hAnsi="Cambria Math"/>
              </w:rPr>
              <m:t>(t)dt</m:t>
            </m:r>
          </m:e>
        </m:nary>
      </m:oMath>
      <w:r w:rsidR="006C0732">
        <w:t>.</w:t>
      </w:r>
      <w:r w:rsidR="001F2510">
        <w:tab/>
        <w:t>(S20)</w:t>
      </w:r>
    </w:p>
    <w:p w14:paraId="0C15D9DA" w14:textId="0E7179DB" w:rsidR="00AB673F" w:rsidRPr="00751E65" w:rsidRDefault="00AB673F" w:rsidP="00751E65">
      <w:pPr>
        <w:spacing w:line="480" w:lineRule="auto"/>
        <w:jc w:val="both"/>
      </w:pPr>
      <w:r w:rsidRPr="00751E65">
        <w:t>The maximum cathodal excursion potential (E</w:t>
      </w:r>
      <w:r w:rsidRPr="00751E65">
        <w:rPr>
          <w:vertAlign w:val="subscript"/>
        </w:rPr>
        <w:t>mc</w:t>
      </w:r>
      <w:r w:rsidRPr="00751E65">
        <w:t>) is measured immediately after the pulse and corrected for access voltage (V</w:t>
      </w:r>
      <w:r w:rsidRPr="00751E65">
        <w:rPr>
          <w:vertAlign w:val="subscript"/>
        </w:rPr>
        <w:t>a</w:t>
      </w:r>
      <w:r w:rsidRPr="00751E65">
        <w:t>) due to series resistance:</w:t>
      </w:r>
    </w:p>
    <w:p w14:paraId="3D533E76" w14:textId="1EBA345A" w:rsidR="00AB673F" w:rsidRPr="00751E65" w:rsidRDefault="00166B66" w:rsidP="00A22FC4">
      <w:pPr>
        <w:tabs>
          <w:tab w:val="center" w:pos="4680"/>
          <w:tab w:val="right" w:pos="9360"/>
        </w:tabs>
        <w:spacing w:line="480" w:lineRule="auto"/>
        <w:jc w:val="both"/>
      </w:pPr>
      <w:r>
        <w:tab/>
      </w:r>
      <m:oMath>
        <m:sSub>
          <m:sSubPr>
            <m:ctrlPr>
              <w:rPr>
                <w:rFonts w:ascii="Cambria Math" w:hAnsi="Cambria Math"/>
                <w:i/>
              </w:rPr>
            </m:ctrlPr>
          </m:sSubPr>
          <m:e>
            <m:r>
              <w:rPr>
                <w:rFonts w:ascii="Cambria Math" w:hAnsi="Cambria Math"/>
              </w:rPr>
              <m:t>E</m:t>
            </m:r>
          </m:e>
          <m:sub>
            <m:r>
              <w:rPr>
                <w:rFonts w:ascii="Cambria Math" w:hAnsi="Cambria Math"/>
              </w:rPr>
              <m:t>mc</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transient</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a</m:t>
            </m:r>
          </m:sub>
        </m:sSub>
      </m:oMath>
      <w:r w:rsidR="00EA4C0B">
        <w:t>.</w:t>
      </w:r>
      <w:r w:rsidR="001F2510" w:rsidDel="00166B66">
        <w:tab/>
      </w:r>
      <w:r w:rsidR="001F2510">
        <w:t>(S21)</w:t>
      </w:r>
    </w:p>
    <w:p w14:paraId="3D900C89" w14:textId="4353DECD" w:rsidR="00AB673F" w:rsidRPr="00751E65" w:rsidRDefault="00AB673F" w:rsidP="00A22FC4">
      <w:pPr>
        <w:spacing w:line="480" w:lineRule="auto"/>
        <w:ind w:firstLine="720"/>
        <w:jc w:val="both"/>
      </w:pPr>
      <w:r w:rsidRPr="00751E65">
        <w:rPr>
          <w:i/>
        </w:rPr>
        <w:t>Charge Injection Limits:</w:t>
      </w:r>
      <w:r w:rsidRPr="00751E65">
        <w:t xml:space="preserve"> The </w:t>
      </w:r>
      <w:r w:rsidR="00556BDB" w:rsidRPr="00751E65">
        <w:t>C</w:t>
      </w:r>
      <w:r w:rsidR="00556BDB">
        <w:t>harge Injection Capacity</w:t>
      </w:r>
      <w:r w:rsidR="00556BDB" w:rsidRPr="00751E65">
        <w:t xml:space="preserve"> </w:t>
      </w:r>
      <w:r w:rsidRPr="00751E65">
        <w:t xml:space="preserve">(CIC) is the </w:t>
      </w:r>
      <w:r w:rsidR="00CF5B8E">
        <w:t xml:space="preserve">maximum </w:t>
      </w:r>
      <w:r w:rsidRPr="00751E65">
        <w:t xml:space="preserve">charge density </w:t>
      </w:r>
      <w:r w:rsidR="00481462">
        <w:t xml:space="preserve">that can be injected without </w:t>
      </w:r>
      <w:r w:rsidRPr="00751E65">
        <w:t>the onset of water reduction (cathodal limit) or oxidation (anodal limit):</w:t>
      </w:r>
    </w:p>
    <w:p w14:paraId="5A3DAB2D" w14:textId="039728F5" w:rsidR="00AB673F" w:rsidRPr="00751E65" w:rsidRDefault="00D027F0" w:rsidP="00A22FC4">
      <w:pPr>
        <w:tabs>
          <w:tab w:val="center" w:pos="4680"/>
          <w:tab w:val="right" w:pos="9360"/>
        </w:tabs>
        <w:spacing w:line="480" w:lineRule="auto"/>
        <w:jc w:val="both"/>
      </w:pPr>
      <w:r>
        <w:tab/>
      </w:r>
      <m:oMath>
        <m:r>
          <w:rPr>
            <w:rFonts w:ascii="Cambria Math" w:hAnsi="Cambria Math"/>
          </w:rPr>
          <m:t>CIC=</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inj</m:t>
                </m:r>
              </m:sub>
            </m:sSub>
          </m:num>
          <m:den>
            <m:sSub>
              <m:sSubPr>
                <m:ctrlPr>
                  <w:rPr>
                    <w:rFonts w:ascii="Cambria Math" w:hAnsi="Cambria Math"/>
                    <w:i/>
                  </w:rPr>
                </m:ctrlPr>
              </m:sSubPr>
              <m:e>
                <m:r>
                  <w:rPr>
                    <w:rFonts w:ascii="Cambria Math" w:hAnsi="Cambria Math"/>
                  </w:rPr>
                  <m:t>A</m:t>
                </m:r>
              </m:e>
              <m:sub>
                <m:r>
                  <w:rPr>
                    <w:rFonts w:ascii="Cambria Math" w:hAnsi="Cambria Math"/>
                  </w:rPr>
                  <m:t>eff</m:t>
                </m:r>
              </m:sub>
            </m:sSub>
          </m:den>
        </m:f>
      </m:oMath>
      <w:r w:rsidR="001C36B5">
        <w:t>,</w:t>
      </w:r>
      <w:r w:rsidR="00321026" w:rsidDel="00D027F0">
        <w:tab/>
      </w:r>
      <w:r w:rsidR="00FE10EF">
        <w:t>(S22)</w:t>
      </w:r>
    </w:p>
    <w:p w14:paraId="0ADCBB29" w14:textId="6B9DA2AD" w:rsidR="00AB673F" w:rsidRPr="00751E65" w:rsidRDefault="001C36B5" w:rsidP="00751E65">
      <w:pPr>
        <w:spacing w:line="480" w:lineRule="auto"/>
        <w:jc w:val="both"/>
      </w:pPr>
      <w:r w:rsidRPr="00751E65">
        <w:t>where</w:t>
      </w:r>
      <w:r>
        <w:t xml:space="preserve"> </w:t>
      </w:r>
      <w:r w:rsidR="00AB673F" w:rsidRPr="00751E65">
        <w:t>A</w:t>
      </w:r>
      <w:r w:rsidR="00AB673F" w:rsidRPr="00751E65">
        <w:rPr>
          <w:vertAlign w:val="subscript"/>
        </w:rPr>
        <w:t>eff</w:t>
      </w:r>
      <w:r>
        <w:t xml:space="preserve"> </w:t>
      </w:r>
      <w:r w:rsidR="00AB673F" w:rsidRPr="00751E65">
        <w:t>is the geometric surface area of the electrode.</w:t>
      </w:r>
    </w:p>
    <w:p w14:paraId="41C2BDC4" w14:textId="327F61F6" w:rsidR="00AB673F" w:rsidRPr="00751E65" w:rsidRDefault="00AB673F" w:rsidP="00A22FC4">
      <w:pPr>
        <w:spacing w:line="480" w:lineRule="auto"/>
        <w:ind w:firstLine="720"/>
        <w:jc w:val="both"/>
      </w:pPr>
      <w:r w:rsidRPr="00751E65">
        <w:rPr>
          <w:i/>
        </w:rPr>
        <w:t>Electrochemical Window Constraints:</w:t>
      </w:r>
      <w:r w:rsidRPr="00751E65">
        <w:t xml:space="preserve"> To ensure safety:</w:t>
      </w:r>
      <w:r w:rsidR="00F20F23">
        <w:t xml:space="preserve"> </w:t>
      </w:r>
      <w:r w:rsidRPr="00751E65">
        <w:t>E</w:t>
      </w:r>
      <w:r w:rsidRPr="00751E65">
        <w:rPr>
          <w:vertAlign w:val="subscript"/>
        </w:rPr>
        <w:t>mc</w:t>
      </w:r>
      <w:r w:rsidRPr="00751E65">
        <w:t>&gt;−0.</w:t>
      </w:r>
      <w:r w:rsidR="00F20F23">
        <w:t>6</w:t>
      </w:r>
      <w:r w:rsidRPr="00751E65">
        <w:t> V</w:t>
      </w:r>
      <w:r w:rsidR="00F20F23">
        <w:t xml:space="preserve"> </w:t>
      </w:r>
      <w:r w:rsidRPr="00751E65">
        <w:t>and</w:t>
      </w:r>
      <w:r w:rsidR="00F20F23">
        <w:t xml:space="preserve"> </w:t>
      </w:r>
      <w:r w:rsidRPr="00751E65">
        <w:t>E</w:t>
      </w:r>
      <w:r w:rsidRPr="00751E65">
        <w:rPr>
          <w:vertAlign w:val="subscript"/>
        </w:rPr>
        <w:t>ma</w:t>
      </w:r>
      <w:r w:rsidRPr="00751E65">
        <w:t>&lt;0.</w:t>
      </w:r>
      <w:r w:rsidR="00F20F23">
        <w:t>8</w:t>
      </w:r>
      <w:r w:rsidRPr="00751E65">
        <w:t> V</w:t>
      </w:r>
    </w:p>
    <w:p w14:paraId="115991D2" w14:textId="7971F57D" w:rsidR="001D0446" w:rsidRPr="00751E65" w:rsidRDefault="001D0446" w:rsidP="00751E65">
      <w:pPr>
        <w:spacing w:line="480" w:lineRule="auto"/>
        <w:jc w:val="both"/>
      </w:pPr>
      <w:r w:rsidRPr="00751E65">
        <w:t>The frequency (</w:t>
      </w:r>
      <m:oMath>
        <m:r>
          <w:rPr>
            <w:rFonts w:ascii="Cambria Math" w:hAnsi="Cambria Math"/>
          </w:rPr>
          <m:t>f</m:t>
        </m:r>
      </m:oMath>
      <w:r w:rsidRPr="00751E65">
        <w:t>) of stimulation is inversely related to the total period (</w:t>
      </w:r>
      <m:oMath>
        <m:r>
          <w:rPr>
            <w:rFonts w:ascii="Cambria Math" w:hAnsi="Cambria Math"/>
          </w:rPr>
          <m:t>T</m:t>
        </m:r>
      </m:oMath>
      <w:r w:rsidRPr="00751E65">
        <w:t>) of the waveform, which includes both the cathodal (t</w:t>
      </w:r>
      <w:r w:rsidRPr="00751E65">
        <w:rPr>
          <w:vertAlign w:val="subscript"/>
        </w:rPr>
        <w:t>c</w:t>
      </w:r>
      <w:r w:rsidRPr="00751E65">
        <w:t>) and anodal (t</w:t>
      </w:r>
      <w:r w:rsidRPr="00751E65">
        <w:rPr>
          <w:vertAlign w:val="subscript"/>
        </w:rPr>
        <w:t>a</w:t>
      </w:r>
      <w:r w:rsidRPr="00751E65">
        <w:t>) pulse widths, as well as the inter-phase delay (t</w:t>
      </w:r>
      <w:r w:rsidRPr="00751E65">
        <w:rPr>
          <w:vertAlign w:val="subscript"/>
        </w:rPr>
        <w:t>ip</w:t>
      </w:r>
      <w:r w:rsidRPr="00751E65">
        <w:t>):</w:t>
      </w:r>
    </w:p>
    <w:p w14:paraId="343BF098" w14:textId="1CF2E04D" w:rsidR="001D0446" w:rsidRPr="001D0446" w:rsidRDefault="00B07351" w:rsidP="00A22FC4">
      <w:pPr>
        <w:tabs>
          <w:tab w:val="center" w:pos="4680"/>
          <w:tab w:val="right" w:pos="9360"/>
        </w:tabs>
        <w:spacing w:line="480" w:lineRule="auto"/>
        <w:jc w:val="both"/>
      </w:pPr>
      <w:r>
        <w:lastRenderedPageBreak/>
        <w:tab/>
      </w:r>
      <m:oMath>
        <m:r>
          <w:rPr>
            <w:rFonts w:ascii="Cambria Math" w:hAnsi="Cambria Math"/>
          </w:rPr>
          <m:t>f=</m:t>
        </m:r>
        <m:f>
          <m:fPr>
            <m:ctrlPr>
              <w:rPr>
                <w:rFonts w:ascii="Cambria Math" w:hAnsi="Cambria Math"/>
                <w:i/>
                <w:lang w:val="de-DE"/>
              </w:rPr>
            </m:ctrlPr>
          </m:fPr>
          <m:num>
            <m:r>
              <w:rPr>
                <w:rFonts w:ascii="Cambria Math" w:hAnsi="Cambria Math"/>
              </w:rPr>
              <m:t>1</m:t>
            </m:r>
          </m:num>
          <m:den>
            <m:r>
              <w:rPr>
                <w:rFonts w:ascii="Cambria Math" w:hAnsi="Cambria Math"/>
              </w:rPr>
              <m:t>T</m:t>
            </m:r>
          </m:den>
        </m:f>
      </m:oMath>
      <w:r w:rsidR="001660FE" w:rsidRPr="002B310D">
        <w:t>,</w:t>
      </w:r>
      <w:r w:rsidR="00FE10EF" w:rsidRPr="00751E65">
        <w:tab/>
        <w:t>(S23)</w:t>
      </w:r>
    </w:p>
    <w:p w14:paraId="7A89BFBF" w14:textId="2C93A159" w:rsidR="001D0446" w:rsidRDefault="001A35A0" w:rsidP="001D0446">
      <w:pPr>
        <w:spacing w:line="480" w:lineRule="auto"/>
        <w:jc w:val="both"/>
      </w:pPr>
      <w:r w:rsidRPr="00751E65">
        <w:t xml:space="preserve">where </w:t>
      </w:r>
      <m:oMath>
        <m:r>
          <w:rPr>
            <w:rFonts w:ascii="Cambria Math" w:hAnsi="Cambria Math"/>
            <w:lang w:val="de-DE"/>
          </w:rPr>
          <m:t>T</m:t>
        </m:r>
        <m:r>
          <w:rPr>
            <w:rFonts w:ascii="Cambria Math" w:hAnsi="Cambria Math"/>
          </w:rPr>
          <m:t>=</m:t>
        </m:r>
        <m:sSub>
          <m:sSubPr>
            <m:ctrlPr>
              <w:rPr>
                <w:rFonts w:ascii="Cambria Math" w:hAnsi="Cambria Math"/>
                <w:i/>
                <w:lang w:val="de-DE"/>
              </w:rPr>
            </m:ctrlPr>
          </m:sSubPr>
          <m:e>
            <m:r>
              <w:rPr>
                <w:rFonts w:ascii="Cambria Math" w:hAnsi="Cambria Math"/>
              </w:rPr>
              <m:t>t</m:t>
            </m:r>
          </m:e>
          <m:sub>
            <m:r>
              <w:rPr>
                <w:rFonts w:ascii="Cambria Math" w:hAnsi="Cambria Math"/>
              </w:rPr>
              <m:t>c</m:t>
            </m:r>
          </m:sub>
        </m:sSub>
        <m:r>
          <w:rPr>
            <w:rFonts w:ascii="Cambria Math" w:hAnsi="Cambria Math"/>
          </w:rPr>
          <m:t>+</m:t>
        </m:r>
        <m:sSub>
          <m:sSubPr>
            <m:ctrlPr>
              <w:rPr>
                <w:rFonts w:ascii="Cambria Math" w:hAnsi="Cambria Math"/>
                <w:i/>
                <w:lang w:val="de-DE"/>
              </w:rPr>
            </m:ctrlPr>
          </m:sSubPr>
          <m:e>
            <m:r>
              <w:rPr>
                <w:rFonts w:ascii="Cambria Math" w:hAnsi="Cambria Math"/>
              </w:rPr>
              <m:t>t</m:t>
            </m:r>
          </m:e>
          <m:sub>
            <m:r>
              <w:rPr>
                <w:rFonts w:ascii="Cambria Math" w:hAnsi="Cambria Math"/>
              </w:rPr>
              <m:t>a</m:t>
            </m:r>
          </m:sub>
        </m:sSub>
        <m:r>
          <w:rPr>
            <w:rFonts w:ascii="Cambria Math" w:hAnsi="Cambria Math"/>
          </w:rPr>
          <m:t>+</m:t>
        </m:r>
        <m:sSub>
          <m:sSubPr>
            <m:ctrlPr>
              <w:rPr>
                <w:rFonts w:ascii="Cambria Math" w:hAnsi="Cambria Math"/>
                <w:i/>
                <w:lang w:val="de-DE"/>
              </w:rPr>
            </m:ctrlPr>
          </m:sSubPr>
          <m:e>
            <m:r>
              <w:rPr>
                <w:rFonts w:ascii="Cambria Math" w:hAnsi="Cambria Math"/>
              </w:rPr>
              <m:t>t</m:t>
            </m:r>
          </m:e>
          <m:sub>
            <m:r>
              <w:rPr>
                <w:rFonts w:ascii="Cambria Math" w:hAnsi="Cambria Math"/>
              </w:rPr>
              <m:t>ip</m:t>
            </m:r>
          </m:sub>
        </m:sSub>
      </m:oMath>
      <w:r w:rsidRPr="002B310D">
        <w:t xml:space="preserve">.  </w:t>
      </w:r>
      <w:r w:rsidR="00833692">
        <w:t>Here, cathodal and anodal pulse width</w:t>
      </w:r>
      <w:r w:rsidR="009E70EF">
        <w:t>s</w:t>
      </w:r>
      <w:r w:rsidR="00DD6D84">
        <w:t xml:space="preserve"> are the same</w:t>
      </w:r>
      <w:r w:rsidR="00833692">
        <w:t xml:space="preserve"> </w:t>
      </w:r>
      <m:oMath>
        <m:sSub>
          <m:sSubPr>
            <m:ctrlPr>
              <w:rPr>
                <w:rFonts w:ascii="Cambria Math" w:hAnsi="Cambria Math"/>
                <w:i/>
                <w:lang w:val="de-DE"/>
              </w:rPr>
            </m:ctrlPr>
          </m:sSubPr>
          <m:e>
            <m:r>
              <w:rPr>
                <w:rFonts w:ascii="Cambria Math" w:hAnsi="Cambria Math"/>
              </w:rPr>
              <m:t>t</m:t>
            </m:r>
          </m:e>
          <m:sub>
            <m:r>
              <w:rPr>
                <w:rFonts w:ascii="Cambria Math" w:hAnsi="Cambria Math"/>
              </w:rPr>
              <m:t>c</m:t>
            </m:r>
          </m:sub>
        </m:sSub>
        <m:r>
          <w:rPr>
            <w:rFonts w:ascii="Cambria Math" w:hAnsi="Cambria Math"/>
          </w:rPr>
          <m:t>=</m:t>
        </m:r>
        <m:sSub>
          <m:sSubPr>
            <m:ctrlPr>
              <w:rPr>
                <w:rFonts w:ascii="Cambria Math" w:hAnsi="Cambria Math"/>
                <w:i/>
                <w:lang w:val="de-DE"/>
              </w:rPr>
            </m:ctrlPr>
          </m:sSubPr>
          <m:e>
            <m:r>
              <w:rPr>
                <w:rFonts w:ascii="Cambria Math" w:hAnsi="Cambria Math"/>
              </w:rPr>
              <m:t>t</m:t>
            </m:r>
          </m:e>
          <m:sub>
            <m:r>
              <w:rPr>
                <w:rFonts w:ascii="Cambria Math" w:hAnsi="Cambria Math"/>
              </w:rPr>
              <m:t>a</m:t>
            </m:r>
          </m:sub>
        </m:sSub>
        <m:r>
          <w:rPr>
            <w:rFonts w:ascii="Cambria Math" w:hAnsi="Cambria Math"/>
          </w:rPr>
          <m:t>=t</m:t>
        </m:r>
      </m:oMath>
      <w:r w:rsidR="00833692" w:rsidRPr="00751E65">
        <w:t xml:space="preserve">, and inter-phase delay </w:t>
      </w:r>
      <m:oMath>
        <m:sSub>
          <m:sSubPr>
            <m:ctrlPr>
              <w:rPr>
                <w:rFonts w:ascii="Cambria Math" w:hAnsi="Cambria Math"/>
                <w:i/>
                <w:lang w:val="de-DE"/>
              </w:rPr>
            </m:ctrlPr>
          </m:sSubPr>
          <m:e>
            <m:r>
              <w:rPr>
                <w:rFonts w:ascii="Cambria Math" w:hAnsi="Cambria Math"/>
              </w:rPr>
              <m:t>t</m:t>
            </m:r>
          </m:e>
          <m:sub>
            <m:r>
              <w:rPr>
                <w:rFonts w:ascii="Cambria Math" w:hAnsi="Cambria Math"/>
              </w:rPr>
              <m:t>ip</m:t>
            </m:r>
          </m:sub>
        </m:sSub>
        <m:r>
          <w:rPr>
            <w:rFonts w:ascii="Cambria Math" w:hAnsi="Cambria Math"/>
          </w:rPr>
          <m:t>=10 ms</m:t>
        </m:r>
      </m:oMath>
      <w:r w:rsidR="00833692" w:rsidRPr="00751E65">
        <w:t xml:space="preserve"> is kept constant</w:t>
      </w:r>
      <w:r w:rsidR="001D0446" w:rsidRPr="00751E65">
        <w:t>.</w:t>
      </w:r>
      <w:r w:rsidR="00FD7042">
        <w:t xml:space="preserve"> </w:t>
      </w:r>
      <w:r w:rsidR="00320BD3">
        <w:t xml:space="preserve"> </w:t>
      </w:r>
      <w:r w:rsidR="00552C07">
        <w:t>Therefore</w:t>
      </w:r>
      <w:r w:rsidR="00FD7042">
        <w:t xml:space="preserve">, </w:t>
      </w:r>
      <w:r w:rsidR="00320BD3">
        <w:t xml:space="preserve">a </w:t>
      </w:r>
      <w:r w:rsidR="00FD7042">
        <w:t>shorter</w:t>
      </w:r>
      <w:r w:rsidR="00552C07">
        <w:t xml:space="preserve"> </w:t>
      </w:r>
      <w:r w:rsidR="007B5ECC">
        <w:t>pulse</w:t>
      </w:r>
      <w:r w:rsidR="00320BD3">
        <w:t xml:space="preserve"> width</w:t>
      </w:r>
      <w:r w:rsidR="007B5ECC">
        <w:t xml:space="preserve"> signifies </w:t>
      </w:r>
      <w:r w:rsidR="00E14E56">
        <w:t>higher frequency</w:t>
      </w:r>
      <w:r w:rsidR="0079658F">
        <w:t xml:space="preserve"> with </w:t>
      </w:r>
    </w:p>
    <w:p w14:paraId="2C38B050" w14:textId="397B2F00" w:rsidR="0024238E" w:rsidRDefault="00B07351" w:rsidP="00A22FC4">
      <w:pPr>
        <w:tabs>
          <w:tab w:val="center" w:pos="4680"/>
          <w:tab w:val="right" w:pos="9360"/>
        </w:tabs>
        <w:spacing w:line="480" w:lineRule="auto"/>
        <w:jc w:val="both"/>
      </w:pPr>
      <w:r>
        <w:tab/>
      </w:r>
      <m:oMath>
        <m:r>
          <w:rPr>
            <w:rFonts w:ascii="Cambria Math" w:hAnsi="Cambria Math"/>
          </w:rPr>
          <m:t>f=</m:t>
        </m:r>
        <m:f>
          <m:fPr>
            <m:ctrlPr>
              <w:rPr>
                <w:rFonts w:ascii="Cambria Math" w:hAnsi="Cambria Math"/>
                <w:i/>
                <w:lang w:val="de-DE"/>
              </w:rPr>
            </m:ctrlPr>
          </m:fPr>
          <m:num>
            <m:r>
              <w:rPr>
                <w:rFonts w:ascii="Cambria Math" w:hAnsi="Cambria Math"/>
              </w:rPr>
              <m:t>1</m:t>
            </m:r>
          </m:num>
          <m:den>
            <m:r>
              <w:rPr>
                <w:rFonts w:ascii="Cambria Math" w:hAnsi="Cambria Math"/>
              </w:rPr>
              <m:t>2t+10 ms</m:t>
            </m:r>
          </m:den>
        </m:f>
      </m:oMath>
      <w:r w:rsidR="00320BD3" w:rsidRPr="002B310D">
        <w:t>.</w:t>
      </w:r>
      <w:r w:rsidR="00155F9A" w:rsidRPr="00751E65">
        <w:tab/>
        <w:t>(</w:t>
      </w:r>
      <w:r w:rsidR="00155F9A">
        <w:t>S24</w:t>
      </w:r>
      <w:r w:rsidR="00155F9A" w:rsidRPr="00751E65">
        <w:t>)</w:t>
      </w:r>
    </w:p>
    <w:p w14:paraId="049203B5" w14:textId="77777777" w:rsidR="009C6529" w:rsidRDefault="009C6529" w:rsidP="00A22FC4">
      <w:pPr>
        <w:tabs>
          <w:tab w:val="center" w:pos="4680"/>
          <w:tab w:val="right" w:pos="9360"/>
        </w:tabs>
        <w:spacing w:line="480" w:lineRule="auto"/>
        <w:jc w:val="both"/>
        <w:rPr>
          <w:lang w:val="en-GB"/>
        </w:rPr>
      </w:pPr>
      <w:r w:rsidRPr="00D712CE">
        <w:rPr>
          <w:lang w:val="en-GB"/>
        </w:rPr>
        <w:t xml:space="preserve"> </w:t>
      </w:r>
    </w:p>
    <w:p w14:paraId="40706952" w14:textId="3947CBE4" w:rsidR="009C6529" w:rsidRPr="00C005AE" w:rsidRDefault="00544A03" w:rsidP="00C005AE">
      <w:pPr>
        <w:pStyle w:val="NormalWeb"/>
        <w:spacing w:line="480" w:lineRule="auto"/>
        <w:jc w:val="both"/>
        <w:rPr>
          <w:color w:val="000000" w:themeColor="text1"/>
          <w:lang w:val="en-GB"/>
        </w:rPr>
      </w:pPr>
      <w:r w:rsidRPr="00D712CE">
        <w:rPr>
          <w:lang w:val="en-GB"/>
        </w:rPr>
        <w:t>The CIC of ionic biogel</w:t>
      </w:r>
      <w:r>
        <w:rPr>
          <w:lang w:val="en-GB"/>
        </w:rPr>
        <w:t xml:space="preserve"> is </w:t>
      </w:r>
      <w:r w:rsidRPr="00D712CE">
        <w:rPr>
          <w:lang w:val="en-GB"/>
        </w:rPr>
        <w:t>assess</w:t>
      </w:r>
      <w:r>
        <w:rPr>
          <w:lang w:val="en-GB"/>
        </w:rPr>
        <w:t xml:space="preserve">ed by </w:t>
      </w:r>
      <w:r w:rsidRPr="00D712CE">
        <w:rPr>
          <w:lang w:val="en-GB"/>
        </w:rPr>
        <w:t>appl</w:t>
      </w:r>
      <w:r>
        <w:rPr>
          <w:lang w:val="en-GB"/>
        </w:rPr>
        <w:t>ying</w:t>
      </w:r>
      <w:r w:rsidRPr="00D712CE">
        <w:rPr>
          <w:lang w:val="en-GB"/>
        </w:rPr>
        <w:t xml:space="preserve"> programmed current stimulation waveforms </w:t>
      </w:r>
      <w:r>
        <w:rPr>
          <w:lang w:val="en-GB"/>
        </w:rPr>
        <w:t xml:space="preserve">with an </w:t>
      </w:r>
      <w:r w:rsidRPr="00D712CE">
        <w:rPr>
          <w:lang w:val="en-GB"/>
        </w:rPr>
        <w:t xml:space="preserve">amplitude of 5 mA at </w:t>
      </w:r>
      <w:r>
        <w:rPr>
          <w:lang w:val="en-GB"/>
        </w:rPr>
        <w:t>0.5</w:t>
      </w:r>
      <w:r w:rsidRPr="00D712CE">
        <w:rPr>
          <w:lang w:val="en-GB"/>
        </w:rPr>
        <w:t xml:space="preserve"> Hz using </w:t>
      </w:r>
      <w:r>
        <w:rPr>
          <w:lang w:val="en-GB"/>
        </w:rPr>
        <w:t xml:space="preserve">the </w:t>
      </w:r>
      <w:r w:rsidRPr="00D712CE">
        <w:rPr>
          <w:lang w:val="en-GB"/>
        </w:rPr>
        <w:t xml:space="preserve">galvanostatic mode of Autolab </w:t>
      </w:r>
      <w:r w:rsidRPr="00D712CE">
        <w:rPr>
          <w:b/>
          <w:bCs/>
          <w:lang w:val="en-GB"/>
        </w:rPr>
        <w:t>(Figure S</w:t>
      </w:r>
      <w:r w:rsidR="00954FAC">
        <w:rPr>
          <w:b/>
          <w:bCs/>
          <w:lang w:val="en-GB"/>
        </w:rPr>
        <w:t>3</w:t>
      </w:r>
      <w:r w:rsidR="002D6B2F">
        <w:rPr>
          <w:b/>
          <w:bCs/>
          <w:lang w:val="en-GB"/>
        </w:rPr>
        <w:t>5</w:t>
      </w:r>
      <w:r w:rsidRPr="00D712CE">
        <w:rPr>
          <w:b/>
          <w:bCs/>
          <w:lang w:val="en-GB"/>
        </w:rPr>
        <w:t>)</w:t>
      </w:r>
      <w:r w:rsidRPr="00D712CE">
        <w:rPr>
          <w:lang w:val="en-GB"/>
        </w:rPr>
        <w:t>.</w:t>
      </w:r>
      <w:r>
        <w:rPr>
          <w:lang w:val="en-GB"/>
        </w:rPr>
        <w:t xml:space="preserve">  </w:t>
      </w:r>
      <w:r w:rsidR="008E3004">
        <w:rPr>
          <w:lang w:val="en-GB"/>
        </w:rPr>
        <w:t>T</w:t>
      </w:r>
      <w:r w:rsidR="008E3004" w:rsidRPr="00D712CE">
        <w:rPr>
          <w:lang w:val="en-GB"/>
        </w:rPr>
        <w:t>ransient</w:t>
      </w:r>
      <w:r w:rsidR="008E3004">
        <w:rPr>
          <w:lang w:val="en-GB"/>
        </w:rPr>
        <w:t xml:space="preserve"> v</w:t>
      </w:r>
      <w:r w:rsidR="008E3004" w:rsidRPr="00D712CE">
        <w:rPr>
          <w:lang w:val="en-GB"/>
        </w:rPr>
        <w:t>oltage</w:t>
      </w:r>
      <w:r w:rsidR="008E3004">
        <w:rPr>
          <w:lang w:val="en-GB"/>
        </w:rPr>
        <w:t>s</w:t>
      </w:r>
      <w:r w:rsidR="008E3004" w:rsidRPr="00D712CE">
        <w:rPr>
          <w:lang w:val="en-GB"/>
        </w:rPr>
        <w:t xml:space="preserve"> </w:t>
      </w:r>
      <w:r w:rsidR="008E3004">
        <w:rPr>
          <w:lang w:val="en-GB"/>
        </w:rPr>
        <w:t>are</w:t>
      </w:r>
      <w:r w:rsidR="008E3004" w:rsidRPr="00D712CE">
        <w:rPr>
          <w:lang w:val="en-GB"/>
        </w:rPr>
        <w:t xml:space="preserve"> recorded at increasing current amplitudes </w:t>
      </w:r>
      <w:r w:rsidR="008E3004">
        <w:rPr>
          <w:lang w:val="en-GB"/>
        </w:rPr>
        <w:t>(from 5 mA to 400 mA)</w:t>
      </w:r>
      <w:r w:rsidR="008E3004" w:rsidRPr="00D712CE">
        <w:rPr>
          <w:lang w:val="en-GB"/>
        </w:rPr>
        <w:t xml:space="preserve"> until the interface polarization marked by maximum cathodal voltage </w:t>
      </w:r>
      <w:r w:rsidR="008E3004">
        <w:rPr>
          <w:lang w:val="en-GB"/>
        </w:rPr>
        <w:t>(E</w:t>
      </w:r>
      <w:r w:rsidR="008E3004" w:rsidRPr="001B32DC">
        <w:rPr>
          <w:vertAlign w:val="subscript"/>
          <w:lang w:val="en-GB"/>
        </w:rPr>
        <w:t>mc</w:t>
      </w:r>
      <w:r w:rsidR="008E3004">
        <w:rPr>
          <w:lang w:val="en-GB"/>
        </w:rPr>
        <w:t>)</w:t>
      </w:r>
      <w:r w:rsidR="008E3004" w:rsidRPr="00D712CE">
        <w:rPr>
          <w:lang w:val="en-GB"/>
        </w:rPr>
        <w:t xml:space="preserve"> approache</w:t>
      </w:r>
      <w:r w:rsidR="008E3004">
        <w:rPr>
          <w:lang w:val="en-GB"/>
        </w:rPr>
        <w:t>s</w:t>
      </w:r>
      <w:r w:rsidR="008E3004" w:rsidRPr="00D712CE">
        <w:rPr>
          <w:lang w:val="en-GB"/>
        </w:rPr>
        <w:t xml:space="preserve"> the water electrolysis (-0.7 V) threshold</w:t>
      </w:r>
      <w:r w:rsidR="008E3004">
        <w:rPr>
          <w:lang w:val="en-GB"/>
        </w:rPr>
        <w:t xml:space="preserve"> </w:t>
      </w:r>
      <w:r w:rsidR="008E3004" w:rsidRPr="008E3004">
        <w:rPr>
          <w:b/>
          <w:bCs/>
          <w:lang w:val="en-GB"/>
        </w:rPr>
        <w:t>(Figure S</w:t>
      </w:r>
      <w:r w:rsidR="00954FAC">
        <w:rPr>
          <w:b/>
          <w:bCs/>
          <w:lang w:val="en-GB"/>
        </w:rPr>
        <w:t>3</w:t>
      </w:r>
      <w:r w:rsidR="002D6B2F">
        <w:rPr>
          <w:b/>
          <w:bCs/>
          <w:lang w:val="en-GB"/>
        </w:rPr>
        <w:t>6</w:t>
      </w:r>
      <w:r w:rsidR="008E3004" w:rsidRPr="008E3004">
        <w:rPr>
          <w:b/>
          <w:bCs/>
          <w:lang w:val="en-GB"/>
        </w:rPr>
        <w:t>)</w:t>
      </w:r>
      <w:r w:rsidR="008E3004">
        <w:rPr>
          <w:lang w:val="en-GB"/>
        </w:rPr>
        <w:t>.</w:t>
      </w:r>
      <w:r w:rsidR="008E3004" w:rsidRPr="00D712CE">
        <w:rPr>
          <w:lang w:val="en-GB"/>
        </w:rPr>
        <w:t xml:space="preserve"> </w:t>
      </w:r>
      <w:r w:rsidR="009C6529" w:rsidRPr="00D712CE">
        <w:rPr>
          <w:lang w:val="en-GB"/>
        </w:rPr>
        <w:t xml:space="preserve">The </w:t>
      </w:r>
      <w:r w:rsidR="009C6529">
        <w:rPr>
          <w:lang w:val="en-GB"/>
        </w:rPr>
        <w:t xml:space="preserve">measured </w:t>
      </w:r>
      <w:r w:rsidR="009C6529" w:rsidRPr="00D712CE">
        <w:rPr>
          <w:lang w:val="en-GB"/>
        </w:rPr>
        <w:t xml:space="preserve">maximum cathodic capacity of -0.6 V and base voltage of 0.6 V </w:t>
      </w:r>
      <w:r w:rsidR="009C6529">
        <w:rPr>
          <w:lang w:val="en-GB"/>
        </w:rPr>
        <w:t xml:space="preserve">from the </w:t>
      </w:r>
      <w:r w:rsidR="009C6529" w:rsidRPr="00D712CE">
        <w:rPr>
          <w:lang w:val="en-GB"/>
        </w:rPr>
        <w:t xml:space="preserve">voltage-transient </w:t>
      </w:r>
      <w:r w:rsidR="009C6529">
        <w:rPr>
          <w:lang w:val="en-GB"/>
        </w:rPr>
        <w:t>result</w:t>
      </w:r>
      <w:r w:rsidR="009C6529" w:rsidRPr="00D712CE">
        <w:rPr>
          <w:lang w:val="en-GB"/>
        </w:rPr>
        <w:t xml:space="preserve">s </w:t>
      </w:r>
      <w:r w:rsidR="009C6529">
        <w:rPr>
          <w:lang w:val="en-GB"/>
        </w:rPr>
        <w:t xml:space="preserve">in </w:t>
      </w:r>
      <w:r w:rsidR="009C6529" w:rsidRPr="00D712CE">
        <w:rPr>
          <w:lang w:val="en-GB"/>
        </w:rPr>
        <w:t xml:space="preserve">a CIC of </w:t>
      </w:r>
      <w:r w:rsidR="009C6529">
        <w:rPr>
          <w:lang w:val="en-GB"/>
        </w:rPr>
        <w:t>5</w:t>
      </w:r>
      <w:r w:rsidR="009C6529" w:rsidRPr="00D712CE">
        <w:rPr>
          <w:lang w:val="en-GB"/>
        </w:rPr>
        <w:t>00 mC/cm</w:t>
      </w:r>
      <w:r w:rsidR="009C6529" w:rsidRPr="00D712CE">
        <w:rPr>
          <w:vertAlign w:val="superscript"/>
          <w:lang w:val="en-GB"/>
        </w:rPr>
        <w:t>2</w:t>
      </w:r>
      <w:r w:rsidR="009C6529" w:rsidRPr="00D712CE">
        <w:rPr>
          <w:lang w:val="en-GB"/>
        </w:rPr>
        <w:t xml:space="preserve"> </w:t>
      </w:r>
      <w:r w:rsidR="009C6529">
        <w:rPr>
          <w:lang w:val="en-GB"/>
        </w:rPr>
        <w:t xml:space="preserve">at 0.05 Hz </w:t>
      </w:r>
      <w:r w:rsidR="009C6529" w:rsidRPr="00D712CE">
        <w:rPr>
          <w:b/>
          <w:bCs/>
          <w:lang w:val="en-GB"/>
        </w:rPr>
        <w:t>(</w:t>
      </w:r>
      <w:r w:rsidR="001B3184">
        <w:rPr>
          <w:b/>
          <w:bCs/>
          <w:lang w:val="en-GB"/>
        </w:rPr>
        <w:t xml:space="preserve">Extended </w:t>
      </w:r>
      <w:r w:rsidR="009C6529" w:rsidRPr="00D712CE">
        <w:rPr>
          <w:b/>
          <w:bCs/>
          <w:lang w:val="en-GB"/>
        </w:rPr>
        <w:t xml:space="preserve">Figure </w:t>
      </w:r>
      <w:r w:rsidR="001B3184">
        <w:rPr>
          <w:b/>
          <w:bCs/>
          <w:lang w:val="en-GB"/>
        </w:rPr>
        <w:t>4e</w:t>
      </w:r>
      <w:r w:rsidR="009C6529" w:rsidRPr="00D712CE">
        <w:rPr>
          <w:b/>
          <w:bCs/>
          <w:lang w:val="en-GB"/>
        </w:rPr>
        <w:t>)</w:t>
      </w:r>
      <w:r w:rsidR="009C6529" w:rsidRPr="00D712CE">
        <w:rPr>
          <w:lang w:val="en-GB"/>
        </w:rPr>
        <w:t xml:space="preserve">.  </w:t>
      </w:r>
      <w:r w:rsidR="009C6529">
        <w:rPr>
          <w:lang w:val="en-GB"/>
        </w:rPr>
        <w:t>As</w:t>
      </w:r>
      <w:r w:rsidR="009C6529" w:rsidRPr="00D712CE">
        <w:rPr>
          <w:lang w:val="en-GB"/>
        </w:rPr>
        <w:t xml:space="preserve"> the current amplitude increase</w:t>
      </w:r>
      <w:r w:rsidR="009C6529">
        <w:rPr>
          <w:lang w:val="en-GB"/>
        </w:rPr>
        <w:t>s</w:t>
      </w:r>
      <w:r w:rsidR="009C6529" w:rsidRPr="00D712CE">
        <w:rPr>
          <w:lang w:val="en-GB"/>
        </w:rPr>
        <w:t xml:space="preserve"> from 5 mA to 10 mA at </w:t>
      </w:r>
      <w:r w:rsidR="009C6529">
        <w:rPr>
          <w:lang w:val="en-GB"/>
        </w:rPr>
        <w:t>0.5</w:t>
      </w:r>
      <w:r w:rsidR="009C6529" w:rsidRPr="00D712CE">
        <w:rPr>
          <w:lang w:val="en-GB"/>
        </w:rPr>
        <w:t xml:space="preserve"> Hz, the amplitude </w:t>
      </w:r>
      <w:r w:rsidR="009C6529">
        <w:rPr>
          <w:lang w:val="en-GB"/>
        </w:rPr>
        <w:t xml:space="preserve">of the </w:t>
      </w:r>
      <w:r w:rsidR="009C6529" w:rsidRPr="00D712CE">
        <w:rPr>
          <w:lang w:val="en-GB"/>
        </w:rPr>
        <w:t xml:space="preserve">voltage-transient increases </w:t>
      </w:r>
      <w:r w:rsidR="009C6529">
        <w:rPr>
          <w:lang w:val="en-GB"/>
        </w:rPr>
        <w:t xml:space="preserve">from ~0.9V </w:t>
      </w:r>
      <w:r w:rsidR="009C6529" w:rsidRPr="00D712CE">
        <w:rPr>
          <w:lang w:val="en-GB"/>
        </w:rPr>
        <w:t>to ~1.</w:t>
      </w:r>
      <w:r w:rsidR="009C6529">
        <w:rPr>
          <w:lang w:val="en-GB"/>
        </w:rPr>
        <w:t>6</w:t>
      </w:r>
      <w:r w:rsidR="009C6529" w:rsidRPr="00D712CE">
        <w:rPr>
          <w:lang w:val="en-GB"/>
        </w:rPr>
        <w:t xml:space="preserve"> V </w:t>
      </w:r>
      <w:r w:rsidR="009C6529" w:rsidRPr="00D712CE">
        <w:rPr>
          <w:b/>
          <w:bCs/>
          <w:lang w:val="en-GB"/>
        </w:rPr>
        <w:t>(</w:t>
      </w:r>
      <w:r w:rsidR="001B3184">
        <w:rPr>
          <w:b/>
          <w:bCs/>
          <w:lang w:val="en-GB"/>
        </w:rPr>
        <w:t xml:space="preserve">Extended </w:t>
      </w:r>
      <w:r w:rsidR="009C6529" w:rsidRPr="00D712CE">
        <w:rPr>
          <w:b/>
          <w:bCs/>
          <w:lang w:val="en-GB"/>
        </w:rPr>
        <w:t xml:space="preserve">Figure </w:t>
      </w:r>
      <w:r w:rsidR="001B3184">
        <w:rPr>
          <w:b/>
          <w:bCs/>
          <w:lang w:val="en-GB"/>
        </w:rPr>
        <w:t>4f</w:t>
      </w:r>
      <w:r w:rsidR="009C6529" w:rsidRPr="00D712CE">
        <w:rPr>
          <w:b/>
          <w:bCs/>
          <w:lang w:val="en-GB"/>
        </w:rPr>
        <w:t>)</w:t>
      </w:r>
      <w:r w:rsidR="009C6529" w:rsidRPr="00D712CE">
        <w:rPr>
          <w:lang w:val="en-GB"/>
        </w:rPr>
        <w:t xml:space="preserve">. </w:t>
      </w:r>
      <w:r w:rsidR="008E3004">
        <w:rPr>
          <w:lang w:val="en-GB"/>
        </w:rPr>
        <w:t xml:space="preserve"> </w:t>
      </w:r>
      <w:r w:rsidR="00C005AE">
        <w:rPr>
          <w:lang w:val="en-GB"/>
        </w:rPr>
        <w:t>T</w:t>
      </w:r>
      <w:r w:rsidR="00C005AE" w:rsidRPr="00D712CE">
        <w:rPr>
          <w:lang w:val="en-GB"/>
        </w:rPr>
        <w:t xml:space="preserve">he CIC of the ionic biogel </w:t>
      </w:r>
      <w:r w:rsidR="00C005AE">
        <w:rPr>
          <w:lang w:val="en-GB"/>
        </w:rPr>
        <w:t>is</w:t>
      </w:r>
      <w:r w:rsidR="00C005AE" w:rsidRPr="00D712CE">
        <w:rPr>
          <w:lang w:val="en-GB"/>
        </w:rPr>
        <w:t xml:space="preserve"> 10 mC/cm² at </w:t>
      </w:r>
      <w:r w:rsidR="00C005AE">
        <w:rPr>
          <w:lang w:val="en-GB"/>
        </w:rPr>
        <w:t>33</w:t>
      </w:r>
      <w:r w:rsidR="00C005AE" w:rsidRPr="00D712CE">
        <w:rPr>
          <w:lang w:val="en-GB"/>
        </w:rPr>
        <w:t xml:space="preserve"> Hz </w:t>
      </w:r>
      <w:r w:rsidR="00C005AE" w:rsidRPr="00D712CE">
        <w:rPr>
          <w:b/>
          <w:bCs/>
          <w:lang w:val="en-GB"/>
        </w:rPr>
        <w:t>(Figure S</w:t>
      </w:r>
      <w:r w:rsidR="002D6B2F">
        <w:rPr>
          <w:b/>
          <w:bCs/>
          <w:lang w:val="en-GB"/>
        </w:rPr>
        <w:t>37</w:t>
      </w:r>
      <w:r w:rsidR="00C005AE" w:rsidRPr="00D712CE">
        <w:rPr>
          <w:b/>
          <w:bCs/>
          <w:lang w:val="en-GB"/>
        </w:rPr>
        <w:t xml:space="preserve">) </w:t>
      </w:r>
      <w:r w:rsidR="00C005AE" w:rsidRPr="00D712CE">
        <w:rPr>
          <w:lang w:val="en-GB"/>
        </w:rPr>
        <w:t xml:space="preserve">and 5 mC/cm² at </w:t>
      </w:r>
      <w:r w:rsidR="00C005AE">
        <w:rPr>
          <w:lang w:val="en-GB"/>
        </w:rPr>
        <w:t>67</w:t>
      </w:r>
      <w:r w:rsidR="00C005AE" w:rsidRPr="00D712CE">
        <w:rPr>
          <w:lang w:val="en-GB"/>
        </w:rPr>
        <w:t xml:space="preserve"> Hz </w:t>
      </w:r>
      <w:r w:rsidR="00C005AE" w:rsidRPr="00D712CE">
        <w:rPr>
          <w:b/>
          <w:bCs/>
          <w:lang w:val="en-GB"/>
        </w:rPr>
        <w:t>(Figure S</w:t>
      </w:r>
      <w:r w:rsidR="002D6B2F">
        <w:rPr>
          <w:b/>
          <w:bCs/>
          <w:lang w:val="en-GB"/>
        </w:rPr>
        <w:t>38</w:t>
      </w:r>
      <w:r w:rsidR="00C005AE" w:rsidRPr="00D712CE">
        <w:rPr>
          <w:b/>
          <w:bCs/>
          <w:lang w:val="en-GB"/>
        </w:rPr>
        <w:t>)</w:t>
      </w:r>
      <w:r w:rsidR="00C005AE" w:rsidRPr="00D712CE">
        <w:rPr>
          <w:lang w:val="en-GB"/>
        </w:rPr>
        <w:t xml:space="preserve">. </w:t>
      </w:r>
      <w:r w:rsidR="00C005AE">
        <w:rPr>
          <w:lang w:val="en-GB"/>
        </w:rPr>
        <w:t xml:space="preserve"> </w:t>
      </w:r>
      <w:r w:rsidR="009C6529" w:rsidRPr="00D712CE">
        <w:rPr>
          <w:lang w:val="en-GB"/>
        </w:rPr>
        <w:t>This high CIC indicates that the ionic biogel can inject higher amounts of charge without exceeding safe voltage limits or causing electrode polarization, thereby maintaining signal fidelity and reducing the risk of tissue damage</w:t>
      </w:r>
      <w:r w:rsidR="009C6529">
        <w:rPr>
          <w:lang w:val="en-GB"/>
        </w:rPr>
        <w:fldChar w:fldCharType="begin"/>
      </w:r>
      <w:r w:rsidR="00785CB3">
        <w:rPr>
          <w:lang w:val="en-GB"/>
        </w:rPr>
        <w:instrText xml:space="preserve"> ADDIN ZOTERO_ITEM CSL_CITATION {"citationID":"uVvMaVdv","properties":{"formattedCitation":"\\super 18\\nosupersub{}","plainCitation":"18","noteIndex":0},"citationItems":[{"id":1178,"uris":["http://zotero.org/users/12063952/items/3K37SB6J"],"itemData":{"id":1178,"type":"article-journal","abstract":"Abstract\n            The efficacy of electrical brain stimulation in combatting neurodegenerative diseases and initiating function is expected to be significantly enhanced with the development of smaller scale microstimulation electrodes and refined stimulation protocols. These benefits cannot be realized without a thorough understanding of scaling effects on electrochemical charge injection characteristics. This study fabricates and characterizes the electrochemical stimulation capabilities of Au, Pt, poly(3,4‐ethylenedioxythiophene):polystyrene sulfonate (PEDOT:PSS/Au), and PEDOT:PSS/Pt electrode arrays in the 20–2000 µm diameter range. This study observes substantial enhancement in charge injection capacity up to 9.5× for PEDOT:PSS microelectrodes compared to metal ones, and 88% lower required power for injecting the same charge density. These significant benefits are strongest for electrode diameters below 200 µm. Detailed quantitative analyses are provided, enabling optimization of charge injection capacity with potential bias and symmetric and asymmetric pulse width engineering for all diameters. These systematic analyses inform the optimal design for acute and potentially chronic implants in regards to safety and clinically effective stimulation protocols, ensure the longevity of the electrodes below critical electrochemical limits of stimulation, and demonstrate that the material choice and pulse design can lead to more energy efficiency stimulation protocols that are of critical importance for fully implanted devices.","container-title":"Advanced Functional Materials","DOI":"10.1002/adfm.201703019","ISSN":"1616-301X, 1616-3028","issue":"42","journalAbbreviation":"Adv Funct Materials","language":"en","license":"http://onlinelibrary.wiley.com/termsAndConditions#am","page":"1703019","source":"DOI.org (Crossref)","title":"Scaling Effects on the Electrochemical Stimulation Performance of Au, Pt, and PEDOT:PSS Electrocorticography Arrays","title-short":"Scaling Effects on the Electrochemical Stimulation Performance of Au, Pt, and PEDOT","volume":"27","author":[{"family":"Ganji","given":"Mehran"},{"family":"Tanaka","given":"Atsunori"},{"family":"Gilja","given":"Vikash"},{"family":"Halgren","given":"Eric"},{"family":"Dayeh","given":"Shadi A."}],"issued":{"date-parts":[["2017",11]]}}}],"schema":"https://github.com/citation-style-language/schema/raw/master/csl-citation.json"} </w:instrText>
      </w:r>
      <w:r w:rsidR="009C6529">
        <w:rPr>
          <w:lang w:val="en-GB"/>
        </w:rPr>
        <w:fldChar w:fldCharType="separate"/>
      </w:r>
      <w:r w:rsidR="00785CB3" w:rsidRPr="00785CB3">
        <w:rPr>
          <w:vertAlign w:val="superscript"/>
        </w:rPr>
        <w:t>18</w:t>
      </w:r>
      <w:r w:rsidR="009C6529">
        <w:rPr>
          <w:lang w:val="en-GB"/>
        </w:rPr>
        <w:fldChar w:fldCharType="end"/>
      </w:r>
      <w:r w:rsidR="009C6529" w:rsidRPr="00D712CE">
        <w:rPr>
          <w:lang w:val="en-GB"/>
        </w:rPr>
        <w:t xml:space="preserve">.  </w:t>
      </w:r>
      <w:r w:rsidR="009C6529">
        <w:rPr>
          <w:rFonts w:hint="eastAsia"/>
          <w:lang w:val="en-GB"/>
        </w:rPr>
        <w:t>As</w:t>
      </w:r>
      <w:r w:rsidR="009C6529">
        <w:t xml:space="preserve"> </w:t>
      </w:r>
      <w:r w:rsidR="009C6529" w:rsidRPr="00D712CE">
        <w:rPr>
          <w:lang w:val="en-GB"/>
        </w:rPr>
        <w:t>the frequency</w:t>
      </w:r>
      <w:r w:rsidR="009C6529" w:rsidRPr="00823947">
        <w:rPr>
          <w:lang w:val="en-GB"/>
        </w:rPr>
        <w:t xml:space="preserve"> </w:t>
      </w:r>
      <w:r w:rsidR="009C6529" w:rsidRPr="00D712CE">
        <w:rPr>
          <w:lang w:val="en-GB"/>
        </w:rPr>
        <w:t>increases</w:t>
      </w:r>
      <w:r w:rsidR="009C6529">
        <w:rPr>
          <w:lang w:val="en-GB"/>
        </w:rPr>
        <w:t xml:space="preserve"> from </w:t>
      </w:r>
      <w:r w:rsidR="009C6529" w:rsidRPr="00D712CE">
        <w:rPr>
          <w:lang w:val="en-GB"/>
        </w:rPr>
        <w:t>0.</w:t>
      </w:r>
      <w:r w:rsidR="009C6529">
        <w:rPr>
          <w:lang w:val="en-GB"/>
        </w:rPr>
        <w:t>05</w:t>
      </w:r>
      <w:r w:rsidR="009C6529" w:rsidRPr="00D712CE">
        <w:rPr>
          <w:lang w:val="en-GB"/>
        </w:rPr>
        <w:t xml:space="preserve"> Hz</w:t>
      </w:r>
      <w:r w:rsidR="009C6529">
        <w:rPr>
          <w:lang w:val="en-GB"/>
        </w:rPr>
        <w:t xml:space="preserve"> to 67</w:t>
      </w:r>
      <w:r w:rsidR="009C6529" w:rsidRPr="00D712CE">
        <w:rPr>
          <w:lang w:val="en-GB"/>
        </w:rPr>
        <w:t xml:space="preserve"> Hz, the CIC of the ionic biogel decreases from 500 </w:t>
      </w:r>
      <w:r w:rsidR="009C6529">
        <w:rPr>
          <w:lang w:val="en-GB"/>
        </w:rPr>
        <w:t xml:space="preserve">to </w:t>
      </w:r>
      <w:r w:rsidR="009C6529" w:rsidRPr="00D712CE">
        <w:rPr>
          <w:lang w:val="en-GB"/>
        </w:rPr>
        <w:t>5 mC/cm²</w:t>
      </w:r>
      <w:r w:rsidR="009974E8">
        <w:rPr>
          <w:lang w:val="en-GB"/>
        </w:rPr>
        <w:t xml:space="preserve"> </w:t>
      </w:r>
      <w:r w:rsidR="009974E8" w:rsidRPr="00C97F56">
        <w:rPr>
          <w:b/>
          <w:bCs/>
          <w:lang w:val="en-GB"/>
        </w:rPr>
        <w:t>(Figure 2</w:t>
      </w:r>
      <w:r w:rsidR="00C97F56" w:rsidRPr="00C97F56">
        <w:rPr>
          <w:b/>
          <w:bCs/>
          <w:lang w:val="en-GB"/>
        </w:rPr>
        <w:t>f</w:t>
      </w:r>
      <w:r w:rsidR="009974E8" w:rsidRPr="00C97F56">
        <w:rPr>
          <w:b/>
          <w:bCs/>
          <w:lang w:val="en-GB"/>
        </w:rPr>
        <w:t>)</w:t>
      </w:r>
      <w:r w:rsidR="009C6529" w:rsidRPr="00D712CE">
        <w:rPr>
          <w:lang w:val="en-GB"/>
        </w:rPr>
        <w:t xml:space="preserve">, </w:t>
      </w:r>
      <w:r w:rsidR="009C6529">
        <w:rPr>
          <w:lang w:val="en-GB"/>
        </w:rPr>
        <w:t xml:space="preserve">which is much </w:t>
      </w:r>
      <w:r w:rsidR="009C6529" w:rsidRPr="00D712CE">
        <w:rPr>
          <w:lang w:val="en-GB"/>
        </w:rPr>
        <w:t xml:space="preserve">higher than normal biogel </w:t>
      </w:r>
      <w:r w:rsidR="009C6529" w:rsidRPr="00D712CE">
        <w:rPr>
          <w:b/>
          <w:bCs/>
          <w:lang w:val="en-GB"/>
        </w:rPr>
        <w:t>(Figure S</w:t>
      </w:r>
      <w:r w:rsidR="002D6B2F">
        <w:rPr>
          <w:b/>
          <w:bCs/>
          <w:lang w:val="en-GB"/>
        </w:rPr>
        <w:t>39</w:t>
      </w:r>
      <w:r w:rsidR="009C6529" w:rsidRPr="00D712CE">
        <w:rPr>
          <w:b/>
          <w:bCs/>
          <w:lang w:val="en-GB"/>
        </w:rPr>
        <w:t>)</w:t>
      </w:r>
      <w:r w:rsidR="009C6529" w:rsidRPr="00D712CE">
        <w:rPr>
          <w:lang w:val="en-GB"/>
        </w:rPr>
        <w:t xml:space="preserve">.  The ionic biogel </w:t>
      </w:r>
      <w:r w:rsidR="009C6529">
        <w:rPr>
          <w:lang w:val="en-GB"/>
        </w:rPr>
        <w:t xml:space="preserve">also </w:t>
      </w:r>
      <w:r w:rsidR="009C6529" w:rsidRPr="00D712CE">
        <w:rPr>
          <w:lang w:val="en-GB"/>
        </w:rPr>
        <w:t>has a modest charge storage capacity of 1 mC/cm² at high scan rate</w:t>
      </w:r>
      <w:r w:rsidR="009C6529">
        <w:rPr>
          <w:lang w:val="en-GB"/>
        </w:rPr>
        <w:t>s</w:t>
      </w:r>
      <w:r w:rsidR="009C6529" w:rsidRPr="00D712CE">
        <w:rPr>
          <w:lang w:val="en-GB"/>
        </w:rPr>
        <w:t xml:space="preserve"> </w:t>
      </w:r>
      <w:r w:rsidR="009C6529">
        <w:rPr>
          <w:lang w:val="en-GB"/>
        </w:rPr>
        <w:t xml:space="preserve">from </w:t>
      </w:r>
      <w:r w:rsidR="009C6529" w:rsidRPr="00D712CE">
        <w:rPr>
          <w:lang w:val="en-GB"/>
        </w:rPr>
        <w:t>25</w:t>
      </w:r>
      <w:r w:rsidR="009C6529">
        <w:rPr>
          <w:lang w:val="en-GB"/>
        </w:rPr>
        <w:t xml:space="preserve"> to </w:t>
      </w:r>
      <w:r w:rsidR="009C6529" w:rsidRPr="00D712CE">
        <w:rPr>
          <w:lang w:val="en-GB"/>
        </w:rPr>
        <w:t xml:space="preserve">100 mV/s) </w:t>
      </w:r>
      <w:r w:rsidR="009C6529" w:rsidRPr="00D712CE">
        <w:rPr>
          <w:b/>
          <w:bCs/>
          <w:lang w:val="en-GB"/>
        </w:rPr>
        <w:t>(Figure S</w:t>
      </w:r>
      <w:r w:rsidR="002D6B2F">
        <w:rPr>
          <w:b/>
          <w:bCs/>
          <w:lang w:val="en-GB"/>
        </w:rPr>
        <w:t>40</w:t>
      </w:r>
      <w:r w:rsidR="009C6529" w:rsidRPr="00D712CE">
        <w:rPr>
          <w:b/>
          <w:bCs/>
          <w:lang w:val="en-GB"/>
        </w:rPr>
        <w:t>)</w:t>
      </w:r>
      <w:r w:rsidR="009C6529" w:rsidRPr="00D712CE">
        <w:rPr>
          <w:lang w:val="en-GB"/>
        </w:rPr>
        <w:t xml:space="preserve">.  </w:t>
      </w:r>
      <w:r w:rsidR="009C6529">
        <w:rPr>
          <w:lang w:val="en-GB"/>
        </w:rPr>
        <w:t>Besides the</w:t>
      </w:r>
      <w:r w:rsidR="009C6529" w:rsidRPr="00D712CE">
        <w:rPr>
          <w:lang w:val="en-GB"/>
        </w:rPr>
        <w:t xml:space="preserve"> remarkable electrochemical stability</w:t>
      </w:r>
      <w:r w:rsidR="009C6529">
        <w:rPr>
          <w:lang w:val="en-GB"/>
        </w:rPr>
        <w:t>,</w:t>
      </w:r>
      <w:r w:rsidR="009C6529" w:rsidRPr="00D712CE">
        <w:rPr>
          <w:lang w:val="en-GB"/>
        </w:rPr>
        <w:t xml:space="preserve"> the </w:t>
      </w:r>
      <w:r w:rsidR="009C6529">
        <w:rPr>
          <w:lang w:val="en-GB"/>
        </w:rPr>
        <w:t xml:space="preserve">ionic </w:t>
      </w:r>
      <w:r w:rsidR="009C6529" w:rsidRPr="00D712CE">
        <w:rPr>
          <w:lang w:val="en-GB"/>
        </w:rPr>
        <w:t xml:space="preserve">biogel </w:t>
      </w:r>
      <w:r w:rsidR="009C6529">
        <w:rPr>
          <w:lang w:val="en-GB"/>
        </w:rPr>
        <w:t xml:space="preserve">also </w:t>
      </w:r>
      <w:r w:rsidR="009C6529" w:rsidRPr="00D712CE">
        <w:rPr>
          <w:lang w:val="en-GB"/>
        </w:rPr>
        <w:t>maintain</w:t>
      </w:r>
      <w:r w:rsidR="009C6529">
        <w:rPr>
          <w:lang w:val="en-GB"/>
        </w:rPr>
        <w:t>s</w:t>
      </w:r>
      <w:r w:rsidR="009C6529" w:rsidRPr="00D712CE">
        <w:rPr>
          <w:lang w:val="en-GB"/>
        </w:rPr>
        <w:t xml:space="preserve"> a stable CIC value over prolonged charging and discharging cycles</w:t>
      </w:r>
      <w:r w:rsidR="009C6529">
        <w:rPr>
          <w:lang w:val="en-GB"/>
        </w:rPr>
        <w:t xml:space="preserve"> during </w:t>
      </w:r>
      <w:r w:rsidR="009C6529">
        <w:rPr>
          <w:lang w:val="en-GB"/>
        </w:rPr>
        <w:lastRenderedPageBreak/>
        <w:t>c</w:t>
      </w:r>
      <w:r w:rsidR="009C6529" w:rsidRPr="00D712CE">
        <w:rPr>
          <w:lang w:val="en-GB"/>
        </w:rPr>
        <w:t>yclic CIC measurement</w:t>
      </w:r>
      <w:r w:rsidR="009C6529">
        <w:rPr>
          <w:lang w:val="en-GB"/>
        </w:rPr>
        <w:t xml:space="preserve">s as shown in </w:t>
      </w:r>
      <w:r w:rsidR="009C6529" w:rsidRPr="00E05386">
        <w:rPr>
          <w:b/>
          <w:bCs/>
          <w:lang w:val="en-GB"/>
        </w:rPr>
        <w:t>Figure S</w:t>
      </w:r>
      <w:r w:rsidR="00553971">
        <w:rPr>
          <w:b/>
          <w:bCs/>
          <w:lang w:val="en-GB"/>
        </w:rPr>
        <w:t>3</w:t>
      </w:r>
      <w:r w:rsidR="002967C4">
        <w:rPr>
          <w:b/>
          <w:bCs/>
          <w:lang w:val="en-GB"/>
        </w:rPr>
        <w:t>5</w:t>
      </w:r>
      <w:r w:rsidR="009C6529" w:rsidRPr="00D712CE">
        <w:rPr>
          <w:lang w:val="en-GB"/>
        </w:rPr>
        <w:t xml:space="preserve">, ensuring reliable performance during extended use.  This stability is primarily attributed to the robust formation of the electric double layer (EDL) at the biogel-electrode interface, facilitated by the high density of mobile ions provided by the EMIM-TFSI ionic liquid within the PEDOT:PSS chains.  </w:t>
      </w:r>
    </w:p>
    <w:p w14:paraId="45C6EFFC" w14:textId="77777777" w:rsidR="0024238E" w:rsidRDefault="0024238E">
      <w:pPr>
        <w:spacing w:after="160" w:line="278" w:lineRule="auto"/>
      </w:pPr>
      <w:r>
        <w:br w:type="page"/>
      </w:r>
    </w:p>
    <w:p w14:paraId="40E20233" w14:textId="5E43F848" w:rsidR="00120CB1" w:rsidRDefault="0024238E" w:rsidP="00A22FC4">
      <w:pPr>
        <w:tabs>
          <w:tab w:val="center" w:pos="4680"/>
          <w:tab w:val="right" w:pos="9360"/>
        </w:tabs>
        <w:spacing w:line="480" w:lineRule="auto"/>
        <w:jc w:val="both"/>
        <w:rPr>
          <w:b/>
          <w:bCs/>
          <w:u w:val="single"/>
        </w:rPr>
      </w:pPr>
      <w:r w:rsidRPr="00951D9D">
        <w:rPr>
          <w:b/>
          <w:bCs/>
          <w:u w:val="single"/>
        </w:rPr>
        <w:lastRenderedPageBreak/>
        <w:t xml:space="preserve">Supplementary Note </w:t>
      </w:r>
      <w:r w:rsidR="00951D9D" w:rsidRPr="00951D9D">
        <w:rPr>
          <w:b/>
          <w:bCs/>
          <w:u w:val="single"/>
        </w:rPr>
        <w:t>17</w:t>
      </w:r>
    </w:p>
    <w:p w14:paraId="3BC9F8B4" w14:textId="2CA6B680" w:rsidR="006A527E" w:rsidRPr="004A0A09" w:rsidRDefault="004A0A09" w:rsidP="00A22FC4">
      <w:pPr>
        <w:tabs>
          <w:tab w:val="center" w:pos="4680"/>
          <w:tab w:val="right" w:pos="9360"/>
        </w:tabs>
        <w:spacing w:line="480" w:lineRule="auto"/>
        <w:jc w:val="both"/>
        <w:rPr>
          <w:b/>
          <w:bCs/>
        </w:rPr>
      </w:pPr>
      <w:r w:rsidRPr="004A0A09">
        <w:rPr>
          <w:b/>
          <w:bCs/>
        </w:rPr>
        <w:t xml:space="preserve">EEG Characterization during </w:t>
      </w:r>
      <w:r w:rsidR="00782C15">
        <w:rPr>
          <w:b/>
          <w:bCs/>
        </w:rPr>
        <w:t xml:space="preserve">rest and </w:t>
      </w:r>
      <w:r w:rsidRPr="004A0A09">
        <w:rPr>
          <w:b/>
          <w:bCs/>
        </w:rPr>
        <w:t>mechanical or natural sensation</w:t>
      </w:r>
    </w:p>
    <w:p w14:paraId="048673A6" w14:textId="15C87716" w:rsidR="00B7363C" w:rsidRDefault="006F36DB" w:rsidP="0024238E">
      <w:pPr>
        <w:pStyle w:val="NormalWeb"/>
        <w:spacing w:line="480" w:lineRule="auto"/>
        <w:jc w:val="both"/>
        <w:rPr>
          <w:color w:val="000000" w:themeColor="text1"/>
        </w:rPr>
      </w:pPr>
      <w:r w:rsidRPr="451B7F4F">
        <w:rPr>
          <w:color w:val="000000" w:themeColor="text1"/>
        </w:rPr>
        <w:t xml:space="preserve">Notably, the scalp contact impedance for the ionic biogel at the C3 electrode position (grounded behind the left ear, following the international 10-20 system) with dense, curly hair of approximately 6.5 cm in length is measured as 2.6 kΩ at 4 kHz </w:t>
      </w:r>
      <w:r w:rsidRPr="451B7F4F">
        <w:rPr>
          <w:b/>
          <w:bCs/>
          <w:color w:val="000000" w:themeColor="text1"/>
        </w:rPr>
        <w:t>(</w:t>
      </w:r>
      <w:r w:rsidR="00D770A5">
        <w:rPr>
          <w:b/>
          <w:bCs/>
          <w:color w:val="000000" w:themeColor="text1"/>
        </w:rPr>
        <w:t xml:space="preserve">Extended </w:t>
      </w:r>
      <w:r w:rsidRPr="451B7F4F">
        <w:rPr>
          <w:b/>
          <w:bCs/>
          <w:color w:val="000000" w:themeColor="text1"/>
        </w:rPr>
        <w:t xml:space="preserve">Figure </w:t>
      </w:r>
      <w:r w:rsidR="00D770A5">
        <w:rPr>
          <w:b/>
          <w:bCs/>
          <w:color w:val="000000" w:themeColor="text1"/>
        </w:rPr>
        <w:t>5a</w:t>
      </w:r>
      <w:r w:rsidRPr="451B7F4F">
        <w:rPr>
          <w:b/>
          <w:bCs/>
          <w:color w:val="000000" w:themeColor="text1"/>
        </w:rPr>
        <w:t>)</w:t>
      </w:r>
      <w:r w:rsidRPr="451B7F4F">
        <w:rPr>
          <w:color w:val="000000" w:themeColor="text1"/>
        </w:rPr>
        <w:t xml:space="preserve">.  </w:t>
      </w:r>
      <w:r w:rsidR="0024238E" w:rsidRPr="451B7F4F">
        <w:rPr>
          <w:color w:val="000000" w:themeColor="text1"/>
        </w:rPr>
        <w:t xml:space="preserve">The power amplitude of the alpha wave (8–13 Hz), particularly the “mu rhythm” (9–11 Hz) originating from the motor cortex, exhibits a 300% increase when transitioning from open to closed eyes at </w:t>
      </w:r>
      <w:r w:rsidR="007249A1">
        <w:rPr>
          <w:color w:val="000000" w:themeColor="text1"/>
        </w:rPr>
        <w:t>~</w:t>
      </w:r>
      <w:r w:rsidR="0024238E" w:rsidRPr="451B7F4F">
        <w:rPr>
          <w:color w:val="000000" w:themeColor="text1"/>
        </w:rPr>
        <w:t xml:space="preserve">10 Hz </w:t>
      </w:r>
      <w:r w:rsidR="0024238E" w:rsidRPr="451B7F4F">
        <w:rPr>
          <w:b/>
          <w:bCs/>
          <w:color w:val="000000" w:themeColor="text1"/>
        </w:rPr>
        <w:t>(</w:t>
      </w:r>
      <w:r w:rsidR="00D770A5">
        <w:rPr>
          <w:b/>
          <w:bCs/>
          <w:color w:val="000000" w:themeColor="text1"/>
        </w:rPr>
        <w:t xml:space="preserve">Extended </w:t>
      </w:r>
      <w:r w:rsidR="0024238E" w:rsidRPr="451B7F4F">
        <w:rPr>
          <w:b/>
          <w:bCs/>
          <w:color w:val="000000" w:themeColor="text1"/>
        </w:rPr>
        <w:t>Figure</w:t>
      </w:r>
      <w:r w:rsidR="00D770A5">
        <w:rPr>
          <w:b/>
          <w:bCs/>
          <w:color w:val="000000" w:themeColor="text1"/>
        </w:rPr>
        <w:t xml:space="preserve"> 5b</w:t>
      </w:r>
      <w:r w:rsidR="0024238E" w:rsidRPr="451B7F4F">
        <w:rPr>
          <w:b/>
          <w:bCs/>
          <w:color w:val="000000" w:themeColor="text1"/>
        </w:rPr>
        <w:t>)</w:t>
      </w:r>
      <w:r w:rsidR="0024238E" w:rsidRPr="451B7F4F">
        <w:rPr>
          <w:color w:val="000000" w:themeColor="text1"/>
        </w:rPr>
        <w:t xml:space="preserve">.  Further analysis reveals that the dynamics of the alpha-wave power spectrum during open and closed eyes are not much influenced by the presence of sweat (generated from running exercise) on the scalp.  An increase in EEG power amplitude </w:t>
      </w:r>
      <w:r w:rsidR="0024238E">
        <w:rPr>
          <w:color w:val="000000" w:themeColor="text1"/>
        </w:rPr>
        <w:t>during closed eyes state</w:t>
      </w:r>
      <w:r w:rsidR="0024238E" w:rsidRPr="451B7F4F">
        <w:rPr>
          <w:color w:val="000000" w:themeColor="text1"/>
        </w:rPr>
        <w:t xml:space="preserve"> is observed with </w:t>
      </w:r>
      <w:r w:rsidR="0024238E" w:rsidRPr="451B7F4F">
        <w:rPr>
          <w:b/>
          <w:bCs/>
          <w:color w:val="000000" w:themeColor="text1"/>
        </w:rPr>
        <w:t xml:space="preserve">(Figure </w:t>
      </w:r>
      <w:r w:rsidR="00994DDF">
        <w:rPr>
          <w:b/>
          <w:bCs/>
          <w:color w:val="000000" w:themeColor="text1"/>
        </w:rPr>
        <w:t>3b</w:t>
      </w:r>
      <w:r w:rsidR="0024238E" w:rsidRPr="451B7F4F">
        <w:rPr>
          <w:b/>
          <w:bCs/>
          <w:color w:val="000000" w:themeColor="text1"/>
        </w:rPr>
        <w:t>)</w:t>
      </w:r>
      <w:r w:rsidR="0024238E" w:rsidRPr="451B7F4F">
        <w:rPr>
          <w:color w:val="000000" w:themeColor="text1"/>
        </w:rPr>
        <w:t xml:space="preserve"> and without sweat </w:t>
      </w:r>
      <w:r w:rsidR="0024238E" w:rsidRPr="451B7F4F">
        <w:rPr>
          <w:b/>
          <w:bCs/>
          <w:color w:val="000000" w:themeColor="text1"/>
        </w:rPr>
        <w:t>(Figure S</w:t>
      </w:r>
      <w:r w:rsidR="00D21DB1">
        <w:rPr>
          <w:b/>
          <w:bCs/>
          <w:color w:val="000000" w:themeColor="text1"/>
        </w:rPr>
        <w:t>4</w:t>
      </w:r>
      <w:r w:rsidR="00274895">
        <w:rPr>
          <w:b/>
          <w:bCs/>
          <w:color w:val="000000" w:themeColor="text1"/>
        </w:rPr>
        <w:t>1</w:t>
      </w:r>
      <w:r w:rsidR="0024238E" w:rsidRPr="451B7F4F">
        <w:rPr>
          <w:b/>
          <w:bCs/>
          <w:color w:val="000000" w:themeColor="text1"/>
        </w:rPr>
        <w:t>)</w:t>
      </w:r>
      <w:r w:rsidR="0024238E">
        <w:rPr>
          <w:b/>
          <w:bCs/>
          <w:color w:val="000000" w:themeColor="text1"/>
        </w:rPr>
        <w:t xml:space="preserve"> </w:t>
      </w:r>
      <w:r w:rsidR="0024238E" w:rsidRPr="001616FA">
        <w:rPr>
          <w:color w:val="000000" w:themeColor="text1"/>
        </w:rPr>
        <w:t>compared to open eyes state</w:t>
      </w:r>
      <w:r w:rsidR="0024238E" w:rsidRPr="451B7F4F">
        <w:rPr>
          <w:color w:val="000000" w:themeColor="text1"/>
        </w:rPr>
        <w:t xml:space="preserve">, correlating with changes in the skin contact impedance spectra </w:t>
      </w:r>
      <w:r w:rsidR="0024238E" w:rsidRPr="451B7F4F">
        <w:rPr>
          <w:b/>
          <w:bCs/>
          <w:color w:val="000000" w:themeColor="text1"/>
        </w:rPr>
        <w:t>(Figure S</w:t>
      </w:r>
      <w:r w:rsidR="00D21DB1">
        <w:rPr>
          <w:b/>
          <w:bCs/>
          <w:color w:val="000000" w:themeColor="text1"/>
        </w:rPr>
        <w:t>4</w:t>
      </w:r>
      <w:r w:rsidR="00274895">
        <w:rPr>
          <w:b/>
          <w:bCs/>
          <w:color w:val="000000" w:themeColor="text1"/>
        </w:rPr>
        <w:t>2</w:t>
      </w:r>
      <w:r w:rsidR="0024238E" w:rsidRPr="451B7F4F">
        <w:rPr>
          <w:b/>
          <w:bCs/>
          <w:color w:val="000000" w:themeColor="text1"/>
        </w:rPr>
        <w:t>)</w:t>
      </w:r>
      <w:r w:rsidR="0024238E" w:rsidRPr="451B7F4F">
        <w:rPr>
          <w:color w:val="000000" w:themeColor="text1"/>
        </w:rPr>
        <w:t xml:space="preserve">.  The EEG power spectra during the eye-closing state show coupling between alpha-beta and alpha-gamma bands </w:t>
      </w:r>
      <w:r w:rsidR="0024238E" w:rsidRPr="451B7F4F">
        <w:rPr>
          <w:b/>
          <w:bCs/>
          <w:color w:val="000000" w:themeColor="text1"/>
        </w:rPr>
        <w:t>(Figure S</w:t>
      </w:r>
      <w:r w:rsidR="00D21AE3">
        <w:rPr>
          <w:b/>
          <w:bCs/>
          <w:color w:val="000000" w:themeColor="text1"/>
        </w:rPr>
        <w:t>4</w:t>
      </w:r>
      <w:r w:rsidR="002903AE">
        <w:rPr>
          <w:b/>
          <w:bCs/>
          <w:color w:val="000000" w:themeColor="text1"/>
        </w:rPr>
        <w:t>3</w:t>
      </w:r>
      <w:r w:rsidR="0024238E" w:rsidRPr="451B7F4F">
        <w:rPr>
          <w:b/>
          <w:bCs/>
          <w:color w:val="000000" w:themeColor="text1"/>
        </w:rPr>
        <w:t>)</w:t>
      </w:r>
      <w:r w:rsidR="0024238E" w:rsidRPr="451B7F4F">
        <w:rPr>
          <w:color w:val="000000" w:themeColor="text1"/>
        </w:rPr>
        <w:t xml:space="preserve">, indicating functional connectivity and neural synchronization relevant to attentional and sensory processing.  During motor tasks involving weight repetitions, the time-averaged power amplitude of the EEG response in the beta range (13–30 Hz) is increased by 160% (or 300%) when the weight is increased from 0.5 kg to 1 kg (or 2 kg) </w:t>
      </w:r>
      <w:r w:rsidR="0024238E" w:rsidRPr="451B7F4F">
        <w:rPr>
          <w:b/>
          <w:bCs/>
          <w:color w:val="000000" w:themeColor="text1"/>
        </w:rPr>
        <w:t>(</w:t>
      </w:r>
      <w:r w:rsidR="00552712">
        <w:rPr>
          <w:b/>
          <w:bCs/>
          <w:color w:val="000000" w:themeColor="text1"/>
        </w:rPr>
        <w:t xml:space="preserve">Extended </w:t>
      </w:r>
      <w:r w:rsidR="0024238E" w:rsidRPr="451B7F4F">
        <w:rPr>
          <w:b/>
          <w:bCs/>
          <w:color w:val="000000" w:themeColor="text1"/>
        </w:rPr>
        <w:t xml:space="preserve">Figure </w:t>
      </w:r>
      <w:r w:rsidR="00552712">
        <w:rPr>
          <w:b/>
          <w:bCs/>
          <w:color w:val="000000" w:themeColor="text1"/>
        </w:rPr>
        <w:t>5c</w:t>
      </w:r>
      <w:r w:rsidR="0024238E" w:rsidRPr="451B7F4F">
        <w:rPr>
          <w:b/>
          <w:bCs/>
          <w:color w:val="000000" w:themeColor="text1"/>
        </w:rPr>
        <w:t>)</w:t>
      </w:r>
      <w:r w:rsidR="0024238E" w:rsidRPr="451B7F4F">
        <w:rPr>
          <w:color w:val="000000" w:themeColor="text1"/>
        </w:rPr>
        <w:t>.  This enhancement corresponds to the changes in the EMG amplitude during muscle flexing, suggesting that higher motor effort elicits stronger cortical activation detectable by the ionic biogel electrode.  Examining the power amplitude dynamics in the beta range reveals that lower frequencies are initially activated at 0.5 kg, whereas higher frequencies in the gamma band become more dominant at 2 kg</w:t>
      </w:r>
      <w:r w:rsidR="0024238E" w:rsidRPr="451B7F4F">
        <w:rPr>
          <w:b/>
          <w:bCs/>
          <w:color w:val="000000" w:themeColor="text1"/>
        </w:rPr>
        <w:t xml:space="preserve"> (Figure S</w:t>
      </w:r>
      <w:r w:rsidR="00D21AE3">
        <w:rPr>
          <w:b/>
          <w:bCs/>
          <w:color w:val="000000" w:themeColor="text1"/>
        </w:rPr>
        <w:t>4</w:t>
      </w:r>
      <w:r w:rsidR="002903AE">
        <w:rPr>
          <w:b/>
          <w:bCs/>
          <w:color w:val="000000" w:themeColor="text1"/>
        </w:rPr>
        <w:t>4</w:t>
      </w:r>
      <w:r w:rsidR="0024238E" w:rsidRPr="451B7F4F">
        <w:rPr>
          <w:b/>
          <w:bCs/>
          <w:color w:val="000000" w:themeColor="text1"/>
        </w:rPr>
        <w:t>)</w:t>
      </w:r>
      <w:r w:rsidR="0024238E" w:rsidRPr="451B7F4F">
        <w:rPr>
          <w:color w:val="000000" w:themeColor="text1"/>
        </w:rPr>
        <w:t>.  This shift may be attributed to the recruitment of additional muscle groups and increased neural synchronization within the motor cortex during heavier lifting</w:t>
      </w:r>
      <w:r w:rsidR="0024238E">
        <w:rPr>
          <w:color w:val="000000" w:themeColor="text1"/>
        </w:rPr>
        <w:fldChar w:fldCharType="begin"/>
      </w:r>
      <w:r w:rsidR="00785CB3">
        <w:rPr>
          <w:color w:val="000000" w:themeColor="text1"/>
        </w:rPr>
        <w:instrText xml:space="preserve"> ADDIN ZOTERO_ITEM CSL_CITATION {"citationID":"DEQYHKD0","properties":{"formattedCitation":"\\super 19\\nosupersub{}","plainCitation":"19","noteIndex":0},"citationItems":[{"id":1316,"uris":["http://zotero.org/users/12063952/items/I346IYK4"],"itemData":{"id":1316,"type":"article-journal","abstract":"Background: Weight training is one type of exercises which some people interest. When the body has a physical exercise with enough intensity, it can produce a positive effect on brain function by changing amplitude of electroencephalographic activity.\nAims and Objective: The purpose of this investigation was to examine a more comprehensive range of the electroencephalographic activity including delta, theta, alpha, beta, and gamma brainwaves during bench press weight training exercise.\nMaterials and Methods: Electroencephalographic activities were recorded with nine participants by using the commercial lightweight electroencephalographic device, NeuroSky Mindwave Mobile, both before and during bench press weight training exercise.\nResults: The present study was conducted to find out how bench press weight training exercise effected to human brainwave. The electroencephalographic activity could be recorded during bench press weight training. The findings of the present study documented increase in beta and gamma brainwaves during bench press weight training exercise. This electrophysiological changes could represent the rearrangement of different systems as a consequence of exercise.\nConclusion: This bench press weight training might significantly alter the intense exercise. Future studies may want to examine how these changes in electroencephalographic activity influence or are associated with changes in cognition, affect and/or perception during/after bench press weight training exercise. The impact of peripheral physiology on electroencephalographic activity of bench press weight training exercise also needs to be examined.","container-title":"Asian Journal of Medical Sciences","DOI":"10.3126/ajms.v10i5.21034","ISSN":"2091-0576","issue":"5","language":"en","license":"Copyright (c) 2019 Asian Journal of Medical Sciences","note":"number: 5","page":"80-85","source":"www.nepjol.info","title":"Brain electrical activity during bench press weight training exercise","volume":"10","author":[{"family":"Engchuan","given":"Pipat"},{"family":"Wongsuphasawat","given":"Karnt"},{"family":"Sittiprapaporn","given":"Phakkharawat"}],"issued":{"date-parts":[["2019",8,11]]}}}],"schema":"https://github.com/citation-style-language/schema/raw/master/csl-citation.json"} </w:instrText>
      </w:r>
      <w:r w:rsidR="0024238E">
        <w:rPr>
          <w:color w:val="000000" w:themeColor="text1"/>
        </w:rPr>
        <w:fldChar w:fldCharType="separate"/>
      </w:r>
      <w:r w:rsidR="00785CB3" w:rsidRPr="00785CB3">
        <w:rPr>
          <w:vertAlign w:val="superscript"/>
        </w:rPr>
        <w:t>19</w:t>
      </w:r>
      <w:r w:rsidR="0024238E">
        <w:rPr>
          <w:color w:val="000000" w:themeColor="text1"/>
        </w:rPr>
        <w:fldChar w:fldCharType="end"/>
      </w:r>
      <w:r w:rsidR="0024238E" w:rsidRPr="451B7F4F">
        <w:rPr>
          <w:color w:val="000000" w:themeColor="text1"/>
        </w:rPr>
        <w:t xml:space="preserve">.  Interestingly, </w:t>
      </w:r>
      <w:r w:rsidR="0024238E" w:rsidRPr="451B7F4F">
        <w:rPr>
          <w:color w:val="000000" w:themeColor="text1"/>
        </w:rPr>
        <w:lastRenderedPageBreak/>
        <w:t xml:space="preserve">the EEG power spectrum in the beta and gamma ranges at C3 and Cz during weight repetitions shows a reduction in power amplitude, indicative of ERD, around 20 Hz during flexing for both 1 kg </w:t>
      </w:r>
      <w:r w:rsidR="0024238E" w:rsidRPr="451B7F4F">
        <w:rPr>
          <w:b/>
          <w:bCs/>
          <w:color w:val="000000" w:themeColor="text1"/>
        </w:rPr>
        <w:t>(</w:t>
      </w:r>
      <w:r w:rsidR="00F15F1D">
        <w:rPr>
          <w:b/>
          <w:bCs/>
          <w:color w:val="000000" w:themeColor="text1"/>
        </w:rPr>
        <w:t xml:space="preserve">Extended </w:t>
      </w:r>
      <w:r w:rsidR="0024238E" w:rsidRPr="451B7F4F">
        <w:rPr>
          <w:b/>
          <w:bCs/>
          <w:color w:val="000000" w:themeColor="text1"/>
        </w:rPr>
        <w:t xml:space="preserve">Figure </w:t>
      </w:r>
      <w:r w:rsidR="00F15F1D">
        <w:rPr>
          <w:b/>
          <w:bCs/>
          <w:color w:val="000000" w:themeColor="text1"/>
        </w:rPr>
        <w:t>5d</w:t>
      </w:r>
      <w:r w:rsidR="0024238E" w:rsidRPr="451B7F4F">
        <w:rPr>
          <w:b/>
          <w:bCs/>
          <w:color w:val="000000" w:themeColor="text1"/>
        </w:rPr>
        <w:t>)</w:t>
      </w:r>
      <w:r w:rsidR="0024238E" w:rsidRPr="451B7F4F">
        <w:rPr>
          <w:color w:val="000000" w:themeColor="text1"/>
        </w:rPr>
        <w:t xml:space="preserve"> and 2 kg </w:t>
      </w:r>
      <w:r w:rsidR="0024238E" w:rsidRPr="451B7F4F">
        <w:rPr>
          <w:b/>
          <w:bCs/>
          <w:color w:val="000000" w:themeColor="text1"/>
        </w:rPr>
        <w:t>(</w:t>
      </w:r>
      <w:r w:rsidR="00F15F1D">
        <w:rPr>
          <w:b/>
          <w:bCs/>
          <w:color w:val="000000" w:themeColor="text1"/>
        </w:rPr>
        <w:t xml:space="preserve">Extended </w:t>
      </w:r>
      <w:r w:rsidR="0024238E" w:rsidRPr="451B7F4F">
        <w:rPr>
          <w:b/>
          <w:bCs/>
          <w:color w:val="000000" w:themeColor="text1"/>
        </w:rPr>
        <w:t xml:space="preserve">Figure </w:t>
      </w:r>
      <w:r w:rsidR="00F15F1D">
        <w:rPr>
          <w:b/>
          <w:bCs/>
          <w:color w:val="000000" w:themeColor="text1"/>
        </w:rPr>
        <w:t>5e</w:t>
      </w:r>
      <w:r w:rsidR="0024238E" w:rsidRPr="451B7F4F">
        <w:rPr>
          <w:b/>
          <w:bCs/>
          <w:color w:val="000000" w:themeColor="text1"/>
        </w:rPr>
        <w:t>)</w:t>
      </w:r>
      <w:r w:rsidR="0024238E" w:rsidRPr="451B7F4F">
        <w:rPr>
          <w:color w:val="000000" w:themeColor="text1"/>
        </w:rPr>
        <w:t xml:space="preserve"> weights.  ERD is a well-established marker for cortical activation during motor tasks, reflecting the desynchronization of neuronal populations involved in movement execution</w:t>
      </w:r>
      <w:r w:rsidR="0024238E">
        <w:rPr>
          <w:color w:val="000000" w:themeColor="text1"/>
        </w:rPr>
        <w:fldChar w:fldCharType="begin"/>
      </w:r>
      <w:r w:rsidR="00785CB3">
        <w:rPr>
          <w:color w:val="000000" w:themeColor="text1"/>
        </w:rPr>
        <w:instrText xml:space="preserve"> ADDIN ZOTERO_ITEM CSL_CITATION {"citationID":"biWVhwPh","properties":{"formattedCitation":"\\super 20,21\\nosupersub{}","plainCitation":"20,21","noteIndex":0},"citationItems":[{"id":1255,"uris":["http://zotero.org/users/12063952/items/8JL6ZJYZ"],"itemData":{"id":1255,"type":"article-journal","abstract":"Movement-related oscillations in the beta range (from 13 to 30 Hz) have been observed over sensorimotor areas with power decrease (i.e., event-related desynchronization, ERD) during motor planning and execution followed by an increase (i.e., event-related synchronization, ERS) after the movement’s end. These phenomena occur during active, passive, imaged, and observed movements. Several electrophysiology studies have used beta ERD and ERS as functional indices of sensorimotor integrity, primarily in diseases affecting the motor system. Recent literature also highlights other characteristics of beta ERD and ERS, implying their role in processes not strictly related to motor function. Here we review studies about movement-related ERD and ERS in diseases characterized by motor dysfunction, including Parkinson’s disease, dystonia, stroke, amyotrophic lateral sclerosis, cerebral palsy, and multiple sclerosis. We also review changes of beta ERD and ERS reported in physiological aging, Alzheimer’s disease, and schizophrenia, three conditions without overt motor symptoms. The review of these works shows that ERD and ERS abnormalities are present across the spectrum of the examined pathologies as well as development and aging. They further suggest that cognition and movement are tightly related processes that may share common mechanisms regulated by beta modulation. Future studies with a multimodal approach are warranted to understand not only the specific topographical dynamics of movement-related beta modulation but also the general meaning of beta frequency changes occurring in relation to movement and cognitive processes at large. Such an approach will provide the foundation to devise and implement novel therapeutic approaches to neuropsychiatric disorders.","container-title":"Frontiers in Neuroscience","DOI":"10.3389/fnins.2022.1045715","ISSN":"1662-453X","journalAbbreviation":"Front. Neurosci.","language":"en","page":"1045715","source":"DOI.org (Crossref)","title":"Movement-related beta ERD and ERS abnormalities in neuropsychiatric disorders","volume":"16","author":[{"family":"Peter","given":"Jaime"},{"family":"Ferraioli","given":"Francesca"},{"family":"Mathew","given":"Dave"},{"family":"George","given":"Shaina"},{"family":"Chan","given":"Cameron"},{"family":"Alalade","given":"Tomisin"},{"family":"Salcedo","given":"Sheilla A."},{"family":"Saed","given":"Shannon"},{"family":"Tatti","given":"Elisa"},{"family":"Quartarone","given":"Angelo"},{"family":"Ghilardi","given":"M. Felice"}],"issued":{"date-parts":[["2022",11,23]]}}},{"id":1251,"uris":["http://zotero.org/users/12063952/items/XQYKFNIM"],"itemData":{"id":1251,"type":"article-journal","abstract":"The short-lasting attenuation of brain oscillations is termed event-related desynchronization (ERD). It is frequently found in the alpha and beta bands in humans during generation, observation, and imagery of movement and is considered to reflect cortical motor activity and action-perception coupling. The shared information driving ERD in all these motor-related behaviors is unknown. We investigated whether particular laws governing production and perception of curved movement may account for the attenuation of alpha and beta rhythms. Human movement appears to be governed by relatively few kinematic laws of motion. One dominant law in biological motion kinematics is the 2/3 power law (PL), which imposes a strong dependency of movement speed on curvature and is prominent in action-perception coupling. Here we directly examined whether the 2/3 PL elicits ERD during motion observation by characterizing the spatiotemporal signature of ERD. ERDs were measured while human subjects observed a cloud of dots moving along elliptical trajectories either complying with or violating the 2/3 PL. We found that ERD within both frequency bands was consistently stronger, arose faster, and was more widespread while observing motion obeying the 2/3 PL. An activity pattern showing clear 2/3 PL preference and lying within the alpha band was observed exclusively above central motor areas, whereas 2/3 PL preference in the beta band was observed in additional prefrontal–central cortical sites. Our findings reveal that compliance with the 2/3 PL is sufficient to elicit a selective ERD response in the human brain.","container-title":"The Journal of Neuroscience","DOI":"10.1523/JNEUROSCI.5371-13.2015","ISSN":"0270-6474, 1529-2401","issue":"4","journalAbbreviation":"J. Neurosci.","language":"en","license":"https://creativecommons.org/licenses/by-nc-sa/4.0/","page":"1627-1637","source":"DOI.org (Crossref)","title":"Alpha and Beta Band Event-Related Desynchronization Reflects Kinematic Regularities","volume":"35","author":[{"family":"Meirovitch","given":"Yaron"},{"family":"Harris","given":"Hila"},{"family":"Dayan","given":"Eran"},{"family":"Arieli","given":"Amos"},{"family":"Flash","given":"Tamar"}],"issued":{"date-parts":[["2015",1,28]]}}}],"schema":"https://github.com/citation-style-language/schema/raw/master/csl-citation.json"} </w:instrText>
      </w:r>
      <w:r w:rsidR="0024238E">
        <w:rPr>
          <w:color w:val="000000" w:themeColor="text1"/>
        </w:rPr>
        <w:fldChar w:fldCharType="separate"/>
      </w:r>
      <w:r w:rsidR="00785CB3" w:rsidRPr="00785CB3">
        <w:rPr>
          <w:vertAlign w:val="superscript"/>
        </w:rPr>
        <w:t>20,21</w:t>
      </w:r>
      <w:r w:rsidR="0024238E">
        <w:rPr>
          <w:color w:val="000000" w:themeColor="text1"/>
        </w:rPr>
        <w:fldChar w:fldCharType="end"/>
      </w:r>
      <w:r w:rsidR="0024238E" w:rsidRPr="451B7F4F">
        <w:rPr>
          <w:color w:val="000000" w:themeColor="text1"/>
        </w:rPr>
        <w:t xml:space="preserve">.  The time-averaged power spectrum increases from 1 kg to 2 kg for both C3 and Cz </w:t>
      </w:r>
      <w:r w:rsidR="0024238E" w:rsidRPr="451B7F4F">
        <w:rPr>
          <w:b/>
          <w:bCs/>
          <w:color w:val="000000" w:themeColor="text1"/>
        </w:rPr>
        <w:t>(Figure S</w:t>
      </w:r>
      <w:r w:rsidR="00D21AE3">
        <w:rPr>
          <w:b/>
          <w:bCs/>
          <w:color w:val="000000" w:themeColor="text1"/>
        </w:rPr>
        <w:t>4</w:t>
      </w:r>
      <w:r w:rsidR="002903AE">
        <w:rPr>
          <w:b/>
          <w:bCs/>
          <w:color w:val="000000" w:themeColor="text1"/>
        </w:rPr>
        <w:t>5</w:t>
      </w:r>
      <w:r w:rsidR="0024238E">
        <w:rPr>
          <w:b/>
          <w:bCs/>
          <w:color w:val="000000" w:themeColor="text1"/>
        </w:rPr>
        <w:t>)</w:t>
      </w:r>
      <w:r w:rsidR="0024238E" w:rsidRPr="451B7F4F">
        <w:rPr>
          <w:color w:val="000000" w:themeColor="text1"/>
        </w:rPr>
        <w:t xml:space="preserve">.  However, Cz and C3 exhibit different trends during repeated weight repetitions: Cz power amplitude strongly correlates with the increased weight, while C3 initially increases with weight but then decreases </w:t>
      </w:r>
      <w:r w:rsidR="0024238E">
        <w:rPr>
          <w:color w:val="000000" w:themeColor="text1"/>
        </w:rPr>
        <w:t xml:space="preserve">with further increased </w:t>
      </w:r>
      <w:r w:rsidR="0024238E" w:rsidRPr="451B7F4F">
        <w:rPr>
          <w:color w:val="000000" w:themeColor="text1"/>
        </w:rPr>
        <w:t>weight, potentially signifying cortical adaptation or saturation due to redundant muscle activation</w:t>
      </w:r>
      <w:r w:rsidR="0024238E">
        <w:rPr>
          <w:color w:val="000000" w:themeColor="text1"/>
        </w:rPr>
        <w:fldChar w:fldCharType="begin"/>
      </w:r>
      <w:r w:rsidR="00785CB3">
        <w:rPr>
          <w:color w:val="000000" w:themeColor="text1"/>
        </w:rPr>
        <w:instrText xml:space="preserve"> ADDIN ZOTERO_ITEM CSL_CITATION {"citationID":"4Ob97iY3","properties":{"formattedCitation":"\\super 22\\nosupersub{}","plainCitation":"22","noteIndex":0},"citationItems":[{"id":1318,"uris":["http://zotero.org/users/12063952/items/I9QKWK5V"],"itemData":{"id":1318,"type":"article-journal","abstract":"Repetitive, monotonic, and effortful voluntary muscle contractions performed for just a few weeks, i.e., resistance training, can substantially increase maximal voluntary force in the practiced task and can also increase gross motor performance. The increase in motor performance is often accompanied by neuroplastic adaptations in the central nervous system. While historical data assigned functional relevance to such adaptations induced by resistance training, this claim has not yet been systematically and critically examined in the context of motor performance across the lifespan in health and disease. A review of muscle activation, brain and peripheral nerve stimulation, and imaging data revealed that increases in motor performance and neuroplasticity tend to be uncoupled, making a mechanistic link between neuroplasticity and motor performance inconclusive. We recommend new approaches, including causal mediation analytical and hypothesis-driven models to substantiate the functional relevance of resistance training-induced neuroplasticity in the improvements of gross motor function across the lifespan in health and disease.","container-title":"Neuroscience &amp; Biobehavioral Reviews","DOI":"10.1016/j.neubiorev.2020.12.019","ISSN":"0149-7634","journalAbbreviation":"Neuroscience &amp; Biobehavioral Reviews","page":"79-91","source":"ScienceDirect","title":"Functional relevance of resistance training-induced neuroplasticity in health and disease","volume":"122","author":[{"family":"Hortobágyi","given":"Tibor"},{"family":"Granacher","given":"Urs"},{"family":"Fernandez-del-Olmo","given":"Miguel"},{"family":"Howatson","given":"Glyn"},{"family":"Manca","given":"Andrea"},{"family":"Deriu","given":"Franca"},{"family":"Taube","given":"Wolfgang"},{"family":"Gruber","given":"Markus"},{"family":"Márquez","given":"Gonzalo"},{"family":"Lundbye-Jensen","given":"Jesper"},{"family":"Colomer-Poveda","given":"David"}],"issued":{"date-parts":[["2021",3,1]]}}}],"schema":"https://github.com/citation-style-language/schema/raw/master/csl-citation.json"} </w:instrText>
      </w:r>
      <w:r w:rsidR="0024238E">
        <w:rPr>
          <w:color w:val="000000" w:themeColor="text1"/>
        </w:rPr>
        <w:fldChar w:fldCharType="separate"/>
      </w:r>
      <w:r w:rsidR="00785CB3" w:rsidRPr="00785CB3">
        <w:rPr>
          <w:vertAlign w:val="superscript"/>
        </w:rPr>
        <w:t>22</w:t>
      </w:r>
      <w:r w:rsidR="0024238E">
        <w:rPr>
          <w:color w:val="000000" w:themeColor="text1"/>
        </w:rPr>
        <w:fldChar w:fldCharType="end"/>
      </w:r>
      <w:r w:rsidR="0024238E">
        <w:rPr>
          <w:color w:val="000000" w:themeColor="text1"/>
        </w:rPr>
        <w:t xml:space="preserve"> </w:t>
      </w:r>
      <w:r w:rsidR="0024238E" w:rsidRPr="451B7F4F">
        <w:rPr>
          <w:b/>
          <w:bCs/>
          <w:color w:val="000000" w:themeColor="text1"/>
        </w:rPr>
        <w:t xml:space="preserve">(Figure </w:t>
      </w:r>
      <w:r w:rsidR="00C6243B">
        <w:rPr>
          <w:b/>
          <w:bCs/>
          <w:color w:val="000000" w:themeColor="text1"/>
        </w:rPr>
        <w:t>S</w:t>
      </w:r>
      <w:r w:rsidR="00D21AE3">
        <w:rPr>
          <w:b/>
          <w:bCs/>
          <w:color w:val="000000" w:themeColor="text1"/>
        </w:rPr>
        <w:t>4</w:t>
      </w:r>
      <w:r w:rsidR="002903AE">
        <w:rPr>
          <w:b/>
          <w:bCs/>
          <w:color w:val="000000" w:themeColor="text1"/>
        </w:rPr>
        <w:t>6</w:t>
      </w:r>
      <w:r w:rsidR="0024238E" w:rsidRPr="451B7F4F">
        <w:rPr>
          <w:b/>
          <w:bCs/>
          <w:color w:val="000000" w:themeColor="text1"/>
        </w:rPr>
        <w:t>)</w:t>
      </w:r>
      <w:r w:rsidR="0024238E" w:rsidRPr="451B7F4F">
        <w:rPr>
          <w:color w:val="000000" w:themeColor="text1"/>
        </w:rPr>
        <w:t xml:space="preserve">.  </w:t>
      </w:r>
    </w:p>
    <w:p w14:paraId="66E5639E" w14:textId="77777777" w:rsidR="00B7363C" w:rsidRDefault="00B7363C">
      <w:pPr>
        <w:spacing w:after="160" w:line="278" w:lineRule="auto"/>
        <w:rPr>
          <w:color w:val="000000" w:themeColor="text1"/>
        </w:rPr>
      </w:pPr>
      <w:r>
        <w:rPr>
          <w:color w:val="000000" w:themeColor="text1"/>
        </w:rPr>
        <w:br w:type="page"/>
      </w:r>
    </w:p>
    <w:p w14:paraId="41B6CF9F" w14:textId="1109ED07" w:rsidR="0024238E" w:rsidRDefault="00B7363C" w:rsidP="0024238E">
      <w:pPr>
        <w:pStyle w:val="NormalWeb"/>
        <w:spacing w:line="480" w:lineRule="auto"/>
        <w:jc w:val="both"/>
        <w:rPr>
          <w:b/>
          <w:bCs/>
          <w:color w:val="000000" w:themeColor="text1"/>
          <w:u w:val="single"/>
        </w:rPr>
      </w:pPr>
      <w:r w:rsidRPr="00D3077B">
        <w:rPr>
          <w:b/>
          <w:bCs/>
          <w:color w:val="000000" w:themeColor="text1"/>
          <w:u w:val="single"/>
        </w:rPr>
        <w:lastRenderedPageBreak/>
        <w:t>Supplementary Note</w:t>
      </w:r>
      <w:r w:rsidR="00D3077B" w:rsidRPr="00D3077B">
        <w:rPr>
          <w:b/>
          <w:bCs/>
          <w:color w:val="000000" w:themeColor="text1"/>
          <w:u w:val="single"/>
        </w:rPr>
        <w:t xml:space="preserve"> 18</w:t>
      </w:r>
    </w:p>
    <w:p w14:paraId="6CBDF536" w14:textId="6440D238" w:rsidR="005E0A66" w:rsidRPr="005E0A66" w:rsidRDefault="005E0A66" w:rsidP="0024238E">
      <w:pPr>
        <w:pStyle w:val="NormalWeb"/>
        <w:spacing w:line="480" w:lineRule="auto"/>
        <w:jc w:val="both"/>
        <w:rPr>
          <w:b/>
          <w:bCs/>
          <w:color w:val="000000" w:themeColor="text1"/>
        </w:rPr>
      </w:pPr>
      <w:r w:rsidRPr="005E0A66">
        <w:rPr>
          <w:b/>
          <w:bCs/>
          <w:color w:val="000000" w:themeColor="text1"/>
        </w:rPr>
        <w:t>Wearable Stimulation Array</w:t>
      </w:r>
    </w:p>
    <w:p w14:paraId="36D3340F" w14:textId="672788C9" w:rsidR="00635EB1" w:rsidRDefault="00D3077B" w:rsidP="00745E1E">
      <w:pPr>
        <w:pStyle w:val="NormalWeb"/>
        <w:spacing w:line="480" w:lineRule="auto"/>
        <w:jc w:val="both"/>
      </w:pPr>
      <w:r>
        <w:rPr>
          <w:color w:val="000000" w:themeColor="text1"/>
          <w:lang w:val="en-GB"/>
        </w:rPr>
        <w:t>The</w:t>
      </w:r>
      <w:r w:rsidR="00B7363C" w:rsidRPr="451B7F4F">
        <w:rPr>
          <w:color w:val="000000" w:themeColor="text1"/>
          <w:lang w:val="en-GB"/>
        </w:rPr>
        <w:t xml:space="preserve"> large, stretchable patch designed on an adhesive, hydrophobic VHB tape exploits the ionic biogel as the skin-interfaced conductive medium for electrical stimulation.  By systematically varying the electrode pairs within the array, optimal configurations are identified for targeting the ulnar nerve to elicit haptic sensations localized near the pinky finger region.  While </w:t>
      </w:r>
      <w:r w:rsidR="00B7363C">
        <w:rPr>
          <w:color w:val="000000" w:themeColor="text1"/>
          <w:lang w:val="en-GB"/>
        </w:rPr>
        <w:t>TENS</w:t>
      </w:r>
      <w:r w:rsidR="00B7363C" w:rsidRPr="451B7F4F">
        <w:rPr>
          <w:color w:val="000000" w:themeColor="text1"/>
          <w:lang w:val="en-GB"/>
        </w:rPr>
        <w:t xml:space="preserve"> of varied current amplitude in the range from 2 to 3.9 mA (depending on the pain threshold) at 150 Hz (duration of 3 s, pulse duration of 0.2 ms, and 450 number of pulses) is applied to the right arm, the corresponding force sensation is quantitatively measured on the left arm using a force sensor </w:t>
      </w:r>
      <w:r w:rsidR="00B7363C" w:rsidRPr="451B7F4F">
        <w:rPr>
          <w:b/>
          <w:bCs/>
          <w:color w:val="000000" w:themeColor="text1"/>
          <w:lang w:val="en-GB"/>
        </w:rPr>
        <w:t xml:space="preserve">(Figure </w:t>
      </w:r>
      <w:r w:rsidR="00A353DC">
        <w:rPr>
          <w:b/>
          <w:bCs/>
          <w:color w:val="000000" w:themeColor="text1"/>
          <w:lang w:val="en-GB"/>
        </w:rPr>
        <w:t>S</w:t>
      </w:r>
      <w:r w:rsidR="0023324C">
        <w:rPr>
          <w:b/>
          <w:bCs/>
          <w:color w:val="000000" w:themeColor="text1"/>
          <w:lang w:val="en-GB"/>
        </w:rPr>
        <w:t>4</w:t>
      </w:r>
      <w:r w:rsidR="00442990">
        <w:rPr>
          <w:b/>
          <w:bCs/>
          <w:color w:val="000000" w:themeColor="text1"/>
          <w:lang w:val="en-GB"/>
        </w:rPr>
        <w:t>7</w:t>
      </w:r>
      <w:r w:rsidR="00B7363C" w:rsidRPr="451B7F4F">
        <w:rPr>
          <w:b/>
          <w:bCs/>
          <w:color w:val="000000" w:themeColor="text1"/>
          <w:lang w:val="en-GB"/>
        </w:rPr>
        <w:t>)</w:t>
      </w:r>
      <w:r w:rsidR="00B7363C" w:rsidRPr="451B7F4F">
        <w:rPr>
          <w:color w:val="000000" w:themeColor="text1"/>
          <w:lang w:val="en-GB"/>
        </w:rPr>
        <w:t xml:space="preserve">, allowing us to assess bilateral cortical processing of somatosensory inputs.  </w:t>
      </w:r>
      <w:r w:rsidR="00767B4E">
        <w:br w:type="page"/>
      </w:r>
    </w:p>
    <w:p w14:paraId="0F22B749" w14:textId="06421C89" w:rsidR="00635EB1" w:rsidRPr="00751E65" w:rsidRDefault="00635EB1" w:rsidP="0058115C">
      <w:pPr>
        <w:spacing w:line="480" w:lineRule="auto"/>
        <w:jc w:val="both"/>
        <w:rPr>
          <w:b/>
          <w:u w:val="single"/>
        </w:rPr>
      </w:pPr>
      <w:r w:rsidRPr="00751E65">
        <w:rPr>
          <w:b/>
          <w:u w:val="single"/>
        </w:rPr>
        <w:lastRenderedPageBreak/>
        <w:t xml:space="preserve">Supplementary Note </w:t>
      </w:r>
      <w:r w:rsidR="00745E1E">
        <w:rPr>
          <w:b/>
          <w:bCs/>
          <w:u w:val="single"/>
        </w:rPr>
        <w:t>19</w:t>
      </w:r>
    </w:p>
    <w:p w14:paraId="3CCB202B" w14:textId="70F1A866" w:rsidR="0058115C" w:rsidRPr="00751E65" w:rsidRDefault="0058115C" w:rsidP="0058115C">
      <w:pPr>
        <w:spacing w:line="480" w:lineRule="auto"/>
        <w:jc w:val="both"/>
        <w:rPr>
          <w:b/>
        </w:rPr>
      </w:pPr>
      <w:r w:rsidRPr="00751E65">
        <w:rPr>
          <w:b/>
        </w:rPr>
        <w:t>Signal Processing Methods for EEG Analysis</w:t>
      </w:r>
      <w:r w:rsidR="004D2569">
        <w:rPr>
          <w:b/>
          <w:bCs/>
        </w:rPr>
        <w:t xml:space="preserve"> during Electrical Stimulation</w:t>
      </w:r>
    </w:p>
    <w:p w14:paraId="41144E22" w14:textId="103E889A" w:rsidR="008B7661" w:rsidRDefault="009116BB" w:rsidP="00A22FC4">
      <w:pPr>
        <w:spacing w:line="480" w:lineRule="auto"/>
        <w:ind w:firstLine="720"/>
        <w:jc w:val="both"/>
      </w:pPr>
      <w:r w:rsidRPr="00751E65">
        <w:t xml:space="preserve">To process the EEG signals effectively and mitigate potential artifacts, we employed a rigorous multi-step approach that included filtering, downsampling, and time-frequency analysis. </w:t>
      </w:r>
      <w:r w:rsidR="001D6630">
        <w:t xml:space="preserve"> </w:t>
      </w:r>
      <w:r w:rsidRPr="00751E65">
        <w:t xml:space="preserve">Each step was designed to preserve the integrity of the neural signals while eliminating confounding noise from stimulation and environmental sources. </w:t>
      </w:r>
      <w:r w:rsidR="001D6630">
        <w:t xml:space="preserve"> </w:t>
      </w:r>
      <w:r w:rsidRPr="00751E65">
        <w:t>The following sections provide a detailed account of the methods and underlying principles.</w:t>
      </w:r>
    </w:p>
    <w:p w14:paraId="5D12DB83" w14:textId="77777777" w:rsidR="008B7661" w:rsidRDefault="008B7661">
      <w:pPr>
        <w:spacing w:line="480" w:lineRule="auto"/>
        <w:jc w:val="both"/>
      </w:pPr>
    </w:p>
    <w:p w14:paraId="29D87324" w14:textId="77777777" w:rsidR="008B7661" w:rsidRPr="00751E65" w:rsidRDefault="008B7661" w:rsidP="00751E65">
      <w:pPr>
        <w:spacing w:line="480" w:lineRule="auto"/>
        <w:jc w:val="both"/>
      </w:pPr>
      <w:r w:rsidRPr="00751E65">
        <w:t xml:space="preserve">1. </w:t>
      </w:r>
      <w:r w:rsidRPr="00991578">
        <w:rPr>
          <w:i/>
        </w:rPr>
        <w:t>Data Acquisition and Initial Processing</w:t>
      </w:r>
    </w:p>
    <w:p w14:paraId="6FC60820" w14:textId="735774A7" w:rsidR="008B7661" w:rsidRDefault="008B7661" w:rsidP="00A22FC4">
      <w:pPr>
        <w:spacing w:line="480" w:lineRule="auto"/>
        <w:ind w:firstLine="720"/>
        <w:jc w:val="both"/>
      </w:pPr>
      <w:r w:rsidRPr="00751E65">
        <w:t>The EEG signals were acquired at a sampling frequency of</w:t>
      </w:r>
      <w:r w:rsidR="00E53642">
        <w:t xml:space="preserve"> </w:t>
      </w:r>
      <w:r w:rsidRPr="00751E65">
        <w:t>f</w:t>
      </w:r>
      <w:r w:rsidRPr="00751E65">
        <w:rPr>
          <w:vertAlign w:val="subscript"/>
        </w:rPr>
        <w:t>s</w:t>
      </w:r>
      <w:r w:rsidR="00155F9A">
        <w:t xml:space="preserve"> </w:t>
      </w:r>
      <w:r w:rsidRPr="00751E65">
        <w:t>=</w:t>
      </w:r>
      <w:r w:rsidR="00155F9A">
        <w:t xml:space="preserve"> </w:t>
      </w:r>
      <w:r w:rsidRPr="00751E65">
        <w:t>4</w:t>
      </w:r>
      <w:r w:rsidR="00E53642">
        <w:t>,</w:t>
      </w:r>
      <w:r w:rsidRPr="00751E65">
        <w:t>000</w:t>
      </w:r>
      <w:r w:rsidR="00E53642">
        <w:t xml:space="preserve"> </w:t>
      </w:r>
      <w:r w:rsidRPr="00751E65">
        <w:t xml:space="preserve">Hz, a sufficiently high rate to capture the rapid dynamics of neural </w:t>
      </w:r>
      <w:r w:rsidR="00F155CC" w:rsidRPr="00751E65">
        <w:t>activit</w:t>
      </w:r>
      <w:r w:rsidR="00F155CC">
        <w:t>ies</w:t>
      </w:r>
      <w:r w:rsidR="00F155CC" w:rsidRPr="00751E65">
        <w:t xml:space="preserve"> </w:t>
      </w:r>
      <w:r w:rsidRPr="00751E65">
        <w:t xml:space="preserve">and avoid aliasing. </w:t>
      </w:r>
      <w:r w:rsidR="002F1E1D">
        <w:t xml:space="preserve"> </w:t>
      </w:r>
      <w:r w:rsidRPr="00751E65">
        <w:t>High sampling rates are critical in the initial stages to ensure that all frequency components, including those influenced by external noise, are accurately recorded.</w:t>
      </w:r>
    </w:p>
    <w:p w14:paraId="1B32A63B" w14:textId="204A1F21" w:rsidR="008B7661" w:rsidRDefault="008B7661" w:rsidP="00A22FC4">
      <w:pPr>
        <w:spacing w:line="480" w:lineRule="auto"/>
        <w:ind w:firstLine="720"/>
        <w:jc w:val="both"/>
      </w:pPr>
      <w:r w:rsidRPr="00751E65">
        <w:t>To mitigate external electrical interference and improve signal quality, the grounding electrode was positioned at the</w:t>
      </w:r>
      <w:r w:rsidR="002F1E1D">
        <w:t xml:space="preserve"> </w:t>
      </w:r>
      <w:r w:rsidRPr="00751E65">
        <w:t>neck, along the electrical pathway between the</w:t>
      </w:r>
      <w:r w:rsidR="0007372B">
        <w:t xml:space="preserve"> </w:t>
      </w:r>
      <w:r w:rsidRPr="00751E65">
        <w:t>ulnar stimulation site</w:t>
      </w:r>
      <w:r w:rsidR="0007372B">
        <w:t xml:space="preserve"> </w:t>
      </w:r>
      <w:r w:rsidRPr="00751E65">
        <w:t>and the</w:t>
      </w:r>
      <w:r w:rsidR="0007372B">
        <w:t xml:space="preserve"> </w:t>
      </w:r>
      <w:r w:rsidRPr="00751E65">
        <w:t xml:space="preserve">EEG recording electrodes. </w:t>
      </w:r>
      <w:r w:rsidR="0007372B">
        <w:t xml:space="preserve"> </w:t>
      </w:r>
      <w:r w:rsidRPr="00751E65">
        <w:t>This strategic placement minimized the effect of stray currents and muscle activity from regions unrelated to the stimulation, ensuring a stable reference for the recorded signals.  Such grounding configuration is crucial for suppressing electrical noise introduced by stimulation artifacts, as well as reducing variability from physiological sources near the head.</w:t>
      </w:r>
    </w:p>
    <w:p w14:paraId="11E72864" w14:textId="77777777" w:rsidR="0096061D" w:rsidRDefault="0096061D" w:rsidP="008B7661">
      <w:pPr>
        <w:spacing w:line="480" w:lineRule="auto"/>
        <w:jc w:val="both"/>
      </w:pPr>
    </w:p>
    <w:p w14:paraId="1B86301D" w14:textId="77777777" w:rsidR="00635EB1" w:rsidRPr="00751E65" w:rsidRDefault="00635EB1" w:rsidP="00751E65">
      <w:pPr>
        <w:spacing w:line="480" w:lineRule="auto"/>
        <w:jc w:val="both"/>
      </w:pPr>
      <w:r w:rsidRPr="00751E65">
        <w:t xml:space="preserve">2. </w:t>
      </w:r>
      <w:r w:rsidRPr="00991578">
        <w:rPr>
          <w:i/>
        </w:rPr>
        <w:t>Noise Reduction Using Empirical Mode Decomposition (EMD)</w:t>
      </w:r>
    </w:p>
    <w:p w14:paraId="05F09125" w14:textId="7A7ADC1E" w:rsidR="00635EB1" w:rsidRPr="00751E65" w:rsidRDefault="00635EB1" w:rsidP="00A22FC4">
      <w:pPr>
        <w:spacing w:line="480" w:lineRule="auto"/>
        <w:ind w:firstLine="720"/>
        <w:jc w:val="both"/>
      </w:pPr>
      <w:r w:rsidRPr="00751E65">
        <w:lastRenderedPageBreak/>
        <w:t>To address stimulation-induced noise, we employed</w:t>
      </w:r>
      <w:r w:rsidR="00734089">
        <w:t xml:space="preserve"> </w:t>
      </w:r>
      <w:r w:rsidRPr="00751E65">
        <w:t>Empirical Mode Decomposition (EMD</w:t>
      </w:r>
      <w:r w:rsidR="00734089" w:rsidRPr="00751E65">
        <w:t>)</w:t>
      </w:r>
      <w:r w:rsidR="00734089">
        <w:t xml:space="preserve"> </w:t>
      </w:r>
      <w:r w:rsidRPr="00751E65">
        <w:t>as an initial filtering technique</w:t>
      </w:r>
      <w:r w:rsidR="00E10F6D">
        <w:fldChar w:fldCharType="begin"/>
      </w:r>
      <w:r w:rsidR="00785CB3">
        <w:instrText xml:space="preserve"> ADDIN ZOTERO_ITEM CSL_CITATION {"citationID":"M1Jv78QO","properties":{"formattedCitation":"\\super 23\\nosupersub{}","plainCitation":"23","noteIndex":0},"citationItems":[{"id":1325,"uris":["http://zotero.org/users/12063952/items/SMF4ZQ5Z"],"itemData":{"id":1325,"type":"article-journal","abstract":"This paper introduces a method for feature extraction and emotion recognition based on empirical mode decomposition (EMD). By using EMD, EEG signals are decomposed into Intrinsic Mode Functions (IMFs) automatically. Multidimensional information of IMF is utilized as features, the first difference of time series, the first difference of phase, and the normalized energy. The performance of the proposed method is verified on a publicly available emotional database. The results show that the three features are effective for emotion recognition. The role of each IMF is inquired and we find that high frequency component IMF1 has significant effect on different emotional states detection. The informative electrodes based on EMD strategy are analyzed. In addition, the classification accuracy of the proposed method is compared with several classical techniques, including fractal dimension (FD), sample entropy, differential entropy, and discrete wavelet transform (DWT). Experiment results on DEAP datasets demonstrate that our method can improve emotion recognition performance.","container-title":"BioMed Research International","DOI":"10.1155/2017/8317357","ISSN":"2314-6141","issue":"1","language":"en","note":"_eprint: https://onlinelibrary.wiley.com/doi/pdf/10.1155/2017/8317357","page":"8317357","source":"Wiley Online Library","title":"Emotion Recognition from EEG Signals Using Multidimensional Information in EMD Domain","volume":"2017","author":[{"family":"Zhuang","given":"Ning"},{"family":"Zeng","given":"Ying"},{"family":"Tong","given":"Li"},{"family":"Zhang","given":"Chi"},{"family":"Zhang","given":"Hanming"},{"family":"Yan","given":"Bin"}],"issued":{"date-parts":[["2017"]]}}}],"schema":"https://github.com/citation-style-language/schema/raw/master/csl-citation.json"} </w:instrText>
      </w:r>
      <w:r w:rsidR="00E10F6D">
        <w:fldChar w:fldCharType="separate"/>
      </w:r>
      <w:r w:rsidR="00785CB3" w:rsidRPr="00785CB3">
        <w:rPr>
          <w:vertAlign w:val="superscript"/>
        </w:rPr>
        <w:t>23</w:t>
      </w:r>
      <w:r w:rsidR="00E10F6D">
        <w:fldChar w:fldCharType="end"/>
      </w:r>
      <w:r w:rsidRPr="00751E65">
        <w:t xml:space="preserve">. </w:t>
      </w:r>
      <w:r w:rsidR="00734089">
        <w:t xml:space="preserve"> </w:t>
      </w:r>
      <w:r w:rsidRPr="00751E65">
        <w:t>EMD is a data-driven method that decomposes signals into a series of intrinsic mode functions (IMFs), each representing simple oscillatory modes within the data.  This approach does not rely on predefined basis functions, making it well-suited for non-stationary and nonlinear signals such as EEG.</w:t>
      </w:r>
      <w:r w:rsidR="00F57AC8">
        <w:t xml:space="preserve"> </w:t>
      </w:r>
      <w:r w:rsidR="003C1661">
        <w:t xml:space="preserve"> </w:t>
      </w:r>
      <w:r w:rsidR="00F57AC8" w:rsidRPr="00751E65">
        <w:t>Due to the limited number of channels (only two</w:t>
      </w:r>
      <w:r w:rsidR="00053CE7">
        <w:t xml:space="preserve"> in this </w:t>
      </w:r>
      <w:r w:rsidR="000156A5">
        <w:t>study</w:t>
      </w:r>
      <w:r w:rsidR="00F57AC8" w:rsidRPr="00751E65">
        <w:t xml:space="preserve">), traditional techniques </w:t>
      </w:r>
      <w:r w:rsidR="000A3D6B">
        <w:t>such as</w:t>
      </w:r>
      <w:r w:rsidR="000A3D6B" w:rsidRPr="00751E65">
        <w:t xml:space="preserve"> </w:t>
      </w:r>
      <w:r w:rsidR="00F57AC8" w:rsidRPr="00751E65">
        <w:t xml:space="preserve">Independent Component Analysis (ICA) commonly used for multi-channel artifact removal, were not feasible.  </w:t>
      </w:r>
      <w:r w:rsidR="00721E3B">
        <w:t>In contrast</w:t>
      </w:r>
      <w:r w:rsidR="00F57AC8" w:rsidRPr="00751E65">
        <w:t>, EMD allowed us to effectively isolate and remove noise components without relying on the statistical assumptions required for ICA.</w:t>
      </w:r>
    </w:p>
    <w:p w14:paraId="78FCEC4A" w14:textId="7D31FC47" w:rsidR="00635EB1" w:rsidRPr="00751E65" w:rsidRDefault="00635EB1" w:rsidP="00A22FC4">
      <w:pPr>
        <w:spacing w:line="480" w:lineRule="auto"/>
        <w:ind w:firstLine="720"/>
        <w:jc w:val="both"/>
      </w:pPr>
      <w:r w:rsidRPr="00751E65">
        <w:t xml:space="preserve">The decomposition of the EEG </w:t>
      </w:r>
      <w:r w:rsidRPr="00751E65" w:rsidDel="00D615AE">
        <w:t>signal</w:t>
      </w:r>
      <w:r w:rsidR="00D615AE">
        <w:t xml:space="preserve"> </w:t>
      </w:r>
      <m:oMath>
        <m:r>
          <w:rPr>
            <w:rFonts w:ascii="Cambria Math" w:hAnsi="Cambria Math"/>
          </w:rPr>
          <m:t>x(t)</m:t>
        </m:r>
      </m:oMath>
      <w:r w:rsidR="00D615AE">
        <w:t xml:space="preserve"> </w:t>
      </w:r>
      <w:r w:rsidRPr="00751E65" w:rsidDel="00B07351">
        <w:t>into</w:t>
      </w:r>
      <w:r w:rsidR="00B07351">
        <w:t xml:space="preserve"> </w:t>
      </w:r>
      <m:oMath>
        <m:r>
          <w:rPr>
            <w:rFonts w:ascii="Cambria Math" w:hAnsi="Cambria Math"/>
          </w:rPr>
          <m:t>N</m:t>
        </m:r>
      </m:oMath>
      <w:r w:rsidR="00B07351">
        <w:t xml:space="preserve"> </w:t>
      </w:r>
      <w:r w:rsidRPr="00751E65">
        <w:t>IMFs is expressed mathematically as:</w:t>
      </w:r>
    </w:p>
    <w:p w14:paraId="1A01C766" w14:textId="2A3DDE42" w:rsidR="00635EB1" w:rsidRPr="00670920" w:rsidRDefault="00D615AE" w:rsidP="00A22FC4">
      <w:pPr>
        <w:tabs>
          <w:tab w:val="center" w:pos="4680"/>
          <w:tab w:val="right" w:pos="9360"/>
        </w:tabs>
        <w:spacing w:line="480" w:lineRule="auto"/>
        <w:jc w:val="both"/>
      </w:pPr>
      <w:r>
        <w:tab/>
      </w:r>
      <m:oMath>
        <m:r>
          <w:rPr>
            <w:rFonts w:ascii="Cambria Math" w:hAnsi="Cambria Math"/>
          </w:rPr>
          <m:t>x(t)</m:t>
        </m:r>
        <m:r>
          <m:rPr>
            <m:sty m:val="p"/>
          </m:rPr>
          <w:rPr>
            <w:rFonts w:ascii="Cambria Math" w:hAnsi="Cambria Math"/>
          </w:rPr>
          <m:t>=</m:t>
        </m:r>
        <m:nary>
          <m:naryPr>
            <m:chr m:val="∑"/>
            <m:limLoc m:val="undOvr"/>
            <m:ctrlPr>
              <w:rPr>
                <w:rFonts w:ascii="Cambria Math" w:hAnsi="Cambria Math"/>
                <w:lang w:val="de-DE"/>
              </w:rPr>
            </m:ctrlPr>
          </m:naryPr>
          <m:sub>
            <m:r>
              <w:rPr>
                <w:rFonts w:ascii="Cambria Math" w:hAnsi="Cambria Math"/>
                <w:lang w:val="de-DE"/>
              </w:rPr>
              <m:t>k</m:t>
            </m:r>
            <m:r>
              <w:rPr>
                <w:rFonts w:ascii="Cambria Math" w:hAnsi="Cambria Math"/>
              </w:rPr>
              <m:t>=1</m:t>
            </m:r>
          </m:sub>
          <m:sup>
            <m:r>
              <w:rPr>
                <w:rFonts w:ascii="Cambria Math" w:hAnsi="Cambria Math"/>
                <w:lang w:val="de-DE"/>
              </w:rPr>
              <m:t>N</m:t>
            </m:r>
          </m:sup>
          <m:e>
            <m:sSub>
              <m:sSubPr>
                <m:ctrlPr>
                  <w:rPr>
                    <w:rFonts w:ascii="Cambria Math" w:hAnsi="Cambria Math"/>
                    <w:lang w:val="de-DE"/>
                  </w:rPr>
                </m:ctrlPr>
              </m:sSubPr>
              <m:e>
                <m:r>
                  <m:rPr>
                    <m:sty m:val="p"/>
                  </m:rPr>
                  <w:rPr>
                    <w:rFonts w:ascii="Cambria Math" w:hAnsi="Cambria Math"/>
                  </w:rPr>
                  <m:t>IMF</m:t>
                </m:r>
              </m:e>
              <m:sub>
                <m:r>
                  <w:rPr>
                    <w:rFonts w:ascii="Cambria Math" w:hAnsi="Cambria Math"/>
                    <w:lang w:val="de-DE"/>
                  </w:rPr>
                  <m:t>k</m:t>
                </m:r>
              </m:sub>
            </m:sSub>
            <m:r>
              <w:rPr>
                <w:rFonts w:ascii="Cambria Math" w:hAnsi="Cambria Math"/>
              </w:rPr>
              <m:t>(</m:t>
            </m:r>
            <m:r>
              <w:rPr>
                <w:rFonts w:ascii="Cambria Math" w:hAnsi="Cambria Math"/>
                <w:lang w:val="de-DE"/>
              </w:rPr>
              <m:t>t</m:t>
            </m:r>
            <m:r>
              <w:rPr>
                <w:rFonts w:ascii="Cambria Math" w:hAnsi="Cambria Math"/>
              </w:rPr>
              <m:t>)</m:t>
            </m:r>
          </m:e>
        </m:nary>
        <m:r>
          <m:rPr>
            <m:sty m:val="p"/>
          </m:rPr>
          <w:rPr>
            <w:rFonts w:ascii="Cambria Math" w:hAnsi="Cambria Math"/>
          </w:rPr>
          <m:t>+</m:t>
        </m:r>
        <m:r>
          <w:rPr>
            <w:rFonts w:ascii="Cambria Math" w:hAnsi="Cambria Math"/>
            <w:lang w:val="de-DE"/>
          </w:rPr>
          <m:t>r</m:t>
        </m:r>
        <m:r>
          <w:rPr>
            <w:rFonts w:ascii="Cambria Math" w:hAnsi="Cambria Math"/>
          </w:rPr>
          <m:t>(</m:t>
        </m:r>
        <m:r>
          <w:rPr>
            <w:rFonts w:ascii="Cambria Math" w:hAnsi="Cambria Math"/>
            <w:lang w:val="de-DE"/>
          </w:rPr>
          <m:t>t</m:t>
        </m:r>
        <m:r>
          <w:rPr>
            <w:rFonts w:ascii="Cambria Math" w:hAnsi="Cambria Math"/>
          </w:rPr>
          <m:t>)</m:t>
        </m:r>
      </m:oMath>
      <w:r w:rsidR="00721E3B">
        <w:t>,</w:t>
      </w:r>
      <w:r w:rsidR="00670920" w:rsidRPr="000B459E">
        <w:tab/>
        <w:t>(S25)</w:t>
      </w:r>
    </w:p>
    <w:p w14:paraId="223F867C" w14:textId="371F4697" w:rsidR="00F71F00" w:rsidRDefault="00721E3B">
      <w:pPr>
        <w:spacing w:line="480" w:lineRule="auto"/>
        <w:jc w:val="both"/>
      </w:pPr>
      <w:r>
        <w:t>w</w:t>
      </w:r>
      <w:r w:rsidR="00635EB1" w:rsidRPr="000B459E">
        <w:t>here</w:t>
      </w:r>
      <w:r w:rsidR="00872855">
        <w:t xml:space="preserve"> </w:t>
      </w:r>
      <m:oMath>
        <m:sSub>
          <m:sSubPr>
            <m:ctrlPr>
              <w:rPr>
                <w:rFonts w:ascii="Cambria Math" w:hAnsi="Cambria Math"/>
                <w:lang w:val="de-DE"/>
              </w:rPr>
            </m:ctrlPr>
          </m:sSubPr>
          <m:e>
            <m:r>
              <m:rPr>
                <m:sty m:val="p"/>
              </m:rPr>
              <w:rPr>
                <w:rFonts w:ascii="Cambria Math" w:hAnsi="Cambria Math"/>
              </w:rPr>
              <m:t>IMF</m:t>
            </m:r>
          </m:e>
          <m:sub>
            <m:r>
              <w:rPr>
                <w:rFonts w:ascii="Cambria Math" w:hAnsi="Cambria Math"/>
              </w:rPr>
              <m:t>k</m:t>
            </m:r>
          </m:sub>
        </m:sSub>
        <m:r>
          <w:rPr>
            <w:rFonts w:ascii="Cambria Math" w:hAnsi="Cambria Math"/>
          </w:rPr>
          <m:t>(t)</m:t>
        </m:r>
      </m:oMath>
      <w:r w:rsidR="00D615AE">
        <w:t xml:space="preserve"> </w:t>
      </w:r>
      <w:r w:rsidR="00635EB1" w:rsidRPr="000B459E">
        <w:t xml:space="preserve">represents </w:t>
      </w:r>
      <w:r w:rsidR="00635EB1" w:rsidRPr="000B459E" w:rsidDel="00D615AE">
        <w:t>the</w:t>
      </w:r>
      <w:r w:rsidR="00D615AE">
        <w:t xml:space="preserve"> </w:t>
      </w:r>
      <w:r w:rsidR="00635EB1" w:rsidRPr="000B459E">
        <w:t>k-th intrinsic mode function, characterized by a symmetric waveform with a zero mean and the same number of extrema and zero crossings</w:t>
      </w:r>
      <w:r w:rsidR="00872855">
        <w:t xml:space="preserve">, </w:t>
      </w:r>
      <m:oMath>
        <m:r>
          <w:rPr>
            <w:rFonts w:ascii="Cambria Math" w:hAnsi="Cambria Math"/>
          </w:rPr>
          <m:t>r(t)</m:t>
        </m:r>
      </m:oMath>
      <w:r w:rsidR="00D615AE">
        <w:t xml:space="preserve"> </w:t>
      </w:r>
      <w:r w:rsidR="00635EB1" w:rsidRPr="000B459E">
        <w:t>is the residual signal, representing the slowly varying trend or baseline.</w:t>
      </w:r>
    </w:p>
    <w:p w14:paraId="3F549A56" w14:textId="53B62296" w:rsidR="00635EB1" w:rsidRDefault="00635EB1" w:rsidP="00A22FC4">
      <w:pPr>
        <w:spacing w:line="480" w:lineRule="auto"/>
        <w:ind w:firstLine="720"/>
        <w:jc w:val="both"/>
      </w:pPr>
      <w:r w:rsidRPr="000B459E">
        <w:t xml:space="preserve">Each IMF is extracted iteratively using </w:t>
      </w:r>
      <w:r w:rsidR="00EF10C6" w:rsidRPr="000B459E">
        <w:t>the</w:t>
      </w:r>
      <w:r w:rsidR="00EF10C6">
        <w:t xml:space="preserve"> </w:t>
      </w:r>
      <w:r w:rsidRPr="000B459E">
        <w:t xml:space="preserve">sifting process, which identifies local maxima and minima, interpolates them to form an upper and lower envelope, and subtracts their mean from the signal. </w:t>
      </w:r>
      <w:r w:rsidR="00F71F00">
        <w:t xml:space="preserve"> </w:t>
      </w:r>
      <w:r w:rsidRPr="000B459E">
        <w:t>The process repeats until the resulting IMF satisfies the criteria of zero mean and symmetric oscillations.</w:t>
      </w:r>
      <w:r w:rsidR="00D520A2">
        <w:t xml:space="preserve"> </w:t>
      </w:r>
      <w:r w:rsidR="00F71F00">
        <w:t xml:space="preserve"> </w:t>
      </w:r>
      <w:r w:rsidRPr="000B459E">
        <w:t xml:space="preserve">For artifact removal, IMFs dominated by stimulation noise and high-amplitude artifacts (e.g., frequencies around the stimulation frequency) were identified and excluded. </w:t>
      </w:r>
      <w:r w:rsidR="0020482E">
        <w:t xml:space="preserve"> </w:t>
      </w:r>
      <w:r w:rsidRPr="000B459E">
        <w:t xml:space="preserve">The residual signal and the remaining IMFs, containing neural </w:t>
      </w:r>
      <w:r w:rsidR="0020482E" w:rsidRPr="000B459E">
        <w:t>activit</w:t>
      </w:r>
      <w:r w:rsidR="0020482E">
        <w:t>ies</w:t>
      </w:r>
      <w:r w:rsidRPr="000B459E">
        <w:t xml:space="preserve">, were retained for further analysis. </w:t>
      </w:r>
      <w:r w:rsidR="0020482E">
        <w:t xml:space="preserve"> </w:t>
      </w:r>
      <w:r w:rsidRPr="000B459E">
        <w:t>This method effectively isolated stimulation noise from the underlying neural signals, preserving the spectral and temporal fidelity of the EEG data.</w:t>
      </w:r>
    </w:p>
    <w:p w14:paraId="3AA279C6" w14:textId="77777777" w:rsidR="00E60D94" w:rsidRPr="000B459E" w:rsidRDefault="00E60D94" w:rsidP="000B459E">
      <w:pPr>
        <w:spacing w:line="480" w:lineRule="auto"/>
        <w:jc w:val="both"/>
      </w:pPr>
    </w:p>
    <w:p w14:paraId="5E3492E5" w14:textId="77777777" w:rsidR="008E063C" w:rsidRPr="000B459E" w:rsidRDefault="008E063C" w:rsidP="000B459E">
      <w:pPr>
        <w:spacing w:line="480" w:lineRule="auto"/>
        <w:jc w:val="both"/>
        <w:rPr>
          <w:i/>
        </w:rPr>
      </w:pPr>
      <w:r w:rsidRPr="000B459E">
        <w:rPr>
          <w:i/>
        </w:rPr>
        <w:lastRenderedPageBreak/>
        <w:t>3. Bandpass and Notch Filtering</w:t>
      </w:r>
    </w:p>
    <w:p w14:paraId="1627CA89" w14:textId="3429A129" w:rsidR="00B94993" w:rsidRDefault="008E063C" w:rsidP="00A22FC4">
      <w:pPr>
        <w:spacing w:line="480" w:lineRule="auto"/>
        <w:ind w:firstLine="720"/>
        <w:jc w:val="both"/>
      </w:pPr>
      <w:r w:rsidRPr="000B459E">
        <w:t>To further refine the signal, we applied a</w:t>
      </w:r>
      <w:r w:rsidR="008069F6">
        <w:t xml:space="preserve"> </w:t>
      </w:r>
      <w:r w:rsidRPr="000B459E">
        <w:t>bandpass filter</w:t>
      </w:r>
      <w:r w:rsidR="008069F6">
        <w:t xml:space="preserve"> </w:t>
      </w:r>
      <w:r w:rsidRPr="000B459E">
        <w:t xml:space="preserve">with a passband tailored to the frequency range of neural </w:t>
      </w:r>
      <w:r w:rsidR="008069F6" w:rsidRPr="000B459E">
        <w:t>activit</w:t>
      </w:r>
      <w:r w:rsidR="008069F6">
        <w:t>ies</w:t>
      </w:r>
      <w:r w:rsidR="008069F6" w:rsidRPr="000B459E">
        <w:t xml:space="preserve"> </w:t>
      </w:r>
      <w:r w:rsidRPr="000B459E">
        <w:t>of interest.</w:t>
      </w:r>
      <w:r w:rsidR="008069F6">
        <w:t xml:space="preserve"> </w:t>
      </w:r>
      <w:r w:rsidRPr="000B459E">
        <w:t xml:space="preserve"> The bandpass filter was implemented using a zero-phase finite impulse response (FIR) design to avoid phase distortion, ensuring that the temporal structure of the EEG signals was preserved.</w:t>
      </w:r>
      <w:r>
        <w:t xml:space="preserve"> </w:t>
      </w:r>
      <w:r w:rsidR="00D94C6E">
        <w:t xml:space="preserve"> </w:t>
      </w:r>
      <w:r w:rsidRPr="000B459E">
        <w:t>Additionally</w:t>
      </w:r>
      <w:r w:rsidR="006049F5" w:rsidRPr="000B459E">
        <w:t>,</w:t>
      </w:r>
      <w:r w:rsidR="006049F5">
        <w:t xml:space="preserve"> </w:t>
      </w:r>
      <w:r w:rsidRPr="000B459E">
        <w:t xml:space="preserve">notch </w:t>
      </w:r>
      <w:r w:rsidRPr="000B459E" w:rsidDel="006049F5">
        <w:t>filters</w:t>
      </w:r>
      <w:r w:rsidR="006049F5">
        <w:t xml:space="preserve"> </w:t>
      </w:r>
      <w:r w:rsidRPr="000B459E">
        <w:t>were employed to suppress specific interference frequencies:</w:t>
      </w:r>
      <w:r w:rsidR="00427D2A">
        <w:t xml:space="preserve"> </w:t>
      </w:r>
      <w:r w:rsidRPr="000B459E">
        <w:t>60 Hz</w:t>
      </w:r>
      <w:r w:rsidR="00427D2A">
        <w:t xml:space="preserve"> t</w:t>
      </w:r>
      <w:r w:rsidRPr="000B459E">
        <w:t>o remove power-line noise</w:t>
      </w:r>
      <w:r w:rsidR="00427D2A">
        <w:t xml:space="preserve">, </w:t>
      </w:r>
      <w:r w:rsidR="005C4177">
        <w:t xml:space="preserve">and </w:t>
      </w:r>
      <w:r w:rsidRPr="000B459E">
        <w:t>150 Hz</w:t>
      </w:r>
      <w:r w:rsidR="00427D2A">
        <w:t xml:space="preserve"> (or stimulation frequency)</w:t>
      </w:r>
      <w:r w:rsidRPr="000B459E">
        <w:t xml:space="preserve"> </w:t>
      </w:r>
      <w:r w:rsidR="00427D2A">
        <w:t>t</w:t>
      </w:r>
      <w:r w:rsidRPr="000B459E">
        <w:t>o eliminate noise from electrical stimulation.</w:t>
      </w:r>
      <w:r w:rsidR="00427D2A">
        <w:t xml:space="preserve"> </w:t>
      </w:r>
      <w:r w:rsidR="00CB75C8">
        <w:t xml:space="preserve"> </w:t>
      </w:r>
      <w:r w:rsidRPr="000B459E">
        <w:t>The notch filters were designed as second-order infinite impulse response (IIR) filters with a quality factor</w:t>
      </w:r>
      <w:r w:rsidR="00CB75C8">
        <w:t xml:space="preserve"> </w:t>
      </w:r>
      <w:r w:rsidRPr="000B459E">
        <w:t>Q=30, ensuring effective attenuation of the target frequencies without excessively broad attenuation bands.</w:t>
      </w:r>
    </w:p>
    <w:p w14:paraId="20148ACA" w14:textId="77777777" w:rsidR="00B94993" w:rsidRDefault="00B94993" w:rsidP="00B94993">
      <w:pPr>
        <w:spacing w:line="480" w:lineRule="auto"/>
        <w:jc w:val="both"/>
        <w:rPr>
          <w:i/>
          <w:iCs/>
        </w:rPr>
      </w:pPr>
    </w:p>
    <w:p w14:paraId="08D97F5E" w14:textId="3620B6E0" w:rsidR="00B94993" w:rsidRPr="000B459E" w:rsidRDefault="00B94993" w:rsidP="000B459E">
      <w:pPr>
        <w:spacing w:line="480" w:lineRule="auto"/>
        <w:jc w:val="both"/>
      </w:pPr>
      <w:r w:rsidRPr="000B459E">
        <w:t xml:space="preserve">4. </w:t>
      </w:r>
      <w:r w:rsidRPr="00991578">
        <w:rPr>
          <w:i/>
        </w:rPr>
        <w:t>Downsampling</w:t>
      </w:r>
    </w:p>
    <w:p w14:paraId="1AF7F5B1" w14:textId="7B55FA2E" w:rsidR="00B94993" w:rsidRDefault="00B94993" w:rsidP="00A22FC4">
      <w:pPr>
        <w:spacing w:line="480" w:lineRule="auto"/>
        <w:ind w:firstLine="720"/>
        <w:jc w:val="both"/>
      </w:pPr>
      <w:r w:rsidRPr="000B459E">
        <w:t xml:space="preserve">After filtering, the data were downsampled </w:t>
      </w:r>
      <w:r w:rsidRPr="000B459E" w:rsidDel="006049F5">
        <w:t>from</w:t>
      </w:r>
      <w:r w:rsidR="006049F5">
        <w:t xml:space="preserve"> </w:t>
      </w:r>
      <w:r w:rsidRPr="000B459E">
        <w:t>4000 </w:t>
      </w:r>
      <w:r w:rsidRPr="000B459E" w:rsidDel="006049F5">
        <w:t>Hz</w:t>
      </w:r>
      <w:r w:rsidR="006049F5">
        <w:t xml:space="preserve"> </w:t>
      </w:r>
      <w:r w:rsidRPr="000B459E" w:rsidDel="006049F5">
        <w:t>to</w:t>
      </w:r>
      <w:r w:rsidR="006049F5">
        <w:t xml:space="preserve"> </w:t>
      </w:r>
      <w:r w:rsidRPr="000B459E">
        <w:t xml:space="preserve">500 Hz. </w:t>
      </w:r>
      <w:r w:rsidR="006A4F84">
        <w:t xml:space="preserve"> </w:t>
      </w:r>
      <w:r w:rsidRPr="000B459E">
        <w:t xml:space="preserve">Downsampling reduces computational complexity while retaining the frequency components of interest, as neural signals of relevance typically fall </w:t>
      </w:r>
      <w:r w:rsidRPr="000B459E" w:rsidDel="006049F5">
        <w:t>below</w:t>
      </w:r>
      <w:r w:rsidR="006049F5">
        <w:t xml:space="preserve"> </w:t>
      </w:r>
      <w:r w:rsidRPr="000B459E">
        <w:t xml:space="preserve">250 Hz.  Prior to downsampling, an anti-aliasing low-pass filter was applied to prevent spectral distortion. </w:t>
      </w:r>
      <w:r w:rsidR="005C7A99">
        <w:t xml:space="preserve"> </w:t>
      </w:r>
      <w:r w:rsidRPr="000B459E">
        <w:t>This filter was designed with a cutoff frequency of</w:t>
      </w:r>
      <w:r w:rsidR="005C7A99">
        <w:t xml:space="preserve"> </w:t>
      </w:r>
      <w:r w:rsidRPr="000B459E">
        <w:t>200 Hz, well below the Nyquist limit of the reduced sampling rate.</w:t>
      </w:r>
    </w:p>
    <w:p w14:paraId="0910B611" w14:textId="7C0F3F1E" w:rsidR="00936BC5" w:rsidRDefault="00936BC5" w:rsidP="002B066F">
      <w:pPr>
        <w:spacing w:line="480" w:lineRule="auto"/>
        <w:jc w:val="both"/>
      </w:pPr>
    </w:p>
    <w:p w14:paraId="6461742B" w14:textId="77777777" w:rsidR="002B066F" w:rsidRPr="00991578" w:rsidRDefault="002B066F" w:rsidP="000B459E">
      <w:pPr>
        <w:spacing w:line="480" w:lineRule="auto"/>
        <w:jc w:val="both"/>
        <w:rPr>
          <w:i/>
        </w:rPr>
      </w:pPr>
      <w:r w:rsidRPr="000B459E">
        <w:t xml:space="preserve">5. </w:t>
      </w:r>
      <w:r w:rsidRPr="00991578">
        <w:rPr>
          <w:i/>
        </w:rPr>
        <w:t>Time-Frequency Analysis Using Gabor Spectrogram</w:t>
      </w:r>
    </w:p>
    <w:p w14:paraId="09B28258" w14:textId="0CFDC0F0" w:rsidR="002B066F" w:rsidRPr="000B459E" w:rsidRDefault="002B066F" w:rsidP="00A22FC4">
      <w:pPr>
        <w:spacing w:line="480" w:lineRule="auto"/>
        <w:ind w:firstLine="720"/>
        <w:jc w:val="both"/>
      </w:pPr>
      <w:r w:rsidRPr="000B459E">
        <w:t xml:space="preserve">To investigate the time-frequency dynamics of the EEG signals, we employed </w:t>
      </w:r>
      <w:r w:rsidR="005C7A99" w:rsidRPr="000B459E">
        <w:t>the</w:t>
      </w:r>
      <w:r w:rsidR="005C7A99">
        <w:t xml:space="preserve"> </w:t>
      </w:r>
      <w:r w:rsidRPr="000B459E">
        <w:t>Gabor spectrogram, a method that provides high-resolution spectrotemporal representations by convolving the signal with Gaussian-windowed sinusoidal functions</w:t>
      </w:r>
      <w:r w:rsidR="00E10F6D">
        <w:fldChar w:fldCharType="begin"/>
      </w:r>
      <w:r w:rsidR="00785CB3">
        <w:instrText xml:space="preserve"> ADDIN ZOTERO_ITEM CSL_CITATION {"citationID":"nRRr3PGU","properties":{"formattedCitation":"\\super 24\\nosupersub{}","plainCitation":"24","noteIndex":0},"citationItems":[{"id":1177,"uris":["http://zotero.org/users/12063952/items/IAGL84CL"],"itemData":{"id":1177,"type":"article-journal","abstract":"Internal ions enable high transconductance, fast speed, and independently controllable transistors for bioelectronics.\n          , \n            Real-time processing and manipulation of biological signals require bioelectronic devices with integrated components capable of signal amplification, processing, and stimulation. Transistors form the backbone of such circuits, but numerous criteria must be met for efficient and safe operation in biological environments. Here, we introduce an internal ion-gated organic electrochemical transistor (IGT) that uses contained mobile ions within the conducting polymer channel to permit both volumetric capacitance and shortened ionic transit time. The IGT has high transconductance, fast speed, and can be independently gated to create scalable conformable integrated circuits. We demonstrate the ability of the IGT to provide a miniaturized, comfortable interface with human skin using local amplification to record high-quality brain neurophysiological activity. The IGT is an effective transistor architecture for enabling integrated, real-time sensing and stimulation of signals from living organisms.","container-title":"Science Advances","DOI":"10.1126/sciadv.aau7378","ISSN":"2375-2548","issue":"2","journalAbbreviation":"Sci. Adv.","language":"en","page":"eaau7378","source":"DOI.org (Crossref)","title":"Internal ion-gated organic electrochemical transistor: A building block for integrated bioelectronics","title-short":"Internal ion-gated organic electrochemical transistor","volume":"5","author":[{"family":"Spyropoulos","given":"George D."},{"family":"Gelinas","given":"Jennifer N."},{"family":"Khodagholy","given":"Dion"}],"issued":{"date-parts":[["2019",2]]}}}],"schema":"https://github.com/citation-style-language/schema/raw/master/csl-citation.json"} </w:instrText>
      </w:r>
      <w:r w:rsidR="00E10F6D">
        <w:fldChar w:fldCharType="separate"/>
      </w:r>
      <w:r w:rsidR="00785CB3" w:rsidRPr="00785CB3">
        <w:rPr>
          <w:vertAlign w:val="superscript"/>
        </w:rPr>
        <w:t>24</w:t>
      </w:r>
      <w:r w:rsidR="00E10F6D">
        <w:fldChar w:fldCharType="end"/>
      </w:r>
      <w:r w:rsidRPr="000B459E">
        <w:t xml:space="preserve">. </w:t>
      </w:r>
      <w:r w:rsidR="00D615AE">
        <w:t xml:space="preserve"> </w:t>
      </w:r>
      <w:r w:rsidRPr="000B459E">
        <w:t xml:space="preserve">The </w:t>
      </w:r>
      <w:r w:rsidR="00D615AE" w:rsidRPr="000B459E">
        <w:t>spectrogram</w:t>
      </w:r>
      <w:r w:rsidR="00D615AE">
        <w:t xml:space="preserve"> </w:t>
      </w:r>
      <m:oMath>
        <m:r>
          <w:rPr>
            <w:rFonts w:ascii="Cambria Math" w:hAnsi="Cambria Math"/>
          </w:rPr>
          <m:t>S(f,t)</m:t>
        </m:r>
      </m:oMath>
      <w:r w:rsidR="00D615AE">
        <w:t xml:space="preserve"> </w:t>
      </w:r>
      <w:r w:rsidRPr="000B459E">
        <w:t>was computed as:</w:t>
      </w:r>
    </w:p>
    <w:p w14:paraId="26E592E8" w14:textId="173D3AD8" w:rsidR="002B066F" w:rsidRPr="000B459E" w:rsidRDefault="006049F5" w:rsidP="00A22FC4">
      <w:pPr>
        <w:tabs>
          <w:tab w:val="center" w:pos="4680"/>
          <w:tab w:val="right" w:pos="9360"/>
        </w:tabs>
        <w:spacing w:line="480" w:lineRule="auto"/>
        <w:jc w:val="both"/>
      </w:pPr>
      <w:r>
        <w:tab/>
      </w:r>
      <m:oMath>
        <m:r>
          <w:rPr>
            <w:rFonts w:ascii="Cambria Math" w:hAnsi="Cambria Math"/>
          </w:rPr>
          <m:t xml:space="preserve">S(f,t)= </m:t>
        </m:r>
        <m:nary>
          <m:naryPr>
            <m:limLoc m:val="subSup"/>
            <m:ctrlPr>
              <w:rPr>
                <w:rFonts w:ascii="Cambria Math" w:hAnsi="Cambria Math"/>
                <w:i/>
              </w:rPr>
            </m:ctrlPr>
          </m:naryPr>
          <m:sub>
            <m:r>
              <w:rPr>
                <w:rFonts w:ascii="Cambria Math" w:hAnsi="Cambria Math"/>
              </w:rPr>
              <m:t>-∞</m:t>
            </m:r>
          </m:sub>
          <m:sup>
            <m:r>
              <w:rPr>
                <w:rFonts w:ascii="Cambria Math" w:hAnsi="Cambria Math"/>
              </w:rPr>
              <m:t>∞</m:t>
            </m:r>
          </m:sup>
          <m:e>
            <m:r>
              <w:rPr>
                <w:rFonts w:ascii="Cambria Math" w:hAnsi="Cambria Math"/>
              </w:rPr>
              <m:t>z(τ)g(t-τ)</m:t>
            </m:r>
            <m:sSup>
              <m:sSupPr>
                <m:ctrlPr>
                  <w:rPr>
                    <w:rFonts w:ascii="Cambria Math" w:hAnsi="Cambria Math"/>
                    <w:i/>
                  </w:rPr>
                </m:ctrlPr>
              </m:sSupPr>
              <m:e>
                <m:r>
                  <w:rPr>
                    <w:rFonts w:ascii="Cambria Math" w:hAnsi="Cambria Math"/>
                  </w:rPr>
                  <m:t>e</m:t>
                </m:r>
              </m:e>
              <m:sup>
                <m:r>
                  <w:rPr>
                    <w:rFonts w:ascii="Cambria Math" w:hAnsi="Cambria Math"/>
                  </w:rPr>
                  <m:t>-i2πft</m:t>
                </m:r>
              </m:sup>
            </m:sSup>
            <m:r>
              <w:rPr>
                <w:rFonts w:ascii="Cambria Math" w:hAnsi="Cambria Math"/>
              </w:rPr>
              <m:t>dτ</m:t>
            </m:r>
          </m:e>
        </m:nary>
      </m:oMath>
      <w:r w:rsidR="001B3DEC">
        <w:t>,</w:t>
      </w:r>
      <w:r w:rsidR="00670920">
        <w:tab/>
        <w:t>(S26)</w:t>
      </w:r>
    </w:p>
    <w:p w14:paraId="08254CF7" w14:textId="63095773" w:rsidR="00D40B87" w:rsidRDefault="006049F5">
      <w:pPr>
        <w:spacing w:line="480" w:lineRule="auto"/>
        <w:jc w:val="both"/>
      </w:pPr>
      <w:r w:rsidRPr="000B459E">
        <w:lastRenderedPageBreak/>
        <w:t>where</w:t>
      </w:r>
      <w:r>
        <w:t xml:space="preserve"> </w:t>
      </w:r>
      <m:oMath>
        <m:r>
          <w:rPr>
            <w:rFonts w:ascii="Cambria Math" w:hAnsi="Cambria Math"/>
          </w:rPr>
          <m:t>g(t)</m:t>
        </m:r>
      </m:oMath>
      <w:r>
        <w:t xml:space="preserve"> </w:t>
      </w:r>
      <w:r w:rsidR="00D40B87" w:rsidRPr="000B459E">
        <w:t>is the Gaussian window defined as:</w:t>
      </w:r>
      <w:r w:rsidR="00D40B87">
        <w:t xml:space="preserve"> </w:t>
      </w:r>
    </w:p>
    <w:p w14:paraId="33A7D4D7" w14:textId="786CB110" w:rsidR="00F1343D" w:rsidRDefault="00CE3354" w:rsidP="00A22FC4">
      <w:pPr>
        <w:tabs>
          <w:tab w:val="center" w:pos="4680"/>
          <w:tab w:val="right" w:pos="9360"/>
        </w:tabs>
        <w:spacing w:line="480" w:lineRule="auto"/>
        <w:jc w:val="both"/>
      </w:pPr>
      <w:r>
        <w:tab/>
      </w:r>
      <m:oMath>
        <m:r>
          <w:rPr>
            <w:rFonts w:ascii="Cambria Math" w:hAnsi="Cambria Math"/>
          </w:rPr>
          <m:t>g(t)=</m:t>
        </m:r>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/(2</m:t>
            </m:r>
            <m:sSup>
              <m:sSupPr>
                <m:ctrlPr>
                  <w:rPr>
                    <w:rFonts w:ascii="Cambria Math" w:hAnsi="Cambria Math"/>
                    <w:i/>
                  </w:rPr>
                </m:ctrlPr>
              </m:sSupPr>
              <m:e>
                <m:r>
                  <w:rPr>
                    <w:rFonts w:ascii="Cambria Math" w:hAnsi="Cambria Math"/>
                  </w:rPr>
                  <m:t>σ</m:t>
                </m:r>
              </m:e>
              <m:sup>
                <m:r>
                  <w:rPr>
                    <w:rFonts w:ascii="Cambria Math" w:hAnsi="Cambria Math"/>
                  </w:rPr>
                  <m:t>2</m:t>
                </m:r>
              </m:sup>
            </m:sSup>
            <m:r>
              <w:rPr>
                <w:rFonts w:ascii="Cambria Math" w:hAnsi="Cambria Math"/>
              </w:rPr>
              <m:t>)</m:t>
            </m:r>
          </m:sup>
        </m:sSup>
      </m:oMath>
      <w:r w:rsidR="00C64AC2">
        <w:t>.</w:t>
      </w:r>
      <w:r w:rsidR="00670920">
        <w:tab/>
        <w:t>(S27)</w:t>
      </w:r>
    </w:p>
    <w:p w14:paraId="17D5A7F6" w14:textId="377E9BF5" w:rsidR="00E0190B" w:rsidRDefault="00F1343D" w:rsidP="000B459E">
      <w:pPr>
        <w:spacing w:line="480" w:lineRule="auto"/>
        <w:jc w:val="both"/>
      </w:pPr>
      <w:r w:rsidRPr="000B459E">
        <w:t xml:space="preserve">The window </w:t>
      </w:r>
      <w:r w:rsidRPr="000B459E" w:rsidDel="00023F7D">
        <w:t>width</w:t>
      </w:r>
      <w:r w:rsidR="00023F7D">
        <w:t xml:space="preserve"> </w:t>
      </w:r>
      <m:oMath>
        <m:r>
          <w:rPr>
            <w:rFonts w:ascii="Cambria Math" w:hAnsi="Cambria Math"/>
          </w:rPr>
          <m:t>σ</m:t>
        </m:r>
      </m:oMath>
      <w:r w:rsidR="00023F7D">
        <w:t xml:space="preserve"> </w:t>
      </w:r>
      <w:r w:rsidRPr="000B459E">
        <w:t xml:space="preserve">was optimized to balance time and frequency resolution, considering the trade-off imposed by the uncertainty principle. </w:t>
      </w:r>
      <w:r w:rsidR="00023F7D">
        <w:t xml:space="preserve"> </w:t>
      </w:r>
      <w:r w:rsidRPr="000B459E">
        <w:t xml:space="preserve">The resulting spectrogram provided insights into the evolution of neural </w:t>
      </w:r>
      <w:r w:rsidR="0091469B" w:rsidRPr="000B459E">
        <w:t>activit</w:t>
      </w:r>
      <w:r w:rsidR="0091469B">
        <w:t>ies</w:t>
      </w:r>
      <w:r w:rsidR="0091469B" w:rsidRPr="000B459E">
        <w:t xml:space="preserve"> </w:t>
      </w:r>
      <w:r w:rsidRPr="000B459E">
        <w:t>across multiple frequency bands, revealing the temporal modulation of oscillatory patterns.</w:t>
      </w:r>
      <w:r>
        <w:t xml:space="preserve"> </w:t>
      </w:r>
    </w:p>
    <w:p w14:paraId="0F31D79B" w14:textId="77777777" w:rsidR="00E0190B" w:rsidRDefault="00E0190B">
      <w:pPr>
        <w:spacing w:after="160" w:line="278" w:lineRule="auto"/>
      </w:pPr>
      <w:r>
        <w:br w:type="page"/>
      </w:r>
    </w:p>
    <w:p w14:paraId="20A6BBC8" w14:textId="25E542F9" w:rsidR="00F1343D" w:rsidRDefault="00E0190B" w:rsidP="000B459E">
      <w:pPr>
        <w:spacing w:line="480" w:lineRule="auto"/>
        <w:jc w:val="both"/>
        <w:rPr>
          <w:b/>
          <w:bCs/>
          <w:u w:val="single"/>
        </w:rPr>
      </w:pPr>
      <w:r w:rsidRPr="00E0190B">
        <w:rPr>
          <w:b/>
          <w:bCs/>
          <w:u w:val="single"/>
        </w:rPr>
        <w:lastRenderedPageBreak/>
        <w:t>Supplementary Note 20</w:t>
      </w:r>
    </w:p>
    <w:p w14:paraId="5BFC3892" w14:textId="446A40B1" w:rsidR="005E0A66" w:rsidRPr="0033618A" w:rsidRDefault="00DA75CF" w:rsidP="000B459E">
      <w:pPr>
        <w:spacing w:line="480" w:lineRule="auto"/>
        <w:jc w:val="both"/>
        <w:rPr>
          <w:b/>
          <w:bCs/>
        </w:rPr>
      </w:pPr>
      <w:r w:rsidRPr="0033618A">
        <w:rPr>
          <w:b/>
          <w:bCs/>
        </w:rPr>
        <w:t xml:space="preserve">Effect on mechanoreceptors during </w:t>
      </w:r>
      <w:r w:rsidR="0033618A" w:rsidRPr="0033618A">
        <w:rPr>
          <w:b/>
          <w:bCs/>
        </w:rPr>
        <w:t>electrical</w:t>
      </w:r>
      <w:r w:rsidRPr="0033618A">
        <w:rPr>
          <w:b/>
          <w:bCs/>
        </w:rPr>
        <w:t xml:space="preserve"> stimulation</w:t>
      </w:r>
    </w:p>
    <w:p w14:paraId="4EBEFC85" w14:textId="607804CB" w:rsidR="00E0190B" w:rsidRDefault="00E0190B" w:rsidP="000B459E">
      <w:pPr>
        <w:spacing w:line="480" w:lineRule="auto"/>
        <w:jc w:val="both"/>
      </w:pPr>
      <w:r>
        <w:t>As these mechanoreceptors convert mechanical vibrations into temporally patterned afferents, the somatosensory cortex receives a frequency-tuned neural response that engages corresponding cortical circuits with precise temporal specificity.  Such alignment between peripheral mechanoreceptors response and cortical desynchronization states underscores a hierarchical coding mechanism, where optimally matched frequencies enhance the fidelity of sensory processing and increase modulation of the cortical network activity.  T</w:t>
      </w:r>
      <w:r w:rsidRPr="3C3541EA">
        <w:rPr>
          <w:color w:val="000000" w:themeColor="text1"/>
          <w:lang w:val="en-GB"/>
        </w:rPr>
        <w:t xml:space="preserve">he reduction of </w:t>
      </w:r>
      <w:r>
        <w:rPr>
          <w:color w:val="000000" w:themeColor="text1"/>
          <w:lang w:val="en-GB"/>
        </w:rPr>
        <w:t>alpha power i.e. ERD</w:t>
      </w:r>
      <w:r w:rsidRPr="3C3541EA">
        <w:rPr>
          <w:color w:val="000000" w:themeColor="text1"/>
          <w:lang w:val="en-GB"/>
        </w:rPr>
        <w:t xml:space="preserve"> during haptic sensation suggests that active cortical engagement in processing the sensory input may modulate neural responses to minimize interference from </w:t>
      </w:r>
      <w:r>
        <w:rPr>
          <w:color w:val="000000" w:themeColor="text1"/>
          <w:lang w:val="en-GB"/>
        </w:rPr>
        <w:t>artificial sensation</w:t>
      </w:r>
      <w:r w:rsidRPr="3C3541EA">
        <w:rPr>
          <w:color w:val="000000" w:themeColor="text1"/>
          <w:lang w:val="en-GB"/>
        </w:rPr>
        <w:t xml:space="preserve">.  The observed ERD during electrical stimulation is consistent with known mechanisms of sensory processing and sensorimotor integration, where cortical neurons desynchronize their firing rates during active engagement, leading to a reduction in </w:t>
      </w:r>
      <w:r>
        <w:rPr>
          <w:color w:val="000000" w:themeColor="text1"/>
          <w:lang w:val="en-GB"/>
        </w:rPr>
        <w:t>EEG</w:t>
      </w:r>
      <w:r w:rsidRPr="3C3541EA">
        <w:rPr>
          <w:color w:val="000000" w:themeColor="text1"/>
          <w:lang w:val="en-GB"/>
        </w:rPr>
        <w:t xml:space="preserve"> power in specific frequency bands</w:t>
      </w:r>
      <w:r>
        <w:rPr>
          <w:color w:val="000000" w:themeColor="text1"/>
          <w:lang w:val="en-GB"/>
        </w:rPr>
        <w:fldChar w:fldCharType="begin"/>
      </w:r>
      <w:r w:rsidR="00785CB3">
        <w:rPr>
          <w:color w:val="000000" w:themeColor="text1"/>
          <w:lang w:val="en-GB"/>
        </w:rPr>
        <w:instrText xml:space="preserve"> ADDIN ZOTERO_ITEM CSL_CITATION {"citationID":"d9psk4GZ","properties":{"formattedCitation":"\\super 25\\nosupersub{}","plainCitation":"25","noteIndex":0},"citationItems":[{"id":1253,"uris":["http://zotero.org/users/12063952/items/YINBBVDB"],"itemData":{"id":1253,"type":"article-journal","abstract":"It is well known that both hand movements and mental representations of movement lead to event-related desynchronization (ERD) of the electroencephalogram (EEG) recorded over the corresponding cortical motor areas. However, the relationship between ERD in somatosensory cortical areas and mental representations of tactile sensations is not well understood. In this study, we employed EEG recordings in healthy humans to compare the effects of real and imagined vibrotactile stimulation of the right hand. Both real and imagined sensations produced contralateral ERD patterns, particularly in the m-band and most significantly in the C3 region. Building on these results and the previous literature, we discuss the role of tactile imagery as part of the complex body image and the potential for using EEG patterns induced by tactile imagery as control signals in brain-computer interfaces (BCIs). Combining this approach with motor imagery (MI) could improve the performance of BCIs intended for rehabilitation of sensorimotor function after stroke and neural trauma.","container-title":"eneuro","DOI":"10.1523/ENEURO.0455-22.2023","ISSN":"2373-2822","issue":"6","journalAbbreviation":"eNeuro","language":"en","license":"https://creativecommons.org/licenses/by-nc-sa/4.0/","page":"ENEURO.0455-22.2023","source":"DOI.org (Crossref)","title":"Event-Related Desynchronization Induced by Tactile Imagery: an EEG Study","title-short":"Event-Related Desynchronization Induced by Tactile Imagery","volume":"10","author":[{"family":"Yakovlev","given":"Lev"},{"family":"Syrov","given":"Nikolay"},{"family":"Miroshnikov","given":"Andrei"},{"family":"Lebedev","given":"Mikhail"},{"family":"Kaplan","given":"Alexander"}],"issued":{"date-parts":[["2023",6]]}}}],"schema":"https://github.com/citation-style-language/schema/raw/master/csl-citation.json"} </w:instrText>
      </w:r>
      <w:r>
        <w:rPr>
          <w:color w:val="000000" w:themeColor="text1"/>
          <w:lang w:val="en-GB"/>
        </w:rPr>
        <w:fldChar w:fldCharType="separate"/>
      </w:r>
      <w:r w:rsidR="00785CB3" w:rsidRPr="00785CB3">
        <w:rPr>
          <w:vertAlign w:val="superscript"/>
        </w:rPr>
        <w:t>25</w:t>
      </w:r>
      <w:r>
        <w:rPr>
          <w:color w:val="000000" w:themeColor="text1"/>
          <w:lang w:val="en-GB"/>
        </w:rPr>
        <w:fldChar w:fldCharType="end"/>
      </w:r>
      <w:r w:rsidRPr="3C3541EA">
        <w:rPr>
          <w:color w:val="000000" w:themeColor="text1"/>
          <w:lang w:val="en-GB"/>
        </w:rPr>
        <w:t>.  Moreover, the progressive decrease in pain threshold and increased force perception over repeated sessions imply neuroplastic adaptations within the somatosensory pathways</w:t>
      </w:r>
      <w:r>
        <w:rPr>
          <w:color w:val="000000" w:themeColor="text1"/>
          <w:lang w:val="en-GB"/>
        </w:rPr>
        <w:fldChar w:fldCharType="begin"/>
      </w:r>
      <w:r w:rsidR="00785CB3">
        <w:rPr>
          <w:color w:val="000000" w:themeColor="text1"/>
          <w:lang w:val="en-GB"/>
        </w:rPr>
        <w:instrText xml:space="preserve"> ADDIN ZOTERO_ITEM CSL_CITATION {"citationID":"KSRifc5W","properties":{"formattedCitation":"\\super 26\\nosupersub{}","plainCitation":"26","noteIndex":0},"citationItems":[{"id":1278,"uris":["http://zotero.org/users/12063952/items/CSUHMYFT"],"itemData":{"id":1278,"type":"article-journal","abstract":"The long-term effect of daily somatosensory stimulation with transcutaneous electrical nerve stimulation (TENS) on reorganization of the motor cortex was investigated in a group of neurologically intact humans. The scalp representation of the corticospinal projection to the ﬁnger (APB, ADM) and forearm (FCR, ECR) muscles was mapped by means of transcranial magnetic stimulation (TMS) before and after a 3-week intervention period, using map area and volume, and topographical overlaps between the cortical motor representations of these muscles as primary dependent measures. Findings revealed a signiﬁcant increase in cortical motor representation of all four muscles for the TENS group from pre to posttest (all, P 0.026). No signiﬁcant changes in cortical motor representations were observed in the control group. The present observations highlight the potential beneﬁt of sensory training by means of TENS as a useful complementary therapy in neurorehabilitation. Hum Brain Mapp 32:872–882, 2011. VC 2010 Wiley-Liss, Inc.","container-title":"Human Brain Mapping","DOI":"10.1002/hbm.21075","ISSN":"1065-9471, 1097-0193","issue":"6","journalAbbreviation":"Human Brain Mapping","language":"en","license":"http://onlinelibrary.wiley.com/termsAndConditions#vor","page":"872-882","source":"DOI.org (Crossref)","title":"The effect of long‐term TENS on persistent neuroplastic changes in the human cerebral cortex","volume":"32","author":[{"family":"Meesen","given":"Raf L.J."},{"family":"Cuypers","given":"Koen"},{"family":"Rothwell","given":"John C."},{"family":"Swinnen","given":"Stephan P."},{"family":"Levin","given":"Oron"}],"issued":{"date-parts":[["2011",6]]}}}],"schema":"https://github.com/citation-style-language/schema/raw/master/csl-citation.json"} </w:instrText>
      </w:r>
      <w:r>
        <w:rPr>
          <w:color w:val="000000" w:themeColor="text1"/>
          <w:lang w:val="en-GB"/>
        </w:rPr>
        <w:fldChar w:fldCharType="separate"/>
      </w:r>
      <w:r w:rsidR="00785CB3" w:rsidRPr="00785CB3">
        <w:rPr>
          <w:vertAlign w:val="superscript"/>
        </w:rPr>
        <w:t>26</w:t>
      </w:r>
      <w:r>
        <w:rPr>
          <w:color w:val="000000" w:themeColor="text1"/>
          <w:lang w:val="en-GB"/>
        </w:rPr>
        <w:fldChar w:fldCharType="end"/>
      </w:r>
      <w:r w:rsidRPr="3C3541EA">
        <w:rPr>
          <w:color w:val="000000" w:themeColor="text1"/>
          <w:lang w:val="en-GB"/>
        </w:rPr>
        <w:t>.  These adaptations could involve synaptic potentiation, alterations in receptor sensitivity, or changes in neural network connectivity</w:t>
      </w:r>
      <w:r>
        <w:rPr>
          <w:color w:val="000000" w:themeColor="text1"/>
          <w:lang w:val="en-GB"/>
        </w:rPr>
        <w:fldChar w:fldCharType="begin"/>
      </w:r>
      <w:r w:rsidR="00785CB3">
        <w:rPr>
          <w:color w:val="000000" w:themeColor="text1"/>
          <w:lang w:val="en-GB"/>
        </w:rPr>
        <w:instrText xml:space="preserve"> ADDIN ZOTERO_ITEM CSL_CITATION {"citationID":"GbbK3lcD","properties":{"formattedCitation":"\\super 27\\nosupersub{}","plainCitation":"27","noteIndex":0},"citationItems":[{"id":1276,"uris":["http://zotero.org/users/12063952/items/58QNRSE5"],"itemData":{"id":1276,"type":"article-journal","abstract":"Introduction: The use of electrotherapy has been presented as a great resource for the professional physiotherapist in the most diverse pathologies. Stroke is a neurological condition responsible for sequelae such as hemiplegia that directly impair the quality of life of patients. Objective: This study aimed to review the literature on the effects of electrotherapeutic resources on motor function and neuroplasticity in individuals with post-stroke sequelae.","container-title":"Neurological Research","DOI":"10.1080/01616412.2023.2257419","ISSN":"0161-6412, 1743-1328","issue":"12","journalAbbreviation":"Neurological Research","language":"en","page":"1111-1126","source":"DOI.org (Crossref)","title":"Peripheral electrical stimulation on neuroplasticity and motor function in stroke patients: a systematic review and meta-analysis","title-short":"Peripheral electrical stimulation on neuroplasticity and motor function in stroke patients","volume":"45","author":[{"family":"Beijora","given":"Aline Cristina"},{"family":"Back","given":"Ana Paula"},{"family":"Fréz","given":"Andersom Ricardo"},{"family":"Azevedo","given":"Márcia Rosângela Buzanello"},{"family":"Bertolini","given":"Gladson Ricardo Flor"}],"issued":{"date-parts":[["2023",12,2]]}}}],"schema":"https://github.com/citation-style-language/schema/raw/master/csl-citation.json"} </w:instrText>
      </w:r>
      <w:r>
        <w:rPr>
          <w:color w:val="000000" w:themeColor="text1"/>
          <w:lang w:val="en-GB"/>
        </w:rPr>
        <w:fldChar w:fldCharType="separate"/>
      </w:r>
      <w:r w:rsidR="00785CB3" w:rsidRPr="00785CB3">
        <w:rPr>
          <w:vertAlign w:val="superscript"/>
        </w:rPr>
        <w:t>27</w:t>
      </w:r>
      <w:r>
        <w:rPr>
          <w:color w:val="000000" w:themeColor="text1"/>
          <w:lang w:val="en-GB"/>
        </w:rPr>
        <w:fldChar w:fldCharType="end"/>
      </w:r>
      <w:r w:rsidRPr="3C3541EA">
        <w:rPr>
          <w:color w:val="000000" w:themeColor="text1"/>
          <w:lang w:val="en-GB"/>
        </w:rPr>
        <w:t>, reflecting the nervous system's ability to adapt to repeated stimuli.  Such plasticity is fundamental for learning and memory and has significant implications for rehabilitation and neuroprosthetics applications.</w:t>
      </w:r>
    </w:p>
    <w:p w14:paraId="54F413F7" w14:textId="77777777" w:rsidR="00E60032" w:rsidRDefault="00E60032">
      <w:pPr>
        <w:spacing w:after="160" w:line="278" w:lineRule="auto"/>
      </w:pPr>
      <w:r>
        <w:br w:type="page"/>
      </w:r>
    </w:p>
    <w:p w14:paraId="7D96FD11" w14:textId="7F44F7FB" w:rsidR="00E60032" w:rsidRDefault="00E60032">
      <w:pPr>
        <w:spacing w:after="160" w:line="278" w:lineRule="auto"/>
        <w:rPr>
          <w:b/>
          <w:bCs/>
          <w:u w:val="single"/>
        </w:rPr>
      </w:pPr>
      <w:r w:rsidRPr="000B459E">
        <w:rPr>
          <w:b/>
          <w:u w:val="single"/>
        </w:rPr>
        <w:lastRenderedPageBreak/>
        <w:t>Supplementary Note</w:t>
      </w:r>
      <w:r w:rsidR="00823AD0" w:rsidRPr="000B459E">
        <w:rPr>
          <w:b/>
          <w:u w:val="single"/>
        </w:rPr>
        <w:t xml:space="preserve"> </w:t>
      </w:r>
      <w:r w:rsidR="00E0190B">
        <w:rPr>
          <w:b/>
          <w:bCs/>
          <w:u w:val="single"/>
        </w:rPr>
        <w:t>21</w:t>
      </w:r>
    </w:p>
    <w:p w14:paraId="3A2E13D7" w14:textId="0BBA754C" w:rsidR="000364C4" w:rsidRPr="000B459E" w:rsidRDefault="00613374">
      <w:pPr>
        <w:spacing w:after="160" w:line="278" w:lineRule="auto"/>
        <w:rPr>
          <w:b/>
        </w:rPr>
      </w:pPr>
      <w:r w:rsidRPr="000B459E">
        <w:rPr>
          <w:b/>
        </w:rPr>
        <w:t>C</w:t>
      </w:r>
      <w:r w:rsidR="008B34C8">
        <w:rPr>
          <w:b/>
          <w:bCs/>
        </w:rPr>
        <w:t xml:space="preserve">urrent </w:t>
      </w:r>
      <w:r w:rsidR="003137EF">
        <w:rPr>
          <w:b/>
          <w:bCs/>
        </w:rPr>
        <w:t>M</w:t>
      </w:r>
      <w:r w:rsidR="008B34C8">
        <w:rPr>
          <w:b/>
          <w:bCs/>
        </w:rPr>
        <w:t>ethods</w:t>
      </w:r>
      <w:r w:rsidRPr="000B459E">
        <w:rPr>
          <w:b/>
        </w:rPr>
        <w:t xml:space="preserve"> of </w:t>
      </w:r>
      <w:r w:rsidR="003137EF">
        <w:rPr>
          <w:b/>
          <w:bCs/>
        </w:rPr>
        <w:t>Analyzing Response of M</w:t>
      </w:r>
      <w:r w:rsidRPr="000B459E">
        <w:rPr>
          <w:b/>
        </w:rPr>
        <w:t>echanoreceptors</w:t>
      </w:r>
      <w:r w:rsidR="00F82C2A">
        <w:rPr>
          <w:b/>
          <w:bCs/>
        </w:rPr>
        <w:t xml:space="preserve"> during Mechanical Stimulation</w:t>
      </w:r>
    </w:p>
    <w:p w14:paraId="67568FE4" w14:textId="75BF7A9B" w:rsidR="005F18D5" w:rsidRDefault="005F18D5" w:rsidP="00A22FC4">
      <w:pPr>
        <w:spacing w:line="480" w:lineRule="auto"/>
        <w:ind w:firstLine="720"/>
        <w:jc w:val="both"/>
      </w:pPr>
      <w:r w:rsidRPr="000B459E">
        <w:t xml:space="preserve">The response of mechanoreceptors to different frequencies of tactile stimulation can be </w:t>
      </w:r>
      <w:r w:rsidR="003137EF">
        <w:t xml:space="preserve">currently </w:t>
      </w:r>
      <w:r w:rsidRPr="000B459E">
        <w:t xml:space="preserve">measured through </w:t>
      </w:r>
      <w:r w:rsidR="00777430">
        <w:t>the following</w:t>
      </w:r>
      <w:r w:rsidR="00777430" w:rsidRPr="000B459E">
        <w:t xml:space="preserve"> </w:t>
      </w:r>
      <w:r w:rsidRPr="000B459E">
        <w:t>methods.</w:t>
      </w:r>
    </w:p>
    <w:p w14:paraId="32EC22A0" w14:textId="5B7455D3" w:rsidR="005F18D5" w:rsidRDefault="005F18D5" w:rsidP="00A22FC4">
      <w:pPr>
        <w:spacing w:line="480" w:lineRule="auto"/>
        <w:ind w:firstLine="720"/>
        <w:jc w:val="both"/>
      </w:pPr>
      <w:r w:rsidRPr="000B459E">
        <w:rPr>
          <w:i/>
        </w:rPr>
        <w:t>Microneurography</w:t>
      </w:r>
      <w:r>
        <w:rPr>
          <w:i/>
          <w:iCs/>
        </w:rPr>
        <w:t xml:space="preserve">: </w:t>
      </w:r>
      <w:r w:rsidRPr="000B459E">
        <w:t>Microneurography is a precise technique used to directly measure the activity of individual mechanoreceptor afferents</w:t>
      </w:r>
      <w:r w:rsidR="003A5F00">
        <w:fldChar w:fldCharType="begin"/>
      </w:r>
      <w:r w:rsidR="00785CB3">
        <w:instrText xml:space="preserve"> ADDIN ZOTERO_ITEM CSL_CITATION {"citationID":"rTWnXBBC","properties":{"formattedCitation":"\\super 28\\nosupersub{}","plainCitation":"28","noteIndex":0},"citationItems":[{"id":1348,"uris":["http://zotero.org/users/12063952/items/EITREL9S"],"itemData":{"id":1348,"type":"article-journal","abstract":"The technique of microneurography—recording neural traffic from nerves in awake humans—has provided us with unrivaled insights into afferent and efferent processes in the peripheral nervous system for over 50 years. We review the use of microneurography to study single C-fiber afferents and provide an overview of the knowledge gained, with views to future investigations. C-fibers have slowly conducting, thin-diameter, unmyelinated axons and make up the majority of the fibers in peripheral nerves (~80%). With the use of microneurography in humans, C-fiber afferents have been differentiated into discrete subclasses that encode specific qualities of stimuli on the skin, and their functional roles have been investigated. Afferent somatosensory information provided by C-fibers underpins various positive and negative affective sensations from the periphery, including mechanical, thermal, and chemical pain (C-nociceptors), temperature (C-thermoreceptors), and positive affective aspects of touch (C-tactile afferents). Insights from microneurographic investigations have revealed the complexity of the C-fiber system, methods for delineating fundamental C-fiber populations in a translational manner, how C-fiber firing can be used to identify nerve deficits in pathological states, and how the responses from C-fibers may be modified to change sensory percepts, including decreasing pain. Understanding these processes may lead to future medical interventions to diagnose and treat C-fiber dysfunction.\n            NEW &amp; NOTEWORTHY The technique of microneurography allows us to directly investigate the functional roles of single C-fiber afferents in awake human beings. Here we outline and discuss the current field of C-fiber research on this heterogeneous population of afferents in healthy subjects, in pathological states, and from a translational perspective. We cover C-fibers encoding touch, temperature, and pain and provide perspectives on the future of C-fiber microneurography investigations in humans.","container-title":"Journal of Neurophysiology","DOI":"10.1152/jn.00109.2018","ISSN":"0022-3077, 1522-1598","issue":"6","journalAbbreviation":"Journal of Neurophysiology","language":"en","page":"2834-2846","source":"DOI.org (Crossref)","title":"Microneurography as a tool to study the function of individual C-fiber afferents in humans: responses from nociceptors, thermoreceptors, and mechanoreceptors","title-short":"Microneurography as a tool to study the function of individual C-fiber afferents in humans","volume":"120","author":[{"family":"Ackerley","given":"Rochelle"},{"family":"Watkins","given":"Roger Holmes"}],"issued":{"date-parts":[["2018",12,1]]}}}],"schema":"https://github.com/citation-style-language/schema/raw/master/csl-citation.json"} </w:instrText>
      </w:r>
      <w:r w:rsidR="003A5F00">
        <w:fldChar w:fldCharType="separate"/>
      </w:r>
      <w:r w:rsidR="00785CB3" w:rsidRPr="00785CB3">
        <w:rPr>
          <w:vertAlign w:val="superscript"/>
        </w:rPr>
        <w:t>28</w:t>
      </w:r>
      <w:r w:rsidR="003A5F00">
        <w:fldChar w:fldCharType="end"/>
      </w:r>
      <w:r>
        <w:t xml:space="preserve">. </w:t>
      </w:r>
      <w:r w:rsidR="00777430">
        <w:t xml:space="preserve"> </w:t>
      </w:r>
      <w:r w:rsidRPr="000B459E">
        <w:t xml:space="preserve">This method involves inserting a fine needle electrode into a peripheral nerve to record the electrical activity of single nerve fibers.  While highly accurate, this technique is invasive and can only record from a limited number of </w:t>
      </w:r>
      <w:r w:rsidR="0096101B" w:rsidRPr="000B459E">
        <w:t xml:space="preserve">nerve </w:t>
      </w:r>
      <w:r w:rsidRPr="000B459E">
        <w:t>fibers at a time.</w:t>
      </w:r>
    </w:p>
    <w:p w14:paraId="317730E4" w14:textId="518EF848" w:rsidR="005F18D5" w:rsidRDefault="005F18D5" w:rsidP="00A22FC4">
      <w:pPr>
        <w:spacing w:line="480" w:lineRule="auto"/>
        <w:ind w:firstLine="720"/>
        <w:jc w:val="both"/>
      </w:pPr>
      <w:r w:rsidRPr="000B459E">
        <w:rPr>
          <w:i/>
        </w:rPr>
        <w:t>Psychophysical Methods</w:t>
      </w:r>
      <w:r w:rsidR="008B34C8">
        <w:rPr>
          <w:i/>
          <w:iCs/>
        </w:rPr>
        <w:t xml:space="preserve">: </w:t>
      </w:r>
      <w:r w:rsidRPr="000B459E">
        <w:t>Researchers often use psychophysical experiments to indirectly measure mechanoreceptor responses</w:t>
      </w:r>
      <w:r w:rsidR="00F301D0">
        <w:fldChar w:fldCharType="begin"/>
      </w:r>
      <w:r w:rsidR="00785CB3">
        <w:instrText xml:space="preserve"> ADDIN ZOTERO_ITEM CSL_CITATION {"citationID":"R7qwedpo","properties":{"formattedCitation":"\\super 29\\nosupersub{}","plainCitation":"29","noteIndex":0},"citationItems":[{"id":1196,"uris":["http://zotero.org/users/12063952/items/5E4MBB3V"],"itemData":{"id":1196,"type":"article-journal","abstract":"Electrotactile stimulus is a form of sensory substitution in which an electrical signal is perceived as a mechanical sensation. The electrotactile effect could, in principle, recapitulate a range of tactile experience by selective activation of nerve endings. However, the method has been plagued by inconsistency, galvanic reactions, pain and desensitization, and unwanted stimulation of nontactile nerves. Here, we describe how a soft conductive block copolymer, a stretchable layout, and concentric electrodes, along with psychophysical thresholding, can circumvent these shortcomings. These purpose-designed materials, device layouts, and calibration techniques make it possible to generate accurate and reproducible sensations across a cohort of 10 human participants and to do so at ultralow currents (≥6 microamperes) without pain or desensitization. This material, form factor, and psychophysical approach could be useful for haptic devices and as a tool for activation of the peripheral nervous system.\n          , \n            Tactile stimulation using conductive polymer can be tuned to simulate pressure or vibration at low current.\n          , \n            Editor’s summary\n            \n              Most haptic devices rely on mechanical actuators to stimulate the skin but are limited in range. Alternatively, electrical stimulation of mechanosensory neurons can be perceived as a mechanical force but often requires high currents and leads to unwanted effects, such as pain. Blau\n              et al\n              . developed an electrotactile device made from a conductive block copolymer in a serpentine shape that exhibited microscopic conformability with the skin. When tested on human participants, the device provided stimulation at very low currents and could toggle between pressure and vibration by changing the signal frequency. Safe and reliable electrotactile stimulation is a promising development for haptic devices such as human-machine interfaces and prosthetics. —Melisa Yashinski","container-title":"Science Robotics","DOI":"10.1126/scirobotics.adk3925","ISSN":"2470-9476","issue":"91","journalAbbreviation":"Sci. Robot.","language":"en","page":"eadk3925","source":"DOI.org (Crossref)","title":"Conductive block copolymer elastomers and psychophysical thresholding for accurate haptic effects","volume":"9","author":[{"family":"Blau","given":"Rachel"},{"family":"Abdal","given":"Abdulhameed"},{"family":"Root","given":"Nicholas"},{"family":"Chen","given":"Alexander X."},{"family":"Rafeedi","given":"Tarek"},{"family":"Ramji","given":"Robert"},{"family":"Qie","given":"Yi"},{"family":"Kim","given":"Taewoo"},{"family":"Navarro","given":"Anthony"},{"family":"Chin","given":"Jason"},{"family":"Becerra","given":"Laura L."},{"family":"Edmunds","given":"Samuel J."},{"family":"Russman","given":"Samantha M."},{"family":"Dayeh","given":"Shadi A."},{"family":"Fenning","given":"David P."},{"family":"Rouw","given":"Romke"},{"family":"Lipomi","given":"Darren J."}],"issued":{"date-parts":[["2024",6,12]]}}}],"schema":"https://github.com/citation-style-language/schema/raw/master/csl-citation.json"} </w:instrText>
      </w:r>
      <w:r w:rsidR="00F301D0">
        <w:fldChar w:fldCharType="separate"/>
      </w:r>
      <w:r w:rsidR="00785CB3" w:rsidRPr="00785CB3">
        <w:rPr>
          <w:vertAlign w:val="superscript"/>
        </w:rPr>
        <w:t>29</w:t>
      </w:r>
      <w:r w:rsidR="00F301D0">
        <w:fldChar w:fldCharType="end"/>
      </w:r>
      <w:r w:rsidR="003137EF">
        <w:t xml:space="preserve">. </w:t>
      </w:r>
      <w:r w:rsidR="00023F7D">
        <w:t xml:space="preserve"> </w:t>
      </w:r>
      <w:r w:rsidRPr="000B459E">
        <w:t xml:space="preserve">These studies involve presenting various tactile stimuli and asking participants to make judgments about the sensations they experience. </w:t>
      </w:r>
      <w:r w:rsidR="00023F7D">
        <w:t xml:space="preserve"> </w:t>
      </w:r>
      <w:r w:rsidRPr="000B459E">
        <w:t>For example, participants might be asked to discriminate between different frequencies of vibration or to rate the perceived intensity of stimuli.</w:t>
      </w:r>
    </w:p>
    <w:p w14:paraId="211D882B" w14:textId="2D76B62F" w:rsidR="00823AD0" w:rsidRDefault="005F18D5" w:rsidP="00A22FC4">
      <w:pPr>
        <w:spacing w:line="480" w:lineRule="auto"/>
        <w:ind w:firstLine="720"/>
        <w:jc w:val="both"/>
      </w:pPr>
      <w:r w:rsidRPr="000B459E">
        <w:rPr>
          <w:i/>
        </w:rPr>
        <w:t>Intracranial EEG</w:t>
      </w:r>
      <w:r w:rsidR="003137EF">
        <w:rPr>
          <w:i/>
          <w:iCs/>
        </w:rPr>
        <w:t xml:space="preserve">: </w:t>
      </w:r>
      <w:r w:rsidRPr="000B459E">
        <w:t>Intracranial EEG, where electrodes are placed directly on or in the brain, provides high spatial and temporal resolution for measuring neural responses to tactile stimuli</w:t>
      </w:r>
      <w:r w:rsidR="00F301D0">
        <w:fldChar w:fldCharType="begin"/>
      </w:r>
      <w:r w:rsidR="00785CB3">
        <w:instrText xml:space="preserve"> ADDIN ZOTERO_ITEM CSL_CITATION {"citationID":"0ZlbtKc3","properties":{"formattedCitation":"\\super 30\\nosupersub{}","plainCitation":"30","noteIndex":0},"citationItems":[{"id":1267,"uris":["http://zotero.org/users/12063952/items/EZZYIWSJ"],"itemData":{"id":1267,"type":"article-journal","abstract":"Neurohaptics is the ﬁeld of study that strives to understand the complex neural representation provoked in response to tactile and/or kinesthetic stimuli. This ﬁeld has garnered a noticeable attention over the past decade not only in neuro-scientiﬁc research but also in medical, marketing and engineering ﬁelds. In this paper, we review existing literature on Electroencephalography (EEG)-based neurohaptic studies charting out the main themes and signiﬁcant ﬁndings. Furthermore, we provide a brief review of the EEG analytical methods commonly utilized in the neurohaptic domain. Also, we present a case study with the complete ﬂow of conducting neurohaptic research studies. Lastly, we discuss limitations and provide directions for future neurohaptic research, such as: modeling quality of haptic experience, improving neurohaptic systems and neurohatpics in virtual reality.","container-title":"IEEE Access","DOI":"10.1109/ACCESS.2020.2979855","ISSN":"2169-3536","journalAbbreviation":"IEEE Access","language":"en","license":"https://creativecommons.org/licenses/by/4.0/legalcode","page":"49313-49328","source":"DOI.org (Crossref)","title":"EEG-Based Neurohaptics Research: A Literature Review","title-short":"EEG-Based Neurohaptics Research","volume":"8","author":[{"family":"Alsuradi","given":"Haneen"},{"family":"Park","given":"Wanjoo"},{"family":"Eid","given":"Mohamad"}],"issued":{"date-parts":[["2020"]]}}}],"schema":"https://github.com/citation-style-language/schema/raw/master/csl-citation.json"} </w:instrText>
      </w:r>
      <w:r w:rsidR="00F301D0">
        <w:fldChar w:fldCharType="separate"/>
      </w:r>
      <w:r w:rsidR="00785CB3" w:rsidRPr="00785CB3">
        <w:rPr>
          <w:vertAlign w:val="superscript"/>
        </w:rPr>
        <w:t>30</w:t>
      </w:r>
      <w:r w:rsidR="00F301D0">
        <w:fldChar w:fldCharType="end"/>
      </w:r>
      <w:r w:rsidR="00735850">
        <w:t xml:space="preserve">. </w:t>
      </w:r>
      <w:r w:rsidR="009F177C">
        <w:t xml:space="preserve"> </w:t>
      </w:r>
      <w:r w:rsidRPr="000B459E">
        <w:t>This method has revealed that neural responses to tactile stimulation can be recorded mainly in insular and opercular regions, as well as in the amygdala and fronto-temporal cortex.</w:t>
      </w:r>
    </w:p>
    <w:p w14:paraId="69E16E1E" w14:textId="77777777" w:rsidR="009C2CA8" w:rsidRDefault="009C2CA8" w:rsidP="00A22FC4">
      <w:pPr>
        <w:spacing w:line="480" w:lineRule="auto"/>
        <w:ind w:firstLine="720"/>
        <w:jc w:val="both"/>
      </w:pPr>
    </w:p>
    <w:p w14:paraId="081AFA5E" w14:textId="77BF55F5" w:rsidR="00F82C2A" w:rsidRPr="000B459E" w:rsidRDefault="00F82C2A" w:rsidP="000B459E">
      <w:pPr>
        <w:spacing w:line="480" w:lineRule="auto"/>
        <w:jc w:val="both"/>
        <w:rPr>
          <w:b/>
        </w:rPr>
      </w:pPr>
      <w:r w:rsidRPr="000B459E">
        <w:rPr>
          <w:b/>
        </w:rPr>
        <w:t>Frequency-Dependent Mechanosensation in Mechanoreceptors</w:t>
      </w:r>
    </w:p>
    <w:p w14:paraId="0E038B98" w14:textId="106B24EE" w:rsidR="00F82C2A" w:rsidRDefault="00F82C2A" w:rsidP="00A22FC4">
      <w:pPr>
        <w:spacing w:line="480" w:lineRule="auto"/>
        <w:ind w:firstLine="720"/>
        <w:jc w:val="both"/>
      </w:pPr>
      <w:r>
        <w:t xml:space="preserve">The human somatosensory system is finely tuned to detect mechanical stimuli across a wide range of frequencies, enabling precise discrimination of textures, vibrations, and pressure. </w:t>
      </w:r>
      <w:r w:rsidR="00632348">
        <w:t xml:space="preserve"> </w:t>
      </w:r>
      <w:r>
        <w:t xml:space="preserve">This capability arises from the specialized roles of mechanoreceptors in the skin, each of which </w:t>
      </w:r>
      <w:r>
        <w:lastRenderedPageBreak/>
        <w:t xml:space="preserve">exhibits unique frequency response characteristics. </w:t>
      </w:r>
      <w:r w:rsidR="00632348">
        <w:t xml:space="preserve"> </w:t>
      </w:r>
      <w:r>
        <w:t>These receptors, classified broadly into rapidly adapting (RA) and slowly adapting (SA) types, demonstrate resonant frequency behavio</w:t>
      </w:r>
      <w:r w:rsidR="00632348">
        <w:t>u</w:t>
      </w:r>
      <w:r>
        <w:t>rs that dictate their contributions to sensory perception.</w:t>
      </w:r>
    </w:p>
    <w:p w14:paraId="70E93A55" w14:textId="34AC81E4" w:rsidR="00F82C2A" w:rsidRDefault="00F82C2A" w:rsidP="00A22FC4">
      <w:pPr>
        <w:spacing w:line="480" w:lineRule="auto"/>
        <w:ind w:firstLine="720"/>
        <w:jc w:val="both"/>
      </w:pPr>
      <w:r w:rsidRPr="000B459E">
        <w:rPr>
          <w:i/>
        </w:rPr>
        <w:t>Resonant Frequencies of Mechanoreceptors</w:t>
      </w:r>
      <w:r w:rsidR="00251EC4">
        <w:t xml:space="preserve">: </w:t>
      </w:r>
      <w:r>
        <w:t xml:space="preserve">Mechanoreceptors such as Meissner’s corpuscles, Pacinian corpuscles, Merkel cells, and Ruffini endings are distributed throughout the dermis and epidermis.  Each receptor type is optimized for specific frequency ranges.  Meissner’s corpuscles, located just beneath the epidermis, respond to low-frequency vibrations (2–50 Hz) and are highly sensitive to fluttering or light touch. </w:t>
      </w:r>
      <w:r w:rsidR="001F094E">
        <w:t xml:space="preserve"> </w:t>
      </w:r>
      <w:r>
        <w:t>This frequency range is particularly significant in detecting fine textures and dynamic skin deformations during object manipulation.</w:t>
      </w:r>
      <w:r w:rsidR="00350677">
        <w:t xml:space="preserve">  </w:t>
      </w:r>
      <w:r>
        <w:t xml:space="preserve">Pacinian corpuscles, in contrast, are situated deeper in the dermis and are exquisitely sensitive to high-frequency vibrations (50–1,000 Hz). </w:t>
      </w:r>
      <w:r w:rsidR="00350677">
        <w:t xml:space="preserve"> </w:t>
      </w:r>
      <w:r>
        <w:t xml:space="preserve">These corpuscles act as high-pass filters, allowing them to detect rapid oscillatory stimuli, such as those generated during the use of tools or interaction with surfaces that produce fine vibrations. </w:t>
      </w:r>
      <w:r w:rsidR="004229E7">
        <w:t xml:space="preserve"> </w:t>
      </w:r>
      <w:r>
        <w:t xml:space="preserve">Their peak sensitivity </w:t>
      </w:r>
      <w:r w:rsidR="000937AE">
        <w:t xml:space="preserve">at </w:t>
      </w:r>
      <w:r>
        <w:t>around 250 Hz corresponds to the resonant frequency of the receptor's lamellar structure, which amplifies these signals.</w:t>
      </w:r>
    </w:p>
    <w:p w14:paraId="6F6979AF" w14:textId="72FBA3BF" w:rsidR="00F82C2A" w:rsidRDefault="00F82C2A" w:rsidP="00A22FC4">
      <w:pPr>
        <w:spacing w:line="480" w:lineRule="auto"/>
        <w:ind w:firstLine="720"/>
        <w:jc w:val="both"/>
      </w:pPr>
      <w:r w:rsidRPr="000B459E">
        <w:rPr>
          <w:i/>
        </w:rPr>
        <w:t>Correlation Between Resonant Frequency and Sensation</w:t>
      </w:r>
      <w:r w:rsidR="00251EC4">
        <w:t xml:space="preserve">: </w:t>
      </w:r>
      <w:r>
        <w:t xml:space="preserve">The frequency-dependent sensitivity of mechanoreceptors enables the encoding of distinct tactile sensations. </w:t>
      </w:r>
      <w:r w:rsidR="00251EC4">
        <w:t xml:space="preserve"> </w:t>
      </w:r>
      <w:r>
        <w:t xml:space="preserve">The low-frequency sensitivity of Meissner’s corpuscles contributes to the perception of softness and slippage, providing critical feedback during grip adjustments. </w:t>
      </w:r>
      <w:r w:rsidR="00251EC4">
        <w:t xml:space="preserve"> </w:t>
      </w:r>
      <w:r>
        <w:t>Pacinian corpuscles, by contrast, are essential for detecting surface texture and vibratory cues, such as the fine-grained properties of sandpaper or the vibration of a smartphone.</w:t>
      </w:r>
      <w:r w:rsidR="00966108">
        <w:t xml:space="preserve">  </w:t>
      </w:r>
      <w:r>
        <w:t>Slowly adapting receptors, including Merkel cells and Ruffini endings, exhibit different resonant behavio</w:t>
      </w:r>
      <w:r w:rsidR="00966108">
        <w:t>u</w:t>
      </w:r>
      <w:r>
        <w:t xml:space="preserve">rs.  Merkel cells, which are tuned to static pressure and low-frequency vibrations, are critical for high-acuity spatial discrimination, such as </w:t>
      </w:r>
      <w:r>
        <w:lastRenderedPageBreak/>
        <w:t xml:space="preserve">reading Braille or identifying object shapes. </w:t>
      </w:r>
      <w:r w:rsidR="00154AE4">
        <w:t xml:space="preserve"> </w:t>
      </w:r>
      <w:r>
        <w:t>Ruffini endings respond to sustained stretch and skin deformation, contributing to proprioception and the perception of skin tension during movements.</w:t>
      </w:r>
    </w:p>
    <w:p w14:paraId="6CF3C822" w14:textId="7CE83CC4" w:rsidR="00117B86" w:rsidRDefault="00F82C2A" w:rsidP="00A22FC4">
      <w:pPr>
        <w:spacing w:line="480" w:lineRule="auto"/>
        <w:ind w:firstLine="720"/>
        <w:jc w:val="both"/>
      </w:pPr>
      <w:r w:rsidRPr="000B459E">
        <w:rPr>
          <w:i/>
        </w:rPr>
        <w:t>Interaction of Mechanoreceptors Across Frequencies</w:t>
      </w:r>
      <w:r w:rsidR="00FE48E0" w:rsidRPr="00A22FC4">
        <w:t>:</w:t>
      </w:r>
      <w:r w:rsidR="00FE48E0">
        <w:t xml:space="preserve"> </w:t>
      </w:r>
      <w:r>
        <w:t xml:space="preserve">The overlap in frequency sensitivity among these receptors ensures a rich, multimodal sensory experience. </w:t>
      </w:r>
      <w:r w:rsidR="00263A40">
        <w:t xml:space="preserve"> </w:t>
      </w:r>
      <w:r>
        <w:t xml:space="preserve">For instance, during interactions with textured surfaces, low-frequency signals may activate Meissner’s corpuscles, while high-frequency components simultaneously stimulate Pacinian corpuscles. </w:t>
      </w:r>
      <w:r w:rsidR="00263A40">
        <w:t xml:space="preserve"> </w:t>
      </w:r>
      <w:r>
        <w:t>This interplay allows the brain to integrate diverse tactile inputs, creating a comprehensive representation of the stimulus.</w:t>
      </w:r>
    </w:p>
    <w:p w14:paraId="5EE1B2EB" w14:textId="77777777" w:rsidR="00117B86" w:rsidRDefault="00117B86">
      <w:pPr>
        <w:spacing w:after="160" w:line="278" w:lineRule="auto"/>
      </w:pPr>
      <w:r>
        <w:br w:type="page"/>
      </w:r>
    </w:p>
    <w:p w14:paraId="074C909A" w14:textId="2859C1B4" w:rsidR="002D436A" w:rsidRDefault="002D436A">
      <w:pPr>
        <w:spacing w:after="160" w:line="278" w:lineRule="auto"/>
        <w:rPr>
          <w:b/>
          <w:bCs/>
          <w:u w:val="single"/>
        </w:rPr>
      </w:pPr>
      <w:r>
        <w:rPr>
          <w:b/>
          <w:bCs/>
          <w:u w:val="single"/>
        </w:rPr>
        <w:lastRenderedPageBreak/>
        <w:t xml:space="preserve">Supplementary Note </w:t>
      </w:r>
      <w:r w:rsidR="006F6B60">
        <w:rPr>
          <w:b/>
          <w:bCs/>
          <w:u w:val="single"/>
        </w:rPr>
        <w:t>22</w:t>
      </w:r>
    </w:p>
    <w:p w14:paraId="379A4A47" w14:textId="77777777" w:rsidR="0033618A" w:rsidRDefault="0033618A">
      <w:pPr>
        <w:spacing w:after="160" w:line="278" w:lineRule="auto"/>
        <w:rPr>
          <w:b/>
          <w:bCs/>
          <w:u w:val="single"/>
        </w:rPr>
      </w:pPr>
    </w:p>
    <w:p w14:paraId="31EB216C" w14:textId="2B420C26" w:rsidR="006F6B60" w:rsidRPr="00227653" w:rsidRDefault="0033618A">
      <w:pPr>
        <w:spacing w:after="160" w:line="278" w:lineRule="auto"/>
        <w:rPr>
          <w:b/>
        </w:rPr>
      </w:pPr>
      <w:r w:rsidRPr="00092905">
        <w:rPr>
          <w:b/>
          <w:bCs/>
        </w:rPr>
        <w:t xml:space="preserve">Optimization of Channel Length for </w:t>
      </w:r>
      <w:r w:rsidR="00092905" w:rsidRPr="00092905">
        <w:rPr>
          <w:b/>
          <w:bCs/>
        </w:rPr>
        <w:t>self-balancing tip-based OECT</w:t>
      </w:r>
    </w:p>
    <w:p w14:paraId="4DCC588B" w14:textId="566C28B8" w:rsidR="002D436A" w:rsidRDefault="002D436A" w:rsidP="002D436A">
      <w:pPr>
        <w:spacing w:line="480" w:lineRule="auto"/>
        <w:jc w:val="both"/>
        <w:rPr>
          <w:color w:val="000000" w:themeColor="text1"/>
          <w:lang w:val="en-GB"/>
        </w:rPr>
      </w:pPr>
      <w:r w:rsidRPr="00D712CE">
        <w:rPr>
          <w:color w:val="000000" w:themeColor="text1"/>
          <w:lang w:val="en-GB"/>
        </w:rPr>
        <w:t xml:space="preserve">The on-site amplification of the vertical OECT hinges on its transconductance </w:t>
      </w:r>
      <m:oMath>
        <m:sSub>
          <m:sSubPr>
            <m:ctrlPr>
              <w:rPr>
                <w:rFonts w:ascii="Cambria Math" w:eastAsiaTheme="minorEastAsia" w:hAnsi="Cambria Math"/>
                <w:color w:val="000000" w:themeColor="text1"/>
                <w:kern w:val="2"/>
                <w:lang w:val="en-GB"/>
                <w14:ligatures w14:val="standardContextual"/>
              </w:rPr>
            </m:ctrlPr>
          </m:sSubPr>
          <m:e>
            <m:r>
              <m:rPr>
                <m:sty m:val="p"/>
              </m:rPr>
              <w:rPr>
                <w:rFonts w:ascii="Cambria Math" w:hAnsi="Cambria Math"/>
                <w:color w:val="000000" w:themeColor="text1"/>
                <w:lang w:val="en-GB"/>
              </w:rPr>
              <m:t>g</m:t>
            </m:r>
          </m:e>
          <m:sub>
            <m:r>
              <m:rPr>
                <m:sty m:val="p"/>
              </m:rPr>
              <w:rPr>
                <w:rFonts w:ascii="Cambria Math" w:hAnsi="Cambria Math"/>
                <w:color w:val="000000" w:themeColor="text1"/>
                <w:lang w:val="en-GB"/>
              </w:rPr>
              <m:t>m</m:t>
            </m:r>
          </m:sub>
        </m:sSub>
      </m:oMath>
      <w:r w:rsidRPr="00D712CE">
        <w:rPr>
          <w:color w:val="000000" w:themeColor="text1"/>
          <w:lang w:val="en-GB"/>
        </w:rPr>
        <w:t xml:space="preserve">, defined </w:t>
      </w:r>
      <w:r w:rsidRPr="451B7F4F">
        <w:rPr>
          <w:color w:val="000000" w:themeColor="text1"/>
          <w:lang w:val="en-GB"/>
        </w:rPr>
        <w:t xml:space="preserve">as </w:t>
      </w:r>
      <m:oMath>
        <m:sSub>
          <m:sSubPr>
            <m:ctrlPr>
              <w:rPr>
                <w:rFonts w:ascii="Cambria Math" w:eastAsiaTheme="minorEastAsia" w:hAnsi="Cambria Math"/>
                <w:color w:val="000000" w:themeColor="text1"/>
                <w:kern w:val="2"/>
                <w:lang w:val="en-GB"/>
                <w14:ligatures w14:val="standardContextual"/>
              </w:rPr>
            </m:ctrlPr>
          </m:sSubPr>
          <m:e>
            <m:r>
              <m:rPr>
                <m:sty m:val="p"/>
              </m:rPr>
              <w:rPr>
                <w:rFonts w:ascii="Cambria Math" w:hAnsi="Cambria Math"/>
                <w:color w:val="000000" w:themeColor="text1"/>
                <w:lang w:val="en-GB"/>
              </w:rPr>
              <m:t>g</m:t>
            </m:r>
          </m:e>
          <m:sub>
            <m:r>
              <m:rPr>
                <m:sty m:val="p"/>
              </m:rPr>
              <w:rPr>
                <w:rFonts w:ascii="Cambria Math" w:hAnsi="Cambria Math"/>
                <w:color w:val="000000" w:themeColor="text1"/>
                <w:lang w:val="en-GB"/>
              </w:rPr>
              <m:t>m</m:t>
            </m:r>
          </m:sub>
        </m:sSub>
        <m:r>
          <m:rPr>
            <m:sty m:val="p"/>
          </m:rPr>
          <w:rPr>
            <w:rFonts w:ascii="Cambria Math" w:hAnsi="Cambria Math"/>
            <w:color w:val="000000" w:themeColor="text1"/>
            <w:lang w:val="en-GB"/>
          </w:rPr>
          <m:t>​=</m:t>
        </m:r>
        <m:r>
          <w:rPr>
            <w:rFonts w:ascii="Cambria Math" w:hAnsi="Cambria Math"/>
            <w:color w:val="000000" w:themeColor="text1"/>
            <w:lang w:val="en-GB"/>
          </w:rPr>
          <m:t>φ</m:t>
        </m:r>
        <m:sSup>
          <m:sSupPr>
            <m:ctrlPr>
              <w:rPr>
                <w:rFonts w:ascii="Cambria Math" w:eastAsiaTheme="minorEastAsia" w:hAnsi="Cambria Math"/>
                <w:color w:val="000000" w:themeColor="text1"/>
                <w:kern w:val="2"/>
                <w:lang w:val="en-GB"/>
                <w14:ligatures w14:val="standardContextual"/>
              </w:rPr>
            </m:ctrlPr>
          </m:sSupPr>
          <m:e>
            <m:r>
              <w:rPr>
                <w:rFonts w:ascii="Cambria Math" w:hAnsi="Cambria Math"/>
                <w:color w:val="000000" w:themeColor="text1"/>
                <w:lang w:val="en-GB"/>
              </w:rPr>
              <m:t>C</m:t>
            </m:r>
          </m:e>
          <m:sup>
            <m:r>
              <m:rPr>
                <m:sty m:val="p"/>
              </m:rPr>
              <w:rPr>
                <w:rFonts w:ascii="Cambria Math" w:hAnsi="Cambria Math"/>
                <w:color w:val="000000" w:themeColor="text1"/>
                <w:lang w:val="en-GB"/>
              </w:rPr>
              <m:t>*</m:t>
            </m:r>
          </m:sup>
        </m:sSup>
        <m:r>
          <w:rPr>
            <w:rFonts w:ascii="Cambria Math" w:hAnsi="Cambria Math"/>
            <w:color w:val="000000" w:themeColor="text1"/>
            <w:lang w:val="en-GB"/>
          </w:rPr>
          <m:t>dW(</m:t>
        </m:r>
        <m:sSub>
          <m:sSubPr>
            <m:ctrlPr>
              <w:rPr>
                <w:rFonts w:ascii="Cambria Math" w:eastAsiaTheme="minorEastAsia" w:hAnsi="Cambria Math"/>
                <w:i/>
                <w:iCs/>
                <w:color w:val="000000" w:themeColor="text1"/>
                <w:kern w:val="2"/>
                <w:lang w:val="en-GB"/>
                <w14:ligatures w14:val="standardContextual"/>
              </w:rPr>
            </m:ctrlPr>
          </m:sSubPr>
          <m:e>
            <m:r>
              <w:rPr>
                <w:rFonts w:ascii="Cambria Math" w:hAnsi="Cambria Math"/>
                <w:color w:val="000000" w:themeColor="text1"/>
                <w:lang w:val="en-GB"/>
              </w:rPr>
              <m:t>V</m:t>
            </m:r>
          </m:e>
          <m:sub>
            <m:r>
              <w:rPr>
                <w:rFonts w:ascii="Cambria Math" w:hAnsi="Cambria Math"/>
                <w:color w:val="000000" w:themeColor="text1"/>
                <w:lang w:val="en-GB"/>
              </w:rPr>
              <m:t>TH</m:t>
            </m:r>
          </m:sub>
        </m:sSub>
        <m:r>
          <w:rPr>
            <w:rFonts w:ascii="Cambria Math" w:hAnsi="Cambria Math"/>
            <w:color w:val="000000" w:themeColor="text1"/>
            <w:lang w:val="en-GB"/>
          </w:rPr>
          <m:t>-</m:t>
        </m:r>
        <m:sSub>
          <m:sSubPr>
            <m:ctrlPr>
              <w:rPr>
                <w:rFonts w:ascii="Cambria Math" w:eastAsiaTheme="minorEastAsia" w:hAnsi="Cambria Math"/>
                <w:i/>
                <w:iCs/>
                <w:color w:val="000000" w:themeColor="text1"/>
                <w:kern w:val="2"/>
                <w:lang w:val="en-GB"/>
                <w14:ligatures w14:val="standardContextual"/>
              </w:rPr>
            </m:ctrlPr>
          </m:sSubPr>
          <m:e>
            <m:r>
              <w:rPr>
                <w:rFonts w:ascii="Cambria Math" w:hAnsi="Cambria Math"/>
                <w:color w:val="000000" w:themeColor="text1"/>
                <w:lang w:val="en-GB"/>
              </w:rPr>
              <m:t>V</m:t>
            </m:r>
          </m:e>
          <m:sub>
            <m:r>
              <w:rPr>
                <w:rFonts w:ascii="Cambria Math" w:hAnsi="Cambria Math"/>
                <w:color w:val="000000" w:themeColor="text1"/>
                <w:lang w:val="en-GB"/>
              </w:rPr>
              <m:t>G</m:t>
            </m:r>
          </m:sub>
        </m:sSub>
        <m:r>
          <w:rPr>
            <w:rFonts w:ascii="Cambria Math" w:hAnsi="Cambria Math"/>
            <w:color w:val="000000" w:themeColor="text1"/>
            <w:lang w:val="en-GB"/>
          </w:rPr>
          <m:t>)/L</m:t>
        </m:r>
      </m:oMath>
      <w:r w:rsidRPr="00D712CE">
        <w:rPr>
          <w:color w:val="000000" w:themeColor="text1"/>
          <w:lang w:val="en-GB"/>
        </w:rPr>
        <w:t xml:space="preserve">, where </w:t>
      </w:r>
      <m:oMath>
        <m:r>
          <w:rPr>
            <w:rFonts w:ascii="Cambria Math" w:hAnsi="Cambria Math"/>
            <w:color w:val="000000" w:themeColor="text1"/>
            <w:lang w:val="en-GB"/>
          </w:rPr>
          <m:t>φ</m:t>
        </m:r>
      </m:oMath>
      <w:r w:rsidRPr="00D712CE">
        <w:rPr>
          <w:color w:val="000000" w:themeColor="text1"/>
          <w:lang w:val="en-GB"/>
        </w:rPr>
        <w:t xml:space="preserve"> is the charge-carrier mobility, </w:t>
      </w:r>
      <m:oMath>
        <m:sSup>
          <m:sSupPr>
            <m:ctrlPr>
              <w:rPr>
                <w:rFonts w:ascii="Cambria Math" w:eastAsiaTheme="minorEastAsia" w:hAnsi="Cambria Math"/>
                <w:color w:val="000000" w:themeColor="text1"/>
                <w:kern w:val="2"/>
                <w:lang w:val="en-GB"/>
                <w14:ligatures w14:val="standardContextual"/>
              </w:rPr>
            </m:ctrlPr>
          </m:sSupPr>
          <m:e>
            <m:r>
              <w:rPr>
                <w:rFonts w:ascii="Cambria Math" w:hAnsi="Cambria Math"/>
                <w:color w:val="000000" w:themeColor="text1"/>
                <w:lang w:val="en-GB"/>
              </w:rPr>
              <m:t>C</m:t>
            </m:r>
          </m:e>
          <m:sup>
            <m:r>
              <m:rPr>
                <m:sty m:val="p"/>
              </m:rPr>
              <w:rPr>
                <w:rFonts w:ascii="Cambria Math" w:hAnsi="Cambria Math"/>
                <w:color w:val="000000" w:themeColor="text1"/>
                <w:lang w:val="en-GB"/>
              </w:rPr>
              <m:t>*</m:t>
            </m:r>
          </m:sup>
        </m:sSup>
      </m:oMath>
      <w:r w:rsidRPr="00D712CE">
        <w:rPr>
          <w:color w:val="000000" w:themeColor="text1"/>
          <w:lang w:val="en-GB"/>
        </w:rPr>
        <w:t xml:space="preserve"> is the volumetric capacitance, </w:t>
      </w:r>
      <m:oMath>
        <m:r>
          <w:rPr>
            <w:rFonts w:ascii="Cambria Math" w:hAnsi="Cambria Math"/>
            <w:color w:val="000000" w:themeColor="text1"/>
            <w:lang w:val="en-GB"/>
          </w:rPr>
          <m:t>W</m:t>
        </m:r>
      </m:oMath>
      <w:r w:rsidRPr="00D712CE">
        <w:rPr>
          <w:color w:val="000000" w:themeColor="text1"/>
          <w:lang w:val="en-GB"/>
        </w:rPr>
        <w:t xml:space="preserve"> is the channel height, </w:t>
      </w:r>
      <m:oMath>
        <m:r>
          <w:rPr>
            <w:rFonts w:ascii="Cambria Math" w:hAnsi="Cambria Math"/>
            <w:color w:val="000000" w:themeColor="text1"/>
            <w:lang w:val="en-GB"/>
          </w:rPr>
          <m:t>d</m:t>
        </m:r>
      </m:oMath>
      <w:r w:rsidRPr="451B7F4F">
        <w:rPr>
          <w:color w:val="000000" w:themeColor="text1"/>
          <w:lang w:val="en-GB"/>
        </w:rPr>
        <w:t xml:space="preserve"> is the</w:t>
      </w:r>
      <w:r w:rsidRPr="00D712CE">
        <w:rPr>
          <w:color w:val="000000" w:themeColor="text1"/>
          <w:lang w:val="en-GB"/>
        </w:rPr>
        <w:t xml:space="preserve"> channel depth, and </w:t>
      </w:r>
      <m:oMath>
        <m:sSub>
          <m:sSubPr>
            <m:ctrlPr>
              <w:rPr>
                <w:rFonts w:ascii="Cambria Math" w:eastAsiaTheme="minorEastAsia" w:hAnsi="Cambria Math"/>
                <w:i/>
                <w:iCs/>
                <w:color w:val="000000" w:themeColor="text1"/>
                <w:kern w:val="2"/>
                <w:lang w:val="en-GB"/>
                <w14:ligatures w14:val="standardContextual"/>
              </w:rPr>
            </m:ctrlPr>
          </m:sSubPr>
          <m:e>
            <m:r>
              <w:rPr>
                <w:rFonts w:ascii="Cambria Math" w:hAnsi="Cambria Math"/>
                <w:color w:val="000000" w:themeColor="text1"/>
                <w:lang w:val="en-GB"/>
              </w:rPr>
              <m:t>V</m:t>
            </m:r>
          </m:e>
          <m:sub>
            <m:r>
              <w:rPr>
                <w:rFonts w:ascii="Cambria Math" w:hAnsi="Cambria Math"/>
                <w:color w:val="000000" w:themeColor="text1"/>
                <w:lang w:val="en-GB"/>
              </w:rPr>
              <m:t>TH</m:t>
            </m:r>
          </m:sub>
        </m:sSub>
      </m:oMath>
      <w:r w:rsidRPr="451B7F4F">
        <w:rPr>
          <w:color w:val="000000" w:themeColor="text1"/>
          <w:lang w:val="en-GB"/>
        </w:rPr>
        <w:t xml:space="preserve"> and</w:t>
      </w:r>
      <w:r w:rsidRPr="00D712CE">
        <w:rPr>
          <w:color w:val="000000" w:themeColor="text1"/>
          <w:lang w:val="en-GB"/>
        </w:rPr>
        <w:t xml:space="preserve"> </w:t>
      </w:r>
      <m:oMath>
        <m:sSub>
          <m:sSubPr>
            <m:ctrlPr>
              <w:rPr>
                <w:rFonts w:ascii="Cambria Math" w:eastAsiaTheme="minorEastAsia" w:hAnsi="Cambria Math"/>
                <w:i/>
                <w:iCs/>
                <w:color w:val="000000" w:themeColor="text1"/>
                <w:kern w:val="2"/>
                <w:lang w:val="en-GB"/>
                <w14:ligatures w14:val="standardContextual"/>
              </w:rPr>
            </m:ctrlPr>
          </m:sSubPr>
          <m:e>
            <m:r>
              <w:rPr>
                <w:rFonts w:ascii="Cambria Math" w:hAnsi="Cambria Math"/>
                <w:color w:val="000000" w:themeColor="text1"/>
                <w:lang w:val="en-GB"/>
              </w:rPr>
              <m:t>V</m:t>
            </m:r>
          </m:e>
          <m:sub>
            <m:r>
              <w:rPr>
                <w:rFonts w:ascii="Cambria Math" w:hAnsi="Cambria Math"/>
                <w:color w:val="000000" w:themeColor="text1"/>
                <w:lang w:val="en-GB"/>
              </w:rPr>
              <m:t>G</m:t>
            </m:r>
          </m:sub>
        </m:sSub>
      </m:oMath>
      <w:r w:rsidRPr="00D712CE">
        <w:rPr>
          <w:color w:val="000000" w:themeColor="text1"/>
          <w:lang w:val="en-GB"/>
        </w:rPr>
        <w:t xml:space="preserve"> </w:t>
      </w:r>
      <w:r w:rsidRPr="451B7F4F">
        <w:rPr>
          <w:color w:val="000000" w:themeColor="text1"/>
          <w:lang w:val="en-GB"/>
        </w:rPr>
        <w:t xml:space="preserve">are </w:t>
      </w:r>
      <w:r w:rsidRPr="00D712CE">
        <w:rPr>
          <w:color w:val="000000" w:themeColor="text1"/>
          <w:lang w:val="en-GB"/>
        </w:rPr>
        <w:t>the threshold and gate voltage</w:t>
      </w:r>
      <w:r w:rsidRPr="451B7F4F">
        <w:rPr>
          <w:color w:val="000000" w:themeColor="text1"/>
          <w:lang w:val="en-GB"/>
        </w:rPr>
        <w:t>s</w:t>
      </w:r>
      <w:r w:rsidRPr="00D712CE">
        <w:rPr>
          <w:color w:val="000000" w:themeColor="text1"/>
          <w:lang w:val="en-GB"/>
        </w:rPr>
        <w:t>, respectively</w:t>
      </w:r>
      <w:r>
        <w:rPr>
          <w:color w:val="000000" w:themeColor="text1"/>
          <w:lang w:val="en-GB"/>
        </w:rPr>
        <w:fldChar w:fldCharType="begin"/>
      </w:r>
      <w:r w:rsidR="00785CB3">
        <w:rPr>
          <w:color w:val="000000" w:themeColor="text1"/>
          <w:lang w:val="en-GB"/>
        </w:rPr>
        <w:instrText xml:space="preserve"> ADDIN ZOTERO_ITEM CSL_CITATION {"citationID":"1YnTwItU","properties":{"formattedCitation":"\\super 31\\uc0\\u8211{}33\\nosupersub{}","plainCitation":"31–33","noteIndex":0},"citationItems":[{"id":1285,"uris":["http://zotero.org/users/12063952/items/PJAD5JFA"],"itemData":{"id":1285,"type":"article-journal","container-title":"Nature Communications","DOI":"10.1038/ncomms3133","ISSN":"2041-1723","issue":"1","journalAbbreviation":"Nat Commun","language":"en","page":"2133","source":"DOI.org (Crossref)","title":"High transconductance organic electrochemical transistors","volume":"4","author":[{"family":"Khodagholy","given":"Dion"},{"family":"Rivnay","given":"Jonathan"},{"family":"Sessolo","given":"Michele"},{"family":"Gurfinkel","given":"Moshe"},{"family":"Leleux","given":"Pierre"},{"family":"Jimison","given":"Leslie H."},{"family":"Stavrinidou","given":"Eleni"},{"family":"Herve","given":"Thierry"},{"family":"Sanaur","given":"Sébastien"},{"family":"Owens","given":"Róisín M."},{"family":"Malliaras","given":"George G."}],"issued":{"date-parts":[["2013",7,12]]}}},{"id":1286,"uris":["http://zotero.org/users/12063952/items/FGMTPD4R"],"itemData":{"id":1286,"type":"article-journal","abstract":"Organic electrochemical transistors (OECTs) make effective use of ion injection from an electrolyte to modulate the bulk conductivity of an organic semiconductor channel. The coupling between ionic and electronic charges within the entire volume of the channel endows OECTs with high transconductance compared with that of field-effect transistors, but also limits their response time. The synthetic tunability, facile deposition and biocompatibility of organic materials make OECTs particularly suitable for applications in biological interfacing, printed logic circuitry and neuromorphic devices. In this Review, we discuss the physics and the mechanism of operation of OECTs, focusing on their identifying characteristics. We highlight organic materials that are currently being used in OECTs and survey the history of OECT technology. In addition, form factors, fabrication technologies and applications such as bioelectronics, circuits and memory devices are examined. Finally, we take a critical look at the future of OECT research and development.","container-title":"Nature Reviews Materials","DOI":"10.1038/natrevmats.2017.86","ISSN":"2058-8437","issue":"2","journalAbbreviation":"Nat Rev Mater","language":"en","page":"17086","source":"DOI.org (Crossref)","title":"Organic electrochemical transistors","volume":"3","author":[{"family":"Rivnay","given":"Jonathan"},{"family":"Inal","given":"Sahika"},{"family":"Salleo","given":"Alberto"},{"family":"Owens","given":"Róisín M."},{"family":"Berggren","given":"Magnus"},{"family":"Malliaras","given":"George G."}],"issued":{"date-parts":[["2018",1,16]]}}},{"id":1287,"uris":["http://zotero.org/users/12063952/items/4FY75WL5"],"itemData":{"id":1287,"type":"article-journal","abstract":"Abstract\n            Poly(3,4-ethylenedioxythiophene) doped with poly(styrenesulfonate), PEDOT:PSS, has been utilized for over two decades as a stable, solution-processable hole conductor. While its hole transport properties have been the subject of intense investigation, recent work has turned to PEDOT:PSS as a mixed ionic/electronic conductor in applications including bioelectronics, energy storage and management, and soft robotics. Conducting polymers can efficiently transport both holes and ions when sufficiently hydrated, however, little is known about the role of morphology on mixed conduction. Here, we show that bulk ionic and electronic mobilities are simultaneously affected by processing-induced changes in nano- and meso-scale structure in PEDOT:PSS films. We quantify domain composition, and find that domain purification on addition of dispersion co-solvents limits ion mobility, even while electronic conductivity improves. We show that an optimal morphology allows for the balanced ionic and electronic transport that is critical for prototypical mixed conductor devices. These findings may pave the way for the rational design of polymeric materials and processing routes to enhance devices reliant on mixed conduction.","container-title":"Nature Communications","DOI":"10.1038/ncomms11287","ISSN":"2041-1723","issue":"1","journalAbbreviation":"Nat Commun","language":"en","page":"11287","source":"DOI.org (Crossref)","title":"Structural control of mixed ionic and electronic transport in conducting polymers","volume":"7","author":[{"family":"Rivnay","given":"Jonathan"},{"family":"Inal","given":"Sahika"},{"family":"Collins","given":"Brian A."},{"family":"Sessolo","given":"Michele"},{"family":"Stavrinidou","given":"Eleni"},{"family":"Strakosas","given":"Xenofon"},{"family":"Tassone","given":"Christopher"},{"family":"Delongchamp","given":"Dean M."},{"family":"Malliaras","given":"George G."}],"issued":{"date-parts":[["2016",4,19]]}}}],"schema":"https://github.com/citation-style-language/schema/raw/master/csl-citation.json"} </w:instrText>
      </w:r>
      <w:r>
        <w:rPr>
          <w:color w:val="000000" w:themeColor="text1"/>
          <w:lang w:val="en-GB"/>
        </w:rPr>
        <w:fldChar w:fldCharType="separate"/>
      </w:r>
      <w:r w:rsidR="00785CB3" w:rsidRPr="00785CB3">
        <w:rPr>
          <w:vertAlign w:val="superscript"/>
        </w:rPr>
        <w:t>31–33</w:t>
      </w:r>
      <w:r>
        <w:rPr>
          <w:color w:val="000000" w:themeColor="text1"/>
          <w:lang w:val="en-GB"/>
        </w:rPr>
        <w:fldChar w:fldCharType="end"/>
      </w:r>
      <w:r w:rsidRPr="00D712CE">
        <w:rPr>
          <w:color w:val="000000" w:themeColor="text1"/>
          <w:lang w:val="en-GB"/>
        </w:rPr>
        <w:t>.  As</w:t>
      </w:r>
      <w:r w:rsidRPr="451B7F4F">
        <w:rPr>
          <w:color w:val="000000" w:themeColor="text1"/>
          <w:lang w:val="en-GB"/>
        </w:rPr>
        <w:t xml:space="preserve"> the channel length</w:t>
      </w:r>
      <w:r w:rsidRPr="00D712CE">
        <w:rPr>
          <w:color w:val="000000" w:themeColor="text1"/>
          <w:lang w:val="en-GB"/>
        </w:rPr>
        <w:t xml:space="preserve"> </w:t>
      </w:r>
      <m:oMath>
        <m:r>
          <m:rPr>
            <m:sty m:val="p"/>
          </m:rPr>
          <w:rPr>
            <w:rFonts w:ascii="Cambria Math" w:hAnsi="Cambria Math"/>
            <w:color w:val="000000" w:themeColor="text1"/>
            <w:lang w:val="en-GB"/>
          </w:rPr>
          <m:t>L</m:t>
        </m:r>
      </m:oMath>
      <w:r w:rsidRPr="00D712CE">
        <w:rPr>
          <w:color w:val="000000" w:themeColor="text1"/>
          <w:lang w:val="en-GB"/>
        </w:rPr>
        <w:t xml:space="preserve"> decreases, </w:t>
      </w:r>
      <m:oMath>
        <m:sSub>
          <m:sSubPr>
            <m:ctrlPr>
              <w:rPr>
                <w:rFonts w:ascii="Cambria Math" w:eastAsiaTheme="minorEastAsia" w:hAnsi="Cambria Math"/>
                <w:color w:val="000000" w:themeColor="text1"/>
                <w:kern w:val="2"/>
                <w:lang w:val="en-GB"/>
                <w14:ligatures w14:val="standardContextual"/>
              </w:rPr>
            </m:ctrlPr>
          </m:sSubPr>
          <m:e>
            <m:r>
              <m:rPr>
                <m:sty m:val="p"/>
              </m:rPr>
              <w:rPr>
                <w:rFonts w:ascii="Cambria Math" w:hAnsi="Cambria Math"/>
                <w:color w:val="000000" w:themeColor="text1"/>
                <w:lang w:val="en-GB"/>
              </w:rPr>
              <m:t>g</m:t>
            </m:r>
          </m:e>
          <m:sub>
            <m:r>
              <m:rPr>
                <m:sty m:val="p"/>
              </m:rPr>
              <w:rPr>
                <w:rFonts w:ascii="Cambria Math" w:hAnsi="Cambria Math"/>
                <w:color w:val="000000" w:themeColor="text1"/>
                <w:lang w:val="en-GB"/>
              </w:rPr>
              <m:t>m</m:t>
            </m:r>
          </m:sub>
        </m:sSub>
      </m:oMath>
      <w:r w:rsidRPr="00D712CE">
        <w:rPr>
          <w:color w:val="000000" w:themeColor="text1"/>
          <w:lang w:val="en-GB"/>
        </w:rPr>
        <w:t xml:space="preserve"> increases</w:t>
      </w:r>
      <w:r w:rsidRPr="451B7F4F">
        <w:rPr>
          <w:color w:val="000000" w:themeColor="text1"/>
          <w:lang w:val="en-GB"/>
        </w:rPr>
        <w:t xml:space="preserve"> to</w:t>
      </w:r>
      <w:r w:rsidRPr="00D712CE">
        <w:rPr>
          <w:color w:val="000000" w:themeColor="text1"/>
          <w:lang w:val="en-GB"/>
        </w:rPr>
        <w:t xml:space="preserve"> </w:t>
      </w:r>
      <w:r w:rsidRPr="451B7F4F">
        <w:rPr>
          <w:color w:val="000000" w:themeColor="text1"/>
          <w:lang w:val="en-GB"/>
        </w:rPr>
        <w:t xml:space="preserve">enhance </w:t>
      </w:r>
      <w:r w:rsidRPr="00D712CE">
        <w:rPr>
          <w:color w:val="000000" w:themeColor="text1"/>
          <w:lang w:val="en-GB"/>
        </w:rPr>
        <w:t xml:space="preserve">amplification.  </w:t>
      </w:r>
      <w:r w:rsidRPr="451B7F4F">
        <w:rPr>
          <w:color w:val="000000" w:themeColor="text1"/>
          <w:lang w:val="en-GB"/>
        </w:rPr>
        <w:t>Similar to combing</w:t>
      </w:r>
      <w:r w:rsidRPr="00D712CE">
        <w:rPr>
          <w:color w:val="000000" w:themeColor="text1"/>
          <w:lang w:val="en-GB"/>
        </w:rPr>
        <w:t xml:space="preserve">, </w:t>
      </w:r>
      <w:r w:rsidRPr="451B7F4F">
        <w:rPr>
          <w:color w:val="000000" w:themeColor="text1"/>
          <w:lang w:val="en-GB"/>
        </w:rPr>
        <w:t xml:space="preserve">pressing </w:t>
      </w:r>
      <w:r w:rsidRPr="00D712CE">
        <w:rPr>
          <w:color w:val="000000" w:themeColor="text1"/>
          <w:lang w:val="en-GB"/>
        </w:rPr>
        <w:t>the tip-shape</w:t>
      </w:r>
      <w:r w:rsidRPr="451B7F4F">
        <w:rPr>
          <w:color w:val="000000" w:themeColor="text1"/>
          <w:lang w:val="en-GB"/>
        </w:rPr>
        <w:t>d OE</w:t>
      </w:r>
      <w:r>
        <w:rPr>
          <w:color w:val="000000" w:themeColor="text1"/>
          <w:lang w:val="en-GB"/>
        </w:rPr>
        <w:t>C</w:t>
      </w:r>
      <w:r w:rsidRPr="451B7F4F">
        <w:rPr>
          <w:color w:val="000000" w:themeColor="text1"/>
          <w:lang w:val="en-GB"/>
        </w:rPr>
        <w:t>T down against the head</w:t>
      </w:r>
      <w:r w:rsidRPr="00D712CE">
        <w:rPr>
          <w:color w:val="000000" w:themeColor="text1"/>
          <w:lang w:val="en-GB"/>
        </w:rPr>
        <w:t xml:space="preserve"> </w:t>
      </w:r>
      <w:r w:rsidRPr="451B7F4F">
        <w:rPr>
          <w:color w:val="000000" w:themeColor="text1"/>
          <w:lang w:val="en-GB"/>
        </w:rPr>
        <w:t>give</w:t>
      </w:r>
      <w:r w:rsidRPr="00D712CE">
        <w:rPr>
          <w:color w:val="000000" w:themeColor="text1"/>
          <w:lang w:val="en-GB"/>
        </w:rPr>
        <w:t>s high pressure (</w:t>
      </w:r>
      <w:r w:rsidRPr="451B7F4F">
        <w:rPr>
          <w:color w:val="000000" w:themeColor="text1"/>
          <w:lang w:val="en-GB"/>
        </w:rPr>
        <w:t xml:space="preserve">that exceeds the </w:t>
      </w:r>
      <w:r w:rsidRPr="00D712CE">
        <w:rPr>
          <w:color w:val="000000" w:themeColor="text1"/>
          <w:lang w:val="en-GB"/>
        </w:rPr>
        <w:t xml:space="preserve">critical </w:t>
      </w:r>
      <w:r w:rsidRPr="451B7F4F">
        <w:rPr>
          <w:color w:val="000000" w:themeColor="text1"/>
          <w:lang w:val="en-GB"/>
        </w:rPr>
        <w:t xml:space="preserve">buckling </w:t>
      </w:r>
      <w:r w:rsidRPr="00D712CE">
        <w:rPr>
          <w:color w:val="000000" w:themeColor="text1"/>
          <w:lang w:val="en-GB"/>
        </w:rPr>
        <w:t xml:space="preserve">load for hair) </w:t>
      </w:r>
      <w:r w:rsidRPr="451B7F4F">
        <w:rPr>
          <w:color w:val="000000" w:themeColor="text1"/>
          <w:lang w:val="en-GB"/>
        </w:rPr>
        <w:t xml:space="preserve">to induce </w:t>
      </w:r>
      <w:r w:rsidRPr="00D712CE">
        <w:rPr>
          <w:color w:val="000000" w:themeColor="text1"/>
          <w:lang w:val="en-GB"/>
        </w:rPr>
        <w:t xml:space="preserve">instability </w:t>
      </w:r>
      <w:r w:rsidRPr="451B7F4F">
        <w:rPr>
          <w:color w:val="000000" w:themeColor="text1"/>
          <w:lang w:val="en-GB"/>
        </w:rPr>
        <w:t>at the tip-hair interface and remove the hair from the trajectory of the tip</w:t>
      </w:r>
      <w:r w:rsidRPr="00D712CE">
        <w:rPr>
          <w:color w:val="000000" w:themeColor="text1"/>
          <w:lang w:val="en-GB"/>
        </w:rPr>
        <w:t xml:space="preserve">.  Therefore, </w:t>
      </w:r>
      <w:r w:rsidRPr="451B7F4F">
        <w:rPr>
          <w:color w:val="000000" w:themeColor="text1"/>
          <w:lang w:val="en-GB"/>
        </w:rPr>
        <w:t xml:space="preserve">a small </w:t>
      </w:r>
      <w:r w:rsidRPr="00D712CE">
        <w:rPr>
          <w:color w:val="000000" w:themeColor="text1"/>
          <w:lang w:val="en-GB"/>
        </w:rPr>
        <w:t xml:space="preserve">tip diameter or channel </w:t>
      </w:r>
      <w:r w:rsidRPr="451B7F4F">
        <w:rPr>
          <w:color w:val="000000" w:themeColor="text1"/>
          <w:lang w:val="en-GB"/>
        </w:rPr>
        <w:t>length is also preferred to enable through-hair as needed for high OE</w:t>
      </w:r>
      <w:r>
        <w:rPr>
          <w:color w:val="000000" w:themeColor="text1"/>
          <w:lang w:val="en-GB"/>
        </w:rPr>
        <w:t>C</w:t>
      </w:r>
      <w:r w:rsidRPr="451B7F4F">
        <w:rPr>
          <w:color w:val="000000" w:themeColor="text1"/>
          <w:lang w:val="en-GB"/>
        </w:rPr>
        <w:t>T amplification</w:t>
      </w:r>
      <w:r w:rsidRPr="00D712CE">
        <w:rPr>
          <w:color w:val="000000" w:themeColor="text1"/>
          <w:lang w:val="en-GB"/>
        </w:rPr>
        <w:t xml:space="preserve">.  However, the tip </w:t>
      </w:r>
      <w:r w:rsidRPr="451B7F4F">
        <w:rPr>
          <w:color w:val="000000" w:themeColor="text1"/>
          <w:lang w:val="en-GB"/>
        </w:rPr>
        <w:t xml:space="preserve">with a significantly small channel length </w:t>
      </w:r>
      <w:r w:rsidRPr="00D712CE">
        <w:rPr>
          <w:color w:val="000000" w:themeColor="text1"/>
          <w:lang w:val="en-GB"/>
        </w:rPr>
        <w:t xml:space="preserve">is susceptible to buckling </w:t>
      </w:r>
      <w:r w:rsidRPr="451B7F4F">
        <w:rPr>
          <w:color w:val="000000" w:themeColor="text1"/>
          <w:lang w:val="en-GB"/>
        </w:rPr>
        <w:t xml:space="preserve">itself </w:t>
      </w:r>
      <w:r w:rsidRPr="00D712CE">
        <w:rPr>
          <w:color w:val="000000" w:themeColor="text1"/>
          <w:lang w:val="en-GB"/>
        </w:rPr>
        <w:t xml:space="preserve">under compressive loads.  The critical buckling load </w:t>
      </w:r>
      <m:oMath>
        <m:sSub>
          <m:sSubPr>
            <m:ctrlPr>
              <w:rPr>
                <w:rFonts w:ascii="Cambria Math" w:eastAsiaTheme="minorEastAsia" w:hAnsi="Cambria Math"/>
                <w:color w:val="000000" w:themeColor="text1"/>
                <w:kern w:val="2"/>
                <w:lang w:val="en-GB"/>
                <w14:ligatures w14:val="standardContextual"/>
              </w:rPr>
            </m:ctrlPr>
          </m:sSubPr>
          <m:e>
            <m:r>
              <w:rPr>
                <w:rFonts w:ascii="Cambria Math" w:hAnsi="Cambria Math"/>
                <w:color w:val="000000" w:themeColor="text1"/>
                <w:lang w:val="en-GB"/>
              </w:rPr>
              <m:t>P</m:t>
            </m:r>
          </m:e>
          <m:sub>
            <m:r>
              <m:rPr>
                <m:sty m:val="p"/>
              </m:rPr>
              <w:rPr>
                <w:rFonts w:ascii="Cambria Math" w:hAnsi="Cambria Math"/>
                <w:color w:val="000000" w:themeColor="text1"/>
                <w:lang w:val="en-GB"/>
              </w:rPr>
              <m:t>cr</m:t>
            </m:r>
          </m:sub>
        </m:sSub>
      </m:oMath>
      <w:r w:rsidRPr="00D712CE">
        <w:rPr>
          <w:color w:val="000000" w:themeColor="text1"/>
          <w:lang w:val="en-GB"/>
        </w:rPr>
        <w:t xml:space="preserve"> is described by Euler's formula </w:t>
      </w:r>
      <m:oMath>
        <m:sSub>
          <m:sSubPr>
            <m:ctrlPr>
              <w:rPr>
                <w:rFonts w:ascii="Cambria Math" w:eastAsiaTheme="minorEastAsia" w:hAnsi="Cambria Math"/>
                <w:color w:val="000000" w:themeColor="text1"/>
                <w:kern w:val="2"/>
                <w:lang w:val="en-GB"/>
                <w14:ligatures w14:val="standardContextual"/>
              </w:rPr>
            </m:ctrlPr>
          </m:sSubPr>
          <m:e>
            <m:r>
              <w:rPr>
                <w:rFonts w:ascii="Cambria Math" w:hAnsi="Cambria Math"/>
                <w:color w:val="000000" w:themeColor="text1"/>
                <w:lang w:val="en-GB"/>
              </w:rPr>
              <m:t>P</m:t>
            </m:r>
          </m:e>
          <m:sub>
            <m:r>
              <m:rPr>
                <m:sty m:val="p"/>
              </m:rPr>
              <w:rPr>
                <w:rFonts w:ascii="Cambria Math" w:hAnsi="Cambria Math"/>
                <w:color w:val="000000" w:themeColor="text1"/>
                <w:lang w:val="en-GB"/>
              </w:rPr>
              <m:t>cr</m:t>
            </m:r>
          </m:sub>
        </m:sSub>
        <m:r>
          <m:rPr>
            <m:sty m:val="p"/>
          </m:rPr>
          <w:rPr>
            <w:rFonts w:ascii="Cambria Math" w:hAnsi="Cambria Math"/>
            <w:color w:val="000000" w:themeColor="text1"/>
            <w:lang w:val="en-GB"/>
          </w:rPr>
          <m:t>=</m:t>
        </m:r>
        <m:f>
          <m:fPr>
            <m:type m:val="lin"/>
            <m:ctrlPr>
              <w:rPr>
                <w:rFonts w:ascii="Cambria Math" w:eastAsiaTheme="minorEastAsia" w:hAnsi="Cambria Math"/>
                <w:i/>
                <w:color w:val="000000" w:themeColor="text1"/>
                <w:kern w:val="2"/>
                <w:lang w:val="en-GB"/>
                <w14:ligatures w14:val="standardContextual"/>
              </w:rPr>
            </m:ctrlPr>
          </m:fPr>
          <m:num>
            <m:sSup>
              <m:sSupPr>
                <m:ctrlPr>
                  <w:rPr>
                    <w:rFonts w:ascii="Cambria Math" w:eastAsiaTheme="minorEastAsia" w:hAnsi="Cambria Math"/>
                    <w:i/>
                    <w:color w:val="000000" w:themeColor="text1"/>
                    <w:kern w:val="2"/>
                    <w:lang w:val="en-GB"/>
                    <w14:ligatures w14:val="standardContextual"/>
                  </w:rPr>
                </m:ctrlPr>
              </m:sSupPr>
              <m:e>
                <m:r>
                  <w:rPr>
                    <w:rFonts w:ascii="Cambria Math" w:hAnsi="Cambria Math"/>
                    <w:color w:val="000000" w:themeColor="text1"/>
                    <w:lang w:val="en-GB"/>
                  </w:rPr>
                  <m:t>π</m:t>
                </m:r>
              </m:e>
              <m:sup>
                <m:r>
                  <w:rPr>
                    <w:rFonts w:ascii="Cambria Math" w:hAnsi="Cambria Math"/>
                    <w:color w:val="000000" w:themeColor="text1"/>
                    <w:lang w:val="en-GB"/>
                  </w:rPr>
                  <m:t>2</m:t>
                </m:r>
              </m:sup>
            </m:sSup>
            <m:r>
              <w:rPr>
                <w:rFonts w:ascii="Cambria Math" w:hAnsi="Cambria Math"/>
                <w:color w:val="000000" w:themeColor="text1"/>
                <w:lang w:val="en-GB"/>
              </w:rPr>
              <m:t>EI</m:t>
            </m:r>
          </m:num>
          <m:den>
            <m:sSup>
              <m:sSupPr>
                <m:ctrlPr>
                  <w:rPr>
                    <w:rFonts w:ascii="Cambria Math" w:eastAsiaTheme="minorEastAsia" w:hAnsi="Cambria Math"/>
                    <w:i/>
                    <w:color w:val="000000" w:themeColor="text1"/>
                    <w:kern w:val="2"/>
                    <w:lang w:val="en-GB"/>
                    <w14:ligatures w14:val="standardContextual"/>
                  </w:rPr>
                </m:ctrlPr>
              </m:sSupPr>
              <m:e>
                <m:sSub>
                  <m:sSubPr>
                    <m:ctrlPr>
                      <w:rPr>
                        <w:rFonts w:ascii="Cambria Math" w:eastAsiaTheme="minorEastAsia" w:hAnsi="Cambria Math"/>
                        <w:i/>
                        <w:color w:val="000000" w:themeColor="text1"/>
                        <w:kern w:val="2"/>
                        <w:lang w:val="en-GB"/>
                        <w14:ligatures w14:val="standardContextual"/>
                      </w:rPr>
                    </m:ctrlPr>
                  </m:sSubPr>
                  <m:e>
                    <m:r>
                      <w:rPr>
                        <w:rFonts w:ascii="Cambria Math" w:hAnsi="Cambria Math"/>
                        <w:color w:val="000000" w:themeColor="text1"/>
                        <w:lang w:val="en-GB"/>
                      </w:rPr>
                      <m:t>(KL</m:t>
                    </m:r>
                  </m:e>
                  <m:sub>
                    <m:r>
                      <w:rPr>
                        <w:rFonts w:ascii="Cambria Math" w:hAnsi="Cambria Math"/>
                        <w:color w:val="000000" w:themeColor="text1"/>
                        <w:lang w:val="en-GB"/>
                      </w:rPr>
                      <m:t>eff</m:t>
                    </m:r>
                  </m:sub>
                </m:sSub>
                <m:r>
                  <w:rPr>
                    <w:rFonts w:ascii="Cambria Math" w:hAnsi="Cambria Math"/>
                    <w:color w:val="000000" w:themeColor="text1"/>
                    <w:lang w:val="en-GB"/>
                  </w:rPr>
                  <m:t>)</m:t>
                </m:r>
              </m:e>
              <m:sup>
                <m:r>
                  <w:rPr>
                    <w:rFonts w:ascii="Cambria Math" w:hAnsi="Cambria Math"/>
                    <w:color w:val="000000" w:themeColor="text1"/>
                    <w:lang w:val="en-GB"/>
                  </w:rPr>
                  <m:t>2</m:t>
                </m:r>
              </m:sup>
            </m:sSup>
          </m:den>
        </m:f>
      </m:oMath>
      <w:r w:rsidRPr="00D712CE">
        <w:rPr>
          <w:color w:val="000000" w:themeColor="text1"/>
          <w:lang w:val="en-GB"/>
        </w:rPr>
        <w:t xml:space="preserve">, where </w:t>
      </w:r>
      <m:oMath>
        <m:r>
          <m:rPr>
            <m:sty m:val="p"/>
          </m:rPr>
          <w:rPr>
            <w:rFonts w:ascii="Cambria Math" w:hAnsi="Cambria Math"/>
            <w:color w:val="000000" w:themeColor="text1"/>
            <w:lang w:val="en-GB"/>
          </w:rPr>
          <m:t>E</m:t>
        </m:r>
      </m:oMath>
      <w:r w:rsidRPr="00D712CE">
        <w:rPr>
          <w:color w:val="000000" w:themeColor="text1"/>
          <w:lang w:val="en-GB"/>
        </w:rPr>
        <w:t xml:space="preserve"> is the modulus of elasticity of the tip material, </w:t>
      </w:r>
      <m:oMath>
        <m:r>
          <w:rPr>
            <w:rFonts w:ascii="Cambria Math" w:hAnsi="Cambria Math"/>
            <w:color w:val="000000" w:themeColor="text1"/>
            <w:lang w:val="en-GB"/>
          </w:rPr>
          <m:t>I</m:t>
        </m:r>
        <m:r>
          <m:rPr>
            <m:sty m:val="p"/>
          </m:rPr>
          <w:rPr>
            <w:rFonts w:ascii="Cambria Math" w:hAnsi="Cambria Math"/>
            <w:color w:val="000000" w:themeColor="text1"/>
            <w:lang w:val="en-GB"/>
          </w:rPr>
          <m:t>=</m:t>
        </m:r>
        <m:r>
          <w:rPr>
            <w:rFonts w:ascii="Cambria Math" w:hAnsi="Cambria Math"/>
            <w:color w:val="000000" w:themeColor="text1"/>
            <w:lang w:val="en-GB"/>
          </w:rPr>
          <m:t>π</m:t>
        </m:r>
        <m:sSup>
          <m:sSupPr>
            <m:ctrlPr>
              <w:rPr>
                <w:rFonts w:ascii="Cambria Math" w:eastAsiaTheme="minorEastAsia" w:hAnsi="Cambria Math"/>
                <w:i/>
                <w:iCs/>
                <w:color w:val="000000" w:themeColor="text1"/>
                <w:kern w:val="2"/>
                <w:lang w:val="en-GB"/>
                <w14:ligatures w14:val="standardContextual"/>
              </w:rPr>
            </m:ctrlPr>
          </m:sSupPr>
          <m:e>
            <m:r>
              <w:rPr>
                <w:rFonts w:ascii="Cambria Math" w:hAnsi="Cambria Math"/>
                <w:color w:val="000000" w:themeColor="text1"/>
                <w:lang w:val="en-GB"/>
              </w:rPr>
              <m:t>L</m:t>
            </m:r>
          </m:e>
          <m:sup>
            <m:r>
              <w:rPr>
                <w:rFonts w:ascii="Cambria Math" w:hAnsi="Cambria Math"/>
                <w:color w:val="000000" w:themeColor="text1"/>
                <w:lang w:val="en-GB"/>
              </w:rPr>
              <m:t>4</m:t>
            </m:r>
          </m:sup>
        </m:sSup>
        <m:r>
          <w:rPr>
            <w:rFonts w:ascii="Cambria Math" w:hAnsi="Cambria Math"/>
            <w:color w:val="000000" w:themeColor="text1"/>
            <w:lang w:val="en-GB"/>
          </w:rPr>
          <m:t>/64</m:t>
        </m:r>
      </m:oMath>
      <w:r w:rsidRPr="00D712CE">
        <w:rPr>
          <w:color w:val="000000" w:themeColor="text1"/>
          <w:lang w:val="en-GB"/>
        </w:rPr>
        <w:t xml:space="preserve"> is the area moment of inertia for </w:t>
      </w:r>
      <w:r>
        <w:rPr>
          <w:color w:val="000000" w:themeColor="text1"/>
          <w:lang w:val="en-GB"/>
        </w:rPr>
        <w:t>an</w:t>
      </w:r>
      <w:r w:rsidRPr="00D712CE">
        <w:rPr>
          <w:color w:val="000000" w:themeColor="text1"/>
          <w:lang w:val="en-GB"/>
        </w:rPr>
        <w:t xml:space="preserve"> </w:t>
      </w:r>
      <w:r>
        <w:rPr>
          <w:color w:val="000000" w:themeColor="text1"/>
          <w:lang w:val="en-GB"/>
        </w:rPr>
        <w:t>annulus</w:t>
      </w:r>
      <w:r w:rsidRPr="00D712CE">
        <w:rPr>
          <w:color w:val="000000" w:themeColor="text1"/>
          <w:lang w:val="en-GB"/>
        </w:rPr>
        <w:t xml:space="preserve"> cross-section, </w:t>
      </w:r>
      <m:oMath>
        <m:r>
          <w:rPr>
            <w:rFonts w:ascii="Cambria Math" w:hAnsi="Cambria Math"/>
            <w:color w:val="000000" w:themeColor="text1"/>
            <w:lang w:val="en-GB"/>
          </w:rPr>
          <m:t>K=2</m:t>
        </m:r>
      </m:oMath>
      <w:r w:rsidRPr="00D712CE">
        <w:rPr>
          <w:color w:val="000000" w:themeColor="text1"/>
          <w:lang w:val="en-GB"/>
        </w:rPr>
        <w:t xml:space="preserve"> is the effective length factor (considering adhesive ionic biogel at the bottom tip and free at the top</w:t>
      </w:r>
      <w:r w:rsidRPr="451B7F4F">
        <w:rPr>
          <w:color w:val="000000" w:themeColor="text1"/>
          <w:lang w:val="en-GB"/>
        </w:rPr>
        <w:t xml:space="preserve"> end</w:t>
      </w:r>
      <w:r w:rsidRPr="00D712CE">
        <w:rPr>
          <w:color w:val="000000" w:themeColor="text1"/>
          <w:lang w:val="en-GB"/>
        </w:rPr>
        <w:t xml:space="preserve">), and </w:t>
      </w:r>
      <m:oMath>
        <m:sSub>
          <m:sSubPr>
            <m:ctrlPr>
              <w:rPr>
                <w:rFonts w:ascii="Cambria Math" w:eastAsiaTheme="minorEastAsia" w:hAnsi="Cambria Math"/>
                <w:i/>
                <w:iCs/>
                <w:color w:val="000000" w:themeColor="text1"/>
                <w:kern w:val="2"/>
                <w:lang w:val="en-GB"/>
                <w14:ligatures w14:val="standardContextual"/>
              </w:rPr>
            </m:ctrlPr>
          </m:sSubPr>
          <m:e>
            <m:r>
              <w:rPr>
                <w:rFonts w:ascii="Cambria Math" w:hAnsi="Cambria Math"/>
                <w:color w:val="000000" w:themeColor="text1"/>
                <w:lang w:val="en-GB"/>
              </w:rPr>
              <m:t>L</m:t>
            </m:r>
          </m:e>
          <m:sub>
            <m:r>
              <w:rPr>
                <w:rFonts w:ascii="Cambria Math" w:hAnsi="Cambria Math"/>
                <w:color w:val="000000" w:themeColor="text1"/>
                <w:lang w:val="en-GB"/>
              </w:rPr>
              <m:t>eff</m:t>
            </m:r>
          </m:sub>
        </m:sSub>
      </m:oMath>
      <w:r w:rsidRPr="00D712CE">
        <w:rPr>
          <w:color w:val="000000" w:themeColor="text1"/>
          <w:lang w:val="en-GB"/>
        </w:rPr>
        <w:t xml:space="preserve"> is the effective length of the tip.  As </w:t>
      </w:r>
      <m:oMath>
        <m:r>
          <m:rPr>
            <m:sty m:val="p"/>
          </m:rPr>
          <w:rPr>
            <w:rFonts w:ascii="Cambria Math" w:hAnsi="Cambria Math"/>
            <w:color w:val="000000" w:themeColor="text1"/>
            <w:lang w:val="en-GB"/>
          </w:rPr>
          <m:t>L</m:t>
        </m:r>
      </m:oMath>
      <w:r w:rsidRPr="00D712CE">
        <w:rPr>
          <w:color w:val="000000" w:themeColor="text1"/>
          <w:lang w:val="en-GB"/>
        </w:rPr>
        <w:t xml:space="preserve"> decreases, </w:t>
      </w:r>
      <m:oMath>
        <m:r>
          <m:rPr>
            <m:sty m:val="p"/>
          </m:rPr>
          <w:rPr>
            <w:rFonts w:ascii="Cambria Math" w:hAnsi="Cambria Math"/>
            <w:color w:val="000000" w:themeColor="text1"/>
            <w:lang w:val="en-GB"/>
          </w:rPr>
          <m:t>I</m:t>
        </m:r>
      </m:oMath>
      <w:r w:rsidRPr="00D712CE">
        <w:rPr>
          <w:color w:val="000000" w:themeColor="text1"/>
          <w:lang w:val="en-GB"/>
        </w:rPr>
        <w:t xml:space="preserve"> decreases significantly </w:t>
      </w:r>
      <w:r w:rsidRPr="451B7F4F">
        <w:rPr>
          <w:color w:val="000000" w:themeColor="text1"/>
          <w:lang w:val="en-GB"/>
        </w:rPr>
        <w:t xml:space="preserve">to reduce </w:t>
      </w:r>
      <m:oMath>
        <m:sSub>
          <m:sSubPr>
            <m:ctrlPr>
              <w:rPr>
                <w:rFonts w:ascii="Cambria Math" w:eastAsiaTheme="minorEastAsia" w:hAnsi="Cambria Math"/>
                <w:color w:val="000000" w:themeColor="text1"/>
                <w:kern w:val="2"/>
                <w:lang w:val="en-GB"/>
                <w14:ligatures w14:val="standardContextual"/>
              </w:rPr>
            </m:ctrlPr>
          </m:sSubPr>
          <m:e>
            <m:r>
              <w:rPr>
                <w:rFonts w:ascii="Cambria Math" w:hAnsi="Cambria Math"/>
                <w:color w:val="000000" w:themeColor="text1"/>
                <w:lang w:val="en-GB"/>
              </w:rPr>
              <m:t>P</m:t>
            </m:r>
          </m:e>
          <m:sub>
            <m:r>
              <m:rPr>
                <m:sty m:val="p"/>
              </m:rPr>
              <w:rPr>
                <w:rFonts w:ascii="Cambria Math" w:hAnsi="Cambria Math"/>
                <w:color w:val="000000" w:themeColor="text1"/>
                <w:lang w:val="en-GB"/>
              </w:rPr>
              <m:t>cr</m:t>
            </m:r>
          </m:sub>
        </m:sSub>
      </m:oMath>
      <w:r w:rsidRPr="00D712CE">
        <w:rPr>
          <w:color w:val="000000" w:themeColor="text1"/>
          <w:lang w:val="en-GB"/>
        </w:rPr>
        <w:t xml:space="preserve"> and making the tip prone to buckling under its own weight </w:t>
      </w:r>
      <m:oMath>
        <m:d>
          <m:dPr>
            <m:ctrlPr>
              <w:rPr>
                <w:rFonts w:ascii="Cambria Math" w:eastAsiaTheme="minorEastAsia" w:hAnsi="Cambria Math"/>
                <w:i/>
                <w:color w:val="000000" w:themeColor="text1"/>
                <w:kern w:val="2"/>
                <w:lang w:val="en-GB"/>
                <w14:ligatures w14:val="standardContextual"/>
              </w:rPr>
            </m:ctrlPr>
          </m:dPr>
          <m:e>
            <m:r>
              <w:rPr>
                <w:rFonts w:ascii="Cambria Math" w:hAnsi="Cambria Math"/>
                <w:color w:val="000000" w:themeColor="text1"/>
                <w:lang w:val="en-GB"/>
              </w:rPr>
              <m:t>0.25ρπ</m:t>
            </m:r>
            <m:sSup>
              <m:sSupPr>
                <m:ctrlPr>
                  <w:rPr>
                    <w:rFonts w:ascii="Cambria Math" w:eastAsiaTheme="minorEastAsia" w:hAnsi="Cambria Math"/>
                    <w:i/>
                    <w:color w:val="000000" w:themeColor="text1"/>
                    <w:kern w:val="2"/>
                    <w:lang w:val="en-GB"/>
                    <w14:ligatures w14:val="standardContextual"/>
                  </w:rPr>
                </m:ctrlPr>
              </m:sSupPr>
              <m:e>
                <m:r>
                  <w:rPr>
                    <w:rFonts w:ascii="Cambria Math" w:hAnsi="Cambria Math"/>
                    <w:color w:val="000000" w:themeColor="text1"/>
                    <w:lang w:val="en-GB"/>
                  </w:rPr>
                  <m:t>L</m:t>
                </m:r>
              </m:e>
              <m:sup>
                <m:r>
                  <w:rPr>
                    <w:rFonts w:ascii="Cambria Math" w:hAnsi="Cambria Math"/>
                    <w:color w:val="000000" w:themeColor="text1"/>
                    <w:lang w:val="en-GB"/>
                  </w:rPr>
                  <m:t>2</m:t>
                </m:r>
              </m:sup>
            </m:sSup>
            <m:sSub>
              <m:sSubPr>
                <m:ctrlPr>
                  <w:rPr>
                    <w:rFonts w:ascii="Cambria Math" w:eastAsiaTheme="minorEastAsia" w:hAnsi="Cambria Math"/>
                    <w:i/>
                    <w:color w:val="000000" w:themeColor="text1"/>
                    <w:kern w:val="2"/>
                    <w:lang w:val="en-GB"/>
                    <w14:ligatures w14:val="standardContextual"/>
                  </w:rPr>
                </m:ctrlPr>
              </m:sSubPr>
              <m:e>
                <m:r>
                  <w:rPr>
                    <w:rFonts w:ascii="Cambria Math" w:hAnsi="Cambria Math"/>
                    <w:color w:val="000000" w:themeColor="text1"/>
                    <w:lang w:val="en-GB"/>
                  </w:rPr>
                  <m:t>L</m:t>
                </m:r>
              </m:e>
              <m:sub>
                <m:r>
                  <w:rPr>
                    <w:rFonts w:ascii="Cambria Math" w:hAnsi="Cambria Math"/>
                    <w:color w:val="000000" w:themeColor="text1"/>
                    <w:lang w:val="en-GB"/>
                  </w:rPr>
                  <m:t>eff</m:t>
                </m:r>
              </m:sub>
            </m:sSub>
          </m:e>
        </m:d>
      </m:oMath>
      <w:r w:rsidRPr="00D712CE">
        <w:rPr>
          <w:color w:val="000000" w:themeColor="text1"/>
          <w:lang w:val="en-GB"/>
        </w:rPr>
        <w:t xml:space="preserve"> or applied forces.  To enhance mechanical stability, materials with higher </w:t>
      </w:r>
      <m:oMath>
        <m:r>
          <m:rPr>
            <m:sty m:val="p"/>
          </m:rPr>
          <w:rPr>
            <w:rFonts w:ascii="Cambria Math" w:hAnsi="Cambria Math"/>
            <w:color w:val="000000" w:themeColor="text1"/>
            <w:lang w:val="en-GB"/>
          </w:rPr>
          <m:t>E</m:t>
        </m:r>
      </m:oMath>
      <w:r w:rsidRPr="00D712CE">
        <w:rPr>
          <w:color w:val="000000" w:themeColor="text1"/>
          <w:lang w:val="en-GB"/>
        </w:rPr>
        <w:t>, such as polyimide or PET, are employed for encapsulation</w:t>
      </w:r>
      <w:r>
        <w:rPr>
          <w:color w:val="000000" w:themeColor="text1"/>
          <w:lang w:val="en-GB"/>
        </w:rPr>
        <w:t xml:space="preserve">, and critical load </w:t>
      </w:r>
      <m:oMath>
        <m:sSub>
          <m:sSubPr>
            <m:ctrlPr>
              <w:rPr>
                <w:rFonts w:ascii="Cambria Math" w:eastAsiaTheme="minorEastAsia" w:hAnsi="Cambria Math"/>
                <w:color w:val="000000" w:themeColor="text1"/>
                <w:kern w:val="2"/>
                <w:lang w:val="en-GB"/>
                <w14:ligatures w14:val="standardContextual"/>
              </w:rPr>
            </m:ctrlPr>
          </m:sSubPr>
          <m:e>
            <m:r>
              <w:rPr>
                <w:rFonts w:ascii="Cambria Math" w:hAnsi="Cambria Math"/>
                <w:color w:val="000000" w:themeColor="text1"/>
                <w:lang w:val="en-GB"/>
              </w:rPr>
              <m:t>P</m:t>
            </m:r>
          </m:e>
          <m:sub>
            <m:r>
              <m:rPr>
                <m:sty m:val="p"/>
              </m:rPr>
              <w:rPr>
                <w:rFonts w:ascii="Cambria Math" w:hAnsi="Cambria Math"/>
                <w:color w:val="000000" w:themeColor="text1"/>
                <w:lang w:val="en-GB"/>
              </w:rPr>
              <m:t>cr</m:t>
            </m:r>
          </m:sub>
        </m:sSub>
      </m:oMath>
      <w:r w:rsidRPr="00D712CE">
        <w:rPr>
          <w:color w:val="000000" w:themeColor="text1"/>
          <w:lang w:val="en-GB"/>
        </w:rPr>
        <w:t xml:space="preserve"> </w:t>
      </w:r>
      <w:r>
        <w:rPr>
          <w:color w:val="000000" w:themeColor="text1"/>
          <w:lang w:val="en-GB"/>
        </w:rPr>
        <w:t>should be less than its own weight:</w:t>
      </w:r>
    </w:p>
    <w:p w14:paraId="336DAF08" w14:textId="62F9C416" w:rsidR="002D436A" w:rsidRDefault="002D436A" w:rsidP="002D436A">
      <w:pPr>
        <w:tabs>
          <w:tab w:val="center" w:pos="4680"/>
          <w:tab w:val="right" w:pos="9360"/>
        </w:tabs>
        <w:spacing w:line="480" w:lineRule="auto"/>
        <w:jc w:val="both"/>
        <w:rPr>
          <w:color w:val="000000" w:themeColor="text1"/>
          <w:lang w:val="en-GB"/>
        </w:rPr>
      </w:pPr>
      <w:r>
        <w:rPr>
          <w:rFonts w:eastAsiaTheme="minorEastAsia"/>
          <w:iCs/>
          <w:color w:val="000000" w:themeColor="text1"/>
          <w:kern w:val="2"/>
          <w:lang w:val="en-GB"/>
          <w14:ligatures w14:val="standardContextual"/>
        </w:rPr>
        <w:tab/>
      </w:r>
      <m:oMath>
        <m:f>
          <m:fPr>
            <m:ctrlPr>
              <w:rPr>
                <w:rFonts w:ascii="Cambria Math" w:eastAsiaTheme="minorEastAsia" w:hAnsi="Cambria Math"/>
                <w:i/>
                <w:color w:val="000000" w:themeColor="text1"/>
                <w:kern w:val="2"/>
                <w:lang w:val="en-GB"/>
                <w14:ligatures w14:val="standardContextual"/>
              </w:rPr>
            </m:ctrlPr>
          </m:fPr>
          <m:num>
            <m:sSup>
              <m:sSupPr>
                <m:ctrlPr>
                  <w:rPr>
                    <w:rFonts w:ascii="Cambria Math" w:eastAsiaTheme="minorEastAsia" w:hAnsi="Cambria Math"/>
                    <w:i/>
                    <w:color w:val="000000" w:themeColor="text1"/>
                    <w:kern w:val="2"/>
                    <w:lang w:val="en-GB"/>
                    <w14:ligatures w14:val="standardContextual"/>
                  </w:rPr>
                </m:ctrlPr>
              </m:sSupPr>
              <m:e>
                <m:r>
                  <w:rPr>
                    <w:rFonts w:ascii="Cambria Math" w:hAnsi="Cambria Math"/>
                    <w:color w:val="000000" w:themeColor="text1"/>
                    <w:lang w:val="en-GB"/>
                  </w:rPr>
                  <m:t>π</m:t>
                </m:r>
              </m:e>
              <m:sup>
                <m:r>
                  <w:rPr>
                    <w:rFonts w:ascii="Cambria Math" w:hAnsi="Cambria Math"/>
                    <w:color w:val="000000" w:themeColor="text1"/>
                    <w:lang w:val="en-GB"/>
                  </w:rPr>
                  <m:t>2</m:t>
                </m:r>
              </m:sup>
            </m:sSup>
            <m:r>
              <w:rPr>
                <w:rFonts w:ascii="Cambria Math" w:hAnsi="Cambria Math"/>
                <w:color w:val="000000" w:themeColor="text1"/>
                <w:lang w:val="en-GB"/>
              </w:rPr>
              <m:t>EI</m:t>
            </m:r>
          </m:num>
          <m:den>
            <m:sSup>
              <m:sSupPr>
                <m:ctrlPr>
                  <w:rPr>
                    <w:rFonts w:ascii="Cambria Math" w:eastAsiaTheme="minorEastAsia" w:hAnsi="Cambria Math"/>
                    <w:i/>
                    <w:color w:val="000000" w:themeColor="text1"/>
                    <w:kern w:val="2"/>
                    <w:lang w:val="en-GB"/>
                    <w14:ligatures w14:val="standardContextual"/>
                  </w:rPr>
                </m:ctrlPr>
              </m:sSupPr>
              <m:e>
                <m:sSub>
                  <m:sSubPr>
                    <m:ctrlPr>
                      <w:rPr>
                        <w:rFonts w:ascii="Cambria Math" w:eastAsiaTheme="minorEastAsia" w:hAnsi="Cambria Math"/>
                        <w:i/>
                        <w:color w:val="000000" w:themeColor="text1"/>
                        <w:kern w:val="2"/>
                        <w:lang w:val="en-GB"/>
                        <w14:ligatures w14:val="standardContextual"/>
                      </w:rPr>
                    </m:ctrlPr>
                  </m:sSubPr>
                  <m:e>
                    <m:r>
                      <w:rPr>
                        <w:rFonts w:ascii="Cambria Math" w:hAnsi="Cambria Math"/>
                        <w:color w:val="000000" w:themeColor="text1"/>
                        <w:lang w:val="en-GB"/>
                      </w:rPr>
                      <m:t>(KL</m:t>
                    </m:r>
                  </m:e>
                  <m:sub>
                    <m:r>
                      <w:rPr>
                        <w:rFonts w:ascii="Cambria Math" w:hAnsi="Cambria Math"/>
                        <w:color w:val="000000" w:themeColor="text1"/>
                        <w:lang w:val="en-GB"/>
                      </w:rPr>
                      <m:t>eff</m:t>
                    </m:r>
                  </m:sub>
                </m:sSub>
                <m:r>
                  <w:rPr>
                    <w:rFonts w:ascii="Cambria Math" w:hAnsi="Cambria Math"/>
                    <w:color w:val="000000" w:themeColor="text1"/>
                    <w:lang w:val="en-GB"/>
                  </w:rPr>
                  <m:t>)</m:t>
                </m:r>
              </m:e>
              <m:sup>
                <m:r>
                  <w:rPr>
                    <w:rFonts w:ascii="Cambria Math" w:hAnsi="Cambria Math"/>
                    <w:color w:val="000000" w:themeColor="text1"/>
                    <w:lang w:val="en-GB"/>
                  </w:rPr>
                  <m:t>2</m:t>
                </m:r>
              </m:sup>
            </m:sSup>
          </m:den>
        </m:f>
        <m:r>
          <w:rPr>
            <w:rFonts w:ascii="Cambria Math" w:eastAsiaTheme="minorEastAsia" w:hAnsi="Cambria Math"/>
            <w:color w:val="000000" w:themeColor="text1"/>
            <w:kern w:val="2"/>
            <w:lang w:val="en-GB"/>
            <w14:ligatures w14:val="standardContextual"/>
          </w:rPr>
          <m:t>&gt;</m:t>
        </m:r>
        <m:f>
          <m:fPr>
            <m:ctrlPr>
              <w:rPr>
                <w:rFonts w:ascii="Cambria Math" w:hAnsi="Cambria Math"/>
                <w:i/>
                <w:color w:val="000000" w:themeColor="text1"/>
                <w:lang w:val="en-GB"/>
              </w:rPr>
            </m:ctrlPr>
          </m:fPr>
          <m:num>
            <m:r>
              <w:rPr>
                <w:rFonts w:ascii="Cambria Math" w:hAnsi="Cambria Math"/>
                <w:color w:val="000000" w:themeColor="text1"/>
                <w:lang w:val="en-GB"/>
              </w:rPr>
              <m:t>ρπ</m:t>
            </m:r>
            <m:sSup>
              <m:sSupPr>
                <m:ctrlPr>
                  <w:rPr>
                    <w:rFonts w:ascii="Cambria Math" w:eastAsiaTheme="minorEastAsia" w:hAnsi="Cambria Math"/>
                    <w:i/>
                    <w:color w:val="000000" w:themeColor="text1"/>
                    <w:kern w:val="2"/>
                    <w:lang w:val="en-GB"/>
                    <w14:ligatures w14:val="standardContextual"/>
                  </w:rPr>
                </m:ctrlPr>
              </m:sSupPr>
              <m:e>
                <m:r>
                  <w:rPr>
                    <w:rFonts w:ascii="Cambria Math" w:hAnsi="Cambria Math"/>
                    <w:color w:val="000000" w:themeColor="text1"/>
                    <w:lang w:val="en-GB"/>
                  </w:rPr>
                  <m:t>L</m:t>
                </m:r>
              </m:e>
              <m:sup>
                <m:r>
                  <w:rPr>
                    <w:rFonts w:ascii="Cambria Math" w:hAnsi="Cambria Math"/>
                    <w:color w:val="000000" w:themeColor="text1"/>
                    <w:lang w:val="en-GB"/>
                  </w:rPr>
                  <m:t>2</m:t>
                </m:r>
              </m:sup>
            </m:sSup>
            <m:sSub>
              <m:sSubPr>
                <m:ctrlPr>
                  <w:rPr>
                    <w:rFonts w:ascii="Cambria Math" w:eastAsiaTheme="minorEastAsia" w:hAnsi="Cambria Math"/>
                    <w:i/>
                    <w:color w:val="000000" w:themeColor="text1"/>
                    <w:kern w:val="2"/>
                    <w:lang w:val="en-GB"/>
                    <w14:ligatures w14:val="standardContextual"/>
                  </w:rPr>
                </m:ctrlPr>
              </m:sSubPr>
              <m:e>
                <m:r>
                  <w:rPr>
                    <w:rFonts w:ascii="Cambria Math" w:hAnsi="Cambria Math"/>
                    <w:color w:val="000000" w:themeColor="text1"/>
                    <w:lang w:val="en-GB"/>
                  </w:rPr>
                  <m:t>L</m:t>
                </m:r>
              </m:e>
              <m:sub>
                <m:r>
                  <w:rPr>
                    <w:rFonts w:ascii="Cambria Math" w:hAnsi="Cambria Math"/>
                    <w:color w:val="000000" w:themeColor="text1"/>
                    <w:lang w:val="en-GB"/>
                  </w:rPr>
                  <m:t>eff</m:t>
                </m:r>
              </m:sub>
            </m:sSub>
          </m:num>
          <m:den>
            <m:r>
              <w:rPr>
                <w:rFonts w:ascii="Cambria Math" w:hAnsi="Cambria Math"/>
                <w:color w:val="000000" w:themeColor="text1"/>
                <w:lang w:val="en-GB"/>
              </w:rPr>
              <m:t>4</m:t>
            </m:r>
          </m:den>
        </m:f>
      </m:oMath>
      <w:r>
        <w:rPr>
          <w:rFonts w:eastAsiaTheme="minorEastAsia"/>
          <w:iCs/>
          <w:color w:val="000000" w:themeColor="text1"/>
          <w:kern w:val="2"/>
          <w:lang w:val="en-GB"/>
          <w14:ligatures w14:val="standardContextual"/>
        </w:rPr>
        <w:tab/>
        <w:t>(</w:t>
      </w:r>
      <w:r w:rsidR="00A62E2B">
        <w:rPr>
          <w:rFonts w:eastAsiaTheme="minorEastAsia"/>
          <w:iCs/>
          <w:color w:val="000000" w:themeColor="text1"/>
          <w:kern w:val="2"/>
          <w:lang w:val="en-GB"/>
          <w14:ligatures w14:val="standardContextual"/>
        </w:rPr>
        <w:t>S</w:t>
      </w:r>
      <w:r>
        <w:rPr>
          <w:rFonts w:eastAsiaTheme="minorEastAsia"/>
          <w:iCs/>
          <w:color w:val="000000" w:themeColor="text1"/>
          <w:kern w:val="2"/>
          <w:lang w:val="en-GB"/>
          <w14:ligatures w14:val="standardContextual"/>
        </w:rPr>
        <w:t>2</w:t>
      </w:r>
      <w:r w:rsidR="00A62E2B">
        <w:rPr>
          <w:rFonts w:eastAsiaTheme="minorEastAsia"/>
          <w:iCs/>
          <w:color w:val="000000" w:themeColor="text1"/>
          <w:kern w:val="2"/>
          <w:lang w:val="en-GB"/>
          <w14:ligatures w14:val="standardContextual"/>
        </w:rPr>
        <w:t>8</w:t>
      </w:r>
      <w:r>
        <w:rPr>
          <w:rFonts w:eastAsiaTheme="minorEastAsia"/>
          <w:iCs/>
          <w:color w:val="000000" w:themeColor="text1"/>
          <w:kern w:val="2"/>
          <w:lang w:val="en-GB"/>
          <w14:ligatures w14:val="standardContextual"/>
        </w:rPr>
        <w:t>)</w:t>
      </w:r>
    </w:p>
    <w:p w14:paraId="11E08AEB" w14:textId="3ECE53D4" w:rsidR="002D436A" w:rsidRPr="00D712CE" w:rsidRDefault="002D436A" w:rsidP="002D436A">
      <w:pPr>
        <w:spacing w:line="480" w:lineRule="auto"/>
        <w:jc w:val="both"/>
        <w:rPr>
          <w:color w:val="000000" w:themeColor="text1"/>
          <w:lang w:val="en-GB"/>
        </w:rPr>
      </w:pPr>
      <w:r w:rsidRPr="00D712CE">
        <w:rPr>
          <w:color w:val="000000" w:themeColor="text1"/>
          <w:lang w:val="en-GB"/>
        </w:rPr>
        <w:t>However, utilizing stiffer materials and sharper tips exacerbates the contact pressure issue</w:t>
      </w:r>
      <w:r w:rsidRPr="451B7F4F">
        <w:rPr>
          <w:color w:val="000000" w:themeColor="text1"/>
          <w:lang w:val="en-GB"/>
        </w:rPr>
        <w:t xml:space="preserve"> to </w:t>
      </w:r>
      <w:r w:rsidRPr="00D712CE">
        <w:rPr>
          <w:color w:val="000000" w:themeColor="text1"/>
          <w:lang w:val="en-GB"/>
        </w:rPr>
        <w:t xml:space="preserve">potentially </w:t>
      </w:r>
      <w:r w:rsidRPr="451B7F4F">
        <w:rPr>
          <w:color w:val="000000" w:themeColor="text1"/>
          <w:lang w:val="en-GB"/>
        </w:rPr>
        <w:t xml:space="preserve">cause </w:t>
      </w:r>
      <w:r w:rsidRPr="00D712CE">
        <w:rPr>
          <w:color w:val="000000" w:themeColor="text1"/>
          <w:lang w:val="en-GB"/>
        </w:rPr>
        <w:t>discomfort upon scalp contact, which can be compensated by the overflown</w:t>
      </w:r>
      <w:r w:rsidRPr="451B7F4F">
        <w:rPr>
          <w:color w:val="000000" w:themeColor="text1"/>
          <w:lang w:val="en-GB"/>
        </w:rPr>
        <w:t xml:space="preserve"> of </w:t>
      </w:r>
      <w:r w:rsidRPr="00D712CE">
        <w:rPr>
          <w:color w:val="000000" w:themeColor="text1"/>
          <w:lang w:val="en-GB"/>
        </w:rPr>
        <w:lastRenderedPageBreak/>
        <w:t>soft ionic biogel at the interface</w:t>
      </w:r>
      <w:r w:rsidRPr="451B7F4F">
        <w:rPr>
          <w:color w:val="000000" w:themeColor="text1"/>
          <w:lang w:val="en-GB"/>
        </w:rPr>
        <w:t xml:space="preserve"> that acts </w:t>
      </w:r>
      <w:r w:rsidRPr="00D712CE">
        <w:rPr>
          <w:color w:val="000000" w:themeColor="text1"/>
          <w:lang w:val="en-GB"/>
        </w:rPr>
        <w:t>as a spring with a very low spring constant.  Additionally, this overflown ionic biogel is critical for increasing the contact area and reducing skin</w:t>
      </w:r>
      <w:r w:rsidRPr="451B7F4F">
        <w:rPr>
          <w:color w:val="000000" w:themeColor="text1"/>
          <w:lang w:val="en-GB"/>
        </w:rPr>
        <w:t xml:space="preserve"> </w:t>
      </w:r>
      <w:r w:rsidRPr="00D712CE">
        <w:rPr>
          <w:color w:val="000000" w:themeColor="text1"/>
          <w:lang w:val="en-GB"/>
        </w:rPr>
        <w:t xml:space="preserve">contact impedance. </w:t>
      </w:r>
      <w:r w:rsidRPr="451B7F4F">
        <w:rPr>
          <w:color w:val="000000" w:themeColor="text1"/>
          <w:lang w:val="en-GB"/>
        </w:rPr>
        <w:t xml:space="preserve"> </w:t>
      </w:r>
      <w:r w:rsidRPr="00D712CE">
        <w:rPr>
          <w:color w:val="000000" w:themeColor="text1"/>
          <w:lang w:val="en-GB"/>
        </w:rPr>
        <w:t xml:space="preserve">The volumetric flow rate </w:t>
      </w:r>
      <m:oMath>
        <m:r>
          <w:rPr>
            <w:rFonts w:ascii="Cambria Math" w:hAnsi="Cambria Math"/>
            <w:color w:val="000000" w:themeColor="text1"/>
            <w:lang w:val="en-GB"/>
          </w:rPr>
          <m:t>Q</m:t>
        </m:r>
      </m:oMath>
      <w:r w:rsidRPr="00D712CE">
        <w:rPr>
          <w:color w:val="000000" w:themeColor="text1"/>
          <w:lang w:val="en-GB"/>
        </w:rPr>
        <w:t xml:space="preserve"> of the ionic biogel through the tip is governed by the Hagen-Poiseuille equation</w:t>
      </w:r>
      <w:r>
        <w:rPr>
          <w:color w:val="000000" w:themeColor="text1"/>
          <w:lang w:val="en-GB"/>
        </w:rPr>
        <w:fldChar w:fldCharType="begin"/>
      </w:r>
      <w:r w:rsidR="00785CB3">
        <w:rPr>
          <w:color w:val="000000" w:themeColor="text1"/>
          <w:lang w:val="en-GB"/>
        </w:rPr>
        <w:instrText xml:space="preserve"> ADDIN ZOTERO_ITEM CSL_CITATION {"citationID":"aGIUmcFA","properties":{"formattedCitation":"\\super 34\\nosupersub{}","plainCitation":"34","noteIndex":0},"citationItems":[{"id":1330,"uris":["http://zotero.org/users/12063952/items/Y3LYZHEQ"],"itemData":{"id":1330,"type":"article-journal","abstract":"Viscous laminar fluid flow in a pipe is described by the well known Hagen-Poiseuille relation. According to this relation, the velocity of the fluid is directly proportional to the pressure difference between the ends of the pipe and the square of the radius of the pipe and inversely proportional to its length. But as this length becomes vanishingly small, this relation predicts that the velocity of the flow approaches infinity, which obviously is unphysical. The origin of this paradox is discussed, and an extension of the Hagen-Poiseuille relation is presented that is valid for all values of the length of the pipe.","container-title":"American Journal of Physics","DOI":"10.1119/1.4825138","ISSN":"0002-9505","issue":"1","journalAbbreviation":"American Journal of Physics","page":"82-85","source":"Silverchair","title":"A paradox with the Hagen-Poiseuille relation for viscous fluid flow","volume":"82","author":[{"family":"Nauenberg","given":"Michael"}],"issued":{"date-parts":[["2014",1,1]]}}}],"schema":"https://github.com/citation-style-language/schema/raw/master/csl-citation.json"} </w:instrText>
      </w:r>
      <w:r>
        <w:rPr>
          <w:color w:val="000000" w:themeColor="text1"/>
          <w:lang w:val="en-GB"/>
        </w:rPr>
        <w:fldChar w:fldCharType="separate"/>
      </w:r>
      <w:r w:rsidR="00785CB3" w:rsidRPr="00785CB3">
        <w:rPr>
          <w:vertAlign w:val="superscript"/>
        </w:rPr>
        <w:t>34</w:t>
      </w:r>
      <w:r>
        <w:rPr>
          <w:color w:val="000000" w:themeColor="text1"/>
          <w:lang w:val="en-GB"/>
        </w:rPr>
        <w:fldChar w:fldCharType="end"/>
      </w:r>
      <w:r w:rsidRPr="00D712CE">
        <w:rPr>
          <w:color w:val="000000" w:themeColor="text1"/>
          <w:lang w:val="en-GB"/>
        </w:rPr>
        <w:t>:</w:t>
      </w:r>
    </w:p>
    <w:p w14:paraId="6E3E1802" w14:textId="22ADDF24" w:rsidR="002D436A" w:rsidRPr="00D712CE" w:rsidRDefault="002D436A" w:rsidP="002D436A">
      <w:pPr>
        <w:tabs>
          <w:tab w:val="center" w:pos="4680"/>
          <w:tab w:val="right" w:pos="9360"/>
        </w:tabs>
        <w:spacing w:line="480" w:lineRule="auto"/>
        <w:jc w:val="both"/>
        <w:rPr>
          <w:rFonts w:eastAsiaTheme="minorEastAsia"/>
          <w:iCs/>
          <w:color w:val="000000" w:themeColor="text1"/>
          <w:lang w:val="en-GB"/>
        </w:rPr>
      </w:pPr>
      <w:r>
        <w:rPr>
          <w:rFonts w:eastAsiaTheme="minorEastAsia"/>
          <w:iCs/>
          <w:color w:val="000000" w:themeColor="text1"/>
          <w:kern w:val="2"/>
          <w:lang w:val="en-GB"/>
          <w14:ligatures w14:val="standardContextual"/>
        </w:rPr>
        <w:tab/>
      </w:r>
      <m:oMath>
        <m:r>
          <w:rPr>
            <w:rFonts w:ascii="Cambria Math" w:hAnsi="Cambria Math"/>
            <w:color w:val="000000" w:themeColor="text1"/>
            <w:lang w:val="en-GB"/>
          </w:rPr>
          <m:t>Q(L)=</m:t>
        </m:r>
        <m:f>
          <m:fPr>
            <m:ctrlPr>
              <w:rPr>
                <w:rFonts w:ascii="Cambria Math" w:eastAsiaTheme="minorEastAsia" w:hAnsi="Cambria Math"/>
                <w:i/>
                <w:iCs/>
                <w:color w:val="000000" w:themeColor="text1"/>
                <w:kern w:val="2"/>
                <w:lang w:val="en-GB"/>
                <w14:ligatures w14:val="standardContextual"/>
              </w:rPr>
            </m:ctrlPr>
          </m:fPr>
          <m:num>
            <m:r>
              <w:rPr>
                <w:rFonts w:ascii="Cambria Math" w:hAnsi="Cambria Math"/>
                <w:color w:val="000000" w:themeColor="text1"/>
                <w:lang w:val="en-GB"/>
              </w:rPr>
              <m:t>πΔP</m:t>
            </m:r>
            <m:sSup>
              <m:sSupPr>
                <m:ctrlPr>
                  <w:rPr>
                    <w:rFonts w:ascii="Cambria Math" w:eastAsiaTheme="minorEastAsia" w:hAnsi="Cambria Math"/>
                    <w:i/>
                    <w:iCs/>
                    <w:color w:val="000000" w:themeColor="text1"/>
                    <w:kern w:val="2"/>
                    <w:lang w:val="en-GB"/>
                    <w14:ligatures w14:val="standardContextual"/>
                  </w:rPr>
                </m:ctrlPr>
              </m:sSupPr>
              <m:e>
                <m:r>
                  <w:rPr>
                    <w:rFonts w:ascii="Cambria Math" w:hAnsi="Cambria Math"/>
                    <w:color w:val="000000" w:themeColor="text1"/>
                    <w:lang w:val="en-GB"/>
                  </w:rPr>
                  <m:t>L</m:t>
                </m:r>
              </m:e>
              <m:sup>
                <m:r>
                  <w:rPr>
                    <w:rFonts w:ascii="Cambria Math" w:hAnsi="Cambria Math"/>
                    <w:color w:val="000000" w:themeColor="text1"/>
                    <w:lang w:val="en-GB"/>
                  </w:rPr>
                  <m:t>4</m:t>
                </m:r>
              </m:sup>
            </m:sSup>
          </m:num>
          <m:den>
            <m:r>
              <w:rPr>
                <w:rFonts w:ascii="Cambria Math" w:hAnsi="Cambria Math"/>
                <w:color w:val="000000" w:themeColor="text1"/>
                <w:lang w:val="en-GB"/>
              </w:rPr>
              <m:t>128μW</m:t>
            </m:r>
          </m:den>
        </m:f>
      </m:oMath>
      <w:r>
        <w:rPr>
          <w:rFonts w:eastAsiaTheme="minorEastAsia"/>
          <w:iCs/>
          <w:color w:val="000000" w:themeColor="text1"/>
          <w:kern w:val="2"/>
          <w:lang w:val="en-GB"/>
          <w14:ligatures w14:val="standardContextual"/>
        </w:rPr>
        <w:tab/>
        <w:t>(</w:t>
      </w:r>
      <w:r w:rsidR="00A62E2B">
        <w:rPr>
          <w:rFonts w:eastAsiaTheme="minorEastAsia"/>
          <w:iCs/>
          <w:color w:val="000000" w:themeColor="text1"/>
          <w:kern w:val="2"/>
          <w:lang w:val="en-GB"/>
          <w14:ligatures w14:val="standardContextual"/>
        </w:rPr>
        <w:t>S29</w:t>
      </w:r>
      <w:r>
        <w:rPr>
          <w:rFonts w:eastAsiaTheme="minorEastAsia"/>
          <w:iCs/>
          <w:color w:val="000000" w:themeColor="text1"/>
          <w:kern w:val="2"/>
          <w:lang w:val="en-GB"/>
          <w14:ligatures w14:val="standardContextual"/>
        </w:rPr>
        <w:t>)</w:t>
      </w:r>
    </w:p>
    <w:p w14:paraId="5F2BFF3C" w14:textId="73EBDB1F" w:rsidR="002D436A" w:rsidRPr="00D712CE" w:rsidRDefault="002D436A" w:rsidP="002D436A">
      <w:pPr>
        <w:spacing w:line="480" w:lineRule="auto"/>
        <w:jc w:val="both"/>
        <w:rPr>
          <w:color w:val="000000" w:themeColor="text1"/>
          <w:lang w:val="en-GB"/>
        </w:rPr>
      </w:pPr>
      <w:r>
        <w:rPr>
          <w:color w:val="000000" w:themeColor="text1"/>
          <w:lang w:val="en-GB"/>
        </w:rPr>
        <w:t>w</w:t>
      </w:r>
      <w:r w:rsidRPr="18EF1A92">
        <w:rPr>
          <w:rFonts w:eastAsiaTheme="minorEastAsia"/>
          <w:color w:val="000000" w:themeColor="text1"/>
          <w:kern w:val="2"/>
          <w:lang w:val="en-GB"/>
          <w14:ligatures w14:val="standardContextual"/>
        </w:rPr>
        <w:t xml:space="preserve">here </w:t>
      </w:r>
      <m:oMath>
        <m:r>
          <w:rPr>
            <w:rFonts w:ascii="Cambria Math" w:hAnsi="Cambria Math"/>
            <w:color w:val="000000" w:themeColor="text1"/>
            <w:lang w:val="en-GB"/>
          </w:rPr>
          <m:t>μ</m:t>
        </m:r>
      </m:oMath>
      <w:r w:rsidRPr="18EF1A92">
        <w:rPr>
          <w:rFonts w:eastAsiaTheme="minorEastAsia"/>
          <w:color w:val="000000" w:themeColor="text1"/>
          <w:kern w:val="2"/>
          <w:lang w:val="en-GB"/>
          <w14:ligatures w14:val="standardContextual"/>
        </w:rPr>
        <w:t xml:space="preserve"> is the dynamic viscosity </w:t>
      </w:r>
      <w:r w:rsidRPr="00D712CE">
        <w:rPr>
          <w:color w:val="000000" w:themeColor="text1"/>
          <w:lang w:val="en-GB"/>
        </w:rPr>
        <w:t xml:space="preserve">as a function of temperature </w:t>
      </w:r>
      <m:oMath>
        <m:r>
          <w:rPr>
            <w:rFonts w:ascii="Cambria Math" w:hAnsi="Cambria Math"/>
            <w:color w:val="000000" w:themeColor="text1"/>
            <w:lang w:val="en-GB"/>
          </w:rPr>
          <m:t>T</m:t>
        </m:r>
      </m:oMath>
      <w:r w:rsidRPr="18EF1A92">
        <w:rPr>
          <w:rFonts w:eastAsiaTheme="minorEastAsia"/>
          <w:color w:val="000000" w:themeColor="text1"/>
          <w:kern w:val="2"/>
          <w:lang w:val="en-GB"/>
          <w14:ligatures w14:val="standardContextual"/>
        </w:rPr>
        <w:t xml:space="preserve">, </w:t>
      </w:r>
      <m:oMath>
        <m:r>
          <w:rPr>
            <w:rFonts w:ascii="Cambria Math" w:hAnsi="Cambria Math"/>
            <w:color w:val="000000" w:themeColor="text1"/>
            <w:lang w:val="en-GB"/>
          </w:rPr>
          <m:t>W</m:t>
        </m:r>
      </m:oMath>
      <w:r w:rsidRPr="18EF1A92">
        <w:rPr>
          <w:rFonts w:eastAsiaTheme="minorEastAsia"/>
          <w:color w:val="000000" w:themeColor="text1"/>
          <w:kern w:val="2"/>
          <w:lang w:val="en-GB"/>
          <w14:ligatures w14:val="standardContextual"/>
        </w:rPr>
        <w:t xml:space="preserve"> is the </w:t>
      </w:r>
      <w:r w:rsidRPr="00D712CE">
        <w:rPr>
          <w:color w:val="000000" w:themeColor="text1"/>
          <w:lang w:val="en-GB"/>
        </w:rPr>
        <w:t xml:space="preserve">channel width or the </w:t>
      </w:r>
      <w:r w:rsidRPr="18EF1A92">
        <w:rPr>
          <w:rFonts w:eastAsiaTheme="minorEastAsia"/>
          <w:color w:val="000000" w:themeColor="text1"/>
          <w:kern w:val="2"/>
          <w:lang w:val="en-GB"/>
          <w14:ligatures w14:val="standardContextual"/>
        </w:rPr>
        <w:t>length of the flow path</w:t>
      </w:r>
      <w:r w:rsidRPr="00D712CE">
        <w:rPr>
          <w:color w:val="000000" w:themeColor="text1"/>
          <w:lang w:val="en-GB"/>
        </w:rPr>
        <w:t xml:space="preserve">, and </w:t>
      </w:r>
      <m:oMath>
        <m:r>
          <w:rPr>
            <w:rFonts w:ascii="Cambria Math" w:hAnsi="Cambria Math"/>
            <w:color w:val="000000" w:themeColor="text1"/>
            <w:lang w:val="en-GB"/>
          </w:rPr>
          <m:t>ΔP=ρgW-</m:t>
        </m:r>
        <m:f>
          <m:fPr>
            <m:type m:val="lin"/>
            <m:ctrlPr>
              <w:rPr>
                <w:rFonts w:ascii="Cambria Math" w:hAnsi="Cambria Math"/>
                <w:i/>
                <w:color w:val="000000" w:themeColor="text1"/>
                <w:lang w:val="en-GB"/>
              </w:rPr>
            </m:ctrlPr>
          </m:fPr>
          <m:num>
            <m:r>
              <w:rPr>
                <w:rFonts w:ascii="Cambria Math" w:hAnsi="Cambria Math"/>
                <w:color w:val="000000" w:themeColor="text1"/>
                <w:lang w:val="en-GB"/>
              </w:rPr>
              <m:t>2ζ</m:t>
            </m:r>
            <m:func>
              <m:funcPr>
                <m:ctrlPr>
                  <w:rPr>
                    <w:rFonts w:ascii="Cambria Math" w:eastAsiaTheme="minorEastAsia" w:hAnsi="Cambria Math"/>
                    <w:i/>
                    <w:iCs/>
                    <w:color w:val="000000" w:themeColor="text1"/>
                    <w:kern w:val="2"/>
                    <w:lang w:val="en-GB"/>
                    <w14:ligatures w14:val="standardContextual"/>
                  </w:rPr>
                </m:ctrlPr>
              </m:funcPr>
              <m:fName>
                <m:r>
                  <m:rPr>
                    <m:sty m:val="p"/>
                  </m:rPr>
                  <w:rPr>
                    <w:rFonts w:ascii="Cambria Math" w:hAnsi="Cambria Math"/>
                    <w:color w:val="000000" w:themeColor="text1"/>
                    <w:lang w:val="en-GB"/>
                  </w:rPr>
                  <m:t>cos</m:t>
                </m:r>
              </m:fName>
              <m:e>
                <m:r>
                  <w:rPr>
                    <w:rFonts w:ascii="Cambria Math" w:hAnsi="Cambria Math"/>
                    <w:color w:val="000000" w:themeColor="text1"/>
                    <w:lang w:val="en-GB"/>
                  </w:rPr>
                  <m:t>θ</m:t>
                </m:r>
              </m:e>
            </m:func>
          </m:num>
          <m:den>
            <m:r>
              <w:rPr>
                <w:rFonts w:ascii="Cambria Math" w:hAnsi="Cambria Math"/>
                <w:color w:val="000000" w:themeColor="text1"/>
                <w:lang w:val="en-GB"/>
              </w:rPr>
              <m:t>L</m:t>
            </m:r>
          </m:den>
        </m:f>
      </m:oMath>
      <w:r w:rsidRPr="18EF1A92">
        <w:rPr>
          <w:rFonts w:eastAsiaTheme="minorEastAsia"/>
          <w:color w:val="000000" w:themeColor="text1"/>
          <w:kern w:val="2"/>
          <w:lang w:val="en-GB"/>
          <w14:ligatures w14:val="standardContextual"/>
        </w:rPr>
        <w:t xml:space="preserve"> is the pressure drop</w:t>
      </w:r>
      <w:r w:rsidRPr="00D712CE">
        <w:rPr>
          <w:color w:val="000000" w:themeColor="text1"/>
          <w:lang w:val="en-GB"/>
        </w:rPr>
        <w:t xml:space="preserve"> due to height (or width) and surface tension between the vertical OECT substrate and the ionic biogel, </w:t>
      </w:r>
      <w:r>
        <w:rPr>
          <w:color w:val="000000" w:themeColor="text1"/>
          <w:lang w:val="en-GB"/>
        </w:rPr>
        <w:t>in which</w:t>
      </w:r>
      <w:r w:rsidRPr="00D712CE">
        <w:rPr>
          <w:color w:val="000000" w:themeColor="text1"/>
          <w:lang w:val="en-GB"/>
        </w:rPr>
        <w:t xml:space="preserve"> </w:t>
      </w:r>
      <m:oMath>
        <m:r>
          <w:rPr>
            <w:rFonts w:ascii="Cambria Math" w:hAnsi="Cambria Math"/>
            <w:color w:val="000000" w:themeColor="text1"/>
            <w:lang w:val="en-GB"/>
          </w:rPr>
          <m:t>ζ</m:t>
        </m:r>
      </m:oMath>
      <w:r>
        <w:rPr>
          <w:color w:val="000000" w:themeColor="text1"/>
          <w:lang w:val="en-GB"/>
        </w:rPr>
        <w:t xml:space="preserve"> and </w:t>
      </w:r>
      <m:oMath>
        <m:r>
          <w:rPr>
            <w:rFonts w:ascii="Cambria Math" w:hAnsi="Cambria Math"/>
            <w:color w:val="000000" w:themeColor="text1"/>
            <w:lang w:val="en-GB"/>
          </w:rPr>
          <m:t>θ</m:t>
        </m:r>
      </m:oMath>
      <w:r w:rsidRPr="18EF1A92">
        <w:rPr>
          <w:color w:val="000000" w:themeColor="text1"/>
          <w:lang w:val="en-GB"/>
        </w:rPr>
        <w:t xml:space="preserve"> are the surface tension and contact angle, respectively </w:t>
      </w:r>
      <w:r w:rsidRPr="18EF1A92">
        <w:rPr>
          <w:b/>
          <w:bCs/>
          <w:color w:val="000000" w:themeColor="text1"/>
          <w:lang w:val="en-GB"/>
        </w:rPr>
        <w:t>(Figure S</w:t>
      </w:r>
      <w:r w:rsidR="00756801">
        <w:rPr>
          <w:b/>
          <w:bCs/>
          <w:color w:val="000000" w:themeColor="text1"/>
          <w:lang w:val="en-GB"/>
        </w:rPr>
        <w:t>49</w:t>
      </w:r>
      <w:r w:rsidRPr="18EF1A92">
        <w:rPr>
          <w:b/>
          <w:bCs/>
          <w:color w:val="000000" w:themeColor="text1"/>
          <w:lang w:val="en-GB"/>
        </w:rPr>
        <w:t>)</w:t>
      </w:r>
      <w:r w:rsidRPr="18EF1A92">
        <w:rPr>
          <w:rFonts w:eastAsiaTheme="minorEastAsia"/>
          <w:color w:val="000000" w:themeColor="text1"/>
          <w:kern w:val="2"/>
          <w:lang w:val="en-GB"/>
          <w14:ligatures w14:val="standardContextual"/>
        </w:rPr>
        <w:t xml:space="preserve">.  Enhancing </w:t>
      </w:r>
      <m:oMath>
        <m:r>
          <w:rPr>
            <w:rFonts w:ascii="Cambria Math" w:hAnsi="Cambria Math"/>
            <w:color w:val="000000" w:themeColor="text1"/>
            <w:lang w:val="en-GB"/>
          </w:rPr>
          <m:t>Q</m:t>
        </m:r>
      </m:oMath>
      <w:r w:rsidRPr="18EF1A92">
        <w:rPr>
          <w:rFonts w:eastAsiaTheme="minorEastAsia"/>
          <w:color w:val="000000" w:themeColor="text1"/>
          <w:kern w:val="2"/>
          <w:lang w:val="en-GB"/>
          <w14:ligatures w14:val="standardContextual"/>
        </w:rPr>
        <w:t xml:space="preserve"> requires increased </w:t>
      </w:r>
      <m:oMath>
        <m:r>
          <w:rPr>
            <w:rFonts w:ascii="Cambria Math" w:hAnsi="Cambria Math"/>
            <w:color w:val="000000" w:themeColor="text1"/>
            <w:lang w:val="en-GB"/>
          </w:rPr>
          <m:t>L</m:t>
        </m:r>
      </m:oMath>
      <w:r w:rsidRPr="18EF1A92">
        <w:rPr>
          <w:rFonts w:eastAsiaTheme="minorEastAsia"/>
          <w:color w:val="000000" w:themeColor="text1"/>
          <w:kern w:val="2"/>
          <w:lang w:val="en-GB"/>
          <w14:ligatures w14:val="standardContextual"/>
        </w:rPr>
        <w:t xml:space="preserve"> or decreased </w:t>
      </w:r>
      <m:oMath>
        <m:r>
          <w:rPr>
            <w:rFonts w:ascii="Cambria Math" w:hAnsi="Cambria Math"/>
            <w:color w:val="000000" w:themeColor="text1"/>
            <w:lang w:val="en-GB"/>
          </w:rPr>
          <m:t>μ</m:t>
        </m:r>
      </m:oMath>
      <w:r w:rsidRPr="18EF1A92">
        <w:rPr>
          <w:rFonts w:eastAsiaTheme="minorEastAsia"/>
          <w:color w:val="000000" w:themeColor="text1"/>
          <w:kern w:val="2"/>
          <w:lang w:val="en-GB"/>
          <w14:ligatures w14:val="standardContextual"/>
        </w:rPr>
        <w:t xml:space="preserve"> by controlling </w:t>
      </w:r>
      <m:oMath>
        <m:r>
          <w:rPr>
            <w:rFonts w:ascii="Cambria Math" w:hAnsi="Cambria Math"/>
            <w:color w:val="000000" w:themeColor="text1"/>
            <w:lang w:val="en-GB"/>
          </w:rPr>
          <m:t>T</m:t>
        </m:r>
      </m:oMath>
      <w:r w:rsidRPr="18EF1A92">
        <w:rPr>
          <w:rFonts w:eastAsiaTheme="minorEastAsia"/>
          <w:color w:val="000000" w:themeColor="text1"/>
          <w:kern w:val="2"/>
          <w:lang w:val="en-GB"/>
          <w14:ligatures w14:val="standardContextual"/>
        </w:rPr>
        <w:t xml:space="preserve"> via the Peltier module.  However, </w:t>
      </w:r>
      <w:r w:rsidRPr="00D712CE">
        <w:rPr>
          <w:color w:val="000000" w:themeColor="text1"/>
          <w:lang w:val="en-GB"/>
        </w:rPr>
        <w:t>th</w:t>
      </w:r>
      <w:r>
        <w:rPr>
          <w:color w:val="000000" w:themeColor="text1"/>
          <w:lang w:val="en-GB"/>
        </w:rPr>
        <w:t xml:space="preserve">e need for </w:t>
      </w:r>
      <w:r w:rsidRPr="18EF1A92">
        <w:rPr>
          <w:rFonts w:eastAsiaTheme="minorEastAsia"/>
          <w:color w:val="000000" w:themeColor="text1"/>
          <w:kern w:val="2"/>
          <w:lang w:val="en-GB"/>
          <w14:ligatures w14:val="standardContextual"/>
        </w:rPr>
        <w:t xml:space="preserve">increased </w:t>
      </w:r>
      <m:oMath>
        <m:r>
          <w:rPr>
            <w:rFonts w:ascii="Cambria Math" w:hAnsi="Cambria Math"/>
            <w:color w:val="000000" w:themeColor="text1"/>
            <w:lang w:val="en-GB"/>
          </w:rPr>
          <m:t>L</m:t>
        </m:r>
      </m:oMath>
      <w:r w:rsidRPr="00D712CE">
        <w:rPr>
          <w:color w:val="000000" w:themeColor="text1"/>
          <w:lang w:val="en-GB"/>
        </w:rPr>
        <w:t xml:space="preserve"> </w:t>
      </w:r>
      <w:r>
        <w:rPr>
          <w:color w:val="000000" w:themeColor="text1"/>
          <w:lang w:val="en-GB"/>
        </w:rPr>
        <w:t xml:space="preserve">here </w:t>
      </w:r>
      <w:r w:rsidRPr="00D712CE">
        <w:rPr>
          <w:color w:val="000000" w:themeColor="text1"/>
          <w:lang w:val="en-GB"/>
        </w:rPr>
        <w:t>is</w:t>
      </w:r>
      <w:r w:rsidRPr="18EF1A92">
        <w:rPr>
          <w:rFonts w:eastAsiaTheme="minorEastAsia"/>
          <w:color w:val="000000" w:themeColor="text1"/>
          <w:kern w:val="2"/>
          <w:lang w:val="en-GB"/>
          <w14:ligatures w14:val="standardContextual"/>
        </w:rPr>
        <w:t xml:space="preserve"> in conflict with the goal of maximizing </w:t>
      </w:r>
      <m:oMath>
        <m:sSub>
          <m:sSubPr>
            <m:ctrlPr>
              <w:rPr>
                <w:rFonts w:ascii="Cambria Math" w:eastAsiaTheme="minorEastAsia" w:hAnsi="Cambria Math"/>
                <w:i/>
                <w:iCs/>
                <w:color w:val="000000" w:themeColor="text1"/>
                <w:kern w:val="2"/>
                <w:lang w:val="en-GB"/>
                <w14:ligatures w14:val="standardContextual"/>
              </w:rPr>
            </m:ctrlPr>
          </m:sSubPr>
          <m:e>
            <m:r>
              <w:rPr>
                <w:rFonts w:ascii="Cambria Math" w:hAnsi="Cambria Math"/>
                <w:color w:val="000000" w:themeColor="text1"/>
                <w:lang w:val="en-GB"/>
              </w:rPr>
              <m:t>g</m:t>
            </m:r>
          </m:e>
          <m:sub>
            <m:r>
              <w:rPr>
                <w:rFonts w:ascii="Cambria Math" w:hAnsi="Cambria Math"/>
                <w:color w:val="000000" w:themeColor="text1"/>
                <w:lang w:val="en-GB"/>
              </w:rPr>
              <m:t>m</m:t>
            </m:r>
          </m:sub>
        </m:sSub>
      </m:oMath>
      <w:r w:rsidRPr="18EF1A92">
        <w:rPr>
          <w:rFonts w:eastAsiaTheme="minorEastAsia"/>
          <w:color w:val="000000" w:themeColor="text1"/>
          <w:kern w:val="2"/>
          <w:lang w:val="en-GB"/>
          <w14:ligatures w14:val="standardContextual"/>
        </w:rPr>
        <w:t xml:space="preserve"> from minimized </w:t>
      </w:r>
      <m:oMath>
        <m:r>
          <w:rPr>
            <w:rFonts w:ascii="Cambria Math" w:hAnsi="Cambria Math"/>
            <w:color w:val="000000" w:themeColor="text1"/>
            <w:lang w:val="en-GB"/>
          </w:rPr>
          <m:t>L</m:t>
        </m:r>
      </m:oMath>
      <w:r w:rsidRPr="00D712CE">
        <w:rPr>
          <w:color w:val="000000" w:themeColor="text1"/>
          <w:lang w:val="en-GB"/>
        </w:rPr>
        <w:t xml:space="preserve">.  Moreover, </w:t>
      </w:r>
      <w:r w:rsidRPr="18EF1A92">
        <w:rPr>
          <w:rFonts w:eastAsiaTheme="minorEastAsia"/>
          <w:color w:val="000000" w:themeColor="text1"/>
          <w:kern w:val="2"/>
          <w:lang w:val="en-GB"/>
          <w14:ligatures w14:val="standardContextual"/>
        </w:rPr>
        <w:t xml:space="preserve">the flow rate </w:t>
      </w:r>
      <m:oMath>
        <m:r>
          <w:rPr>
            <w:rFonts w:ascii="Cambria Math" w:hAnsi="Cambria Math"/>
            <w:color w:val="000000" w:themeColor="text1"/>
            <w:lang w:val="en-GB"/>
          </w:rPr>
          <m:t>Q(L)</m:t>
        </m:r>
      </m:oMath>
      <w:r w:rsidRPr="18EF1A92">
        <w:rPr>
          <w:rFonts w:eastAsiaTheme="minorEastAsia"/>
          <w:color w:val="000000" w:themeColor="text1"/>
          <w:kern w:val="2"/>
          <w:lang w:val="en-GB"/>
          <w14:ligatures w14:val="standardContextual"/>
        </w:rPr>
        <w:t xml:space="preserve"> needs to be higher than </w:t>
      </w:r>
      <m:oMath>
        <m:sSub>
          <m:sSubPr>
            <m:ctrlPr>
              <w:rPr>
                <w:rFonts w:ascii="Cambria Math" w:eastAsiaTheme="minorEastAsia" w:hAnsi="Cambria Math"/>
                <w:i/>
                <w:iCs/>
                <w:color w:val="000000" w:themeColor="text1"/>
                <w:kern w:val="2"/>
                <w:lang w:val="en-GB"/>
                <w14:ligatures w14:val="standardContextual"/>
              </w:rPr>
            </m:ctrlPr>
          </m:sSubPr>
          <m:e>
            <m:r>
              <w:rPr>
                <w:rFonts w:ascii="Cambria Math" w:hAnsi="Cambria Math"/>
                <w:color w:val="000000" w:themeColor="text1"/>
                <w:lang w:val="en-GB"/>
              </w:rPr>
              <m:t>Q</m:t>
            </m:r>
          </m:e>
          <m:sub>
            <m:r>
              <w:rPr>
                <w:rFonts w:ascii="Cambria Math" w:hAnsi="Cambria Math"/>
                <w:color w:val="000000" w:themeColor="text1"/>
                <w:lang w:val="en-GB"/>
              </w:rPr>
              <m:t>min</m:t>
            </m:r>
          </m:sub>
        </m:sSub>
      </m:oMath>
      <w:r w:rsidRPr="00D712CE">
        <w:rPr>
          <w:color w:val="000000" w:themeColor="text1"/>
          <w:lang w:val="en-GB"/>
        </w:rPr>
        <w:t xml:space="preserve"> </w:t>
      </w:r>
      <w:r w:rsidRPr="18EF1A92">
        <w:rPr>
          <w:rFonts w:eastAsiaTheme="minorEastAsia"/>
          <w:color w:val="000000" w:themeColor="text1"/>
          <w:kern w:val="2"/>
          <w:lang w:val="en-GB"/>
          <w14:ligatures w14:val="standardContextual"/>
        </w:rPr>
        <w:t>that is the minimum required flow rate for sufficient overflow</w:t>
      </w:r>
      <w:r w:rsidRPr="00D712CE">
        <w:rPr>
          <w:color w:val="000000" w:themeColor="text1"/>
          <w:lang w:val="en-GB"/>
        </w:rPr>
        <w:t xml:space="preserve"> </w:t>
      </w:r>
      <w:r>
        <w:rPr>
          <w:color w:val="000000" w:themeColor="text1"/>
          <w:lang w:val="en-GB"/>
        </w:rPr>
        <w:t xml:space="preserve">of the </w:t>
      </w:r>
      <w:r w:rsidRPr="18EF1A92">
        <w:rPr>
          <w:rFonts w:eastAsiaTheme="minorEastAsia"/>
          <w:color w:val="000000" w:themeColor="text1"/>
          <w:kern w:val="2"/>
          <w:lang w:val="en-GB"/>
          <w14:ligatures w14:val="standardContextual"/>
        </w:rPr>
        <w:t xml:space="preserve">ionic biogel </w:t>
      </w:r>
      <w:r w:rsidRPr="00D712CE">
        <w:rPr>
          <w:color w:val="000000" w:themeColor="text1"/>
          <w:lang w:val="en-GB"/>
        </w:rPr>
        <w:t>to reduce the skin</w:t>
      </w:r>
      <w:r>
        <w:rPr>
          <w:color w:val="000000" w:themeColor="text1"/>
          <w:lang w:val="en-GB"/>
        </w:rPr>
        <w:t xml:space="preserve"> </w:t>
      </w:r>
      <w:r w:rsidRPr="00D712CE">
        <w:rPr>
          <w:color w:val="000000" w:themeColor="text1"/>
          <w:lang w:val="en-GB"/>
        </w:rPr>
        <w:t>contact impedance and adhere to the scalp surface</w:t>
      </w:r>
      <w:r w:rsidRPr="18EF1A92">
        <w:rPr>
          <w:rFonts w:eastAsiaTheme="minorEastAsia"/>
          <w:color w:val="000000" w:themeColor="text1"/>
          <w:kern w:val="2"/>
          <w:lang w:val="en-GB"/>
          <w14:ligatures w14:val="standardContextual"/>
        </w:rPr>
        <w:t xml:space="preserve">.  </w:t>
      </w:r>
      <w:r w:rsidRPr="00D712CE">
        <w:rPr>
          <w:color w:val="000000" w:themeColor="text1"/>
          <w:lang w:val="en-GB"/>
        </w:rPr>
        <w:t xml:space="preserve">Here, the minimum overflow rate is related </w:t>
      </w:r>
      <w:r>
        <w:rPr>
          <w:color w:val="000000" w:themeColor="text1"/>
          <w:lang w:val="en-GB"/>
        </w:rPr>
        <w:t>to</w:t>
      </w:r>
      <w:r w:rsidRPr="00D712CE">
        <w:rPr>
          <w:color w:val="000000" w:themeColor="text1"/>
          <w:lang w:val="en-GB"/>
        </w:rPr>
        <w:t xml:space="preserve"> the overflown length </w:t>
      </w:r>
      <w:r>
        <w:rPr>
          <w:color w:val="000000" w:themeColor="text1"/>
          <w:lang w:val="en-GB"/>
        </w:rPr>
        <w:t xml:space="preserve">and time </w:t>
      </w:r>
      <m:oMath>
        <m:r>
          <w:rPr>
            <w:rFonts w:ascii="Cambria Math" w:hAnsi="Cambria Math"/>
            <w:color w:val="000000" w:themeColor="text1"/>
            <w:lang w:val="en-GB"/>
          </w:rPr>
          <m:t>ω</m:t>
        </m:r>
      </m:oMath>
      <w:r w:rsidRPr="18EF1A92">
        <w:rPr>
          <w:color w:val="000000" w:themeColor="text1"/>
          <w:lang w:val="en-GB"/>
        </w:rPr>
        <w:t xml:space="preserve"> </w:t>
      </w:r>
      <w:r w:rsidRPr="00D712CE">
        <w:rPr>
          <w:color w:val="000000" w:themeColor="text1"/>
          <w:lang w:val="en-GB"/>
        </w:rPr>
        <w:t xml:space="preserve">as </w:t>
      </w:r>
    </w:p>
    <w:p w14:paraId="35EB7A0A" w14:textId="7DB073CE" w:rsidR="002D436A" w:rsidRPr="00D712CE" w:rsidRDefault="002D436A" w:rsidP="002D436A">
      <w:pPr>
        <w:tabs>
          <w:tab w:val="center" w:pos="4680"/>
          <w:tab w:val="right" w:pos="9360"/>
        </w:tabs>
        <w:spacing w:line="480" w:lineRule="auto"/>
        <w:jc w:val="both"/>
        <w:rPr>
          <w:iCs/>
          <w:color w:val="000000" w:themeColor="text1"/>
          <w:lang w:val="en-GB"/>
        </w:rPr>
      </w:pPr>
      <w:r>
        <w:rPr>
          <w:rFonts w:eastAsiaTheme="minorEastAsia"/>
          <w:iCs/>
          <w:color w:val="000000" w:themeColor="text1"/>
          <w:kern w:val="2"/>
          <w:lang w:val="en-GB"/>
          <w14:ligatures w14:val="standardContextual"/>
        </w:rPr>
        <w:tab/>
      </w:r>
      <m:oMath>
        <m:sSub>
          <m:sSubPr>
            <m:ctrlPr>
              <w:rPr>
                <w:rFonts w:ascii="Cambria Math" w:eastAsiaTheme="minorEastAsia" w:hAnsi="Cambria Math"/>
                <w:i/>
                <w:iCs/>
                <w:color w:val="000000" w:themeColor="text1"/>
                <w:kern w:val="2"/>
                <w:lang w:val="en-GB"/>
                <w14:ligatures w14:val="standardContextual"/>
              </w:rPr>
            </m:ctrlPr>
          </m:sSubPr>
          <m:e>
            <m:r>
              <w:rPr>
                <w:rFonts w:ascii="Cambria Math" w:hAnsi="Cambria Math"/>
                <w:color w:val="000000" w:themeColor="text1"/>
                <w:lang w:val="en-GB"/>
              </w:rPr>
              <m:t>Q</m:t>
            </m:r>
          </m:e>
          <m:sub>
            <m:r>
              <w:rPr>
                <w:rFonts w:ascii="Cambria Math" w:hAnsi="Cambria Math"/>
                <w:color w:val="000000" w:themeColor="text1"/>
                <w:lang w:val="en-GB"/>
              </w:rPr>
              <m:t>min</m:t>
            </m:r>
          </m:sub>
        </m:sSub>
        <m:r>
          <w:rPr>
            <w:rFonts w:ascii="Cambria Math" w:hAnsi="Cambria Math"/>
            <w:color w:val="000000" w:themeColor="text1"/>
            <w:lang w:val="en-GB"/>
          </w:rPr>
          <m:t>=</m:t>
        </m:r>
        <m:f>
          <m:fPr>
            <m:ctrlPr>
              <w:rPr>
                <w:rFonts w:ascii="Cambria Math" w:eastAsiaTheme="minorEastAsia" w:hAnsi="Cambria Math"/>
                <w:i/>
                <w:iCs/>
                <w:color w:val="000000" w:themeColor="text1"/>
                <w:kern w:val="2"/>
                <w:lang w:val="en-GB"/>
                <w14:ligatures w14:val="standardContextual"/>
              </w:rPr>
            </m:ctrlPr>
          </m:fPr>
          <m:num>
            <m:r>
              <w:rPr>
                <w:rFonts w:ascii="Cambria Math" w:hAnsi="Cambria Math"/>
                <w:color w:val="000000" w:themeColor="text1"/>
                <w:lang w:val="en-GB"/>
              </w:rPr>
              <m:t>π</m:t>
            </m:r>
            <m:sSubSup>
              <m:sSubSupPr>
                <m:ctrlPr>
                  <w:rPr>
                    <w:rFonts w:ascii="Cambria Math" w:hAnsi="Cambria Math"/>
                    <w:i/>
                    <w:color w:val="000000" w:themeColor="text1"/>
                    <w:lang w:val="en-GB"/>
                  </w:rPr>
                </m:ctrlPr>
              </m:sSubSupPr>
              <m:e>
                <m:r>
                  <w:rPr>
                    <w:rFonts w:ascii="Cambria Math" w:hAnsi="Cambria Math"/>
                    <w:color w:val="000000" w:themeColor="text1"/>
                    <w:lang w:val="en-GB"/>
                  </w:rPr>
                  <m:t>L</m:t>
                </m:r>
              </m:e>
              <m:sub>
                <m:r>
                  <w:rPr>
                    <w:rFonts w:ascii="Cambria Math" w:hAnsi="Cambria Math"/>
                    <w:color w:val="000000" w:themeColor="text1"/>
                    <w:lang w:val="en-GB"/>
                  </w:rPr>
                  <m:t>overflow</m:t>
                </m:r>
              </m:sub>
              <m:sup>
                <m:r>
                  <w:rPr>
                    <w:rFonts w:ascii="Cambria Math" w:hAnsi="Cambria Math"/>
                    <w:color w:val="000000" w:themeColor="text1"/>
                    <w:lang w:val="en-GB"/>
                  </w:rPr>
                  <m:t>2</m:t>
                </m:r>
              </m:sup>
            </m:sSubSup>
            <m:r>
              <w:rPr>
                <w:rFonts w:ascii="Cambria Math" w:hAnsi="Cambria Math"/>
                <w:color w:val="000000" w:themeColor="text1"/>
                <w:lang w:val="en-GB"/>
              </w:rPr>
              <m:t>W</m:t>
            </m:r>
          </m:num>
          <m:den>
            <m:r>
              <w:rPr>
                <w:rFonts w:ascii="Cambria Math" w:hAnsi="Cambria Math"/>
                <w:color w:val="000000" w:themeColor="text1"/>
                <w:lang w:val="en-GB"/>
              </w:rPr>
              <m:t>4ω</m:t>
            </m:r>
          </m:den>
        </m:f>
      </m:oMath>
      <w:r>
        <w:rPr>
          <w:rFonts w:eastAsiaTheme="minorEastAsia"/>
          <w:iCs/>
          <w:color w:val="000000" w:themeColor="text1"/>
          <w:kern w:val="2"/>
          <w:lang w:val="en-GB"/>
          <w14:ligatures w14:val="standardContextual"/>
        </w:rPr>
        <w:tab/>
        <w:t>(</w:t>
      </w:r>
      <w:r w:rsidR="00A62E2B">
        <w:rPr>
          <w:rFonts w:eastAsiaTheme="minorEastAsia"/>
          <w:iCs/>
          <w:color w:val="000000" w:themeColor="text1"/>
          <w:kern w:val="2"/>
          <w:lang w:val="en-GB"/>
          <w14:ligatures w14:val="standardContextual"/>
        </w:rPr>
        <w:t>S30</w:t>
      </w:r>
      <w:r>
        <w:rPr>
          <w:rFonts w:eastAsiaTheme="minorEastAsia"/>
          <w:iCs/>
          <w:color w:val="000000" w:themeColor="text1"/>
          <w:kern w:val="2"/>
          <w:lang w:val="en-GB"/>
          <w14:ligatures w14:val="standardContextual"/>
        </w:rPr>
        <w:t>)</w:t>
      </w:r>
    </w:p>
    <w:p w14:paraId="25B591EC" w14:textId="77777777" w:rsidR="002D436A" w:rsidRPr="00D712CE" w:rsidRDefault="002D436A" w:rsidP="002D436A">
      <w:pPr>
        <w:spacing w:line="480" w:lineRule="auto"/>
        <w:jc w:val="both"/>
        <w:rPr>
          <w:color w:val="000000" w:themeColor="text1"/>
        </w:rPr>
      </w:pPr>
      <w:r w:rsidRPr="18EF1A92">
        <w:rPr>
          <w:color w:val="000000" w:themeColor="text1"/>
        </w:rPr>
        <w:t xml:space="preserve">where </w:t>
      </w:r>
      <m:oMath>
        <m:sSub>
          <m:sSubPr>
            <m:ctrlPr>
              <w:rPr>
                <w:rFonts w:ascii="Cambria Math" w:eastAsiaTheme="minorEastAsia" w:hAnsi="Cambria Math"/>
                <w:i/>
                <w:color w:val="000000" w:themeColor="text1"/>
                <w:kern w:val="2"/>
                <w:lang w:val="en-GB"/>
                <w14:ligatures w14:val="standardContextual"/>
              </w:rPr>
            </m:ctrlPr>
          </m:sSubPr>
          <m:e>
            <m:r>
              <w:rPr>
                <w:rFonts w:ascii="Cambria Math" w:hAnsi="Cambria Math"/>
                <w:color w:val="000000" w:themeColor="text1"/>
                <w:lang w:val="en-GB"/>
              </w:rPr>
              <m:t>L</m:t>
            </m:r>
          </m:e>
          <m:sub>
            <m:r>
              <w:rPr>
                <w:rFonts w:ascii="Cambria Math" w:hAnsi="Cambria Math"/>
                <w:color w:val="000000" w:themeColor="text1"/>
                <w:lang w:val="en-GB"/>
              </w:rPr>
              <m:t>overflow</m:t>
            </m:r>
          </m:sub>
        </m:sSub>
      </m:oMath>
      <w:r w:rsidRPr="18EF1A92">
        <w:rPr>
          <w:color w:val="000000" w:themeColor="text1"/>
        </w:rPr>
        <w:t xml:space="preserve"> is the overflown length of the ionic biogel (as a function of tip diameter </w:t>
      </w:r>
      <m:oMath>
        <m:r>
          <w:rPr>
            <w:rFonts w:ascii="Cambria Math" w:hAnsi="Cambria Math"/>
            <w:color w:val="000000" w:themeColor="text1"/>
            <w:lang w:val="en-GB"/>
          </w:rPr>
          <m:t>L</m:t>
        </m:r>
      </m:oMath>
      <w:r w:rsidRPr="18EF1A92">
        <w:rPr>
          <w:color w:val="000000" w:themeColor="text1"/>
        </w:rPr>
        <w:t xml:space="preserve">).  Therefore, the transconductance </w:t>
      </w:r>
      <m:oMath>
        <m:sSub>
          <m:sSubPr>
            <m:ctrlPr>
              <w:rPr>
                <w:rFonts w:ascii="Cambria Math" w:eastAsiaTheme="minorEastAsia" w:hAnsi="Cambria Math"/>
                <w:color w:val="000000" w:themeColor="text1"/>
                <w:kern w:val="2"/>
                <w:lang w:val="en-GB"/>
                <w14:ligatures w14:val="standardContextual"/>
              </w:rPr>
            </m:ctrlPr>
          </m:sSubPr>
          <m:e>
            <m:r>
              <m:rPr>
                <m:sty m:val="p"/>
              </m:rPr>
              <w:rPr>
                <w:rFonts w:ascii="Cambria Math" w:hAnsi="Cambria Math"/>
                <w:color w:val="000000" w:themeColor="text1"/>
                <w:lang w:val="en-GB"/>
              </w:rPr>
              <m:t>g</m:t>
            </m:r>
          </m:e>
          <m:sub>
            <m:r>
              <m:rPr>
                <m:sty m:val="p"/>
              </m:rPr>
              <w:rPr>
                <w:rFonts w:ascii="Cambria Math" w:hAnsi="Cambria Math"/>
                <w:color w:val="000000" w:themeColor="text1"/>
                <w:lang w:val="en-GB"/>
              </w:rPr>
              <m:t>m</m:t>
            </m:r>
          </m:sub>
        </m:sSub>
      </m:oMath>
      <w:r w:rsidRPr="18EF1A92">
        <w:rPr>
          <w:color w:val="000000" w:themeColor="text1"/>
        </w:rPr>
        <w:t xml:space="preserve"> can be maximized by minimizing the channel length </w:t>
      </w:r>
      <m:oMath>
        <m:r>
          <w:rPr>
            <w:rFonts w:ascii="Cambria Math" w:hAnsi="Cambria Math"/>
            <w:color w:val="000000" w:themeColor="text1"/>
            <w:lang w:val="en-GB"/>
          </w:rPr>
          <m:t>L</m:t>
        </m:r>
      </m:oMath>
      <w:r w:rsidRPr="18EF1A92">
        <w:rPr>
          <w:color w:val="000000" w:themeColor="text1"/>
        </w:rPr>
        <w:t xml:space="preserve"> according to the constraints as shown in equation (2)</w:t>
      </w:r>
    </w:p>
    <w:p w14:paraId="41ABDEBB" w14:textId="32E5847B" w:rsidR="002D436A" w:rsidRPr="00D712CE" w:rsidRDefault="002D436A" w:rsidP="002D436A">
      <w:pPr>
        <w:tabs>
          <w:tab w:val="center" w:pos="4680"/>
          <w:tab w:val="right" w:pos="9360"/>
        </w:tabs>
        <w:spacing w:line="480" w:lineRule="auto"/>
        <w:jc w:val="both"/>
        <w:rPr>
          <w:color w:val="000000" w:themeColor="text1"/>
          <w:lang w:val="en-GB"/>
        </w:rPr>
      </w:pPr>
      <w:r>
        <w:rPr>
          <w:rFonts w:eastAsiaTheme="minorEastAsia"/>
          <w:iCs/>
          <w:color w:val="000000" w:themeColor="text1"/>
          <w:kern w:val="2"/>
          <w:lang w:val="en-GB"/>
          <w14:ligatures w14:val="standardContextual"/>
        </w:rPr>
        <w:tab/>
      </w:r>
      <m:oMath>
        <m:r>
          <w:rPr>
            <w:rFonts w:ascii="Cambria Math" w:hAnsi="Cambria Math"/>
            <w:color w:val="000000" w:themeColor="text1"/>
            <w:lang w:val="en-GB"/>
          </w:rPr>
          <m:t>L=</m:t>
        </m:r>
        <m:limLow>
          <m:limLowPr>
            <m:ctrlPr>
              <w:rPr>
                <w:rFonts w:ascii="Cambria Math" w:eastAsiaTheme="minorEastAsia" w:hAnsi="Cambria Math"/>
                <w:i/>
                <w:color w:val="000000" w:themeColor="text1"/>
                <w:kern w:val="2"/>
                <w:lang w:val="en-GB"/>
                <w14:ligatures w14:val="standardContextual"/>
              </w:rPr>
            </m:ctrlPr>
          </m:limLowPr>
          <m:e>
            <m:r>
              <m:rPr>
                <m:sty m:val="p"/>
              </m:rPr>
              <w:rPr>
                <w:rFonts w:ascii="Cambria Math" w:hAnsi="Cambria Math"/>
                <w:color w:val="000000" w:themeColor="text1"/>
                <w:lang w:val="en-GB"/>
              </w:rPr>
              <m:t>min</m:t>
            </m:r>
          </m:e>
          <m:lim>
            <m:r>
              <w:rPr>
                <w:rFonts w:ascii="Cambria Math" w:hAnsi="Cambria Math"/>
                <w:color w:val="000000" w:themeColor="text1"/>
                <w:lang w:val="en-GB"/>
              </w:rPr>
              <m:t>T</m:t>
            </m:r>
          </m:lim>
        </m:limLow>
        <m:r>
          <m:rPr>
            <m:sty m:val="p"/>
          </m:rPr>
          <w:rPr>
            <w:rFonts w:ascii="Cambria Math" w:hAnsi="Cambria Math"/>
            <w:color w:val="000000" w:themeColor="text1"/>
            <w:lang w:val="en-GB"/>
          </w:rPr>
          <m:t xml:space="preserve"> </m:t>
        </m:r>
        <m:d>
          <m:dPr>
            <m:begChr m:val="["/>
            <m:endChr m:val="]"/>
            <m:ctrlPr>
              <w:rPr>
                <w:rFonts w:ascii="Cambria Math" w:eastAsiaTheme="minorEastAsia" w:hAnsi="Cambria Math"/>
                <w:color w:val="000000" w:themeColor="text1"/>
                <w:kern w:val="2"/>
                <w:lang w:val="en-GB"/>
                <w14:ligatures w14:val="standardContextual"/>
              </w:rPr>
            </m:ctrlPr>
          </m:dPr>
          <m:e>
            <m:func>
              <m:funcPr>
                <m:ctrlPr>
                  <w:rPr>
                    <w:rFonts w:ascii="Cambria Math" w:eastAsiaTheme="minorEastAsia" w:hAnsi="Cambria Math"/>
                    <w:i/>
                    <w:color w:val="000000" w:themeColor="text1"/>
                    <w:kern w:val="2"/>
                    <w:lang w:val="en-GB"/>
                    <w14:ligatures w14:val="standardContextual"/>
                  </w:rPr>
                </m:ctrlPr>
              </m:funcPr>
              <m:fName>
                <m:r>
                  <m:rPr>
                    <m:sty m:val="p"/>
                  </m:rPr>
                  <w:rPr>
                    <w:rFonts w:ascii="Cambria Math" w:hAnsi="Cambria Math"/>
                    <w:color w:val="000000" w:themeColor="text1"/>
                    <w:lang w:val="en-GB"/>
                  </w:rPr>
                  <m:t>max</m:t>
                </m:r>
              </m:fName>
              <m:e>
                <m:d>
                  <m:dPr>
                    <m:ctrlPr>
                      <w:rPr>
                        <w:rFonts w:ascii="Cambria Math" w:eastAsiaTheme="minorEastAsia" w:hAnsi="Cambria Math"/>
                        <w:i/>
                        <w:color w:val="000000" w:themeColor="text1"/>
                        <w:kern w:val="2"/>
                        <w:lang w:val="en-GB"/>
                        <w14:ligatures w14:val="standardContextual"/>
                      </w:rPr>
                    </m:ctrlPr>
                  </m:dPr>
                  <m:e>
                    <m:sSub>
                      <m:sSubPr>
                        <m:ctrlPr>
                          <w:rPr>
                            <w:rFonts w:ascii="Cambria Math" w:eastAsiaTheme="minorEastAsia" w:hAnsi="Cambria Math"/>
                            <w:i/>
                            <w:color w:val="000000" w:themeColor="text1"/>
                            <w:kern w:val="2"/>
                            <w:lang w:val="en-GB"/>
                            <w14:ligatures w14:val="standardContextual"/>
                          </w:rPr>
                        </m:ctrlPr>
                      </m:sSubPr>
                      <m:e>
                        <m:r>
                          <w:rPr>
                            <w:rFonts w:ascii="Cambria Math" w:hAnsi="Cambria Math"/>
                            <w:color w:val="000000" w:themeColor="text1"/>
                            <w:lang w:val="en-GB"/>
                          </w:rPr>
                          <m:t>L</m:t>
                        </m:r>
                      </m:e>
                      <m:sub>
                        <m:r>
                          <w:rPr>
                            <w:rFonts w:ascii="Cambria Math" w:hAnsi="Cambria Math"/>
                            <w:color w:val="000000" w:themeColor="text1"/>
                            <w:lang w:val="en-GB"/>
                          </w:rPr>
                          <m:t>m</m:t>
                        </m:r>
                      </m:sub>
                    </m:sSub>
                    <m:r>
                      <w:rPr>
                        <w:rFonts w:ascii="Cambria Math" w:hAnsi="Cambria Math"/>
                        <w:color w:val="000000" w:themeColor="text1"/>
                        <w:lang w:val="en-GB"/>
                      </w:rPr>
                      <m:t>,</m:t>
                    </m:r>
                    <m:rad>
                      <m:radPr>
                        <m:degHide m:val="1"/>
                        <m:ctrlPr>
                          <w:rPr>
                            <w:rFonts w:ascii="Cambria Math" w:eastAsiaTheme="minorEastAsia" w:hAnsi="Cambria Math"/>
                            <w:i/>
                            <w:color w:val="000000" w:themeColor="text1"/>
                            <w:kern w:val="2"/>
                            <w:lang w:val="en-GB"/>
                            <w14:ligatures w14:val="standardContextual"/>
                          </w:rPr>
                        </m:ctrlPr>
                      </m:radPr>
                      <m:deg/>
                      <m:e>
                        <m:f>
                          <m:fPr>
                            <m:ctrlPr>
                              <w:rPr>
                                <w:rFonts w:ascii="Cambria Math" w:eastAsiaTheme="minorEastAsia" w:hAnsi="Cambria Math"/>
                                <w:i/>
                                <w:color w:val="000000" w:themeColor="text1"/>
                                <w:kern w:val="2"/>
                                <w:lang w:val="en-GB"/>
                                <w14:ligatures w14:val="standardContextual"/>
                              </w:rPr>
                            </m:ctrlPr>
                          </m:fPr>
                          <m:num>
                            <m:r>
                              <w:rPr>
                                <w:rFonts w:ascii="Cambria Math" w:hAnsi="Cambria Math"/>
                                <w:color w:val="000000" w:themeColor="text1"/>
                                <w:lang w:val="en-GB"/>
                              </w:rPr>
                              <m:t>64ρg</m:t>
                            </m:r>
                            <m:sSup>
                              <m:sSupPr>
                                <m:ctrlPr>
                                  <w:rPr>
                                    <w:rFonts w:ascii="Cambria Math" w:eastAsiaTheme="minorEastAsia" w:hAnsi="Cambria Math"/>
                                    <w:color w:val="000000" w:themeColor="text1"/>
                                    <w:kern w:val="2"/>
                                    <w:lang w:val="en-GB"/>
                                    <w14:ligatures w14:val="standardContextual"/>
                                  </w:rPr>
                                </m:ctrlPr>
                              </m:sSupPr>
                              <m:e>
                                <m:sSub>
                                  <m:sSubPr>
                                    <m:ctrlPr>
                                      <w:rPr>
                                        <w:rFonts w:ascii="Cambria Math" w:eastAsiaTheme="minorEastAsia" w:hAnsi="Cambria Math"/>
                                        <w:color w:val="000000" w:themeColor="text1"/>
                                        <w:kern w:val="2"/>
                                        <w:lang w:val="en-GB"/>
                                        <w14:ligatures w14:val="standardContextual"/>
                                      </w:rPr>
                                    </m:ctrlPr>
                                  </m:sSubPr>
                                  <m:e>
                                    <m:r>
                                      <m:rPr>
                                        <m:sty m:val="p"/>
                                      </m:rPr>
                                      <w:rPr>
                                        <w:rFonts w:ascii="Cambria Math" w:hAnsi="Cambria Math"/>
                                        <w:color w:val="000000" w:themeColor="text1"/>
                                        <w:lang w:val="en-GB"/>
                                      </w:rPr>
                                      <m:t>L</m:t>
                                    </m:r>
                                  </m:e>
                                  <m:sub>
                                    <m:r>
                                      <m:rPr>
                                        <m:sty m:val="p"/>
                                      </m:rPr>
                                      <w:rPr>
                                        <w:rFonts w:ascii="Cambria Math" w:hAnsi="Cambria Math"/>
                                        <w:color w:val="000000" w:themeColor="text1"/>
                                        <w:lang w:val="en-GB"/>
                                      </w:rPr>
                                      <m:t>eff</m:t>
                                    </m:r>
                                  </m:sub>
                                </m:sSub>
                              </m:e>
                              <m:sup>
                                <m:r>
                                  <w:rPr>
                                    <w:rFonts w:ascii="Cambria Math" w:hAnsi="Cambria Math"/>
                                    <w:color w:val="000000" w:themeColor="text1"/>
                                    <w:lang w:val="en-GB"/>
                                  </w:rPr>
                                  <m:t>3</m:t>
                                </m:r>
                              </m:sup>
                            </m:sSup>
                          </m:num>
                          <m:den>
                            <m:sSup>
                              <m:sSupPr>
                                <m:ctrlPr>
                                  <w:rPr>
                                    <w:rFonts w:ascii="Cambria Math" w:eastAsiaTheme="minorEastAsia" w:hAnsi="Cambria Math"/>
                                    <w:i/>
                                    <w:color w:val="000000" w:themeColor="text1"/>
                                    <w:kern w:val="2"/>
                                    <w:lang w:val="en-GB"/>
                                    <w14:ligatures w14:val="standardContextual"/>
                                  </w:rPr>
                                </m:ctrlPr>
                              </m:sSupPr>
                              <m:e>
                                <m:r>
                                  <w:rPr>
                                    <w:rFonts w:ascii="Cambria Math" w:hAnsi="Cambria Math"/>
                                    <w:color w:val="000000" w:themeColor="text1"/>
                                    <w:lang w:val="en-GB"/>
                                  </w:rPr>
                                  <m:t>π</m:t>
                                </m:r>
                              </m:e>
                              <m:sup>
                                <m:r>
                                  <w:rPr>
                                    <w:rFonts w:ascii="Cambria Math" w:hAnsi="Cambria Math"/>
                                    <w:color w:val="000000" w:themeColor="text1"/>
                                    <w:lang w:val="en-GB"/>
                                  </w:rPr>
                                  <m:t>2</m:t>
                                </m:r>
                              </m:sup>
                            </m:sSup>
                            <m:r>
                              <w:rPr>
                                <w:rFonts w:ascii="Cambria Math" w:hAnsi="Cambria Math"/>
                                <w:color w:val="000000" w:themeColor="text1"/>
                                <w:lang w:val="en-GB"/>
                              </w:rPr>
                              <m:t>E</m:t>
                            </m:r>
                          </m:den>
                        </m:f>
                      </m:e>
                    </m:rad>
                  </m:e>
                </m:d>
              </m:e>
            </m:func>
          </m:e>
        </m:d>
      </m:oMath>
      <w:r>
        <w:rPr>
          <w:rFonts w:eastAsiaTheme="minorEastAsia"/>
          <w:iCs/>
          <w:color w:val="000000" w:themeColor="text1"/>
          <w:kern w:val="2"/>
          <w:lang w:val="en-GB"/>
          <w14:ligatures w14:val="standardContextual"/>
        </w:rPr>
        <w:tab/>
        <w:t>(</w:t>
      </w:r>
      <w:r w:rsidR="00A62E2B">
        <w:rPr>
          <w:rFonts w:eastAsiaTheme="minorEastAsia"/>
          <w:iCs/>
          <w:color w:val="000000" w:themeColor="text1"/>
          <w:kern w:val="2"/>
          <w:lang w:val="en-GB"/>
          <w14:ligatures w14:val="standardContextual"/>
        </w:rPr>
        <w:t>S31</w:t>
      </w:r>
      <w:r>
        <w:rPr>
          <w:rFonts w:eastAsiaTheme="minorEastAsia"/>
          <w:iCs/>
          <w:color w:val="000000" w:themeColor="text1"/>
          <w:kern w:val="2"/>
          <w:lang w:val="en-GB"/>
          <w14:ligatures w14:val="standardContextual"/>
        </w:rPr>
        <w:t>)</w:t>
      </w:r>
    </w:p>
    <w:p w14:paraId="798C7729" w14:textId="1F10514C" w:rsidR="002D436A" w:rsidRPr="00D712CE" w:rsidRDefault="002D436A" w:rsidP="002D436A">
      <w:pPr>
        <w:tabs>
          <w:tab w:val="center" w:pos="4680"/>
          <w:tab w:val="right" w:pos="9360"/>
        </w:tabs>
        <w:spacing w:after="160" w:line="480" w:lineRule="auto"/>
        <w:jc w:val="both"/>
        <w:rPr>
          <w:rFonts w:eastAsiaTheme="minorEastAsia"/>
          <w:color w:val="000000" w:themeColor="text1"/>
          <w:kern w:val="2"/>
          <w:lang w:val="en-GB"/>
          <w14:ligatures w14:val="standardContextual"/>
        </w:rPr>
      </w:pPr>
      <w:r>
        <w:rPr>
          <w:rFonts w:eastAsiaTheme="minorEastAsia"/>
          <w:iCs/>
          <w:color w:val="000000" w:themeColor="text1"/>
          <w:kern w:val="2"/>
          <w:lang w:val="en-GB"/>
          <w14:ligatures w14:val="standardContextual"/>
        </w:rPr>
        <w:tab/>
      </w:r>
      <m:oMath>
        <m:sSubSup>
          <m:sSubSupPr>
            <m:ctrlPr>
              <w:rPr>
                <w:rFonts w:ascii="Cambria Math" w:hAnsi="Cambria Math"/>
                <w:i/>
                <w:color w:val="000000" w:themeColor="text1"/>
                <w:lang w:val="en-GB"/>
              </w:rPr>
            </m:ctrlPr>
          </m:sSubSupPr>
          <m:e>
            <m:r>
              <w:rPr>
                <w:rFonts w:ascii="Cambria Math" w:hAnsi="Cambria Math"/>
                <w:color w:val="000000" w:themeColor="text1"/>
                <w:lang w:val="en-GB"/>
              </w:rPr>
              <m:t>L</m:t>
            </m:r>
          </m:e>
          <m:sub>
            <m:r>
              <w:rPr>
                <w:rFonts w:ascii="Cambria Math" w:hAnsi="Cambria Math"/>
                <w:color w:val="000000" w:themeColor="text1"/>
                <w:lang w:val="en-GB"/>
              </w:rPr>
              <m:t>overflow</m:t>
            </m:r>
          </m:sub>
          <m:sup>
            <m:r>
              <w:rPr>
                <w:rFonts w:ascii="Cambria Math" w:hAnsi="Cambria Math"/>
                <w:color w:val="000000" w:themeColor="text1"/>
                <w:lang w:val="en-GB"/>
              </w:rPr>
              <m:t>3</m:t>
            </m:r>
          </m:sup>
        </m:sSubSup>
        <m:r>
          <w:rPr>
            <w:rFonts w:ascii="Cambria Math" w:hAnsi="Cambria Math"/>
            <w:color w:val="000000" w:themeColor="text1"/>
            <w:lang w:val="en-GB"/>
          </w:rPr>
          <m:t>(L, T)≥</m:t>
        </m:r>
        <m:f>
          <m:fPr>
            <m:ctrlPr>
              <w:rPr>
                <w:rFonts w:ascii="Cambria Math" w:hAnsi="Cambria Math"/>
                <w:i/>
                <w:color w:val="000000" w:themeColor="text1"/>
                <w:lang w:val="en-GB"/>
              </w:rPr>
            </m:ctrlPr>
          </m:fPr>
          <m:num>
            <m:r>
              <w:rPr>
                <w:rFonts w:ascii="Cambria Math" w:hAnsi="Cambria Math"/>
                <w:color w:val="000000" w:themeColor="text1"/>
                <w:lang w:val="en-GB"/>
              </w:rPr>
              <m:t>ρg</m:t>
            </m:r>
            <m:sSup>
              <m:sSupPr>
                <m:ctrlPr>
                  <w:rPr>
                    <w:rFonts w:ascii="Cambria Math" w:eastAsiaTheme="minorEastAsia" w:hAnsi="Cambria Math"/>
                    <w:i/>
                    <w:iCs/>
                    <w:color w:val="000000" w:themeColor="text1"/>
                    <w:kern w:val="2"/>
                    <w:lang w:val="en-GB"/>
                    <w14:ligatures w14:val="standardContextual"/>
                  </w:rPr>
                </m:ctrlPr>
              </m:sSupPr>
              <m:e>
                <m:r>
                  <w:rPr>
                    <w:rFonts w:ascii="Cambria Math" w:hAnsi="Cambria Math"/>
                    <w:color w:val="000000" w:themeColor="text1"/>
                    <w:lang w:val="en-GB"/>
                  </w:rPr>
                  <m:t>L</m:t>
                </m:r>
              </m:e>
              <m:sup>
                <m:r>
                  <w:rPr>
                    <w:rFonts w:ascii="Cambria Math" w:hAnsi="Cambria Math"/>
                    <w:color w:val="000000" w:themeColor="text1"/>
                    <w:lang w:val="en-GB"/>
                  </w:rPr>
                  <m:t>2</m:t>
                </m:r>
              </m:sup>
            </m:sSup>
            <m:sSub>
              <m:sSubPr>
                <m:ctrlPr>
                  <w:rPr>
                    <w:rFonts w:ascii="Cambria Math" w:eastAsiaTheme="minorEastAsia" w:hAnsi="Cambria Math"/>
                    <w:color w:val="000000" w:themeColor="text1"/>
                    <w:kern w:val="2"/>
                    <w:lang w:val="en-GB"/>
                    <w14:ligatures w14:val="standardContextual"/>
                  </w:rPr>
                </m:ctrlPr>
              </m:sSubPr>
              <m:e>
                <m:r>
                  <m:rPr>
                    <m:sty m:val="p"/>
                  </m:rPr>
                  <w:rPr>
                    <w:rFonts w:ascii="Cambria Math" w:hAnsi="Cambria Math"/>
                    <w:color w:val="000000" w:themeColor="text1"/>
                    <w:lang w:val="en-GB"/>
                  </w:rPr>
                  <m:t>L</m:t>
                </m:r>
              </m:e>
              <m:sub>
                <m:r>
                  <m:rPr>
                    <m:sty m:val="p"/>
                  </m:rPr>
                  <w:rPr>
                    <w:rFonts w:ascii="Cambria Math" w:hAnsi="Cambria Math"/>
                    <w:color w:val="000000" w:themeColor="text1"/>
                    <w:lang w:val="en-GB"/>
                  </w:rPr>
                  <m:t>eff</m:t>
                </m:r>
              </m:sub>
            </m:sSub>
          </m:num>
          <m:den>
            <m:r>
              <w:rPr>
                <w:rFonts w:ascii="Cambria Math" w:hAnsi="Cambria Math"/>
                <w:color w:val="000000" w:themeColor="text1"/>
                <w:lang w:val="en-GB"/>
              </w:rPr>
              <m:t>4J(T)</m:t>
            </m:r>
          </m:den>
        </m:f>
      </m:oMath>
      <w:r>
        <w:rPr>
          <w:rFonts w:eastAsiaTheme="minorEastAsia"/>
          <w:iCs/>
          <w:color w:val="000000" w:themeColor="text1"/>
          <w:kern w:val="2"/>
          <w:lang w:val="en-GB"/>
          <w14:ligatures w14:val="standardContextual"/>
        </w:rPr>
        <w:tab/>
        <w:t>(</w:t>
      </w:r>
      <w:r w:rsidR="00A62E2B">
        <w:rPr>
          <w:rFonts w:eastAsiaTheme="minorEastAsia"/>
          <w:iCs/>
          <w:color w:val="000000" w:themeColor="text1"/>
          <w:kern w:val="2"/>
          <w:lang w:val="en-GB"/>
          <w14:ligatures w14:val="standardContextual"/>
        </w:rPr>
        <w:t>S32</w:t>
      </w:r>
      <w:r>
        <w:rPr>
          <w:rFonts w:eastAsiaTheme="minorEastAsia"/>
          <w:iCs/>
          <w:color w:val="000000" w:themeColor="text1"/>
          <w:kern w:val="2"/>
          <w:lang w:val="en-GB"/>
          <w14:ligatures w14:val="standardContextual"/>
        </w:rPr>
        <w:t>)</w:t>
      </w:r>
    </w:p>
    <w:p w14:paraId="1CC447D3" w14:textId="77777777" w:rsidR="002D436A" w:rsidRPr="00D712CE" w:rsidRDefault="002D436A" w:rsidP="002D436A">
      <w:pPr>
        <w:spacing w:line="480" w:lineRule="auto"/>
        <w:jc w:val="both"/>
        <w:rPr>
          <w:rFonts w:ascii="Cambria Math" w:hAnsi="Cambria Math"/>
          <w:color w:val="000000" w:themeColor="text1"/>
          <w:lang w:val="en-GB"/>
        </w:rPr>
      </w:pPr>
      <w:r>
        <w:rPr>
          <w:color w:val="000000" w:themeColor="text1"/>
          <w:lang w:val="en-GB"/>
        </w:rPr>
        <w:lastRenderedPageBreak/>
        <w:t>where</w:t>
      </w:r>
      <w:r w:rsidRPr="00D712CE">
        <w:rPr>
          <w:color w:val="000000" w:themeColor="text1"/>
          <w:lang w:val="en-GB"/>
        </w:rPr>
        <w:t xml:space="preserve"> </w:t>
      </w:r>
      <w:r>
        <w:rPr>
          <w:color w:val="000000" w:themeColor="text1"/>
          <w:lang w:val="en-GB"/>
        </w:rPr>
        <w:t xml:space="preserve">the </w:t>
      </w:r>
      <w:r w:rsidRPr="00D712CE">
        <w:rPr>
          <w:color w:val="000000" w:themeColor="text1"/>
          <w:lang w:val="en-GB"/>
        </w:rPr>
        <w:t>adhesive strength of</w:t>
      </w:r>
      <w:r>
        <w:rPr>
          <w:color w:val="000000" w:themeColor="text1"/>
          <w:lang w:val="en-GB"/>
        </w:rPr>
        <w:t xml:space="preserve"> the ionic biogel is</w:t>
      </w:r>
      <w:r w:rsidRPr="00D712CE">
        <w:rPr>
          <w:color w:val="000000" w:themeColor="text1"/>
          <w:lang w:val="en-GB"/>
        </w:rPr>
        <w:t xml:space="preserve"> </w:t>
      </w:r>
      <m:oMath>
        <m:r>
          <w:rPr>
            <w:rFonts w:ascii="Cambria Math" w:hAnsi="Cambria Math"/>
            <w:color w:val="000000" w:themeColor="text1"/>
            <w:lang w:val="en-GB"/>
          </w:rPr>
          <m:t>J</m:t>
        </m:r>
      </m:oMath>
      <w:r w:rsidRPr="00D712CE">
        <w:rPr>
          <w:iCs/>
          <w:color w:val="000000" w:themeColor="text1"/>
          <w:lang w:val="en-GB"/>
        </w:rPr>
        <w:t xml:space="preserve"> as a function of temperature </w:t>
      </w:r>
      <m:oMath>
        <m:r>
          <w:rPr>
            <w:rFonts w:ascii="Cambria Math" w:hAnsi="Cambria Math"/>
            <w:color w:val="000000" w:themeColor="text1"/>
            <w:lang w:val="en-GB"/>
          </w:rPr>
          <m:t>T</m:t>
        </m:r>
      </m:oMath>
      <w:r w:rsidRPr="00D712CE">
        <w:rPr>
          <w:iCs/>
          <w:color w:val="000000" w:themeColor="text1"/>
          <w:lang w:val="en-GB"/>
        </w:rPr>
        <w:t xml:space="preserve">.  The second inequality arises </w:t>
      </w:r>
      <w:r>
        <w:rPr>
          <w:iCs/>
          <w:color w:val="000000" w:themeColor="text1"/>
          <w:lang w:val="en-GB"/>
        </w:rPr>
        <w:t>to</w:t>
      </w:r>
      <w:r w:rsidRPr="00D712CE">
        <w:rPr>
          <w:iCs/>
          <w:color w:val="000000" w:themeColor="text1"/>
          <w:lang w:val="en-GB"/>
        </w:rPr>
        <w:t xml:space="preserve"> ensur</w:t>
      </w:r>
      <w:r>
        <w:rPr>
          <w:iCs/>
          <w:color w:val="000000" w:themeColor="text1"/>
          <w:lang w:val="en-GB"/>
        </w:rPr>
        <w:t>e</w:t>
      </w:r>
      <w:r w:rsidRPr="00D712CE">
        <w:rPr>
          <w:iCs/>
          <w:color w:val="000000" w:themeColor="text1"/>
          <w:lang w:val="en-GB"/>
        </w:rPr>
        <w:t xml:space="preserve"> the stability of </w:t>
      </w:r>
      <w:r>
        <w:rPr>
          <w:iCs/>
          <w:color w:val="000000" w:themeColor="text1"/>
          <w:lang w:val="en-GB"/>
        </w:rPr>
        <w:t>self-balancing</w:t>
      </w:r>
      <w:r w:rsidRPr="00D712CE">
        <w:rPr>
          <w:iCs/>
          <w:color w:val="000000" w:themeColor="text1"/>
          <w:lang w:val="en-GB"/>
        </w:rPr>
        <w:t xml:space="preserve"> of the tips due to its own weight</w:t>
      </w:r>
      <w:r>
        <w:rPr>
          <w:iCs/>
          <w:color w:val="000000" w:themeColor="text1"/>
          <w:lang w:val="en-GB"/>
        </w:rPr>
        <w:t xml:space="preserve"> </w:t>
      </w:r>
      <m:oMath>
        <m:r>
          <w:rPr>
            <w:rFonts w:ascii="Cambria Math" w:hAnsi="Cambria Math"/>
            <w:color w:val="000000" w:themeColor="text1"/>
            <w:lang w:val="en-GB"/>
          </w:rPr>
          <m:t>G</m:t>
        </m:r>
      </m:oMath>
      <w:r w:rsidRPr="00D712CE">
        <w:rPr>
          <w:iCs/>
          <w:color w:val="000000" w:themeColor="text1"/>
          <w:lang w:val="en-GB"/>
        </w:rPr>
        <w:t xml:space="preserve">, which is </w:t>
      </w:r>
      <w:r>
        <w:rPr>
          <w:iCs/>
          <w:color w:val="000000" w:themeColor="text1"/>
          <w:lang w:val="en-GB"/>
        </w:rPr>
        <w:t>balanced</w:t>
      </w:r>
      <w:r w:rsidRPr="00D712CE">
        <w:rPr>
          <w:iCs/>
          <w:color w:val="000000" w:themeColor="text1"/>
          <w:lang w:val="en-GB"/>
        </w:rPr>
        <w:t xml:space="preserve"> by the adhesive force</w:t>
      </w:r>
      <w:r>
        <w:rPr>
          <w:iCs/>
          <w:color w:val="000000" w:themeColor="text1"/>
          <w:lang w:val="en-GB"/>
        </w:rPr>
        <w:t xml:space="preserve"> </w:t>
      </w:r>
      <m:oMath>
        <m:sSub>
          <m:sSubPr>
            <m:ctrlPr>
              <w:rPr>
                <w:rFonts w:ascii="Cambria Math" w:hAnsi="Cambria Math"/>
                <w:i/>
                <w:iCs/>
                <w:color w:val="000000" w:themeColor="text1"/>
                <w:lang w:val="en-GB"/>
              </w:rPr>
            </m:ctrlPr>
          </m:sSubPr>
          <m:e>
            <m:r>
              <w:rPr>
                <w:rFonts w:ascii="Cambria Math" w:hAnsi="Cambria Math"/>
                <w:color w:val="000000" w:themeColor="text1"/>
                <w:lang w:val="en-GB"/>
              </w:rPr>
              <m:t>F</m:t>
            </m:r>
          </m:e>
          <m:sub>
            <m:r>
              <w:rPr>
                <w:rFonts w:ascii="Cambria Math" w:hAnsi="Cambria Math"/>
                <w:color w:val="000000" w:themeColor="text1"/>
                <w:lang w:val="en-GB"/>
              </w:rPr>
              <m:t>adh</m:t>
            </m:r>
          </m:sub>
        </m:sSub>
      </m:oMath>
      <w:r w:rsidRPr="00D712CE">
        <w:rPr>
          <w:iCs/>
          <w:color w:val="000000" w:themeColor="text1"/>
          <w:lang w:val="en-GB"/>
        </w:rPr>
        <w:t xml:space="preserve"> between the scalp and the ionic biogel</w:t>
      </w:r>
      <w:r>
        <w:rPr>
          <w:iCs/>
          <w:color w:val="000000" w:themeColor="text1"/>
          <w:lang w:val="en-GB"/>
        </w:rPr>
        <w:t xml:space="preserve"> (</w:t>
      </w:r>
      <m:oMath>
        <m:sSub>
          <m:sSubPr>
            <m:ctrlPr>
              <w:rPr>
                <w:rFonts w:ascii="Cambria Math" w:hAnsi="Cambria Math"/>
                <w:i/>
                <w:iCs/>
                <w:color w:val="000000" w:themeColor="text1"/>
                <w:lang w:val="en-GB"/>
              </w:rPr>
            </m:ctrlPr>
          </m:sSubPr>
          <m:e>
            <m:r>
              <w:rPr>
                <w:rFonts w:ascii="Cambria Math" w:hAnsi="Cambria Math"/>
                <w:color w:val="000000" w:themeColor="text1"/>
                <w:lang w:val="en-GB"/>
              </w:rPr>
              <m:t>F</m:t>
            </m:r>
          </m:e>
          <m:sub>
            <m:r>
              <w:rPr>
                <w:rFonts w:ascii="Cambria Math" w:hAnsi="Cambria Math"/>
                <w:color w:val="000000" w:themeColor="text1"/>
                <w:lang w:val="en-GB"/>
              </w:rPr>
              <m:t>adh</m:t>
            </m:r>
          </m:sub>
        </m:sSub>
        <m:r>
          <w:rPr>
            <w:rFonts w:ascii="Cambria Math" w:hAnsi="Cambria Math"/>
            <w:color w:val="000000" w:themeColor="text1"/>
            <w:lang w:val="en-GB"/>
          </w:rPr>
          <m:t>L≥G</m:t>
        </m:r>
        <m:sSub>
          <m:sSubPr>
            <m:ctrlPr>
              <w:rPr>
                <w:rFonts w:ascii="Cambria Math" w:eastAsiaTheme="minorEastAsia" w:hAnsi="Cambria Math"/>
                <w:color w:val="000000" w:themeColor="text1"/>
                <w:kern w:val="2"/>
                <w:lang w:val="en-GB"/>
                <w14:ligatures w14:val="standardContextual"/>
              </w:rPr>
            </m:ctrlPr>
          </m:sSubPr>
          <m:e>
            <m:r>
              <m:rPr>
                <m:sty m:val="p"/>
              </m:rPr>
              <w:rPr>
                <w:rFonts w:ascii="Cambria Math" w:hAnsi="Cambria Math"/>
                <w:color w:val="000000" w:themeColor="text1"/>
                <w:lang w:val="en-GB"/>
              </w:rPr>
              <m:t>L</m:t>
            </m:r>
          </m:e>
          <m:sub>
            <m:r>
              <m:rPr>
                <m:sty m:val="p"/>
              </m:rPr>
              <w:rPr>
                <w:rFonts w:ascii="Cambria Math" w:hAnsi="Cambria Math"/>
                <w:color w:val="000000" w:themeColor="text1"/>
                <w:lang w:val="en-GB"/>
              </w:rPr>
              <m:t>eff</m:t>
            </m:r>
          </m:sub>
        </m:sSub>
      </m:oMath>
      <w:r>
        <w:rPr>
          <w:iCs/>
          <w:color w:val="000000" w:themeColor="text1"/>
          <w:lang w:val="en-GB"/>
        </w:rPr>
        <w:t>)</w:t>
      </w:r>
      <w:r w:rsidRPr="00D712CE">
        <w:rPr>
          <w:iCs/>
          <w:color w:val="000000" w:themeColor="text1"/>
          <w:lang w:val="en-GB"/>
        </w:rPr>
        <w:t>.  Also,</w:t>
      </w:r>
      <w:r w:rsidRPr="00D712CE">
        <w:rPr>
          <w:color w:val="000000" w:themeColor="text1"/>
          <w:lang w:val="en-GB"/>
        </w:rPr>
        <w:t xml:space="preserve"> </w:t>
      </w:r>
      <m:oMath>
        <m:sSub>
          <m:sSubPr>
            <m:ctrlPr>
              <w:rPr>
                <w:rFonts w:ascii="Cambria Math" w:eastAsiaTheme="minorEastAsia" w:hAnsi="Cambria Math"/>
                <w:i/>
                <w:color w:val="000000" w:themeColor="text1"/>
                <w:kern w:val="2"/>
                <w:lang w:val="en-GB"/>
                <w14:ligatures w14:val="standardContextual"/>
              </w:rPr>
            </m:ctrlPr>
          </m:sSubPr>
          <m:e>
            <m:r>
              <w:rPr>
                <w:rFonts w:ascii="Cambria Math" w:hAnsi="Cambria Math"/>
                <w:color w:val="000000" w:themeColor="text1"/>
                <w:lang w:val="en-GB"/>
              </w:rPr>
              <m:t>L</m:t>
            </m:r>
          </m:e>
          <m:sub>
            <m:r>
              <w:rPr>
                <w:rFonts w:ascii="Cambria Math" w:hAnsi="Cambria Math"/>
                <w:color w:val="000000" w:themeColor="text1"/>
                <w:lang w:val="en-GB"/>
              </w:rPr>
              <m:t>m</m:t>
            </m:r>
          </m:sub>
        </m:sSub>
      </m:oMath>
      <w:r w:rsidRPr="00D712CE">
        <w:rPr>
          <w:color w:val="000000" w:themeColor="text1"/>
          <w:lang w:val="en-GB"/>
        </w:rPr>
        <w:t xml:space="preserve"> is the </w:t>
      </w:r>
      <w:r>
        <w:rPr>
          <w:color w:val="000000" w:themeColor="text1"/>
          <w:lang w:val="en-GB"/>
        </w:rPr>
        <w:t xml:space="preserve">solution by solving equations (3) and (4) for </w:t>
      </w:r>
      <w:r w:rsidRPr="00D712CE">
        <w:rPr>
          <w:color w:val="000000" w:themeColor="text1"/>
          <w:lang w:val="en-GB"/>
        </w:rPr>
        <w:t>maximum channel length</w:t>
      </w:r>
      <w:r>
        <w:rPr>
          <w:color w:val="000000" w:themeColor="text1"/>
          <w:lang w:val="en-GB"/>
        </w:rPr>
        <w:t xml:space="preserve">.  The channel length becomes </w:t>
      </w:r>
      <m:oMath>
        <m:sSub>
          <m:sSubPr>
            <m:ctrlPr>
              <w:rPr>
                <w:rFonts w:ascii="Cambria Math" w:eastAsiaTheme="minorEastAsia" w:hAnsi="Cambria Math"/>
                <w:i/>
                <w:color w:val="000000" w:themeColor="text1"/>
                <w:kern w:val="2"/>
                <w:lang w:val="en-GB"/>
                <w14:ligatures w14:val="standardContextual"/>
              </w:rPr>
            </m:ctrlPr>
          </m:sSubPr>
          <m:e>
            <m:r>
              <w:rPr>
                <w:rFonts w:ascii="Cambria Math" w:hAnsi="Cambria Math"/>
                <w:color w:val="000000" w:themeColor="text1"/>
                <w:lang w:val="en-GB"/>
              </w:rPr>
              <m:t>L</m:t>
            </m:r>
          </m:e>
          <m:sub>
            <m:r>
              <w:rPr>
                <w:rFonts w:ascii="Cambria Math" w:hAnsi="Cambria Math"/>
                <w:color w:val="000000" w:themeColor="text1"/>
                <w:lang w:val="en-GB"/>
              </w:rPr>
              <m:t>m</m:t>
            </m:r>
          </m:sub>
        </m:sSub>
      </m:oMath>
      <w:r w:rsidRPr="00D712CE">
        <w:rPr>
          <w:color w:val="000000" w:themeColor="text1"/>
          <w:lang w:val="en-GB"/>
        </w:rPr>
        <w:t xml:space="preserve"> </w:t>
      </w:r>
      <w:r>
        <w:rPr>
          <w:color w:val="000000" w:themeColor="text1"/>
          <w:lang w:val="en-GB"/>
        </w:rPr>
        <w:t xml:space="preserve">only when the channel length optimization is </w:t>
      </w:r>
      <w:r w:rsidRPr="00D712CE">
        <w:rPr>
          <w:color w:val="000000" w:themeColor="text1"/>
          <w:lang w:val="en-GB"/>
        </w:rPr>
        <w:t xml:space="preserve">only </w:t>
      </w:r>
      <w:r>
        <w:rPr>
          <w:color w:val="000000" w:themeColor="text1"/>
          <w:lang w:val="en-GB"/>
        </w:rPr>
        <w:t xml:space="preserve">governed by </w:t>
      </w:r>
      <w:r w:rsidRPr="00D712CE">
        <w:rPr>
          <w:color w:val="000000" w:themeColor="text1"/>
          <w:lang w:val="en-GB"/>
        </w:rPr>
        <w:t>the ionic biogel overflow</w:t>
      </w:r>
      <w:r>
        <w:rPr>
          <w:color w:val="000000" w:themeColor="text1"/>
          <w:lang w:val="en-GB"/>
        </w:rPr>
        <w:t>,</w:t>
      </w:r>
      <w:r w:rsidRPr="00D712CE">
        <w:rPr>
          <w:color w:val="000000" w:themeColor="text1"/>
          <w:lang w:val="en-GB"/>
        </w:rPr>
        <w:t xml:space="preserve"> and is </w:t>
      </w:r>
      <w:r>
        <w:rPr>
          <w:color w:val="000000" w:themeColor="text1"/>
          <w:lang w:val="en-GB"/>
        </w:rPr>
        <w:t>solved from</w:t>
      </w:r>
    </w:p>
    <w:p w14:paraId="31041ABB" w14:textId="7D7C79A6" w:rsidR="002D436A" w:rsidRPr="00D712CE" w:rsidRDefault="002D436A" w:rsidP="002D436A">
      <w:pPr>
        <w:tabs>
          <w:tab w:val="center" w:pos="4680"/>
          <w:tab w:val="right" w:pos="9360"/>
        </w:tabs>
        <w:spacing w:line="480" w:lineRule="auto"/>
        <w:jc w:val="both"/>
        <w:rPr>
          <w:rFonts w:eastAsiaTheme="minorEastAsia"/>
          <w:color w:val="000000" w:themeColor="text1"/>
          <w:lang w:val="en-GB"/>
        </w:rPr>
      </w:pPr>
      <w:r>
        <w:rPr>
          <w:rFonts w:eastAsiaTheme="minorEastAsia"/>
          <w:iCs/>
          <w:color w:val="000000" w:themeColor="text1"/>
          <w:kern w:val="2"/>
          <w:lang w:val="en-GB"/>
          <w14:ligatures w14:val="standardContextual"/>
        </w:rPr>
        <w:tab/>
      </w:r>
      <m:oMath>
        <m:r>
          <w:rPr>
            <w:rFonts w:ascii="Cambria Math" w:hAnsi="Cambria Math"/>
            <w:color w:val="000000" w:themeColor="text1"/>
            <w:lang w:val="en-GB"/>
          </w:rPr>
          <m:t>πρgW</m:t>
        </m:r>
        <m:sSubSup>
          <m:sSubSupPr>
            <m:ctrlPr>
              <w:rPr>
                <w:rFonts w:ascii="Cambria Math" w:hAnsi="Cambria Math"/>
                <w:i/>
                <w:color w:val="000000" w:themeColor="text1"/>
                <w:lang w:val="en-GB"/>
              </w:rPr>
            </m:ctrlPr>
          </m:sSubSupPr>
          <m:e>
            <m:r>
              <w:rPr>
                <w:rFonts w:ascii="Cambria Math" w:hAnsi="Cambria Math"/>
                <w:color w:val="000000" w:themeColor="text1"/>
                <w:lang w:val="en-GB"/>
              </w:rPr>
              <m:t>L</m:t>
            </m:r>
          </m:e>
          <m:sub>
            <m:r>
              <w:rPr>
                <w:rFonts w:ascii="Cambria Math" w:hAnsi="Cambria Math"/>
                <w:color w:val="000000" w:themeColor="text1"/>
                <w:lang w:val="en-GB"/>
              </w:rPr>
              <m:t>m</m:t>
            </m:r>
          </m:sub>
          <m:sup>
            <m:r>
              <w:rPr>
                <w:rFonts w:ascii="Cambria Math" w:hAnsi="Cambria Math"/>
                <w:color w:val="000000" w:themeColor="text1"/>
                <w:lang w:val="en-GB"/>
              </w:rPr>
              <m:t>4</m:t>
            </m:r>
          </m:sup>
        </m:sSubSup>
        <m:r>
          <w:rPr>
            <w:rFonts w:ascii="Cambria Math" w:hAnsi="Cambria Math"/>
            <w:color w:val="000000" w:themeColor="text1"/>
            <w:lang w:val="en-GB"/>
          </w:rPr>
          <m:t>-2πζ</m:t>
        </m:r>
        <m:sSubSup>
          <m:sSubSupPr>
            <m:ctrlPr>
              <w:rPr>
                <w:rFonts w:ascii="Cambria Math" w:hAnsi="Cambria Math"/>
                <w:i/>
                <w:color w:val="000000" w:themeColor="text1"/>
                <w:lang w:val="en-GB"/>
              </w:rPr>
            </m:ctrlPr>
          </m:sSubSupPr>
          <m:e>
            <m:r>
              <w:rPr>
                <w:rFonts w:ascii="Cambria Math" w:hAnsi="Cambria Math"/>
                <w:color w:val="000000" w:themeColor="text1"/>
                <w:lang w:val="en-GB"/>
              </w:rPr>
              <m:t>L</m:t>
            </m:r>
          </m:e>
          <m:sub>
            <m:r>
              <w:rPr>
                <w:rFonts w:ascii="Cambria Math" w:hAnsi="Cambria Math"/>
                <w:color w:val="000000" w:themeColor="text1"/>
                <w:lang w:val="en-GB"/>
              </w:rPr>
              <m:t>m</m:t>
            </m:r>
          </m:sub>
          <m:sup>
            <m:r>
              <w:rPr>
                <w:rFonts w:ascii="Cambria Math" w:hAnsi="Cambria Math"/>
                <w:color w:val="000000" w:themeColor="text1"/>
                <w:lang w:val="en-GB"/>
              </w:rPr>
              <m:t>3</m:t>
            </m:r>
          </m:sup>
        </m:sSubSup>
        <m:func>
          <m:funcPr>
            <m:ctrlPr>
              <w:rPr>
                <w:rFonts w:ascii="Cambria Math" w:eastAsiaTheme="minorEastAsia" w:hAnsi="Cambria Math"/>
                <w:i/>
                <w:iCs/>
                <w:color w:val="000000" w:themeColor="text1"/>
                <w:kern w:val="2"/>
                <w:lang w:val="en-GB"/>
                <w14:ligatures w14:val="standardContextual"/>
              </w:rPr>
            </m:ctrlPr>
          </m:funcPr>
          <m:fName>
            <m:r>
              <m:rPr>
                <m:sty m:val="p"/>
              </m:rPr>
              <w:rPr>
                <w:rFonts w:ascii="Cambria Math" w:hAnsi="Cambria Math"/>
                <w:color w:val="000000" w:themeColor="text1"/>
                <w:lang w:val="en-GB"/>
              </w:rPr>
              <m:t>cos</m:t>
            </m:r>
          </m:fName>
          <m:e>
            <m:r>
              <w:rPr>
                <w:rFonts w:ascii="Cambria Math" w:hAnsi="Cambria Math"/>
                <w:color w:val="000000" w:themeColor="text1"/>
                <w:lang w:val="en-GB"/>
              </w:rPr>
              <m:t>θ</m:t>
            </m:r>
          </m:e>
        </m:func>
        <m:r>
          <w:rPr>
            <w:rFonts w:ascii="Cambria Math" w:hAnsi="Cambria Math"/>
            <w:color w:val="000000" w:themeColor="text1"/>
            <w:lang w:val="en-GB"/>
          </w:rPr>
          <m:t>=</m:t>
        </m:r>
        <m:f>
          <m:fPr>
            <m:ctrlPr>
              <w:rPr>
                <w:rFonts w:ascii="Cambria Math" w:hAnsi="Cambria Math"/>
                <w:i/>
                <w:color w:val="000000" w:themeColor="text1"/>
                <w:lang w:val="en-GB"/>
              </w:rPr>
            </m:ctrlPr>
          </m:fPr>
          <m:num>
            <m:r>
              <w:rPr>
                <w:rFonts w:ascii="Cambria Math" w:hAnsi="Cambria Math"/>
                <w:color w:val="000000" w:themeColor="text1"/>
                <w:lang w:val="en-GB"/>
              </w:rPr>
              <m:t>32μ(T)π</m:t>
            </m:r>
            <m:sSup>
              <m:sSupPr>
                <m:ctrlPr>
                  <w:rPr>
                    <w:rFonts w:ascii="Cambria Math" w:eastAsiaTheme="minorEastAsia" w:hAnsi="Cambria Math"/>
                    <w:i/>
                    <w:iCs/>
                    <w:color w:val="000000" w:themeColor="text1"/>
                    <w:kern w:val="2"/>
                    <w:lang w:val="en-GB"/>
                    <w14:ligatures w14:val="standardContextual"/>
                  </w:rPr>
                </m:ctrlPr>
              </m:sSupPr>
              <m:e>
                <m:r>
                  <w:rPr>
                    <w:rFonts w:ascii="Cambria Math" w:hAnsi="Cambria Math"/>
                    <w:color w:val="000000" w:themeColor="text1"/>
                    <w:lang w:val="en-GB"/>
                  </w:rPr>
                  <m:t>W</m:t>
                </m:r>
              </m:e>
              <m:sup>
                <m:r>
                  <w:rPr>
                    <w:rFonts w:ascii="Cambria Math" w:hAnsi="Cambria Math"/>
                    <w:color w:val="000000" w:themeColor="text1"/>
                    <w:lang w:val="en-GB"/>
                  </w:rPr>
                  <m:t>2</m:t>
                </m:r>
              </m:sup>
            </m:sSup>
            <m:sSubSup>
              <m:sSubSupPr>
                <m:ctrlPr>
                  <w:rPr>
                    <w:rFonts w:ascii="Cambria Math" w:hAnsi="Cambria Math"/>
                    <w:i/>
                    <w:color w:val="000000" w:themeColor="text1"/>
                    <w:lang w:val="en-GB"/>
                  </w:rPr>
                </m:ctrlPr>
              </m:sSubSupPr>
              <m:e>
                <m:r>
                  <w:rPr>
                    <w:rFonts w:ascii="Cambria Math" w:hAnsi="Cambria Math"/>
                    <w:color w:val="000000" w:themeColor="text1"/>
                    <w:lang w:val="en-GB"/>
                  </w:rPr>
                  <m:t>L</m:t>
                </m:r>
              </m:e>
              <m:sub>
                <m:r>
                  <w:rPr>
                    <w:rFonts w:ascii="Cambria Math" w:hAnsi="Cambria Math"/>
                    <w:color w:val="000000" w:themeColor="text1"/>
                    <w:lang w:val="en-GB"/>
                  </w:rPr>
                  <m:t>overflow</m:t>
                </m:r>
              </m:sub>
              <m:sup>
                <m:r>
                  <w:rPr>
                    <w:rFonts w:ascii="Cambria Math" w:hAnsi="Cambria Math"/>
                    <w:color w:val="000000" w:themeColor="text1"/>
                    <w:lang w:val="en-GB"/>
                  </w:rPr>
                  <m:t>2</m:t>
                </m:r>
              </m:sup>
            </m:sSubSup>
          </m:num>
          <m:den>
            <m:r>
              <w:rPr>
                <w:rFonts w:ascii="Cambria Math" w:hAnsi="Cambria Math"/>
                <w:color w:val="000000" w:themeColor="text1"/>
                <w:lang w:val="en-GB"/>
              </w:rPr>
              <m:t>ω</m:t>
            </m:r>
          </m:den>
        </m:f>
      </m:oMath>
      <w:r>
        <w:rPr>
          <w:rFonts w:eastAsiaTheme="minorEastAsia"/>
          <w:color w:val="000000" w:themeColor="text1"/>
          <w:lang w:val="en-GB"/>
        </w:rPr>
        <w:t>.</w:t>
      </w:r>
      <w:r>
        <w:rPr>
          <w:rFonts w:eastAsiaTheme="minorEastAsia"/>
          <w:color w:val="000000" w:themeColor="text1"/>
          <w:lang w:val="en-GB"/>
        </w:rPr>
        <w:tab/>
        <w:t>(</w:t>
      </w:r>
      <w:r w:rsidR="00A62E2B">
        <w:rPr>
          <w:rFonts w:eastAsiaTheme="minorEastAsia"/>
          <w:color w:val="000000" w:themeColor="text1"/>
          <w:lang w:val="en-GB"/>
        </w:rPr>
        <w:t>S33</w:t>
      </w:r>
      <w:r>
        <w:rPr>
          <w:rFonts w:eastAsiaTheme="minorEastAsia"/>
          <w:color w:val="000000" w:themeColor="text1"/>
          <w:lang w:val="en-GB"/>
        </w:rPr>
        <w:t>)</w:t>
      </w:r>
    </w:p>
    <w:p w14:paraId="058250CD" w14:textId="77777777" w:rsidR="002D436A" w:rsidRPr="00D712CE" w:rsidRDefault="002D436A" w:rsidP="002D436A">
      <w:pPr>
        <w:spacing w:line="480" w:lineRule="auto"/>
        <w:jc w:val="both"/>
        <w:rPr>
          <w:color w:val="000000" w:themeColor="text1"/>
          <w:lang w:val="en-GB"/>
        </w:rPr>
      </w:pPr>
      <w:r>
        <w:rPr>
          <w:color w:val="000000" w:themeColor="text1"/>
          <w:lang w:val="en-GB"/>
        </w:rPr>
        <w:t xml:space="preserve">With an </w:t>
      </w:r>
      <w:r w:rsidRPr="00D712CE">
        <w:rPr>
          <w:color w:val="000000" w:themeColor="text1"/>
          <w:lang w:val="en-GB"/>
        </w:rPr>
        <w:t xml:space="preserve">active control of temperature </w:t>
      </w:r>
      <m:oMath>
        <m:r>
          <w:rPr>
            <w:rFonts w:ascii="Cambria Math" w:hAnsi="Cambria Math"/>
            <w:color w:val="000000" w:themeColor="text1"/>
            <w:lang w:val="en-GB"/>
          </w:rPr>
          <m:t>T</m:t>
        </m:r>
      </m:oMath>
      <w:r w:rsidRPr="00D712CE">
        <w:rPr>
          <w:color w:val="000000" w:themeColor="text1"/>
          <w:lang w:val="en-GB"/>
        </w:rPr>
        <w:t xml:space="preserve"> and passive control of time </w:t>
      </w:r>
      <m:oMath>
        <m:r>
          <w:rPr>
            <w:rFonts w:ascii="Cambria Math" w:hAnsi="Cambria Math"/>
            <w:color w:val="000000" w:themeColor="text1"/>
            <w:lang w:val="en-GB"/>
          </w:rPr>
          <m:t>ω</m:t>
        </m:r>
      </m:oMath>
      <w:r w:rsidRPr="00D712CE">
        <w:rPr>
          <w:color w:val="000000" w:themeColor="text1"/>
          <w:lang w:val="en-GB"/>
        </w:rPr>
        <w:t>, the channel length</w:t>
      </w:r>
      <w:r>
        <w:rPr>
          <w:color w:val="000000" w:themeColor="text1"/>
          <w:lang w:val="en-GB"/>
        </w:rPr>
        <w:t xml:space="preserve"> </w:t>
      </w:r>
      <m:oMath>
        <m:r>
          <w:rPr>
            <w:rFonts w:ascii="Cambria Math" w:eastAsiaTheme="minorEastAsia" w:hAnsi="Cambria Math"/>
            <w:color w:val="000000" w:themeColor="text1"/>
            <w:kern w:val="2"/>
            <w:lang w:val="en-GB"/>
            <w14:ligatures w14:val="standardContextual"/>
          </w:rPr>
          <m:t>L</m:t>
        </m:r>
      </m:oMath>
      <w:r w:rsidRPr="00D712CE">
        <w:rPr>
          <w:color w:val="000000" w:themeColor="text1"/>
          <w:lang w:val="en-GB"/>
        </w:rPr>
        <w:t xml:space="preserve"> </w:t>
      </w:r>
      <w:r>
        <w:rPr>
          <w:color w:val="000000" w:themeColor="text1"/>
          <w:lang w:val="en-GB"/>
        </w:rPr>
        <w:t>is</w:t>
      </w:r>
      <w:r w:rsidRPr="00D712CE">
        <w:rPr>
          <w:color w:val="000000" w:themeColor="text1"/>
          <w:lang w:val="en-GB"/>
        </w:rPr>
        <w:t xml:space="preserve"> determined by </w:t>
      </w:r>
      <m:oMath>
        <m:sSub>
          <m:sSubPr>
            <m:ctrlPr>
              <w:rPr>
                <w:rFonts w:ascii="Cambria Math" w:eastAsiaTheme="minorEastAsia" w:hAnsi="Cambria Math"/>
                <w:i/>
                <w:color w:val="000000" w:themeColor="text1"/>
                <w:kern w:val="2"/>
                <w:lang w:val="en-GB"/>
                <w14:ligatures w14:val="standardContextual"/>
              </w:rPr>
            </m:ctrlPr>
          </m:sSubPr>
          <m:e>
            <m:r>
              <w:rPr>
                <w:rFonts w:ascii="Cambria Math" w:hAnsi="Cambria Math"/>
                <w:color w:val="000000" w:themeColor="text1"/>
                <w:lang w:val="en-GB"/>
              </w:rPr>
              <m:t>L</m:t>
            </m:r>
          </m:e>
          <m:sub>
            <m:r>
              <w:rPr>
                <w:rFonts w:ascii="Cambria Math" w:hAnsi="Cambria Math"/>
                <w:color w:val="000000" w:themeColor="text1"/>
                <w:lang w:val="en-GB"/>
              </w:rPr>
              <m:t>m</m:t>
            </m:r>
          </m:sub>
        </m:sSub>
      </m:oMath>
      <w:r w:rsidRPr="00D712CE">
        <w:rPr>
          <w:color w:val="000000" w:themeColor="text1"/>
          <w:lang w:val="en-GB"/>
        </w:rPr>
        <w:t xml:space="preserve">, </w:t>
      </w:r>
      <w:r>
        <w:rPr>
          <w:color w:val="000000" w:themeColor="text1"/>
          <w:lang w:val="en-GB"/>
        </w:rPr>
        <w:t xml:space="preserve">i.e. optimization governed by ionic biogel overflow, </w:t>
      </w:r>
      <w:r w:rsidRPr="00D712CE">
        <w:rPr>
          <w:color w:val="000000" w:themeColor="text1"/>
          <w:lang w:val="en-GB"/>
        </w:rPr>
        <w:t xml:space="preserve">therefore, </w:t>
      </w:r>
    </w:p>
    <w:p w14:paraId="73628C48" w14:textId="10FBC71E" w:rsidR="002D436A" w:rsidRPr="00D712CE" w:rsidRDefault="002D436A" w:rsidP="002D436A">
      <w:pPr>
        <w:tabs>
          <w:tab w:val="center" w:pos="4680"/>
          <w:tab w:val="right" w:pos="9360"/>
        </w:tabs>
        <w:spacing w:line="480" w:lineRule="auto"/>
        <w:jc w:val="both"/>
        <w:rPr>
          <w:color w:val="000000" w:themeColor="text1"/>
          <w:lang w:val="en-GB"/>
        </w:rPr>
      </w:pPr>
      <w:r>
        <w:rPr>
          <w:rFonts w:eastAsiaTheme="minorEastAsia"/>
          <w:iCs/>
          <w:color w:val="000000" w:themeColor="text1"/>
          <w:kern w:val="2"/>
          <w:lang w:val="en-GB"/>
          <w14:ligatures w14:val="standardContextual"/>
        </w:rPr>
        <w:tab/>
      </w:r>
      <m:oMath>
        <m:r>
          <w:rPr>
            <w:rFonts w:ascii="Cambria Math" w:eastAsiaTheme="minorEastAsia" w:hAnsi="Cambria Math"/>
            <w:color w:val="000000" w:themeColor="text1"/>
            <w:kern w:val="2"/>
            <w:lang w:val="en-GB"/>
            <w14:ligatures w14:val="standardContextual"/>
          </w:rPr>
          <m:t>L=</m:t>
        </m:r>
        <m:sSub>
          <m:sSubPr>
            <m:ctrlPr>
              <w:rPr>
                <w:rFonts w:ascii="Cambria Math" w:eastAsiaTheme="minorEastAsia" w:hAnsi="Cambria Math"/>
                <w:i/>
                <w:color w:val="000000" w:themeColor="text1"/>
                <w:kern w:val="2"/>
                <w:lang w:val="en-GB"/>
                <w14:ligatures w14:val="standardContextual"/>
              </w:rPr>
            </m:ctrlPr>
          </m:sSubPr>
          <m:e>
            <m:r>
              <w:rPr>
                <w:rFonts w:ascii="Cambria Math" w:hAnsi="Cambria Math"/>
                <w:color w:val="000000" w:themeColor="text1"/>
                <w:lang w:val="en-GB"/>
              </w:rPr>
              <m:t>L</m:t>
            </m:r>
          </m:e>
          <m:sub>
            <m:r>
              <w:rPr>
                <w:rFonts w:ascii="Cambria Math" w:hAnsi="Cambria Math"/>
                <w:color w:val="000000" w:themeColor="text1"/>
                <w:lang w:val="en-GB"/>
              </w:rPr>
              <m:t>m</m:t>
            </m:r>
          </m:sub>
        </m:sSub>
        <m:r>
          <w:rPr>
            <w:rFonts w:ascii="Cambria Math" w:hAnsi="Cambria Math"/>
            <w:color w:val="000000" w:themeColor="text1"/>
            <w:lang w:val="en-GB"/>
          </w:rPr>
          <m:t>&gt;</m:t>
        </m:r>
        <m:rad>
          <m:radPr>
            <m:degHide m:val="1"/>
            <m:ctrlPr>
              <w:rPr>
                <w:rFonts w:ascii="Cambria Math" w:eastAsiaTheme="minorEastAsia" w:hAnsi="Cambria Math"/>
                <w:i/>
                <w:color w:val="000000" w:themeColor="text1"/>
                <w:kern w:val="2"/>
                <w:lang w:val="en-GB"/>
                <w14:ligatures w14:val="standardContextual"/>
              </w:rPr>
            </m:ctrlPr>
          </m:radPr>
          <m:deg/>
          <m:e>
            <m:f>
              <m:fPr>
                <m:ctrlPr>
                  <w:rPr>
                    <w:rFonts w:ascii="Cambria Math" w:eastAsiaTheme="minorEastAsia" w:hAnsi="Cambria Math"/>
                    <w:i/>
                    <w:color w:val="000000" w:themeColor="text1"/>
                    <w:kern w:val="2"/>
                    <w:lang w:val="en-GB"/>
                    <w14:ligatures w14:val="standardContextual"/>
                  </w:rPr>
                </m:ctrlPr>
              </m:fPr>
              <m:num>
                <m:r>
                  <w:rPr>
                    <w:rFonts w:ascii="Cambria Math" w:hAnsi="Cambria Math"/>
                    <w:color w:val="000000" w:themeColor="text1"/>
                    <w:lang w:val="en-GB"/>
                  </w:rPr>
                  <m:t>64ρg</m:t>
                </m:r>
                <m:sSubSup>
                  <m:sSubSupPr>
                    <m:ctrlPr>
                      <w:rPr>
                        <w:rFonts w:ascii="Cambria Math" w:hAnsi="Cambria Math"/>
                        <w:i/>
                        <w:color w:val="000000" w:themeColor="text1"/>
                        <w:lang w:val="en-GB"/>
                      </w:rPr>
                    </m:ctrlPr>
                  </m:sSubSupPr>
                  <m:e>
                    <m:r>
                      <w:rPr>
                        <w:rFonts w:ascii="Cambria Math" w:hAnsi="Cambria Math"/>
                        <w:color w:val="000000" w:themeColor="text1"/>
                        <w:lang w:val="en-GB"/>
                      </w:rPr>
                      <m:t>L</m:t>
                    </m:r>
                  </m:e>
                  <m:sub>
                    <m:r>
                      <m:rPr>
                        <m:sty m:val="p"/>
                      </m:rPr>
                      <w:rPr>
                        <w:rFonts w:ascii="Cambria Math" w:hAnsi="Cambria Math"/>
                        <w:color w:val="000000" w:themeColor="text1"/>
                        <w:lang w:val="en-GB"/>
                      </w:rPr>
                      <m:t>eff</m:t>
                    </m:r>
                  </m:sub>
                  <m:sup>
                    <m:r>
                      <w:rPr>
                        <w:rFonts w:ascii="Cambria Math" w:hAnsi="Cambria Math"/>
                        <w:color w:val="000000" w:themeColor="text1"/>
                        <w:lang w:val="en-GB"/>
                      </w:rPr>
                      <m:t>3</m:t>
                    </m:r>
                  </m:sup>
                </m:sSubSup>
              </m:num>
              <m:den>
                <m:sSup>
                  <m:sSupPr>
                    <m:ctrlPr>
                      <w:rPr>
                        <w:rFonts w:ascii="Cambria Math" w:eastAsiaTheme="minorEastAsia" w:hAnsi="Cambria Math"/>
                        <w:i/>
                        <w:color w:val="000000" w:themeColor="text1"/>
                        <w:kern w:val="2"/>
                        <w:lang w:val="en-GB"/>
                        <w14:ligatures w14:val="standardContextual"/>
                      </w:rPr>
                    </m:ctrlPr>
                  </m:sSupPr>
                  <m:e>
                    <m:r>
                      <w:rPr>
                        <w:rFonts w:ascii="Cambria Math" w:hAnsi="Cambria Math"/>
                        <w:color w:val="000000" w:themeColor="text1"/>
                        <w:lang w:val="en-GB"/>
                      </w:rPr>
                      <m:t>π</m:t>
                    </m:r>
                  </m:e>
                  <m:sup>
                    <m:r>
                      <w:rPr>
                        <w:rFonts w:ascii="Cambria Math" w:hAnsi="Cambria Math"/>
                        <w:color w:val="000000" w:themeColor="text1"/>
                        <w:lang w:val="en-GB"/>
                      </w:rPr>
                      <m:t>2</m:t>
                    </m:r>
                  </m:sup>
                </m:sSup>
                <m:r>
                  <w:rPr>
                    <w:rFonts w:ascii="Cambria Math" w:hAnsi="Cambria Math"/>
                    <w:color w:val="000000" w:themeColor="text1"/>
                    <w:lang w:val="en-GB"/>
                  </w:rPr>
                  <m:t>E</m:t>
                </m:r>
              </m:den>
            </m:f>
          </m:e>
        </m:rad>
      </m:oMath>
      <w:r>
        <w:rPr>
          <w:rFonts w:eastAsiaTheme="minorEastAsia"/>
          <w:color w:val="000000" w:themeColor="text1"/>
          <w:kern w:val="2"/>
          <w:lang w:val="en-GB"/>
          <w14:ligatures w14:val="standardContextual"/>
        </w:rPr>
        <w:t>.</w:t>
      </w:r>
      <w:r>
        <w:rPr>
          <w:rFonts w:eastAsiaTheme="minorEastAsia"/>
          <w:iCs/>
          <w:color w:val="000000" w:themeColor="text1"/>
          <w:kern w:val="2"/>
          <w:lang w:val="en-GB"/>
          <w14:ligatures w14:val="standardContextual"/>
        </w:rPr>
        <w:tab/>
        <w:t>(</w:t>
      </w:r>
      <w:r w:rsidR="00A62E2B">
        <w:rPr>
          <w:rFonts w:eastAsiaTheme="minorEastAsia"/>
          <w:iCs/>
          <w:color w:val="000000" w:themeColor="text1"/>
          <w:kern w:val="2"/>
          <w:lang w:val="en-GB"/>
          <w14:ligatures w14:val="standardContextual"/>
        </w:rPr>
        <w:t>S34</w:t>
      </w:r>
      <w:r>
        <w:rPr>
          <w:rFonts w:eastAsiaTheme="minorEastAsia"/>
          <w:iCs/>
          <w:color w:val="000000" w:themeColor="text1"/>
          <w:kern w:val="2"/>
          <w:lang w:val="en-GB"/>
          <w14:ligatures w14:val="standardContextual"/>
        </w:rPr>
        <w:t>)</w:t>
      </w:r>
    </w:p>
    <w:p w14:paraId="26AC8EC2" w14:textId="77777777" w:rsidR="002D436A" w:rsidRDefault="002D436A" w:rsidP="002D436A">
      <w:pPr>
        <w:spacing w:line="480" w:lineRule="auto"/>
        <w:jc w:val="both"/>
        <w:rPr>
          <w:color w:val="000000" w:themeColor="text1"/>
          <w:lang w:val="en-GB"/>
        </w:rPr>
      </w:pPr>
      <w:r w:rsidRPr="00D712CE">
        <w:rPr>
          <w:iCs/>
          <w:color w:val="000000" w:themeColor="text1"/>
          <w:lang w:val="en-GB"/>
        </w:rPr>
        <w:t xml:space="preserve">Assuming </w:t>
      </w:r>
      <m:oMath>
        <m:sSub>
          <m:sSubPr>
            <m:ctrlPr>
              <w:rPr>
                <w:rFonts w:ascii="Cambria Math" w:eastAsiaTheme="minorEastAsia" w:hAnsi="Cambria Math"/>
                <w:color w:val="000000" w:themeColor="text1"/>
                <w:kern w:val="2"/>
                <w:lang w:val="en-GB"/>
                <w14:ligatures w14:val="standardContextual"/>
              </w:rPr>
            </m:ctrlPr>
          </m:sSubPr>
          <m:e>
            <m:r>
              <m:rPr>
                <m:sty m:val="p"/>
              </m:rPr>
              <w:rPr>
                <w:rFonts w:ascii="Cambria Math" w:hAnsi="Cambria Math"/>
                <w:color w:val="000000" w:themeColor="text1"/>
                <w:lang w:val="en-GB"/>
              </w:rPr>
              <m:t>L</m:t>
            </m:r>
          </m:e>
          <m:sub>
            <m:r>
              <m:rPr>
                <m:sty m:val="p"/>
              </m:rPr>
              <w:rPr>
                <w:rFonts w:ascii="Cambria Math" w:hAnsi="Cambria Math"/>
                <w:color w:val="000000" w:themeColor="text1"/>
                <w:lang w:val="en-GB"/>
              </w:rPr>
              <m:t>eff</m:t>
            </m:r>
          </m:sub>
        </m:sSub>
      </m:oMath>
      <w:r w:rsidRPr="00D712CE">
        <w:rPr>
          <w:color w:val="000000" w:themeColor="text1"/>
          <w:lang w:val="en-GB"/>
        </w:rPr>
        <w:t xml:space="preserve"> </w:t>
      </w:r>
      <w:r>
        <w:rPr>
          <w:color w:val="000000" w:themeColor="text1"/>
          <w:lang w:val="en-GB"/>
        </w:rPr>
        <w:t>of</w:t>
      </w:r>
      <w:r w:rsidRPr="00D712CE">
        <w:rPr>
          <w:color w:val="000000" w:themeColor="text1"/>
          <w:lang w:val="en-GB"/>
        </w:rPr>
        <w:t xml:space="preserve"> 1 cm and equivalent modulus </w:t>
      </w:r>
      <m:oMath>
        <m:r>
          <w:rPr>
            <w:rFonts w:ascii="Cambria Math" w:hAnsi="Cambria Math"/>
            <w:color w:val="000000" w:themeColor="text1"/>
            <w:lang w:val="en-GB"/>
          </w:rPr>
          <m:t>E</m:t>
        </m:r>
      </m:oMath>
      <w:r w:rsidRPr="00D712CE">
        <w:rPr>
          <w:color w:val="000000" w:themeColor="text1"/>
          <w:lang w:val="en-GB"/>
        </w:rPr>
        <w:t xml:space="preserve"> </w:t>
      </w:r>
      <w:r>
        <w:rPr>
          <w:color w:val="000000" w:themeColor="text1"/>
          <w:lang w:val="en-GB"/>
        </w:rPr>
        <w:t>of</w:t>
      </w:r>
      <w:r w:rsidRPr="00D712CE">
        <w:rPr>
          <w:color w:val="000000" w:themeColor="text1"/>
          <w:lang w:val="en-GB"/>
        </w:rPr>
        <w:t xml:space="preserve"> 100 kPa</w:t>
      </w:r>
      <w:r>
        <w:rPr>
          <w:color w:val="000000" w:themeColor="text1"/>
          <w:lang w:val="en-GB"/>
        </w:rPr>
        <w:t xml:space="preserve"> gives a diameter of 2.6 mm</w:t>
      </w:r>
      <w:r w:rsidRPr="00D712CE">
        <w:rPr>
          <w:color w:val="000000" w:themeColor="text1"/>
          <w:lang w:val="en-GB"/>
        </w:rPr>
        <w:t xml:space="preserve">.  </w:t>
      </w:r>
      <w:r>
        <w:rPr>
          <w:color w:val="000000" w:themeColor="text1"/>
          <w:lang w:val="en-GB"/>
        </w:rPr>
        <w:t xml:space="preserve">Therefore, </w:t>
      </w:r>
      <w:r w:rsidRPr="00D712CE">
        <w:rPr>
          <w:color w:val="000000" w:themeColor="text1"/>
          <w:lang w:val="en-GB"/>
        </w:rPr>
        <w:t>maximizing transconductance</w:t>
      </w:r>
      <w:r>
        <w:rPr>
          <w:color w:val="000000" w:themeColor="text1"/>
          <w:lang w:val="en-GB"/>
        </w:rPr>
        <w:t xml:space="preserve"> leads to</w:t>
      </w:r>
      <w:r w:rsidRPr="00D712CE">
        <w:rPr>
          <w:color w:val="000000" w:themeColor="text1"/>
          <w:lang w:val="en-GB"/>
        </w:rPr>
        <w:t xml:space="preserve"> </w:t>
      </w:r>
      <w:r>
        <w:rPr>
          <w:color w:val="000000" w:themeColor="text1"/>
          <w:lang w:val="en-GB"/>
        </w:rPr>
        <w:t xml:space="preserve">the choice of </w:t>
      </w:r>
      <m:oMath>
        <m:r>
          <w:rPr>
            <w:rFonts w:ascii="Cambria Math" w:hAnsi="Cambria Math"/>
            <w:color w:val="000000" w:themeColor="text1"/>
            <w:lang w:val="en-GB"/>
          </w:rPr>
          <m:t>2.6 mm</m:t>
        </m:r>
      </m:oMath>
      <w:r w:rsidRPr="00D712CE">
        <w:rPr>
          <w:color w:val="000000" w:themeColor="text1"/>
          <w:lang w:val="en-GB"/>
        </w:rPr>
        <w:t xml:space="preserve"> as the optimized channel length.</w:t>
      </w:r>
    </w:p>
    <w:p w14:paraId="44ED71D5" w14:textId="77777777" w:rsidR="002D436A" w:rsidRPr="00D712CE" w:rsidRDefault="002D436A" w:rsidP="002D436A">
      <w:pPr>
        <w:spacing w:line="480" w:lineRule="auto"/>
        <w:jc w:val="both"/>
        <w:rPr>
          <w:color w:val="000000" w:themeColor="text1"/>
          <w:lang w:val="en-GB"/>
        </w:rPr>
      </w:pPr>
    </w:p>
    <w:p w14:paraId="6434CB8C" w14:textId="77777777" w:rsidR="002D436A" w:rsidRPr="00D712CE" w:rsidRDefault="002D436A" w:rsidP="002D436A">
      <w:pPr>
        <w:spacing w:line="480" w:lineRule="auto"/>
        <w:jc w:val="both"/>
        <w:rPr>
          <w:rFonts w:eastAsiaTheme="minorEastAsia"/>
          <w:iCs/>
          <w:color w:val="000000" w:themeColor="text1"/>
          <w:lang w:val="en-GB"/>
        </w:rPr>
      </w:pPr>
      <w:r>
        <w:rPr>
          <w:color w:val="000000" w:themeColor="text1"/>
          <w:lang w:val="en-GB"/>
        </w:rPr>
        <w:t>To</w:t>
      </w:r>
      <w:r w:rsidRPr="00D712CE">
        <w:rPr>
          <w:color w:val="000000" w:themeColor="text1"/>
          <w:lang w:val="en-GB"/>
        </w:rPr>
        <w:t xml:space="preserve"> </w:t>
      </w:r>
      <w:r>
        <w:rPr>
          <w:rFonts w:eastAsiaTheme="minorEastAsia"/>
          <w:iCs/>
          <w:color w:val="000000" w:themeColor="text1"/>
          <w:lang w:val="en-GB"/>
        </w:rPr>
        <w:t>e</w:t>
      </w:r>
      <w:r w:rsidRPr="00D712CE">
        <w:rPr>
          <w:rFonts w:eastAsiaTheme="minorEastAsia"/>
          <w:iCs/>
          <w:color w:val="000000" w:themeColor="text1"/>
          <w:lang w:val="en-GB"/>
        </w:rPr>
        <w:t>nsur</w:t>
      </w:r>
      <w:r>
        <w:rPr>
          <w:rFonts w:eastAsiaTheme="minorEastAsia"/>
          <w:iCs/>
          <w:color w:val="000000" w:themeColor="text1"/>
          <w:lang w:val="en-GB"/>
        </w:rPr>
        <w:t>e</w:t>
      </w:r>
      <w:r w:rsidRPr="00D712CE">
        <w:rPr>
          <w:iCs/>
          <w:color w:val="000000" w:themeColor="text1"/>
          <w:lang w:val="en-GB"/>
        </w:rPr>
        <w:t xml:space="preserve"> the overflow of the ionic biogel and stability, the temperature </w:t>
      </w:r>
      <w:r>
        <w:rPr>
          <w:iCs/>
          <w:color w:val="000000" w:themeColor="text1"/>
          <w:lang w:val="en-GB"/>
        </w:rPr>
        <w:t xml:space="preserve">to </w:t>
      </w:r>
      <w:r w:rsidRPr="00D712CE">
        <w:rPr>
          <w:iCs/>
          <w:color w:val="000000" w:themeColor="text1"/>
          <w:lang w:val="en-GB"/>
        </w:rPr>
        <w:t>be controlled is given by the inequality:</w:t>
      </w:r>
    </w:p>
    <w:p w14:paraId="5871AB86" w14:textId="3FD75122" w:rsidR="002D436A" w:rsidRPr="00D712CE" w:rsidRDefault="002D436A" w:rsidP="002D436A">
      <w:pPr>
        <w:tabs>
          <w:tab w:val="center" w:pos="4680"/>
          <w:tab w:val="right" w:pos="9360"/>
        </w:tabs>
        <w:spacing w:line="480" w:lineRule="auto"/>
        <w:jc w:val="both"/>
        <w:rPr>
          <w:iCs/>
          <w:color w:val="000000" w:themeColor="text1"/>
          <w:lang w:val="en-GB"/>
        </w:rPr>
      </w:pPr>
      <w:r>
        <w:rPr>
          <w:rFonts w:eastAsiaTheme="minorEastAsia"/>
          <w:iCs/>
          <w:color w:val="000000" w:themeColor="text1"/>
          <w:kern w:val="2"/>
          <w:lang w:val="en-GB"/>
          <w14:ligatures w14:val="standardContextual"/>
        </w:rPr>
        <w:tab/>
      </w:r>
      <m:oMath>
        <m:sSup>
          <m:sSupPr>
            <m:ctrlPr>
              <w:rPr>
                <w:rFonts w:ascii="Cambria Math" w:eastAsiaTheme="minorEastAsia" w:hAnsi="Cambria Math"/>
                <w:i/>
                <w:iCs/>
                <w:color w:val="000000" w:themeColor="text1"/>
                <w:kern w:val="2"/>
                <w:lang w:val="en-GB"/>
                <w14:ligatures w14:val="standardContextual"/>
              </w:rPr>
            </m:ctrlPr>
          </m:sSupPr>
          <m:e>
            <m:d>
              <m:dPr>
                <m:begChr m:val="["/>
                <m:endChr m:val="]"/>
                <m:ctrlPr>
                  <w:rPr>
                    <w:rFonts w:ascii="Cambria Math" w:eastAsiaTheme="minorEastAsia" w:hAnsi="Cambria Math"/>
                    <w:i/>
                    <w:iCs/>
                    <w:color w:val="000000" w:themeColor="text1"/>
                    <w:kern w:val="2"/>
                    <w:lang w:val="en-GB"/>
                    <w14:ligatures w14:val="standardContextual"/>
                  </w:rPr>
                </m:ctrlPr>
              </m:dPr>
              <m:e>
                <m:f>
                  <m:fPr>
                    <m:ctrlPr>
                      <w:rPr>
                        <w:rFonts w:ascii="Cambria Math" w:eastAsiaTheme="minorEastAsia" w:hAnsi="Cambria Math"/>
                        <w:i/>
                        <w:iCs/>
                        <w:color w:val="000000" w:themeColor="text1"/>
                        <w:kern w:val="2"/>
                        <w:lang w:val="en-GB"/>
                        <w14:ligatures w14:val="standardContextual"/>
                      </w:rPr>
                    </m:ctrlPr>
                  </m:fPr>
                  <m:num>
                    <m:r>
                      <w:rPr>
                        <w:rFonts w:ascii="Cambria Math" w:hAnsi="Cambria Math"/>
                        <w:color w:val="000000" w:themeColor="text1"/>
                        <w:lang w:val="en-GB"/>
                      </w:rPr>
                      <m:t>ω</m:t>
                    </m:r>
                    <m:d>
                      <m:dPr>
                        <m:ctrlPr>
                          <w:rPr>
                            <w:rFonts w:ascii="Cambria Math" w:eastAsiaTheme="minorEastAsia" w:hAnsi="Cambria Math"/>
                            <w:i/>
                            <w:iCs/>
                            <w:color w:val="000000" w:themeColor="text1"/>
                            <w:kern w:val="2"/>
                            <w:lang w:val="en-GB"/>
                            <w14:ligatures w14:val="standardContextual"/>
                          </w:rPr>
                        </m:ctrlPr>
                      </m:dPr>
                      <m:e>
                        <m:r>
                          <w:rPr>
                            <w:rFonts w:ascii="Cambria Math" w:hAnsi="Cambria Math"/>
                            <w:color w:val="000000" w:themeColor="text1"/>
                            <w:lang w:val="en-GB"/>
                          </w:rPr>
                          <m:t>πρgW</m:t>
                        </m:r>
                        <m:sSubSup>
                          <m:sSubSupPr>
                            <m:ctrlPr>
                              <w:rPr>
                                <w:rFonts w:ascii="Cambria Math" w:hAnsi="Cambria Math"/>
                                <w:i/>
                                <w:color w:val="000000" w:themeColor="text1"/>
                                <w:lang w:val="en-GB"/>
                              </w:rPr>
                            </m:ctrlPr>
                          </m:sSubSupPr>
                          <m:e>
                            <m:r>
                              <w:rPr>
                                <w:rFonts w:ascii="Cambria Math" w:hAnsi="Cambria Math"/>
                                <w:color w:val="000000" w:themeColor="text1"/>
                                <w:lang w:val="en-GB"/>
                              </w:rPr>
                              <m:t>L</m:t>
                            </m:r>
                          </m:e>
                          <m:sub>
                            <m:r>
                              <w:rPr>
                                <w:rFonts w:ascii="Cambria Math" w:hAnsi="Cambria Math"/>
                                <w:color w:val="000000" w:themeColor="text1"/>
                                <w:lang w:val="en-GB"/>
                              </w:rPr>
                              <m:t>m</m:t>
                            </m:r>
                          </m:sub>
                          <m:sup>
                            <m:r>
                              <w:rPr>
                                <w:rFonts w:ascii="Cambria Math" w:hAnsi="Cambria Math"/>
                                <w:color w:val="000000" w:themeColor="text1"/>
                                <w:lang w:val="en-GB"/>
                              </w:rPr>
                              <m:t>4</m:t>
                            </m:r>
                          </m:sup>
                        </m:sSubSup>
                        <m:r>
                          <w:rPr>
                            <w:rFonts w:ascii="Cambria Math" w:hAnsi="Cambria Math"/>
                            <w:color w:val="000000" w:themeColor="text1"/>
                            <w:lang w:val="en-GB"/>
                          </w:rPr>
                          <m:t>-2πζ</m:t>
                        </m:r>
                        <m:sSubSup>
                          <m:sSubSupPr>
                            <m:ctrlPr>
                              <w:rPr>
                                <w:rFonts w:ascii="Cambria Math" w:hAnsi="Cambria Math"/>
                                <w:i/>
                                <w:color w:val="000000" w:themeColor="text1"/>
                                <w:lang w:val="en-GB"/>
                              </w:rPr>
                            </m:ctrlPr>
                          </m:sSubSupPr>
                          <m:e>
                            <m:r>
                              <w:rPr>
                                <w:rFonts w:ascii="Cambria Math" w:hAnsi="Cambria Math"/>
                                <w:color w:val="000000" w:themeColor="text1"/>
                                <w:lang w:val="en-GB"/>
                              </w:rPr>
                              <m:t>L</m:t>
                            </m:r>
                          </m:e>
                          <m:sub>
                            <m:r>
                              <w:rPr>
                                <w:rFonts w:ascii="Cambria Math" w:hAnsi="Cambria Math"/>
                                <w:color w:val="000000" w:themeColor="text1"/>
                                <w:lang w:val="en-GB"/>
                              </w:rPr>
                              <m:t>m</m:t>
                            </m:r>
                          </m:sub>
                          <m:sup>
                            <m:r>
                              <w:rPr>
                                <w:rFonts w:ascii="Cambria Math" w:hAnsi="Cambria Math"/>
                                <w:color w:val="000000" w:themeColor="text1"/>
                                <w:lang w:val="en-GB"/>
                              </w:rPr>
                              <m:t>3</m:t>
                            </m:r>
                          </m:sup>
                        </m:sSubSup>
                        <m:func>
                          <m:funcPr>
                            <m:ctrlPr>
                              <w:rPr>
                                <w:rFonts w:ascii="Cambria Math" w:eastAsiaTheme="minorEastAsia" w:hAnsi="Cambria Math"/>
                                <w:i/>
                                <w:iCs/>
                                <w:color w:val="000000" w:themeColor="text1"/>
                                <w:kern w:val="2"/>
                                <w:lang w:val="en-GB"/>
                                <w14:ligatures w14:val="standardContextual"/>
                              </w:rPr>
                            </m:ctrlPr>
                          </m:funcPr>
                          <m:fName>
                            <m:r>
                              <m:rPr>
                                <m:sty m:val="p"/>
                              </m:rPr>
                              <w:rPr>
                                <w:rFonts w:ascii="Cambria Math" w:hAnsi="Cambria Math"/>
                                <w:color w:val="000000" w:themeColor="text1"/>
                                <w:lang w:val="en-GB"/>
                              </w:rPr>
                              <m:t>cos</m:t>
                            </m:r>
                          </m:fName>
                          <m:e>
                            <m:r>
                              <w:rPr>
                                <w:rFonts w:ascii="Cambria Math" w:hAnsi="Cambria Math"/>
                                <w:color w:val="000000" w:themeColor="text1"/>
                                <w:lang w:val="en-GB"/>
                              </w:rPr>
                              <m:t>θ</m:t>
                            </m:r>
                          </m:e>
                        </m:func>
                      </m:e>
                    </m:d>
                  </m:num>
                  <m:den>
                    <m:r>
                      <w:rPr>
                        <w:rFonts w:ascii="Cambria Math" w:hAnsi="Cambria Math"/>
                        <w:color w:val="000000" w:themeColor="text1"/>
                        <w:lang w:val="en-GB"/>
                      </w:rPr>
                      <m:t>32μ(T,ω)π</m:t>
                    </m:r>
                    <m:sSup>
                      <m:sSupPr>
                        <m:ctrlPr>
                          <w:rPr>
                            <w:rFonts w:ascii="Cambria Math" w:eastAsiaTheme="minorEastAsia" w:hAnsi="Cambria Math"/>
                            <w:i/>
                            <w:iCs/>
                            <w:color w:val="000000" w:themeColor="text1"/>
                            <w:kern w:val="2"/>
                            <w:lang w:val="en-GB"/>
                            <w14:ligatures w14:val="standardContextual"/>
                          </w:rPr>
                        </m:ctrlPr>
                      </m:sSupPr>
                      <m:e>
                        <m:r>
                          <w:rPr>
                            <w:rFonts w:ascii="Cambria Math" w:hAnsi="Cambria Math"/>
                            <w:color w:val="000000" w:themeColor="text1"/>
                            <w:lang w:val="en-GB"/>
                          </w:rPr>
                          <m:t>W</m:t>
                        </m:r>
                      </m:e>
                      <m:sup>
                        <m:r>
                          <w:rPr>
                            <w:rFonts w:ascii="Cambria Math" w:hAnsi="Cambria Math"/>
                            <w:color w:val="000000" w:themeColor="text1"/>
                            <w:lang w:val="en-GB"/>
                          </w:rPr>
                          <m:t>2</m:t>
                        </m:r>
                      </m:sup>
                    </m:sSup>
                    <m:sSubSup>
                      <m:sSubSupPr>
                        <m:ctrlPr>
                          <w:rPr>
                            <w:rFonts w:ascii="Cambria Math" w:hAnsi="Cambria Math"/>
                            <w:i/>
                            <w:color w:val="000000" w:themeColor="text1"/>
                            <w:lang w:val="en-GB"/>
                          </w:rPr>
                        </m:ctrlPr>
                      </m:sSubSupPr>
                      <m:e>
                        <m:r>
                          <w:rPr>
                            <w:rFonts w:ascii="Cambria Math" w:hAnsi="Cambria Math"/>
                            <w:color w:val="000000" w:themeColor="text1"/>
                            <w:lang w:val="en-GB"/>
                          </w:rPr>
                          <m:t>L</m:t>
                        </m:r>
                      </m:e>
                      <m:sub>
                        <m:r>
                          <w:rPr>
                            <w:rFonts w:ascii="Cambria Math" w:hAnsi="Cambria Math"/>
                            <w:color w:val="000000" w:themeColor="text1"/>
                            <w:lang w:val="en-GB"/>
                          </w:rPr>
                          <m:t>m</m:t>
                        </m:r>
                      </m:sub>
                      <m:sup>
                        <m:r>
                          <w:rPr>
                            <w:rFonts w:ascii="Cambria Math" w:hAnsi="Cambria Math"/>
                            <w:color w:val="000000" w:themeColor="text1"/>
                            <w:lang w:val="en-GB"/>
                          </w:rPr>
                          <m:t>4/3</m:t>
                        </m:r>
                      </m:sup>
                    </m:sSubSup>
                  </m:den>
                </m:f>
              </m:e>
            </m:d>
          </m:e>
          <m:sup>
            <m:r>
              <w:rPr>
                <w:rFonts w:ascii="Cambria Math" w:hAnsi="Cambria Math"/>
                <w:color w:val="000000" w:themeColor="text1"/>
                <w:lang w:val="en-GB"/>
              </w:rPr>
              <m:t>3/2</m:t>
            </m:r>
          </m:sup>
        </m:sSup>
        <m:r>
          <w:rPr>
            <w:rFonts w:ascii="Cambria Math" w:hAnsi="Cambria Math"/>
            <w:color w:val="000000" w:themeColor="text1"/>
            <w:lang w:val="en-GB"/>
          </w:rPr>
          <m:t>≥</m:t>
        </m:r>
        <m:f>
          <m:fPr>
            <m:ctrlPr>
              <w:rPr>
                <w:rFonts w:ascii="Cambria Math" w:hAnsi="Cambria Math"/>
                <w:i/>
                <w:color w:val="000000" w:themeColor="text1"/>
                <w:lang w:val="en-GB"/>
              </w:rPr>
            </m:ctrlPr>
          </m:fPr>
          <m:num>
            <m:r>
              <w:rPr>
                <w:rFonts w:ascii="Cambria Math" w:hAnsi="Cambria Math"/>
                <w:color w:val="000000" w:themeColor="text1"/>
                <w:lang w:val="en-GB"/>
              </w:rPr>
              <m:t>ρ</m:t>
            </m:r>
            <m:sSub>
              <m:sSubPr>
                <m:ctrlPr>
                  <w:rPr>
                    <w:rFonts w:ascii="Cambria Math" w:eastAsiaTheme="minorEastAsia" w:hAnsi="Cambria Math"/>
                    <w:color w:val="000000" w:themeColor="text1"/>
                    <w:kern w:val="2"/>
                    <w:lang w:val="en-GB"/>
                    <w14:ligatures w14:val="standardContextual"/>
                  </w:rPr>
                </m:ctrlPr>
              </m:sSubPr>
              <m:e>
                <m:r>
                  <m:rPr>
                    <m:sty m:val="p"/>
                  </m:rPr>
                  <w:rPr>
                    <w:rFonts w:ascii="Cambria Math" w:hAnsi="Cambria Math"/>
                    <w:color w:val="000000" w:themeColor="text1"/>
                    <w:lang w:val="en-GB"/>
                  </w:rPr>
                  <m:t>L</m:t>
                </m:r>
              </m:e>
              <m:sub>
                <m:r>
                  <m:rPr>
                    <m:sty m:val="p"/>
                  </m:rPr>
                  <w:rPr>
                    <w:rFonts w:ascii="Cambria Math" w:hAnsi="Cambria Math"/>
                    <w:color w:val="000000" w:themeColor="text1"/>
                    <w:lang w:val="en-GB"/>
                  </w:rPr>
                  <m:t>eff</m:t>
                </m:r>
              </m:sub>
            </m:sSub>
          </m:num>
          <m:den>
            <m:r>
              <w:rPr>
                <w:rFonts w:ascii="Cambria Math" w:hAnsi="Cambria Math"/>
                <w:color w:val="000000" w:themeColor="text1"/>
                <w:lang w:val="en-GB"/>
              </w:rPr>
              <m:t>J(T,ω)</m:t>
            </m:r>
          </m:den>
        </m:f>
      </m:oMath>
      <w:r>
        <w:rPr>
          <w:rFonts w:eastAsiaTheme="minorEastAsia"/>
          <w:color w:val="000000" w:themeColor="text1"/>
          <w:lang w:val="en-GB"/>
        </w:rPr>
        <w:tab/>
        <w:t>(</w:t>
      </w:r>
      <w:r w:rsidR="00A62E2B">
        <w:rPr>
          <w:rFonts w:eastAsiaTheme="minorEastAsia"/>
          <w:color w:val="000000" w:themeColor="text1"/>
          <w:lang w:val="en-GB"/>
        </w:rPr>
        <w:t>S35</w:t>
      </w:r>
      <w:r>
        <w:rPr>
          <w:rFonts w:eastAsiaTheme="minorEastAsia"/>
          <w:color w:val="000000" w:themeColor="text1"/>
          <w:lang w:val="en-GB"/>
        </w:rPr>
        <w:t>)</w:t>
      </w:r>
    </w:p>
    <w:p w14:paraId="1BCE2293" w14:textId="77777777" w:rsidR="002D436A" w:rsidRPr="00D712CE" w:rsidRDefault="002D436A" w:rsidP="002D436A">
      <w:pPr>
        <w:spacing w:line="480" w:lineRule="auto"/>
        <w:jc w:val="both"/>
        <w:rPr>
          <w:iCs/>
          <w:color w:val="000000" w:themeColor="text1"/>
          <w:lang w:val="en-GB"/>
        </w:rPr>
      </w:pPr>
      <w:r>
        <w:rPr>
          <w:color w:val="000000" w:themeColor="text1"/>
          <w:lang w:val="en-GB"/>
        </w:rPr>
        <w:t>T</w:t>
      </w:r>
      <w:r w:rsidRPr="00D712CE">
        <w:rPr>
          <w:iCs/>
          <w:color w:val="000000" w:themeColor="text1"/>
          <w:lang w:val="en-GB"/>
        </w:rPr>
        <w:t>he condition can be simplified</w:t>
      </w:r>
      <w:r>
        <w:rPr>
          <w:iCs/>
          <w:color w:val="000000" w:themeColor="text1"/>
          <w:lang w:val="en-GB"/>
        </w:rPr>
        <w:t xml:space="preserve"> (considering the above design and material parameters)</w:t>
      </w:r>
      <w:r w:rsidRPr="00D712CE">
        <w:rPr>
          <w:iCs/>
          <w:color w:val="000000" w:themeColor="text1"/>
          <w:lang w:val="en-GB"/>
        </w:rPr>
        <w:t xml:space="preserve"> as</w:t>
      </w:r>
    </w:p>
    <w:p w14:paraId="4E1134A6" w14:textId="163EF57A" w:rsidR="002D436A" w:rsidRPr="00D712CE" w:rsidRDefault="002D436A" w:rsidP="002D436A">
      <w:pPr>
        <w:tabs>
          <w:tab w:val="center" w:pos="4680"/>
          <w:tab w:val="right" w:pos="9360"/>
        </w:tabs>
        <w:spacing w:line="480" w:lineRule="auto"/>
        <w:jc w:val="both"/>
        <w:rPr>
          <w:iCs/>
          <w:color w:val="000000" w:themeColor="text1"/>
          <w:lang w:val="en-GB"/>
        </w:rPr>
      </w:pPr>
      <w:r>
        <w:rPr>
          <w:rFonts w:eastAsiaTheme="minorEastAsia"/>
          <w:iCs/>
          <w:color w:val="000000" w:themeColor="text1"/>
          <w:kern w:val="2"/>
          <w:lang w:val="en-GB"/>
          <w14:ligatures w14:val="standardContextual"/>
        </w:rPr>
        <w:tab/>
      </w:r>
      <m:oMath>
        <m:sSup>
          <m:sSupPr>
            <m:ctrlPr>
              <w:rPr>
                <w:rFonts w:ascii="Cambria Math" w:eastAsiaTheme="minorEastAsia" w:hAnsi="Cambria Math"/>
                <w:i/>
                <w:iCs/>
                <w:color w:val="000000" w:themeColor="text1"/>
                <w:kern w:val="2"/>
                <w:lang w:val="en-GB"/>
                <w14:ligatures w14:val="standardContextual"/>
              </w:rPr>
            </m:ctrlPr>
          </m:sSupPr>
          <m:e>
            <m:d>
              <m:dPr>
                <m:begChr m:val="["/>
                <m:endChr m:val="]"/>
                <m:ctrlPr>
                  <w:rPr>
                    <w:rFonts w:ascii="Cambria Math" w:eastAsiaTheme="minorEastAsia" w:hAnsi="Cambria Math"/>
                    <w:i/>
                    <w:iCs/>
                    <w:color w:val="000000" w:themeColor="text1"/>
                    <w:kern w:val="2"/>
                    <w:lang w:val="en-GB"/>
                    <w14:ligatures w14:val="standardContextual"/>
                  </w:rPr>
                </m:ctrlPr>
              </m:dPr>
              <m:e>
                <m:f>
                  <m:fPr>
                    <m:ctrlPr>
                      <w:rPr>
                        <w:rFonts w:ascii="Cambria Math" w:eastAsiaTheme="minorEastAsia" w:hAnsi="Cambria Math"/>
                        <w:i/>
                        <w:iCs/>
                        <w:color w:val="000000" w:themeColor="text1"/>
                        <w:kern w:val="2"/>
                        <w:lang w:val="en-GB"/>
                        <w14:ligatures w14:val="standardContextual"/>
                      </w:rPr>
                    </m:ctrlPr>
                  </m:fPr>
                  <m:num>
                    <m:r>
                      <w:rPr>
                        <w:rFonts w:ascii="Cambria Math" w:hAnsi="Cambria Math"/>
                        <w:color w:val="000000" w:themeColor="text1"/>
                        <w:lang w:val="en-GB"/>
                      </w:rPr>
                      <m:t>ω</m:t>
                    </m:r>
                  </m:num>
                  <m:den>
                    <m:r>
                      <w:rPr>
                        <w:rFonts w:ascii="Cambria Math" w:hAnsi="Cambria Math"/>
                        <w:color w:val="000000" w:themeColor="text1"/>
                        <w:lang w:val="en-GB"/>
                      </w:rPr>
                      <m:t>μ(T,ω)</m:t>
                    </m:r>
                  </m:den>
                </m:f>
              </m:e>
            </m:d>
          </m:e>
          <m:sup>
            <m:r>
              <w:rPr>
                <w:rFonts w:ascii="Cambria Math" w:hAnsi="Cambria Math"/>
                <w:color w:val="000000" w:themeColor="text1"/>
                <w:lang w:val="en-GB"/>
              </w:rPr>
              <m:t>3/2</m:t>
            </m:r>
          </m:sup>
        </m:sSup>
        <m:r>
          <w:rPr>
            <w:rFonts w:ascii="Cambria Math" w:hAnsi="Cambria Math"/>
            <w:color w:val="000000" w:themeColor="text1"/>
            <w:lang w:val="en-GB"/>
          </w:rPr>
          <m:t>J(T,ω)≥</m:t>
        </m:r>
        <m:f>
          <m:fPr>
            <m:ctrlPr>
              <w:rPr>
                <w:rFonts w:ascii="Cambria Math" w:eastAsiaTheme="minorEastAsia" w:hAnsi="Cambria Math"/>
                <w:i/>
                <w:iCs/>
                <w:color w:val="000000" w:themeColor="text1"/>
                <w:kern w:val="2"/>
                <w:lang w:val="en-GB"/>
                <w14:ligatures w14:val="standardContextual"/>
              </w:rPr>
            </m:ctrlPr>
          </m:fPr>
          <m:num>
            <m:r>
              <w:rPr>
                <w:rFonts w:ascii="Cambria Math" w:hAnsi="Cambria Math"/>
                <w:color w:val="000000" w:themeColor="text1"/>
                <w:lang w:val="en-GB"/>
              </w:rPr>
              <m:t>1</m:t>
            </m:r>
          </m:num>
          <m:den>
            <m:r>
              <m:rPr>
                <m:sty m:val="p"/>
              </m:rPr>
              <w:rPr>
                <w:rFonts w:ascii="Cambria Math" w:hAnsi="Cambria Math"/>
                <w:color w:val="000000" w:themeColor="text1"/>
                <w:lang w:val="en-GB"/>
              </w:rPr>
              <m:t>Υ</m:t>
            </m:r>
          </m:den>
        </m:f>
        <m:r>
          <w:rPr>
            <w:rFonts w:ascii="Cambria Math" w:hAnsi="Cambria Math"/>
            <w:color w:val="000000" w:themeColor="text1"/>
            <w:kern w:val="2"/>
            <w:lang w:val="en-GB"/>
            <w14:ligatures w14:val="standardContextual"/>
          </w:rPr>
          <m:t>~900</m:t>
        </m:r>
      </m:oMath>
      <w:r>
        <w:rPr>
          <w:rFonts w:eastAsiaTheme="minorEastAsia"/>
          <w:color w:val="000000" w:themeColor="text1"/>
          <w:lang w:val="en-GB"/>
        </w:rPr>
        <w:tab/>
        <w:t>(</w:t>
      </w:r>
      <w:r w:rsidR="00A62E2B">
        <w:rPr>
          <w:rFonts w:eastAsiaTheme="minorEastAsia"/>
          <w:color w:val="000000" w:themeColor="text1"/>
          <w:lang w:val="en-GB"/>
        </w:rPr>
        <w:t>S36</w:t>
      </w:r>
      <w:r>
        <w:rPr>
          <w:rFonts w:eastAsiaTheme="minorEastAsia"/>
          <w:color w:val="000000" w:themeColor="text1"/>
          <w:lang w:val="en-GB"/>
        </w:rPr>
        <w:t>)</w:t>
      </w:r>
    </w:p>
    <w:p w14:paraId="6756076A" w14:textId="676ED787" w:rsidR="002D436A" w:rsidRPr="002D436A" w:rsidRDefault="002D436A" w:rsidP="002D436A">
      <w:pPr>
        <w:spacing w:line="480" w:lineRule="auto"/>
        <w:jc w:val="both"/>
        <w:rPr>
          <w:color w:val="000000" w:themeColor="text1"/>
        </w:rPr>
      </w:pPr>
      <w:r w:rsidRPr="18EF1A92">
        <w:rPr>
          <w:color w:val="000000" w:themeColor="text1"/>
        </w:rPr>
        <w:t xml:space="preserve">where </w:t>
      </w:r>
      <m:oMath>
        <m:r>
          <m:rPr>
            <m:sty m:val="p"/>
          </m:rPr>
          <w:rPr>
            <w:rFonts w:ascii="Cambria Math" w:hAnsi="Cambria Math"/>
            <w:color w:val="000000" w:themeColor="text1"/>
            <w:lang w:val="en-GB"/>
          </w:rPr>
          <m:t>Υ</m:t>
        </m:r>
      </m:oMath>
      <w:r w:rsidRPr="18EF1A92">
        <w:rPr>
          <w:color w:val="000000" w:themeColor="text1"/>
        </w:rPr>
        <w:t xml:space="preserve"> is a constant given by the geometry and material properties, considering no surface tension effects (</w:t>
      </w:r>
      <m:oMath>
        <m:r>
          <w:rPr>
            <w:rFonts w:ascii="Cambria Math" w:hAnsi="Cambria Math"/>
            <w:color w:val="000000" w:themeColor="text1"/>
            <w:lang w:val="en-GB"/>
          </w:rPr>
          <m:t>ζ=0</m:t>
        </m:r>
      </m:oMath>
      <w:r w:rsidRPr="18EF1A92">
        <w:rPr>
          <w:color w:val="000000" w:themeColor="text1"/>
        </w:rPr>
        <w:t xml:space="preserve">).  For the ionic biogel with a viscosity of 10 Pa-s (at 45°C) and effective </w:t>
      </w:r>
      <w:r w:rsidRPr="18EF1A92">
        <w:rPr>
          <w:color w:val="000000" w:themeColor="text1"/>
        </w:rPr>
        <w:lastRenderedPageBreak/>
        <w:t>adhesive strength of 1 kPa at a high temperature, the minimum time to hold before the tips stabilize or self-balance themselves is about 9 seconds.  Therefore, pre-heating the tips at 45°C and holding them for some time (~9 seconds) will ensure the stability of the tips.</w:t>
      </w:r>
      <w:r>
        <w:rPr>
          <w:b/>
          <w:bCs/>
          <w:u w:val="single"/>
        </w:rPr>
        <w:br w:type="page"/>
      </w:r>
    </w:p>
    <w:p w14:paraId="4754E72D" w14:textId="68906C58" w:rsidR="00117B86" w:rsidRDefault="00117B86" w:rsidP="00117B86">
      <w:pPr>
        <w:spacing w:after="160" w:line="278" w:lineRule="auto"/>
        <w:rPr>
          <w:b/>
          <w:bCs/>
          <w:u w:val="single"/>
        </w:rPr>
      </w:pPr>
      <w:r w:rsidRPr="00A81F4D">
        <w:rPr>
          <w:b/>
          <w:bCs/>
          <w:u w:val="single"/>
        </w:rPr>
        <w:lastRenderedPageBreak/>
        <w:t xml:space="preserve">Supplementary Note </w:t>
      </w:r>
      <w:r w:rsidR="006F6B60">
        <w:rPr>
          <w:b/>
          <w:bCs/>
          <w:u w:val="single"/>
        </w:rPr>
        <w:t>23</w:t>
      </w:r>
    </w:p>
    <w:p w14:paraId="1D3E07B1" w14:textId="74BB57A2" w:rsidR="000930A5" w:rsidRPr="000D38DD" w:rsidRDefault="000930A5">
      <w:pPr>
        <w:spacing w:line="480" w:lineRule="auto"/>
        <w:jc w:val="both"/>
        <w:rPr>
          <w:b/>
        </w:rPr>
      </w:pPr>
      <w:r w:rsidRPr="000D38DD">
        <w:rPr>
          <w:b/>
        </w:rPr>
        <w:t xml:space="preserve">Multiphysics Modeling of Temperature-Driven Flow and Electrochemical </w:t>
      </w:r>
      <w:r w:rsidR="008C239E">
        <w:rPr>
          <w:b/>
          <w:bCs/>
        </w:rPr>
        <w:t>Transistor</w:t>
      </w:r>
      <w:r w:rsidRPr="000D38DD">
        <w:rPr>
          <w:b/>
        </w:rPr>
        <w:t xml:space="preserve"> in a Tip-Shaped </w:t>
      </w:r>
      <w:r w:rsidR="008C239E">
        <w:rPr>
          <w:b/>
          <w:bCs/>
        </w:rPr>
        <w:t>Ionic Biog</w:t>
      </w:r>
      <w:r w:rsidRPr="000D38DD">
        <w:rPr>
          <w:b/>
        </w:rPr>
        <w:t>el System</w:t>
      </w:r>
    </w:p>
    <w:p w14:paraId="7367F1E3" w14:textId="7284B60E" w:rsidR="007631F6" w:rsidRPr="00D712CE" w:rsidRDefault="007631F6" w:rsidP="007631F6">
      <w:pPr>
        <w:spacing w:line="480" w:lineRule="auto"/>
        <w:jc w:val="both"/>
        <w:rPr>
          <w:color w:val="000000" w:themeColor="text1"/>
        </w:rPr>
      </w:pPr>
      <w:r w:rsidRPr="18EF1A92">
        <w:rPr>
          <w:color w:val="000000" w:themeColor="text1"/>
        </w:rPr>
        <w:t xml:space="preserve">The ion transport within the ionic biogel—and consequently the on-site amplification of the electrode signal—is directly influenced by the ionic biogel's flow dynamics, which are governed by its viscosity, a parameter intrinsically linked to the local temperature distribution.  These complex interdependencies are elucidated by the phase-field dynamics model of the ionic biogel and air at the interface between the electrode tip and the scalp, along with non-isothermal flow and transport of dilute species in COMSOL Multiphysics.  The temperature at the electrode tip actively maintained at 320 K using a Peltier module and the scalp temperature remained at approximately 300 K generate a thermal gradient.  Coupled with the different thermal conductivities of the involved materials, a spatially and dynamically varying temperature field is created within the ionic biogel, which in turn modulates its viscosity according to a temperature-dependent relationship </w:t>
      </w:r>
      <w:r w:rsidRPr="18EF1A92">
        <w:rPr>
          <w:b/>
          <w:bCs/>
          <w:color w:val="000000" w:themeColor="text1"/>
        </w:rPr>
        <w:t>(</w:t>
      </w:r>
      <w:r w:rsidR="004B7425">
        <w:rPr>
          <w:b/>
          <w:bCs/>
          <w:color w:val="000000" w:themeColor="text1"/>
        </w:rPr>
        <w:t xml:space="preserve">Extended </w:t>
      </w:r>
      <w:r w:rsidRPr="18EF1A92">
        <w:rPr>
          <w:b/>
          <w:bCs/>
          <w:color w:val="000000" w:themeColor="text1"/>
        </w:rPr>
        <w:t xml:space="preserve">Figure </w:t>
      </w:r>
      <w:r w:rsidR="008E1AFE">
        <w:rPr>
          <w:b/>
          <w:bCs/>
          <w:color w:val="000000" w:themeColor="text1"/>
        </w:rPr>
        <w:t>7a</w:t>
      </w:r>
      <w:r w:rsidRPr="18EF1A92">
        <w:rPr>
          <w:b/>
          <w:bCs/>
          <w:color w:val="000000" w:themeColor="text1"/>
        </w:rPr>
        <w:t>)</w:t>
      </w:r>
      <w:r w:rsidRPr="18EF1A92">
        <w:rPr>
          <w:color w:val="000000" w:themeColor="text1"/>
        </w:rPr>
        <w:t xml:space="preserve">.  The use of the tip-shaped OECT starts with the contact of the ionic biogel with the scalp surface.  The viscosity of the ionic biogel decreases with increasing temperature near the heated tip, which enhances the flow velocity </w:t>
      </w:r>
      <m:oMath>
        <m:r>
          <w:rPr>
            <w:rFonts w:ascii="Cambria Math" w:hAnsi="Cambria Math"/>
            <w:color w:val="000000" w:themeColor="text1"/>
            <w:lang w:val="en-GB"/>
          </w:rPr>
          <m:t>v</m:t>
        </m:r>
      </m:oMath>
      <w:r w:rsidRPr="18EF1A92">
        <w:rPr>
          <w:color w:val="000000" w:themeColor="text1"/>
        </w:rPr>
        <w:t xml:space="preserve"> of the ionic biogel to flow more readily, displacing the air at the interface </w:t>
      </w:r>
      <w:r w:rsidRPr="18EF1A92">
        <w:rPr>
          <w:b/>
          <w:bCs/>
          <w:color w:val="000000" w:themeColor="text1"/>
        </w:rPr>
        <w:t>(</w:t>
      </w:r>
      <w:r w:rsidR="004B7425">
        <w:rPr>
          <w:b/>
          <w:bCs/>
          <w:color w:val="000000" w:themeColor="text1"/>
        </w:rPr>
        <w:t xml:space="preserve">Extended </w:t>
      </w:r>
      <w:r w:rsidRPr="18EF1A92">
        <w:rPr>
          <w:b/>
          <w:bCs/>
          <w:color w:val="000000" w:themeColor="text1"/>
        </w:rPr>
        <w:t xml:space="preserve">Figure </w:t>
      </w:r>
      <w:r w:rsidR="004B7425">
        <w:rPr>
          <w:b/>
          <w:bCs/>
          <w:color w:val="000000" w:themeColor="text1"/>
        </w:rPr>
        <w:t>7b</w:t>
      </w:r>
      <w:r w:rsidRPr="18EF1A92">
        <w:rPr>
          <w:b/>
          <w:bCs/>
          <w:color w:val="000000" w:themeColor="text1"/>
        </w:rPr>
        <w:t>)</w:t>
      </w:r>
      <w:r w:rsidRPr="18EF1A92">
        <w:rPr>
          <w:color w:val="000000" w:themeColor="text1"/>
        </w:rPr>
        <w:t xml:space="preserve">.  Furthermore, the ion transport within the ionic biogel is directly affected by these flow characteristics.  The convection of ions due to the flow of ionic biogel, combined with diffusion and possible electrostatic interactions, leads to spatiotemporal variations in ion concentration </w:t>
      </w:r>
      <m:oMath>
        <m:r>
          <w:rPr>
            <w:rFonts w:ascii="Cambria Math" w:hAnsi="Cambria Math"/>
            <w:color w:val="000000" w:themeColor="text1"/>
            <w:lang w:val="en-GB"/>
          </w:rPr>
          <m:t>C</m:t>
        </m:r>
        <m:r>
          <m:rPr>
            <m:sty m:val="p"/>
          </m:rPr>
          <w:rPr>
            <w:rFonts w:ascii="Cambria Math" w:hAnsi="Cambria Math"/>
            <w:color w:val="000000" w:themeColor="text1"/>
            <w:lang w:val="en-GB"/>
          </w:rPr>
          <m:t>(</m:t>
        </m:r>
        <m:r>
          <w:rPr>
            <w:rFonts w:ascii="Cambria Math" w:hAnsi="Cambria Math"/>
            <w:color w:val="000000" w:themeColor="text1"/>
            <w:lang w:val="en-GB"/>
          </w:rPr>
          <m:t>r</m:t>
        </m:r>
        <m:r>
          <m:rPr>
            <m:sty m:val="p"/>
          </m:rPr>
          <w:rPr>
            <w:rFonts w:ascii="Cambria Math" w:hAnsi="Cambria Math"/>
            <w:color w:val="000000" w:themeColor="text1"/>
            <w:lang w:val="en-GB"/>
          </w:rPr>
          <m:t>,</m:t>
        </m:r>
        <m:r>
          <w:rPr>
            <w:rFonts w:ascii="Cambria Math" w:hAnsi="Cambria Math"/>
            <w:color w:val="000000" w:themeColor="text1"/>
            <w:lang w:val="en-GB"/>
          </w:rPr>
          <m:t>t</m:t>
        </m:r>
        <m:r>
          <m:rPr>
            <m:sty m:val="p"/>
          </m:rPr>
          <w:rPr>
            <w:rFonts w:ascii="Cambria Math" w:hAnsi="Cambria Math"/>
            <w:color w:val="000000" w:themeColor="text1"/>
            <w:lang w:val="en-GB"/>
          </w:rPr>
          <m:t>)</m:t>
        </m:r>
      </m:oMath>
      <w:r w:rsidRPr="18EF1A92">
        <w:rPr>
          <w:color w:val="000000" w:themeColor="text1"/>
        </w:rPr>
        <w:t>, which is described by the convection-diffusion equation:</w:t>
      </w:r>
    </w:p>
    <w:p w14:paraId="75B779B0" w14:textId="5DDB6C0B" w:rsidR="007631F6" w:rsidRPr="00FA3126" w:rsidRDefault="007631F6" w:rsidP="007631F6">
      <w:pPr>
        <w:tabs>
          <w:tab w:val="center" w:pos="4680"/>
          <w:tab w:val="right" w:pos="9360"/>
        </w:tabs>
        <w:spacing w:line="480" w:lineRule="auto"/>
        <w:jc w:val="both"/>
        <w:rPr>
          <w:i/>
          <w:color w:val="000000" w:themeColor="text1"/>
          <w:lang w:val="en-GB"/>
        </w:rPr>
      </w:pPr>
      <w:r>
        <w:rPr>
          <w:rFonts w:eastAsiaTheme="minorEastAsia"/>
          <w:iCs/>
          <w:color w:val="000000" w:themeColor="text1"/>
          <w:kern w:val="2"/>
          <w:lang w:val="en-GB"/>
          <w14:ligatures w14:val="standardContextual"/>
        </w:rPr>
        <w:tab/>
      </w:r>
      <m:oMath>
        <m:f>
          <m:fPr>
            <m:ctrlPr>
              <w:rPr>
                <w:rFonts w:ascii="Cambria Math" w:eastAsiaTheme="minorEastAsia" w:hAnsi="Cambria Math"/>
                <w:i/>
                <w:color w:val="000000" w:themeColor="text1"/>
                <w:kern w:val="2"/>
                <w:lang w:val="en-GB"/>
                <w14:ligatures w14:val="standardContextual"/>
              </w:rPr>
            </m:ctrlPr>
          </m:fPr>
          <m:num>
            <m:r>
              <w:rPr>
                <w:rFonts w:ascii="Cambria Math" w:hAnsi="Cambria Math"/>
                <w:color w:val="000000" w:themeColor="text1"/>
                <w:lang w:val="en-GB"/>
              </w:rPr>
              <m:t>∂C(r,t)</m:t>
            </m:r>
          </m:num>
          <m:den>
            <m:r>
              <w:rPr>
                <w:rFonts w:ascii="Cambria Math" w:hAnsi="Cambria Math"/>
                <w:color w:val="000000" w:themeColor="text1"/>
                <w:lang w:val="en-GB"/>
              </w:rPr>
              <m:t>∂t</m:t>
            </m:r>
          </m:den>
        </m:f>
        <m:r>
          <w:rPr>
            <w:rFonts w:ascii="Cambria Math" w:hAnsi="Cambria Math"/>
            <w:color w:val="000000" w:themeColor="text1"/>
            <w:lang w:val="en-GB"/>
          </w:rPr>
          <m:t>+v.∇C(r,t)=D</m:t>
        </m:r>
        <m:sSup>
          <m:sSupPr>
            <m:ctrlPr>
              <w:rPr>
                <w:rFonts w:ascii="Cambria Math" w:eastAsiaTheme="minorEastAsia" w:hAnsi="Cambria Math"/>
                <w:i/>
                <w:color w:val="000000" w:themeColor="text1"/>
                <w:kern w:val="2"/>
                <w:lang w:val="en-GB"/>
                <w14:ligatures w14:val="standardContextual"/>
              </w:rPr>
            </m:ctrlPr>
          </m:sSupPr>
          <m:e>
            <m:r>
              <w:rPr>
                <w:rFonts w:ascii="Cambria Math" w:hAnsi="Cambria Math"/>
                <w:color w:val="000000" w:themeColor="text1"/>
                <w:lang w:val="en-GB"/>
              </w:rPr>
              <m:t>∇</m:t>
            </m:r>
          </m:e>
          <m:sup>
            <m:r>
              <w:rPr>
                <w:rFonts w:ascii="Cambria Math" w:hAnsi="Cambria Math"/>
                <w:color w:val="000000" w:themeColor="text1"/>
                <w:lang w:val="en-GB"/>
              </w:rPr>
              <m:t>2</m:t>
            </m:r>
          </m:sup>
        </m:sSup>
        <m:r>
          <w:rPr>
            <w:rFonts w:ascii="Cambria Math" w:hAnsi="Cambria Math"/>
            <w:color w:val="000000" w:themeColor="text1"/>
            <w:lang w:val="en-GB"/>
          </w:rPr>
          <m:t>C(r,t)+</m:t>
        </m:r>
        <m:f>
          <m:fPr>
            <m:ctrlPr>
              <w:rPr>
                <w:rFonts w:ascii="Cambria Math" w:eastAsiaTheme="minorEastAsia" w:hAnsi="Cambria Math"/>
                <w:i/>
                <w:color w:val="000000" w:themeColor="text1"/>
                <w:kern w:val="2"/>
                <w:lang w:val="en-GB"/>
                <w14:ligatures w14:val="standardContextual"/>
              </w:rPr>
            </m:ctrlPr>
          </m:fPr>
          <m:num>
            <m:r>
              <w:rPr>
                <w:rFonts w:ascii="Cambria Math" w:hAnsi="Cambria Math"/>
                <w:color w:val="000000" w:themeColor="text1"/>
                <w:lang w:val="en-GB"/>
              </w:rPr>
              <m:t>ze</m:t>
            </m:r>
          </m:num>
          <m:den>
            <m:sSub>
              <m:sSubPr>
                <m:ctrlPr>
                  <w:rPr>
                    <w:rFonts w:ascii="Cambria Math" w:eastAsiaTheme="minorEastAsia" w:hAnsi="Cambria Math"/>
                    <w:i/>
                    <w:color w:val="000000" w:themeColor="text1"/>
                    <w:kern w:val="2"/>
                    <w:lang w:val="en-GB"/>
                    <w14:ligatures w14:val="standardContextual"/>
                  </w:rPr>
                </m:ctrlPr>
              </m:sSubPr>
              <m:e>
                <m:r>
                  <w:rPr>
                    <w:rFonts w:ascii="Cambria Math" w:hAnsi="Cambria Math"/>
                    <w:color w:val="000000" w:themeColor="text1"/>
                    <w:lang w:val="en-GB"/>
                  </w:rPr>
                  <m:t>k</m:t>
                </m:r>
              </m:e>
              <m:sub>
                <m:r>
                  <w:rPr>
                    <w:rFonts w:ascii="Cambria Math" w:hAnsi="Cambria Math"/>
                    <w:color w:val="000000" w:themeColor="text1"/>
                    <w:lang w:val="en-GB"/>
                  </w:rPr>
                  <m:t>B</m:t>
                </m:r>
              </m:sub>
            </m:sSub>
            <m:r>
              <w:rPr>
                <w:rFonts w:ascii="Cambria Math" w:hAnsi="Cambria Math"/>
                <w:color w:val="000000" w:themeColor="text1"/>
                <w:lang w:val="en-GB"/>
              </w:rPr>
              <m:t>T</m:t>
            </m:r>
          </m:den>
        </m:f>
        <m:r>
          <w:rPr>
            <w:rFonts w:ascii="Cambria Math" w:hAnsi="Cambria Math"/>
            <w:color w:val="000000" w:themeColor="text1"/>
            <w:lang w:val="en-GB"/>
          </w:rPr>
          <m:t>DC∇φ</m:t>
        </m:r>
      </m:oMath>
      <w:r>
        <w:rPr>
          <w:i/>
          <w:color w:val="000000" w:themeColor="text1"/>
          <w:lang w:val="en-GB"/>
        </w:rPr>
        <w:tab/>
      </w:r>
      <w:r w:rsidRPr="00C45FC6">
        <w:rPr>
          <w:iCs/>
          <w:color w:val="000000" w:themeColor="text1"/>
          <w:lang w:val="en-GB"/>
        </w:rPr>
        <w:t>(</w:t>
      </w:r>
      <w:r w:rsidR="00A62E2B">
        <w:rPr>
          <w:iCs/>
          <w:color w:val="000000" w:themeColor="text1"/>
          <w:lang w:val="en-GB"/>
        </w:rPr>
        <w:t>S37</w:t>
      </w:r>
      <w:r w:rsidRPr="00C45FC6">
        <w:rPr>
          <w:iCs/>
          <w:color w:val="000000" w:themeColor="text1"/>
          <w:lang w:val="en-GB"/>
        </w:rPr>
        <w:t>)</w:t>
      </w:r>
    </w:p>
    <w:p w14:paraId="1AC44841" w14:textId="7C71BDA0" w:rsidR="007631F6" w:rsidRPr="00D712CE" w:rsidRDefault="007631F6" w:rsidP="007631F6">
      <w:pPr>
        <w:spacing w:line="480" w:lineRule="auto"/>
        <w:jc w:val="both"/>
        <w:rPr>
          <w:color w:val="000000" w:themeColor="text1"/>
          <w:lang w:val="en-GB"/>
        </w:rPr>
      </w:pPr>
      <w:r>
        <w:rPr>
          <w:color w:val="000000" w:themeColor="text1"/>
          <w:lang w:val="en-GB"/>
        </w:rPr>
        <w:lastRenderedPageBreak/>
        <w:t>w</w:t>
      </w:r>
      <w:r w:rsidRPr="00D712CE">
        <w:rPr>
          <w:color w:val="000000" w:themeColor="text1"/>
          <w:lang w:val="en-GB"/>
        </w:rPr>
        <w:t xml:space="preserve">here </w:t>
      </w:r>
      <m:oMath>
        <m:r>
          <w:rPr>
            <w:rFonts w:ascii="Cambria Math" w:hAnsi="Cambria Math"/>
            <w:color w:val="000000" w:themeColor="text1"/>
            <w:lang w:val="en-GB"/>
          </w:rPr>
          <m:t>D</m:t>
        </m:r>
      </m:oMath>
      <w:r w:rsidRPr="00D712CE">
        <w:rPr>
          <w:color w:val="000000" w:themeColor="text1"/>
          <w:lang w:val="en-GB"/>
        </w:rPr>
        <w:t xml:space="preserve"> is the diffusion coefficient, </w:t>
      </w:r>
      <m:oMath>
        <m:r>
          <w:rPr>
            <w:rFonts w:ascii="Cambria Math" w:hAnsi="Cambria Math"/>
            <w:color w:val="000000" w:themeColor="text1"/>
            <w:lang w:val="en-GB"/>
          </w:rPr>
          <m:t>z</m:t>
        </m:r>
      </m:oMath>
      <w:r w:rsidRPr="00D712CE">
        <w:rPr>
          <w:color w:val="000000" w:themeColor="text1"/>
          <w:lang w:val="en-GB"/>
        </w:rPr>
        <w:t xml:space="preserve"> is the ionic valence, </w:t>
      </w:r>
      <m:oMath>
        <m:r>
          <w:rPr>
            <w:rFonts w:ascii="Cambria Math" w:hAnsi="Cambria Math"/>
            <w:color w:val="000000" w:themeColor="text1"/>
            <w:lang w:val="en-GB"/>
          </w:rPr>
          <m:t>e</m:t>
        </m:r>
      </m:oMath>
      <w:r w:rsidRPr="00D712CE">
        <w:rPr>
          <w:color w:val="000000" w:themeColor="text1"/>
          <w:lang w:val="en-GB"/>
        </w:rPr>
        <w:t xml:space="preserve"> is the elementary charge, </w:t>
      </w:r>
      <m:oMath>
        <m:sSub>
          <m:sSubPr>
            <m:ctrlPr>
              <w:rPr>
                <w:rFonts w:ascii="Cambria Math" w:eastAsiaTheme="minorEastAsia" w:hAnsi="Cambria Math"/>
                <w:i/>
                <w:iCs/>
                <w:color w:val="000000" w:themeColor="text1"/>
                <w:kern w:val="2"/>
                <w:lang w:val="en-GB"/>
                <w14:ligatures w14:val="standardContextual"/>
              </w:rPr>
            </m:ctrlPr>
          </m:sSubPr>
          <m:e>
            <m:r>
              <w:rPr>
                <w:rFonts w:ascii="Cambria Math" w:hAnsi="Cambria Math"/>
                <w:color w:val="000000" w:themeColor="text1"/>
                <w:lang w:val="en-GB"/>
              </w:rPr>
              <m:t>k</m:t>
            </m:r>
          </m:e>
          <m:sub>
            <m:r>
              <w:rPr>
                <w:rFonts w:ascii="Cambria Math" w:hAnsi="Cambria Math"/>
                <w:color w:val="000000" w:themeColor="text1"/>
                <w:lang w:val="en-GB"/>
              </w:rPr>
              <m:t>B</m:t>
            </m:r>
          </m:sub>
        </m:sSub>
      </m:oMath>
      <w:r w:rsidRPr="00D712CE">
        <w:rPr>
          <w:color w:val="000000" w:themeColor="text1"/>
          <w:lang w:val="en-GB"/>
        </w:rPr>
        <w:t xml:space="preserve"> is the Boltzmann constant, and </w:t>
      </w:r>
      <m:oMath>
        <m:r>
          <w:rPr>
            <w:rFonts w:ascii="Cambria Math" w:hAnsi="Cambria Math"/>
            <w:color w:val="000000" w:themeColor="text1"/>
            <w:lang w:val="en-GB"/>
          </w:rPr>
          <m:t>φ</m:t>
        </m:r>
      </m:oMath>
      <w:r w:rsidRPr="00D712CE">
        <w:rPr>
          <w:color w:val="000000" w:themeColor="text1"/>
          <w:lang w:val="en-GB"/>
        </w:rPr>
        <w:t xml:space="preserve"> is the electric potential </w:t>
      </w:r>
      <w:r w:rsidRPr="00D712CE">
        <w:rPr>
          <w:b/>
          <w:bCs/>
          <w:color w:val="000000" w:themeColor="text1"/>
          <w:lang w:val="en-GB"/>
        </w:rPr>
        <w:t>(</w:t>
      </w:r>
      <w:r w:rsidR="00E24714">
        <w:rPr>
          <w:b/>
          <w:bCs/>
          <w:color w:val="000000" w:themeColor="text1"/>
          <w:lang w:val="en-GB"/>
        </w:rPr>
        <w:t xml:space="preserve">Extended </w:t>
      </w:r>
      <w:r w:rsidRPr="00D712CE">
        <w:rPr>
          <w:b/>
          <w:bCs/>
          <w:color w:val="000000" w:themeColor="text1"/>
          <w:lang w:val="en-GB"/>
        </w:rPr>
        <w:t>Figure</w:t>
      </w:r>
      <w:r w:rsidR="00E24714">
        <w:rPr>
          <w:b/>
          <w:bCs/>
          <w:color w:val="000000" w:themeColor="text1"/>
          <w:lang w:val="en-GB"/>
        </w:rPr>
        <w:t xml:space="preserve"> 7c</w:t>
      </w:r>
      <w:r w:rsidRPr="00D712CE">
        <w:rPr>
          <w:b/>
          <w:bCs/>
          <w:color w:val="000000" w:themeColor="text1"/>
          <w:lang w:val="en-GB"/>
        </w:rPr>
        <w:t>)</w:t>
      </w:r>
      <w:r w:rsidRPr="00D712CE">
        <w:rPr>
          <w:color w:val="000000" w:themeColor="text1"/>
          <w:lang w:val="en-GB"/>
        </w:rPr>
        <w:t>.</w:t>
      </w:r>
    </w:p>
    <w:p w14:paraId="2F723737" w14:textId="4318A42A" w:rsidR="004B1D54" w:rsidRPr="004B1D54" w:rsidRDefault="004B1D54" w:rsidP="000D38DD">
      <w:pPr>
        <w:spacing w:line="480" w:lineRule="auto"/>
        <w:jc w:val="both"/>
        <w:rPr>
          <w:b/>
          <w:bCs/>
          <w:lang w:val="en-GB"/>
        </w:rPr>
      </w:pPr>
      <w:r w:rsidRPr="004B1D54">
        <w:rPr>
          <w:b/>
          <w:bCs/>
          <w:lang w:val="en-GB"/>
        </w:rPr>
        <w:t>Equations Involved</w:t>
      </w:r>
    </w:p>
    <w:p w14:paraId="2CAB8DD6" w14:textId="64EB3C39" w:rsidR="00673B71" w:rsidRPr="00BE0898" w:rsidRDefault="00673B71" w:rsidP="000D38DD">
      <w:pPr>
        <w:spacing w:line="480" w:lineRule="auto"/>
        <w:jc w:val="both"/>
      </w:pPr>
      <w:r w:rsidRPr="000D38DD">
        <w:t>Heat Transfer in Fluids and Solids</w:t>
      </w:r>
      <w:r w:rsidR="002E2F4E">
        <w:rPr>
          <w:i/>
          <w:iCs/>
        </w:rPr>
        <w:t xml:space="preserve"> (</w:t>
      </w:r>
      <w:r w:rsidR="00945A02">
        <w:rPr>
          <w:i/>
          <w:iCs/>
        </w:rPr>
        <w:t xml:space="preserve">Domain: </w:t>
      </w:r>
      <w:r w:rsidR="002E2F4E">
        <w:rPr>
          <w:i/>
          <w:iCs/>
        </w:rPr>
        <w:t>Ionic Biogel</w:t>
      </w:r>
      <w:r w:rsidR="00195F5E">
        <w:rPr>
          <w:i/>
          <w:iCs/>
        </w:rPr>
        <w:t>, Air</w:t>
      </w:r>
      <w:r w:rsidR="00C55F6D">
        <w:rPr>
          <w:i/>
          <w:iCs/>
        </w:rPr>
        <w:t>,</w:t>
      </w:r>
      <w:r w:rsidR="002E2F4E">
        <w:rPr>
          <w:i/>
          <w:iCs/>
        </w:rPr>
        <w:t xml:space="preserve"> and </w:t>
      </w:r>
      <w:r w:rsidR="00945A02">
        <w:rPr>
          <w:i/>
          <w:iCs/>
        </w:rPr>
        <w:t>Tips</w:t>
      </w:r>
      <w:r w:rsidR="002E2F4E">
        <w:rPr>
          <w:i/>
          <w:iCs/>
        </w:rPr>
        <w:t>)</w:t>
      </w:r>
    </w:p>
    <w:p w14:paraId="4C6D1140" w14:textId="74CAA5B3" w:rsidR="00673B71" w:rsidRDefault="00673B71" w:rsidP="00A22FC4">
      <w:pPr>
        <w:spacing w:line="480" w:lineRule="auto"/>
        <w:ind w:firstLine="720"/>
        <w:jc w:val="both"/>
      </w:pPr>
      <w:r>
        <w:t xml:space="preserve">The governing equation for heat transfer in a fluid </w:t>
      </w:r>
      <w:r w:rsidR="000E6EC2">
        <w:t>and</w:t>
      </w:r>
      <w:r>
        <w:t xml:space="preserve"> solid domain is</w:t>
      </w:r>
      <w:r w:rsidR="00385244">
        <w:t xml:space="preserve"> given by</w:t>
      </w:r>
      <w:r>
        <w:t>:</w:t>
      </w:r>
    </w:p>
    <w:p w14:paraId="0F3B9B2C" w14:textId="5E4B4480" w:rsidR="00673B71" w:rsidRDefault="00023F7D" w:rsidP="00A22FC4">
      <w:pPr>
        <w:tabs>
          <w:tab w:val="center" w:pos="4680"/>
          <w:tab w:val="right" w:pos="9360"/>
        </w:tabs>
        <w:spacing w:line="480" w:lineRule="auto"/>
        <w:jc w:val="both"/>
      </w:pPr>
      <w:r>
        <w:tab/>
      </w:r>
      <m:oMath>
        <m:r>
          <w:rPr>
            <w:rFonts w:ascii="Cambria Math" w:hAnsi="Cambria Math"/>
          </w:rPr>
          <m:t>ρ</m:t>
        </m:r>
        <m:sSub>
          <m:sSubPr>
            <m:ctrlPr>
              <w:rPr>
                <w:rFonts w:ascii="Cambria Math" w:hAnsi="Cambria Math"/>
                <w:i/>
              </w:rPr>
            </m:ctrlPr>
          </m:sSubPr>
          <m:e>
            <m:r>
              <w:rPr>
                <w:rFonts w:ascii="Cambria Math" w:hAnsi="Cambria Math"/>
              </w:rPr>
              <m:t>C</m:t>
            </m:r>
          </m:e>
          <m:sub>
            <m:r>
              <w:rPr>
                <w:rFonts w:ascii="Cambria Math" w:hAnsi="Cambria Math"/>
              </w:rPr>
              <m:t>p</m:t>
            </m:r>
          </m:sub>
        </m:sSub>
        <m:f>
          <m:fPr>
            <m:ctrlPr>
              <w:rPr>
                <w:rFonts w:ascii="Cambria Math" w:hAnsi="Cambria Math"/>
                <w:i/>
              </w:rPr>
            </m:ctrlPr>
          </m:fPr>
          <m:num>
            <m:r>
              <w:rPr>
                <w:rFonts w:ascii="Cambria Math" w:hAnsi="Cambria Math"/>
              </w:rPr>
              <m:t>∂T</m:t>
            </m:r>
          </m:num>
          <m:den>
            <m:r>
              <w:rPr>
                <w:rFonts w:ascii="Cambria Math" w:hAnsi="Cambria Math"/>
              </w:rPr>
              <m:t>∂t</m:t>
            </m:r>
          </m:den>
        </m:f>
        <m:r>
          <w:rPr>
            <w:rFonts w:ascii="Cambria Math" w:hAnsi="Cambria Math"/>
          </w:rPr>
          <m:t>+ρ</m:t>
        </m:r>
        <m:sSub>
          <m:sSubPr>
            <m:ctrlPr>
              <w:rPr>
                <w:rFonts w:ascii="Cambria Math" w:hAnsi="Cambria Math"/>
                <w:i/>
              </w:rPr>
            </m:ctrlPr>
          </m:sSubPr>
          <m:e>
            <m:r>
              <w:rPr>
                <w:rFonts w:ascii="Cambria Math" w:hAnsi="Cambria Math"/>
              </w:rPr>
              <m:t>C</m:t>
            </m:r>
          </m:e>
          <m:sub>
            <m:r>
              <w:rPr>
                <w:rFonts w:ascii="Cambria Math" w:hAnsi="Cambria Math"/>
              </w:rPr>
              <m:t>p</m:t>
            </m:r>
          </m:sub>
        </m:sSub>
        <m:r>
          <m:rPr>
            <m:sty m:val="b"/>
          </m:rPr>
          <w:rPr>
            <w:rFonts w:ascii="Cambria Math" w:hAnsi="Cambria Math"/>
          </w:rPr>
          <m:t>u</m:t>
        </m:r>
        <m:r>
          <m:rPr>
            <m:sty m:val="p"/>
          </m:rPr>
          <w:rPr>
            <w:rFonts w:ascii="Cambria Math" w:hAnsi="Cambria Math" w:cs="Cambria Math"/>
          </w:rPr>
          <m:t>⋅</m:t>
        </m:r>
        <m:r>
          <m:rPr>
            <m:sty m:val="b"/>
          </m:rPr>
          <w:rPr>
            <w:rFonts w:ascii="Cambria Math" w:hAnsi="Cambria Math" w:cs="Cambria Math"/>
          </w:rPr>
          <m:t>∇</m:t>
        </m:r>
        <m:r>
          <m:rPr>
            <m:sty m:val="b"/>
          </m:rPr>
          <w:rPr>
            <w:rFonts w:ascii="Cambria Math" w:hAnsi="Cambria Math"/>
          </w:rPr>
          <m:t>T</m:t>
        </m:r>
        <m:r>
          <w:rPr>
            <w:rFonts w:ascii="Cambria Math" w:hAnsi="Cambria Math"/>
          </w:rPr>
          <m:t>=</m:t>
        </m:r>
        <m:r>
          <w:rPr>
            <w:rFonts w:ascii="Cambria Math" w:hAnsi="Cambria Math" w:cs="Cambria Math"/>
          </w:rPr>
          <m:t>∇⋅</m:t>
        </m:r>
        <m:r>
          <w:rPr>
            <w:rFonts w:ascii="Cambria Math" w:hAnsi="Cambria Math"/>
          </w:rPr>
          <m:t>(k</m:t>
        </m:r>
        <m:r>
          <m:rPr>
            <m:sty m:val="b"/>
          </m:rPr>
          <w:rPr>
            <w:rFonts w:ascii="Cambria Math" w:hAnsi="Cambria Math" w:cs="Cambria Math"/>
          </w:rPr>
          <m:t>∇</m:t>
        </m:r>
        <m:r>
          <m:rPr>
            <m:sty m:val="b"/>
          </m:rPr>
          <w:rPr>
            <w:rFonts w:ascii="Cambria Math" w:hAnsi="Cambria Math"/>
          </w:rPr>
          <m:t>T</m:t>
        </m:r>
        <m:r>
          <w:rPr>
            <w:rFonts w:ascii="Cambria Math" w:hAnsi="Cambria Math"/>
          </w:rPr>
          <m:t>)+Q</m:t>
        </m:r>
      </m:oMath>
      <w:r w:rsidR="00385244">
        <w:t>,</w:t>
      </w:r>
      <w:r w:rsidR="000E6EC2">
        <w:tab/>
        <w:t>(S</w:t>
      </w:r>
      <w:r w:rsidR="00A62E2B">
        <w:t>3</w:t>
      </w:r>
      <w:r w:rsidR="000E6EC2">
        <w:t>8)</w:t>
      </w:r>
    </w:p>
    <w:p w14:paraId="57FBA07E" w14:textId="338FD9CF" w:rsidR="00673B71" w:rsidRDefault="00023F7D" w:rsidP="000D38DD">
      <w:pPr>
        <w:spacing w:line="480" w:lineRule="auto"/>
        <w:jc w:val="both"/>
      </w:pPr>
      <w:r>
        <w:t>w</w:t>
      </w:r>
      <w:r w:rsidR="00673B71">
        <w:t>here</w:t>
      </w:r>
      <w:r w:rsidR="00BF1119">
        <w:t xml:space="preserve"> </w:t>
      </w:r>
      <w:r w:rsidR="00673B71" w:rsidRPr="00A22FC4">
        <w:rPr>
          <w:i/>
        </w:rPr>
        <w:t>ρ</w:t>
      </w:r>
      <w:r w:rsidR="00BF1119">
        <w:t xml:space="preserve"> is</w:t>
      </w:r>
      <w:r w:rsidR="00673B71">
        <w:t xml:space="preserve"> density,</w:t>
      </w:r>
      <w:r w:rsidR="00BF1119">
        <w:t xml:space="preserve"> </w:t>
      </w:r>
      <m:oMath>
        <m:sSub>
          <m:sSubPr>
            <m:ctrlPr>
              <w:rPr>
                <w:rFonts w:ascii="Cambria Math" w:hAnsi="Cambria Math"/>
                <w:i/>
              </w:rPr>
            </m:ctrlPr>
          </m:sSubPr>
          <m:e>
            <m:r>
              <w:rPr>
                <w:rFonts w:ascii="Cambria Math" w:hAnsi="Cambria Math"/>
              </w:rPr>
              <m:t>C</m:t>
            </m:r>
          </m:e>
          <m:sub>
            <m:r>
              <w:rPr>
                <w:rFonts w:ascii="Cambria Math" w:hAnsi="Cambria Math"/>
              </w:rPr>
              <m:t>p</m:t>
            </m:r>
          </m:sub>
        </m:sSub>
      </m:oMath>
      <w:r w:rsidR="00385244">
        <w:t xml:space="preserve"> is </w:t>
      </w:r>
      <w:r w:rsidR="0021518D">
        <w:t xml:space="preserve">the </w:t>
      </w:r>
      <w:r w:rsidR="00673B71">
        <w:t>specific heat capacity at constant pressure,</w:t>
      </w:r>
      <w:r w:rsidR="00DE4E64">
        <w:t xml:space="preserve"> </w:t>
      </w:r>
      <w:r w:rsidR="00673B71" w:rsidRPr="00A22FC4">
        <w:rPr>
          <w:i/>
        </w:rPr>
        <w:t>T</w:t>
      </w:r>
      <w:r w:rsidR="00DE4E64">
        <w:t xml:space="preserve"> is</w:t>
      </w:r>
      <w:r w:rsidR="00673B71">
        <w:t xml:space="preserve"> temperature,</w:t>
      </w:r>
      <w:r w:rsidR="00DE4E64">
        <w:t xml:space="preserve"> </w:t>
      </w:r>
      <m:oMath>
        <m:r>
          <m:rPr>
            <m:sty m:val="b"/>
          </m:rPr>
          <w:rPr>
            <w:rFonts w:ascii="Cambria Math" w:hAnsi="Cambria Math"/>
          </w:rPr>
          <m:t>u</m:t>
        </m:r>
      </m:oMath>
      <w:r w:rsidR="00DE4E64">
        <w:rPr>
          <w:b/>
          <w:bCs/>
          <w:iCs/>
        </w:rPr>
        <w:t xml:space="preserve"> </w:t>
      </w:r>
      <w:r w:rsidR="00DE4E64" w:rsidRPr="000D38DD">
        <w:t>is the velocity vector</w:t>
      </w:r>
      <w:r w:rsidR="00673B71">
        <w:t>,</w:t>
      </w:r>
      <w:r w:rsidR="00DE4E64">
        <w:t xml:space="preserve"> </w:t>
      </w:r>
      <w:r w:rsidR="00673B71" w:rsidRPr="00A22FC4">
        <w:rPr>
          <w:i/>
        </w:rPr>
        <w:t>k</w:t>
      </w:r>
      <w:r w:rsidR="00673B71">
        <w:t xml:space="preserve"> </w:t>
      </w:r>
      <w:r w:rsidR="00D6179F">
        <w:t xml:space="preserve">is </w:t>
      </w:r>
      <w:r w:rsidR="00673B71">
        <w:t>thermal conductivity,</w:t>
      </w:r>
      <w:r w:rsidR="00DE4E64">
        <w:t xml:space="preserve"> </w:t>
      </w:r>
      <w:r w:rsidR="00D6179F">
        <w:t xml:space="preserve">and </w:t>
      </w:r>
      <w:r w:rsidR="00673B71" w:rsidRPr="00A22FC4">
        <w:rPr>
          <w:i/>
        </w:rPr>
        <w:t>Q</w:t>
      </w:r>
      <w:r w:rsidR="00673B71">
        <w:t xml:space="preserve"> </w:t>
      </w:r>
      <w:r w:rsidR="00D6179F">
        <w:t xml:space="preserve">is the </w:t>
      </w:r>
      <w:r w:rsidR="00673B71">
        <w:t>heat source term.</w:t>
      </w:r>
    </w:p>
    <w:p w14:paraId="2D1FD1D7" w14:textId="77777777" w:rsidR="00E64E3C" w:rsidRDefault="00E64E3C" w:rsidP="000D38DD">
      <w:pPr>
        <w:spacing w:line="480" w:lineRule="auto"/>
        <w:jc w:val="both"/>
      </w:pPr>
    </w:p>
    <w:p w14:paraId="6C6CA999" w14:textId="1BB0502F" w:rsidR="00673B71" w:rsidRPr="00BE0898" w:rsidRDefault="00673B71" w:rsidP="000D38DD">
      <w:pPr>
        <w:spacing w:line="480" w:lineRule="auto"/>
        <w:jc w:val="both"/>
      </w:pPr>
      <w:r w:rsidRPr="000D38DD">
        <w:t>Non-Isothermal Laminar Flow</w:t>
      </w:r>
      <w:r w:rsidR="00945A02">
        <w:rPr>
          <w:i/>
          <w:iCs/>
        </w:rPr>
        <w:t xml:space="preserve"> (Domain: Ionic Biogel)</w:t>
      </w:r>
    </w:p>
    <w:p w14:paraId="1FB3315E" w14:textId="2AC46020" w:rsidR="00673B71" w:rsidRDefault="00673B71" w:rsidP="00A22FC4">
      <w:pPr>
        <w:spacing w:line="480" w:lineRule="auto"/>
        <w:ind w:firstLine="720"/>
        <w:jc w:val="both"/>
      </w:pPr>
      <w:r>
        <w:t>For incompressible laminar flow coupled with heat transfer, the Navier-Stokes equations are</w:t>
      </w:r>
      <w:r w:rsidR="00653B46">
        <w:t xml:space="preserve"> </w:t>
      </w:r>
      <w:r w:rsidR="00044B3E">
        <w:t>expressed</w:t>
      </w:r>
      <w:r w:rsidR="00653B46">
        <w:t xml:space="preserve"> as</w:t>
      </w:r>
      <w:r>
        <w:t>:</w:t>
      </w:r>
    </w:p>
    <w:p w14:paraId="6E709618" w14:textId="12214EC4" w:rsidR="00353E6E" w:rsidRDefault="00023F7D" w:rsidP="00A22FC4">
      <w:pPr>
        <w:tabs>
          <w:tab w:val="center" w:pos="4680"/>
          <w:tab w:val="right" w:pos="9360"/>
        </w:tabs>
        <w:spacing w:line="480" w:lineRule="auto"/>
        <w:jc w:val="both"/>
      </w:pPr>
      <w:r>
        <w:tab/>
      </w:r>
      <m:oMath>
        <m:r>
          <w:rPr>
            <w:rFonts w:ascii="Cambria Math" w:hAnsi="Cambria Math"/>
          </w:rPr>
          <m:t>ρ(</m:t>
        </m:r>
        <m:f>
          <m:fPr>
            <m:ctrlPr>
              <w:rPr>
                <w:rFonts w:ascii="Cambria Math" w:hAnsi="Cambria Math"/>
                <w:i/>
              </w:rPr>
            </m:ctrlPr>
          </m:fPr>
          <m:num>
            <m:r>
              <w:rPr>
                <w:rFonts w:ascii="Cambria Math" w:hAnsi="Cambria Math"/>
              </w:rPr>
              <m:t>∂</m:t>
            </m:r>
            <m:r>
              <m:rPr>
                <m:sty m:val="b"/>
              </m:rPr>
              <w:rPr>
                <w:rFonts w:ascii="Cambria Math" w:hAnsi="Cambria Math"/>
              </w:rPr>
              <m:t>u</m:t>
            </m:r>
          </m:num>
          <m:den>
            <m:r>
              <w:rPr>
                <w:rFonts w:ascii="Cambria Math" w:hAnsi="Cambria Math"/>
              </w:rPr>
              <m:t>∂t</m:t>
            </m:r>
          </m:den>
        </m:f>
        <m:r>
          <w:rPr>
            <w:rFonts w:ascii="Cambria Math" w:hAnsi="Cambria Math"/>
          </w:rPr>
          <m:t>+(</m:t>
        </m:r>
        <m:r>
          <m:rPr>
            <m:sty m:val="b"/>
          </m:rPr>
          <w:rPr>
            <w:rFonts w:ascii="Cambria Math" w:hAnsi="Cambria Math"/>
          </w:rPr>
          <m:t>u</m:t>
        </m:r>
        <m:r>
          <w:rPr>
            <w:rFonts w:ascii="Cambria Math" w:hAnsi="Cambria Math" w:cs="Cambria Math"/>
          </w:rPr>
          <m:t>⋅∇</m:t>
        </m:r>
        <m:r>
          <w:rPr>
            <w:rFonts w:ascii="Cambria Math" w:hAnsi="Cambria Math"/>
          </w:rPr>
          <m:t>)</m:t>
        </m:r>
        <m:r>
          <m:rPr>
            <m:sty m:val="b"/>
          </m:rPr>
          <w:rPr>
            <w:rFonts w:ascii="Cambria Math" w:hAnsi="Cambria Math"/>
          </w:rPr>
          <m:t>u</m:t>
        </m:r>
        <m:r>
          <w:rPr>
            <w:rFonts w:ascii="Cambria Math" w:hAnsi="Cambria Math"/>
          </w:rPr>
          <m:t>)=-</m:t>
        </m:r>
        <m:r>
          <m:rPr>
            <m:sty m:val="b"/>
          </m:rPr>
          <w:rPr>
            <w:rFonts w:ascii="Cambria Math" w:hAnsi="Cambria Math" w:cs="Cambria Math"/>
          </w:rPr>
          <m:t>∇</m:t>
        </m:r>
        <m:r>
          <m:rPr>
            <m:sty m:val="b"/>
          </m:rPr>
          <w:rPr>
            <w:rFonts w:ascii="Cambria Math" w:hAnsi="Cambria Math"/>
          </w:rPr>
          <m:t>p</m:t>
        </m:r>
        <m:r>
          <w:rPr>
            <w:rFonts w:ascii="Cambria Math" w:hAnsi="Cambria Math"/>
          </w:rPr>
          <m:t>+</m:t>
        </m:r>
        <m:r>
          <w:rPr>
            <w:rFonts w:ascii="Cambria Math" w:hAnsi="Cambria Math" w:cs="Cambria Math"/>
          </w:rPr>
          <m:t>∇⋅</m:t>
        </m:r>
        <m:r>
          <w:rPr>
            <w:rFonts w:ascii="Cambria Math" w:hAnsi="Cambria Math"/>
          </w:rPr>
          <m:t>μ(</m:t>
        </m:r>
        <m:r>
          <m:rPr>
            <m:sty m:val="b"/>
          </m:rPr>
          <w:rPr>
            <w:rFonts w:ascii="Cambria Math" w:hAnsi="Cambria Math" w:cs="Cambria Math"/>
          </w:rPr>
          <m:t>∇</m:t>
        </m:r>
        <m:r>
          <m:rPr>
            <m:sty m:val="b"/>
          </m:rPr>
          <w:rPr>
            <w:rFonts w:ascii="Cambria Math" w:hAnsi="Cambria Math"/>
          </w:rPr>
          <m:t>u</m:t>
        </m:r>
        <m:r>
          <w:rPr>
            <w:rFonts w:ascii="Cambria Math" w:hAnsi="Cambria Math"/>
          </w:rPr>
          <m:t>+</m:t>
        </m:r>
        <m:sSup>
          <m:sSupPr>
            <m:ctrlPr>
              <w:rPr>
                <w:rFonts w:ascii="Cambria Math" w:hAnsi="Cambria Math" w:cs="Cambria Math"/>
                <w:b/>
                <w:bCs/>
                <w:iCs/>
              </w:rPr>
            </m:ctrlPr>
          </m:sSupPr>
          <m:e>
            <m:r>
              <m:rPr>
                <m:sty m:val="b"/>
              </m:rPr>
              <w:rPr>
                <w:rFonts w:ascii="Cambria Math" w:hAnsi="Cambria Math" w:cs="Cambria Math"/>
              </w:rPr>
              <m:t>∇</m:t>
            </m:r>
            <m:r>
              <m:rPr>
                <m:sty m:val="b"/>
              </m:rPr>
              <w:rPr>
                <w:rFonts w:ascii="Cambria Math" w:hAnsi="Cambria Math"/>
              </w:rPr>
              <m:t>u</m:t>
            </m:r>
          </m:e>
          <m:sup>
            <m:r>
              <m:rPr>
                <m:sty m:val="bi"/>
              </m:rPr>
              <w:rPr>
                <w:rFonts w:ascii="Cambria Math" w:hAnsi="Cambria Math" w:cs="Cambria Math"/>
              </w:rPr>
              <m:t>T</m:t>
            </m:r>
          </m:sup>
        </m:sSup>
        <m:r>
          <w:rPr>
            <w:rFonts w:ascii="Cambria Math" w:hAnsi="Cambria Math"/>
          </w:rPr>
          <m:t>)+</m:t>
        </m:r>
        <m:r>
          <m:rPr>
            <m:sty m:val="b"/>
          </m:rPr>
          <w:rPr>
            <w:rFonts w:ascii="Cambria Math" w:hAnsi="Cambria Math"/>
          </w:rPr>
          <m:t>F</m:t>
        </m:r>
      </m:oMath>
      <w:r w:rsidR="00D74F75">
        <w:rPr>
          <w:b/>
          <w:bCs/>
          <w:iCs/>
        </w:rPr>
        <w:tab/>
      </w:r>
      <w:r w:rsidR="00D74F75" w:rsidRPr="000D38DD">
        <w:t>(S</w:t>
      </w:r>
      <w:r w:rsidR="00A62E2B">
        <w:t>3</w:t>
      </w:r>
      <w:r w:rsidR="00D74F75" w:rsidRPr="000D38DD">
        <w:t>9)</w:t>
      </w:r>
    </w:p>
    <w:p w14:paraId="3879B472" w14:textId="3D19C9E9" w:rsidR="00673B71" w:rsidRDefault="00023F7D" w:rsidP="00A22FC4">
      <w:pPr>
        <w:tabs>
          <w:tab w:val="center" w:pos="4680"/>
          <w:tab w:val="right" w:pos="9360"/>
        </w:tabs>
        <w:spacing w:line="480" w:lineRule="auto"/>
        <w:jc w:val="both"/>
      </w:pPr>
      <w:r>
        <w:tab/>
      </w:r>
      <m:oMath>
        <m:r>
          <w:rPr>
            <w:rFonts w:ascii="Cambria Math" w:hAnsi="Cambria Math" w:cs="Cambria Math"/>
          </w:rPr>
          <m:t>∇⋅</m:t>
        </m:r>
        <m:r>
          <m:rPr>
            <m:sty m:val="bi"/>
          </m:rPr>
          <w:rPr>
            <w:rFonts w:ascii="Cambria Math" w:hAnsi="Cambria Math"/>
          </w:rPr>
          <m:t>u</m:t>
        </m:r>
        <m:r>
          <w:rPr>
            <w:rFonts w:ascii="Cambria Math" w:hAnsi="Cambria Math"/>
          </w:rPr>
          <m:t>=0</m:t>
        </m:r>
      </m:oMath>
      <w:r w:rsidR="00826E58">
        <w:tab/>
        <w:t>(S</w:t>
      </w:r>
      <w:r w:rsidR="00A62E2B">
        <w:t>4</w:t>
      </w:r>
      <w:r w:rsidR="00826E58">
        <w:t>0)</w:t>
      </w:r>
    </w:p>
    <w:p w14:paraId="19417C30" w14:textId="66F08054" w:rsidR="00673B71" w:rsidRDefault="009145BE" w:rsidP="000D38DD">
      <w:pPr>
        <w:spacing w:line="480" w:lineRule="auto"/>
        <w:jc w:val="both"/>
      </w:pPr>
      <w:r>
        <w:t>where</w:t>
      </w:r>
      <w:r w:rsidR="000F4B56">
        <w:t xml:space="preserve"> </w:t>
      </w:r>
      <w:r w:rsidR="00673B71" w:rsidRPr="00A22FC4">
        <w:rPr>
          <w:i/>
        </w:rPr>
        <w:t>p</w:t>
      </w:r>
      <w:r w:rsidR="00673B71">
        <w:t xml:space="preserve"> </w:t>
      </w:r>
      <w:r w:rsidR="000F4B56">
        <w:t>is</w:t>
      </w:r>
      <w:r w:rsidR="00673B71">
        <w:t xml:space="preserve"> pressure,</w:t>
      </w:r>
      <w:r w:rsidR="002F444E">
        <w:t xml:space="preserve"> </w:t>
      </w:r>
      <m:oMath>
        <m:r>
          <w:rPr>
            <w:rFonts w:ascii="Cambria Math" w:hAnsi="Cambria Math"/>
          </w:rPr>
          <m:t>μ</m:t>
        </m:r>
      </m:oMath>
      <w:r w:rsidR="000F4B56">
        <w:t xml:space="preserve"> is </w:t>
      </w:r>
      <w:r w:rsidR="007F4878">
        <w:t xml:space="preserve">the temperature-dependent </w:t>
      </w:r>
      <w:r w:rsidR="00673B71">
        <w:t>dynamic viscosity,</w:t>
      </w:r>
      <w:r w:rsidR="007F4878">
        <w:t xml:space="preserve"> </w:t>
      </w:r>
      <w:r w:rsidR="00C11668">
        <w:t xml:space="preserve">and </w:t>
      </w:r>
      <w:r w:rsidR="00673B71" w:rsidRPr="000D38DD">
        <w:rPr>
          <w:b/>
        </w:rPr>
        <w:t>F</w:t>
      </w:r>
      <w:r w:rsidR="002F444E">
        <w:t xml:space="preserve"> is </w:t>
      </w:r>
      <w:r w:rsidR="00C11668">
        <w:t>the</w:t>
      </w:r>
      <w:r w:rsidR="002F444E">
        <w:t xml:space="preserve"> </w:t>
      </w:r>
      <w:r w:rsidR="00673B71">
        <w:t>external force (e.g., gravity</w:t>
      </w:r>
      <w:r w:rsidR="00C11668">
        <w:t xml:space="preserve"> or </w:t>
      </w:r>
      <w:r w:rsidR="00673B71">
        <w:t>capillary force).</w:t>
      </w:r>
    </w:p>
    <w:p w14:paraId="3724793A" w14:textId="77777777" w:rsidR="00E64E3C" w:rsidRDefault="00E64E3C" w:rsidP="000D38DD">
      <w:pPr>
        <w:spacing w:line="480" w:lineRule="auto"/>
        <w:jc w:val="both"/>
      </w:pPr>
    </w:p>
    <w:p w14:paraId="45AAF53C" w14:textId="15789C9F" w:rsidR="00673B71" w:rsidRPr="00BE0898" w:rsidRDefault="00673B71" w:rsidP="000D38DD">
      <w:pPr>
        <w:spacing w:line="480" w:lineRule="auto"/>
        <w:jc w:val="both"/>
      </w:pPr>
      <w:r w:rsidRPr="000D38DD">
        <w:t>Phase Field Model</w:t>
      </w:r>
      <w:r w:rsidR="007F4878">
        <w:rPr>
          <w:i/>
          <w:iCs/>
        </w:rPr>
        <w:t xml:space="preserve"> (Domain: Ionic Biogel</w:t>
      </w:r>
      <w:r w:rsidR="00CC207D">
        <w:rPr>
          <w:i/>
          <w:iCs/>
        </w:rPr>
        <w:t xml:space="preserve"> and Air</w:t>
      </w:r>
      <w:r w:rsidR="007F4878">
        <w:rPr>
          <w:i/>
          <w:iCs/>
        </w:rPr>
        <w:t>)</w:t>
      </w:r>
    </w:p>
    <w:p w14:paraId="4A8EDB68" w14:textId="30CF48FF" w:rsidR="00673B71" w:rsidRDefault="00673B71" w:rsidP="00A22FC4">
      <w:pPr>
        <w:spacing w:line="480" w:lineRule="auto"/>
        <w:ind w:firstLine="720"/>
        <w:jc w:val="both"/>
      </w:pPr>
      <w:r>
        <w:t xml:space="preserve">The Cahn-Hilliard formulation used in the </w:t>
      </w:r>
      <w:r w:rsidRPr="000D38DD">
        <w:t>Phase Field</w:t>
      </w:r>
      <w:r>
        <w:t xml:space="preserve"> module describes the evolution of the phase field variable </w:t>
      </w:r>
      <m:oMath>
        <m:r>
          <w:rPr>
            <w:rFonts w:ascii="Cambria Math" w:hAnsi="Cambria Math"/>
          </w:rPr>
          <m:t>ϕ</m:t>
        </m:r>
      </m:oMath>
      <w:r>
        <w:t>, which distinguishes between fluid</w:t>
      </w:r>
      <w:r w:rsidR="00045FEE">
        <w:t xml:space="preserve"> (</w:t>
      </w:r>
      <m:oMath>
        <m:r>
          <w:rPr>
            <w:rFonts w:ascii="Cambria Math" w:hAnsi="Cambria Math"/>
          </w:rPr>
          <m:t>ϕ=1</m:t>
        </m:r>
      </m:oMath>
      <w:r w:rsidR="00045FEE">
        <w:t>)</w:t>
      </w:r>
      <w:r>
        <w:t xml:space="preserve"> and air</w:t>
      </w:r>
      <w:r w:rsidR="00045FEE">
        <w:t xml:space="preserve"> (</w:t>
      </w:r>
      <m:oMath>
        <m:r>
          <w:rPr>
            <w:rFonts w:ascii="Cambria Math" w:hAnsi="Cambria Math"/>
          </w:rPr>
          <m:t>ϕ=-1</m:t>
        </m:r>
      </m:oMath>
      <w:r w:rsidR="00045FEE">
        <w:t>)</w:t>
      </w:r>
      <w:r>
        <w:t xml:space="preserve">. </w:t>
      </w:r>
      <w:r w:rsidR="00E64E3C">
        <w:t xml:space="preserve"> </w:t>
      </w:r>
      <w:r>
        <w:t>The governing equations are:</w:t>
      </w:r>
    </w:p>
    <w:p w14:paraId="5762DEFA" w14:textId="096F6BAA" w:rsidR="002F32AF" w:rsidRDefault="00023F7D" w:rsidP="00A22FC4">
      <w:pPr>
        <w:tabs>
          <w:tab w:val="center" w:pos="4680"/>
          <w:tab w:val="right" w:pos="9360"/>
        </w:tabs>
        <w:spacing w:line="480" w:lineRule="auto"/>
        <w:jc w:val="both"/>
      </w:pPr>
      <w:r>
        <w:tab/>
      </w:r>
      <m:oMath>
        <m:f>
          <m:fPr>
            <m:ctrlPr>
              <w:rPr>
                <w:rFonts w:ascii="Cambria Math" w:hAnsi="Cambria Math"/>
                <w:i/>
              </w:rPr>
            </m:ctrlPr>
          </m:fPr>
          <m:num>
            <m:r>
              <w:rPr>
                <w:rFonts w:ascii="Cambria Math" w:hAnsi="Cambria Math"/>
              </w:rPr>
              <m:t>∂ϕ</m:t>
            </m:r>
          </m:num>
          <m:den>
            <m:r>
              <w:rPr>
                <w:rFonts w:ascii="Cambria Math" w:hAnsi="Cambria Math"/>
              </w:rPr>
              <m:t>∂t</m:t>
            </m:r>
          </m:den>
        </m:f>
        <m:r>
          <w:rPr>
            <w:rFonts w:ascii="Cambria Math" w:hAnsi="Cambria Math"/>
          </w:rPr>
          <m:t>+</m:t>
        </m:r>
        <m:r>
          <m:rPr>
            <m:sty m:val="b"/>
          </m:rPr>
          <w:rPr>
            <w:rFonts w:ascii="Cambria Math" w:hAnsi="Cambria Math"/>
          </w:rPr>
          <m:t>u</m:t>
        </m:r>
        <m:r>
          <w:rPr>
            <w:rFonts w:ascii="Cambria Math" w:hAnsi="Cambria Math" w:cs="Cambria Math"/>
          </w:rPr>
          <m:t>⋅</m:t>
        </m:r>
        <m:r>
          <m:rPr>
            <m:sty m:val="b"/>
          </m:rPr>
          <w:rPr>
            <w:rFonts w:ascii="Cambria Math" w:hAnsi="Cambria Math" w:cs="Cambria Math"/>
          </w:rPr>
          <m:t>∇</m:t>
        </m:r>
        <m:r>
          <m:rPr>
            <m:sty m:val="b"/>
          </m:rPr>
          <w:rPr>
            <w:rFonts w:ascii="Cambria Math" w:hAnsi="Cambria Math"/>
          </w:rPr>
          <m:t>ϕ</m:t>
        </m:r>
        <m:r>
          <w:rPr>
            <w:rFonts w:ascii="Cambria Math" w:hAnsi="Cambria Math"/>
          </w:rPr>
          <m:t>=</m:t>
        </m:r>
        <m:r>
          <w:rPr>
            <w:rFonts w:ascii="Cambria Math" w:hAnsi="Cambria Math" w:cs="Cambria Math"/>
          </w:rPr>
          <m:t>∇⋅</m:t>
        </m:r>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ϕ</m:t>
            </m:r>
          </m:sub>
        </m:sSub>
        <m:r>
          <m:rPr>
            <m:sty m:val="bi"/>
          </m:rPr>
          <w:rPr>
            <w:rFonts w:ascii="Cambria Math" w:hAnsi="Cambria Math" w:cs="Cambria Math"/>
          </w:rPr>
          <m:t>∇</m:t>
        </m:r>
        <m:sSub>
          <m:sSubPr>
            <m:ctrlPr>
              <w:rPr>
                <w:rFonts w:ascii="Cambria Math" w:hAnsi="Cambria Math"/>
                <w:b/>
                <w:bCs/>
                <w:i/>
              </w:rPr>
            </m:ctrlPr>
          </m:sSubPr>
          <m:e>
            <m:r>
              <m:rPr>
                <m:sty m:val="bi"/>
              </m:rPr>
              <w:rPr>
                <w:rFonts w:ascii="Cambria Math" w:hAnsi="Cambria Math"/>
              </w:rPr>
              <m:t>μ</m:t>
            </m:r>
          </m:e>
          <m:sub>
            <m:r>
              <m:rPr>
                <m:sty m:val="bi"/>
              </m:rPr>
              <w:rPr>
                <w:rFonts w:ascii="Cambria Math" w:hAnsi="Cambria Math"/>
              </w:rPr>
              <m:t>ϕ</m:t>
            </m:r>
          </m:sub>
        </m:sSub>
        <m:r>
          <w:rPr>
            <w:rFonts w:ascii="Cambria Math" w:hAnsi="Cambria Math"/>
          </w:rPr>
          <m:t>)</m:t>
        </m:r>
      </m:oMath>
      <w:r w:rsidR="003C5D40">
        <w:tab/>
        <w:t>(S</w:t>
      </w:r>
      <w:r w:rsidR="00A62E2B">
        <w:t>4</w:t>
      </w:r>
      <w:r w:rsidR="003C5D40">
        <w:t>1)</w:t>
      </w:r>
    </w:p>
    <w:p w14:paraId="6584121A" w14:textId="251BA8F1" w:rsidR="00673B71" w:rsidRDefault="00107F69" w:rsidP="00A22FC4">
      <w:pPr>
        <w:tabs>
          <w:tab w:val="center" w:pos="4680"/>
          <w:tab w:val="right" w:pos="9360"/>
        </w:tabs>
        <w:spacing w:line="480" w:lineRule="auto"/>
        <w:jc w:val="both"/>
      </w:pPr>
      <w:r>
        <w:lastRenderedPageBreak/>
        <w:tab/>
      </w:r>
      <m:oMath>
        <m:sSub>
          <m:sSubPr>
            <m:ctrlPr>
              <w:rPr>
                <w:rFonts w:ascii="Cambria Math" w:hAnsi="Cambria Math"/>
                <w:i/>
              </w:rPr>
            </m:ctrlPr>
          </m:sSubPr>
          <m:e>
            <m:r>
              <w:rPr>
                <w:rFonts w:ascii="Cambria Math" w:hAnsi="Cambria Math"/>
              </w:rPr>
              <m:t>μ</m:t>
            </m:r>
          </m:e>
          <m:sub>
            <m:r>
              <w:rPr>
                <w:rFonts w:ascii="Cambria Math" w:hAnsi="Cambria Math"/>
              </w:rPr>
              <m:t>ϕ</m:t>
            </m:r>
          </m:sub>
        </m:sSub>
        <m:r>
          <w:rPr>
            <w:rFonts w:ascii="Cambria Math" w:hAnsi="Cambria Math"/>
          </w:rPr>
          <m:t>=</m:t>
        </m:r>
        <m:f>
          <m:fPr>
            <m:ctrlPr>
              <w:rPr>
                <w:rFonts w:ascii="Cambria Math" w:hAnsi="Cambria Math"/>
                <w:i/>
              </w:rPr>
            </m:ctrlPr>
          </m:fPr>
          <m:num>
            <m:r>
              <w:rPr>
                <w:rFonts w:ascii="Cambria Math" w:hAnsi="Cambria Math"/>
              </w:rPr>
              <m:t>δF</m:t>
            </m:r>
          </m:num>
          <m:den>
            <m:r>
              <w:rPr>
                <w:rFonts w:ascii="Cambria Math" w:hAnsi="Cambria Math"/>
              </w:rPr>
              <m:t>δϕ</m:t>
            </m:r>
          </m:den>
        </m:f>
        <m:r>
          <w:rPr>
            <w:rFonts w:ascii="Cambria Math" w:hAnsi="Cambria Math"/>
          </w:rPr>
          <m:t>=λ</m:t>
        </m:r>
        <m:sSup>
          <m:sSupPr>
            <m:ctrlPr>
              <w:rPr>
                <w:rFonts w:ascii="Cambria Math" w:hAnsi="Cambria Math" w:cs="Cambria Math"/>
                <w:i/>
              </w:rPr>
            </m:ctrlPr>
          </m:sSupPr>
          <m:e>
            <m:r>
              <w:rPr>
                <w:rFonts w:ascii="Cambria Math" w:hAnsi="Cambria Math" w:cs="Cambria Math"/>
              </w:rPr>
              <m:t>∇</m:t>
            </m:r>
          </m:e>
          <m:sup>
            <m:r>
              <w:rPr>
                <w:rFonts w:ascii="Cambria Math" w:hAnsi="Cambria Math" w:cs="Cambria Math"/>
              </w:rPr>
              <m:t>2</m:t>
            </m:r>
          </m:sup>
        </m:sSup>
        <m:r>
          <w:rPr>
            <w:rFonts w:ascii="Cambria Math" w:hAnsi="Cambria Math"/>
          </w:rPr>
          <m:t>ϕ+</m:t>
        </m:r>
        <m:f>
          <m:fPr>
            <m:ctrlPr>
              <w:rPr>
                <w:rFonts w:ascii="Cambria Math" w:hAnsi="Cambria Math"/>
                <w:i/>
              </w:rPr>
            </m:ctrlPr>
          </m:fPr>
          <m:num>
            <m:r>
              <w:rPr>
                <w:rFonts w:ascii="Cambria Math" w:hAnsi="Cambria Math"/>
              </w:rPr>
              <m:t>∂f(ϕ)</m:t>
            </m:r>
          </m:num>
          <m:den>
            <m:r>
              <w:rPr>
                <w:rFonts w:ascii="Cambria Math" w:hAnsi="Cambria Math"/>
              </w:rPr>
              <m:t>∂ϕ</m:t>
            </m:r>
          </m:den>
        </m:f>
      </m:oMath>
      <w:r w:rsidR="003C5D40">
        <w:tab/>
        <w:t>(S</w:t>
      </w:r>
      <w:r w:rsidR="00A62E2B">
        <w:t>4</w:t>
      </w:r>
      <w:r w:rsidR="003C5D40">
        <w:t>2)</w:t>
      </w:r>
    </w:p>
    <w:p w14:paraId="3E7965E1" w14:textId="25EA6D2D" w:rsidR="00673B71" w:rsidRDefault="00E64E3C" w:rsidP="000D38DD">
      <w:pPr>
        <w:spacing w:line="480" w:lineRule="auto"/>
        <w:jc w:val="both"/>
      </w:pPr>
      <w:r>
        <w:t>where</w:t>
      </w:r>
      <w:r w:rsidR="00B5392F">
        <w:t xml:space="preserve"> </w:t>
      </w:r>
      <m:oMath>
        <m:sSub>
          <m:sSubPr>
            <m:ctrlPr>
              <w:rPr>
                <w:rFonts w:ascii="Cambria Math" w:hAnsi="Cambria Math"/>
                <w:i/>
              </w:rPr>
            </m:ctrlPr>
          </m:sSubPr>
          <m:e>
            <m:r>
              <w:rPr>
                <w:rFonts w:ascii="Cambria Math" w:hAnsi="Cambria Math"/>
              </w:rPr>
              <m:t>M</m:t>
            </m:r>
          </m:e>
          <m:sub>
            <m:r>
              <w:rPr>
                <w:rFonts w:ascii="Cambria Math" w:hAnsi="Cambria Math"/>
              </w:rPr>
              <m:t>ϕ</m:t>
            </m:r>
          </m:sub>
        </m:sSub>
      </m:oMath>
      <w:r>
        <w:t xml:space="preserve"> </w:t>
      </w:r>
      <w:r w:rsidR="00456B5C">
        <w:t>is the</w:t>
      </w:r>
      <w:r w:rsidR="00673B71">
        <w:t xml:space="preserve"> mobility,</w:t>
      </w:r>
      <w:r w:rsidR="009C0DD9">
        <w:t xml:space="preserve"> </w:t>
      </w:r>
      <m:oMath>
        <m:r>
          <w:rPr>
            <w:rFonts w:ascii="Cambria Math" w:hAnsi="Cambria Math"/>
          </w:rPr>
          <m:t>F=</m:t>
        </m:r>
        <m:f>
          <m:fPr>
            <m:ctrlPr>
              <w:rPr>
                <w:rFonts w:ascii="Cambria Math" w:hAnsi="Cambria Math"/>
                <w:i/>
              </w:rPr>
            </m:ctrlPr>
          </m:fPr>
          <m:num>
            <m:r>
              <w:rPr>
                <w:rFonts w:ascii="Cambria Math" w:hAnsi="Cambria Math"/>
              </w:rPr>
              <m:t>λ</m:t>
            </m:r>
          </m:num>
          <m:den>
            <m:r>
              <w:rPr>
                <w:rFonts w:ascii="Cambria Math" w:hAnsi="Cambria Math"/>
              </w:rPr>
              <m:t>2</m:t>
            </m:r>
          </m:den>
        </m:f>
        <m:sSup>
          <m:sSupPr>
            <m:ctrlPr>
              <w:rPr>
                <w:rFonts w:ascii="Cambria Math" w:hAnsi="Cambria Math" w:cs="Cambria Math"/>
                <w:i/>
              </w:rPr>
            </m:ctrlPr>
          </m:sSupPr>
          <m:e>
            <m:r>
              <w:rPr>
                <w:rFonts w:ascii="Cambria Math" w:hAnsi="Cambria Math" w:cs="Cambria Math"/>
              </w:rPr>
              <m:t>|∇</m:t>
            </m:r>
            <m:r>
              <w:rPr>
                <w:rFonts w:ascii="Cambria Math" w:hAnsi="Cambria Math"/>
              </w:rPr>
              <m:t>ϕ</m:t>
            </m:r>
            <m:r>
              <w:rPr>
                <w:rFonts w:ascii="Cambria Math" w:hAnsi="Cambria Math" w:cs="Cambria Math"/>
              </w:rPr>
              <m:t>|</m:t>
            </m:r>
          </m:e>
          <m:sup>
            <m:r>
              <w:rPr>
                <w:rFonts w:ascii="Cambria Math" w:hAnsi="Cambria Math" w:cs="Cambria Math"/>
              </w:rPr>
              <m:t>2</m:t>
            </m:r>
          </m:sup>
        </m:sSup>
        <m:r>
          <w:rPr>
            <w:rFonts w:ascii="Cambria Math" w:hAnsi="Cambria Math"/>
          </w:rPr>
          <m:t>+f(ϕ)</m:t>
        </m:r>
      </m:oMath>
      <w:r w:rsidR="009C0DD9">
        <w:t xml:space="preserve"> </w:t>
      </w:r>
      <w:r w:rsidR="00456B5C">
        <w:t>is the</w:t>
      </w:r>
      <w:r w:rsidR="00673B71">
        <w:t xml:space="preserve"> free energy,</w:t>
      </w:r>
      <w:r w:rsidR="00F113DE">
        <w:t xml:space="preserve"> </w:t>
      </w:r>
      <m:oMath>
        <m:r>
          <w:rPr>
            <w:rFonts w:ascii="Cambria Math" w:hAnsi="Cambria Math"/>
          </w:rPr>
          <m:t>f(ϕ)=</m:t>
        </m:r>
        <m:f>
          <m:fPr>
            <m:ctrlPr>
              <w:rPr>
                <w:rFonts w:ascii="Cambria Math" w:hAnsi="Cambria Math"/>
                <w:i/>
              </w:rPr>
            </m:ctrlPr>
          </m:fPr>
          <m:num>
            <m:r>
              <w:rPr>
                <w:rFonts w:ascii="Cambria Math" w:hAnsi="Cambria Math"/>
              </w:rPr>
              <m:t>γ</m:t>
            </m:r>
          </m:num>
          <m:den>
            <m:r>
              <w:rPr>
                <w:rFonts w:ascii="Cambria Math" w:hAnsi="Cambria Math"/>
              </w:rPr>
              <m:t>4</m:t>
            </m:r>
          </m:den>
        </m:f>
        <m:sSup>
          <m:sSupPr>
            <m:ctrlPr>
              <w:rPr>
                <w:rFonts w:ascii="Cambria Math" w:hAnsi="Cambria Math"/>
                <w:i/>
              </w:rPr>
            </m:ctrlPr>
          </m:sSupPr>
          <m:e>
            <m:r>
              <w:rPr>
                <w:rFonts w:ascii="Cambria Math" w:hAnsi="Cambria Math"/>
              </w:rPr>
              <m:t>(</m:t>
            </m:r>
            <m:sSup>
              <m:sSupPr>
                <m:ctrlPr>
                  <w:rPr>
                    <w:rFonts w:ascii="Cambria Math" w:hAnsi="Cambria Math"/>
                    <w:i/>
                  </w:rPr>
                </m:ctrlPr>
              </m:sSupPr>
              <m:e>
                <m:r>
                  <w:rPr>
                    <w:rFonts w:ascii="Cambria Math" w:hAnsi="Cambria Math"/>
                  </w:rPr>
                  <m:t>ϕ</m:t>
                </m:r>
              </m:e>
              <m:sup>
                <m:r>
                  <w:rPr>
                    <w:rFonts w:ascii="Cambria Math" w:hAnsi="Cambria Math"/>
                  </w:rPr>
                  <m:t>2</m:t>
                </m:r>
              </m:sup>
            </m:sSup>
            <m:r>
              <w:rPr>
                <w:rFonts w:ascii="Cambria Math" w:hAnsi="Cambria Math"/>
              </w:rPr>
              <m:t>-1)</m:t>
            </m:r>
          </m:e>
          <m:sup>
            <m:r>
              <w:rPr>
                <w:rFonts w:ascii="Cambria Math" w:hAnsi="Cambria Math"/>
              </w:rPr>
              <m:t>2</m:t>
            </m:r>
          </m:sup>
        </m:sSup>
      </m:oMath>
      <w:r w:rsidR="00F113DE">
        <w:t xml:space="preserve"> is the</w:t>
      </w:r>
      <w:r w:rsidR="00673B71">
        <w:t xml:space="preserve"> double-well potential,</w:t>
      </w:r>
      <w:r w:rsidR="00164B7A">
        <w:t xml:space="preserve"> </w:t>
      </w:r>
      <w:r w:rsidR="0007768A">
        <w:t>and</w:t>
      </w:r>
      <w:r w:rsidR="00164B7A">
        <w:t xml:space="preserve"> </w:t>
      </w:r>
      <m:oMath>
        <m:r>
          <w:rPr>
            <w:rFonts w:ascii="Cambria Math" w:hAnsi="Cambria Math"/>
          </w:rPr>
          <m:t>γ</m:t>
        </m:r>
      </m:oMath>
      <w:r w:rsidR="00164B7A">
        <w:t xml:space="preserve"> </w:t>
      </w:r>
      <w:r w:rsidR="003C5D40">
        <w:t>is</w:t>
      </w:r>
      <w:r w:rsidR="00673B71">
        <w:t xml:space="preserve"> </w:t>
      </w:r>
      <w:r w:rsidR="006756F3">
        <w:t xml:space="preserve">the </w:t>
      </w:r>
      <w:r w:rsidR="00673B71">
        <w:t>surface tension parameter.</w:t>
      </w:r>
    </w:p>
    <w:p w14:paraId="158E4C3B" w14:textId="77777777" w:rsidR="0007768A" w:rsidRDefault="0007768A" w:rsidP="000D38DD">
      <w:pPr>
        <w:spacing w:line="480" w:lineRule="auto"/>
        <w:jc w:val="both"/>
      </w:pPr>
    </w:p>
    <w:p w14:paraId="298471DC" w14:textId="48C3247A" w:rsidR="00673B71" w:rsidRPr="00BE0898" w:rsidRDefault="00673B71" w:rsidP="000D38DD">
      <w:pPr>
        <w:spacing w:line="480" w:lineRule="auto"/>
        <w:jc w:val="both"/>
      </w:pPr>
      <w:r w:rsidRPr="000D38DD">
        <w:t>Electrostatics</w:t>
      </w:r>
      <w:r w:rsidR="00532959">
        <w:rPr>
          <w:i/>
          <w:iCs/>
        </w:rPr>
        <w:t xml:space="preserve"> (Domain: Ionic Biogel and Tissue)</w:t>
      </w:r>
    </w:p>
    <w:p w14:paraId="5910BBFE" w14:textId="166DA669" w:rsidR="00673B71" w:rsidRDefault="00673B71" w:rsidP="00A22FC4">
      <w:pPr>
        <w:spacing w:line="480" w:lineRule="auto"/>
        <w:ind w:firstLine="720"/>
        <w:jc w:val="both"/>
      </w:pPr>
      <w:r>
        <w:t xml:space="preserve">The </w:t>
      </w:r>
      <w:r w:rsidRPr="000D38DD">
        <w:t>Electrostatics</w:t>
      </w:r>
      <w:r>
        <w:t xml:space="preserve"> module solves for the electric potential </w:t>
      </w:r>
      <w:r w:rsidRPr="000D38DD">
        <w:rPr>
          <w:i/>
        </w:rPr>
        <w:t>V</w:t>
      </w:r>
      <w:r>
        <w:t xml:space="preserve"> using Poisson’s equation:</w:t>
      </w:r>
    </w:p>
    <w:p w14:paraId="7208EC84" w14:textId="2251FEEA" w:rsidR="00673B71" w:rsidRDefault="00107F69" w:rsidP="00A22FC4">
      <w:pPr>
        <w:tabs>
          <w:tab w:val="center" w:pos="4680"/>
          <w:tab w:val="right" w:pos="9360"/>
        </w:tabs>
        <w:spacing w:line="480" w:lineRule="auto"/>
        <w:jc w:val="both"/>
      </w:pPr>
      <w:r>
        <w:tab/>
      </w:r>
      <m:oMath>
        <m:r>
          <w:rPr>
            <w:rFonts w:ascii="Cambria Math" w:hAnsi="Cambria Math" w:cs="Cambria Math"/>
          </w:rPr>
          <m:t>∇⋅</m:t>
        </m:r>
        <m:r>
          <w:rPr>
            <w:rFonts w:ascii="Cambria Math" w:hAnsi="Cambria Math"/>
          </w:rPr>
          <m:t>(ϵ</m:t>
        </m:r>
        <m:r>
          <m:rPr>
            <m:sty m:val="b"/>
          </m:rPr>
          <w:rPr>
            <w:rFonts w:ascii="Cambria Math" w:hAnsi="Cambria Math" w:cs="Cambria Math"/>
          </w:rPr>
          <m:t>∇</m:t>
        </m:r>
        <m:r>
          <m:rPr>
            <m:sty m:val="b"/>
          </m:rPr>
          <w:rPr>
            <w:rFonts w:ascii="Cambria Math" w:hAnsi="Cambria Math"/>
          </w:rPr>
          <m:t>V</m:t>
        </m:r>
        <m:r>
          <w:rPr>
            <w:rFonts w:ascii="Cambria Math" w:hAnsi="Cambria Math"/>
          </w:rPr>
          <m:t>)=</m:t>
        </m:r>
        <m:r>
          <m:rPr>
            <m:sty m:val="p"/>
          </m:rPr>
          <w:rPr>
            <w:rFonts w:ascii="Cambria Math" w:hAnsi="Cambria Math"/>
          </w:rPr>
          <m:t>Ψ</m:t>
        </m:r>
      </m:oMath>
      <w:r w:rsidR="00A47ECB">
        <w:t>,</w:t>
      </w:r>
      <w:r w:rsidR="006847D2">
        <w:tab/>
        <w:t>(S</w:t>
      </w:r>
      <w:r w:rsidR="00A62E2B">
        <w:t>4</w:t>
      </w:r>
      <w:r w:rsidR="006847D2">
        <w:t>3)</w:t>
      </w:r>
    </w:p>
    <w:p w14:paraId="1F17258E" w14:textId="731D30C0" w:rsidR="00673B71" w:rsidRDefault="00A47ECB" w:rsidP="000D38DD">
      <w:pPr>
        <w:spacing w:line="480" w:lineRule="auto"/>
        <w:jc w:val="both"/>
      </w:pPr>
      <w:r>
        <w:t>where</w:t>
      </w:r>
      <w:r w:rsidR="00673BFF">
        <w:t xml:space="preserve"> </w:t>
      </w:r>
      <m:oMath>
        <m:r>
          <w:rPr>
            <w:rFonts w:ascii="Cambria Math" w:hAnsi="Cambria Math"/>
          </w:rPr>
          <m:t>ϵ</m:t>
        </m:r>
      </m:oMath>
      <w:r w:rsidR="00673BFF">
        <w:t xml:space="preserve"> is the </w:t>
      </w:r>
      <w:r w:rsidR="00673B71">
        <w:t>permittivity of the medium</w:t>
      </w:r>
      <w:r>
        <w:t xml:space="preserve"> and </w:t>
      </w:r>
      <m:oMath>
        <m:r>
          <m:rPr>
            <m:sty m:val="p"/>
          </m:rPr>
          <w:rPr>
            <w:rFonts w:ascii="Cambria Math" w:hAnsi="Cambria Math"/>
          </w:rPr>
          <m:t>Ψ</m:t>
        </m:r>
      </m:oMath>
      <w:r w:rsidR="002C1927">
        <w:t xml:space="preserve"> </w:t>
      </w:r>
      <w:r w:rsidR="005D5C2E">
        <w:t>is the</w:t>
      </w:r>
      <w:r w:rsidR="00673B71">
        <w:t xml:space="preserve"> charge density.</w:t>
      </w:r>
    </w:p>
    <w:p w14:paraId="6417B1D4" w14:textId="77777777" w:rsidR="009910C9" w:rsidRDefault="009910C9" w:rsidP="000D38DD">
      <w:pPr>
        <w:spacing w:line="480" w:lineRule="auto"/>
        <w:jc w:val="both"/>
      </w:pPr>
    </w:p>
    <w:p w14:paraId="3BF20575" w14:textId="63B66173" w:rsidR="00673B71" w:rsidRPr="00BE0898" w:rsidRDefault="00673B71" w:rsidP="000D38DD">
      <w:pPr>
        <w:spacing w:line="480" w:lineRule="auto"/>
        <w:jc w:val="both"/>
      </w:pPr>
      <w:r w:rsidRPr="000D38DD">
        <w:t>Transport of Diluted Species</w:t>
      </w:r>
      <w:r w:rsidR="009A6872">
        <w:rPr>
          <w:i/>
          <w:iCs/>
        </w:rPr>
        <w:t xml:space="preserve"> (Domain: Ionic Biogel and Tissue)</w:t>
      </w:r>
    </w:p>
    <w:p w14:paraId="4EC81BE4" w14:textId="7FBC30C2" w:rsidR="00673B71" w:rsidRDefault="00673B71" w:rsidP="00A22FC4">
      <w:pPr>
        <w:spacing w:line="480" w:lineRule="auto"/>
        <w:ind w:firstLine="720"/>
        <w:jc w:val="both"/>
      </w:pPr>
      <w:r>
        <w:t xml:space="preserve">The transport of ionic species in the </w:t>
      </w:r>
      <w:r w:rsidR="00B1223A">
        <w:t>ionic bio</w:t>
      </w:r>
      <w:r>
        <w:t xml:space="preserve">gel </w:t>
      </w:r>
      <w:r w:rsidR="009910C9">
        <w:t xml:space="preserve">can be </w:t>
      </w:r>
      <w:r>
        <w:t xml:space="preserve">modeled </w:t>
      </w:r>
      <w:r w:rsidR="00896B23">
        <w:t>by</w:t>
      </w:r>
      <w:r w:rsidR="00A94912">
        <w:t xml:space="preserve"> </w:t>
      </w:r>
      <w:r>
        <w:t>the Nernst-Planck equation:</w:t>
      </w:r>
    </w:p>
    <w:p w14:paraId="2F1A3AB4" w14:textId="102D2093" w:rsidR="003A2452" w:rsidRDefault="00107F69" w:rsidP="00A22FC4">
      <w:pPr>
        <w:tabs>
          <w:tab w:val="center" w:pos="4680"/>
          <w:tab w:val="right" w:pos="9360"/>
        </w:tabs>
        <w:spacing w:line="480" w:lineRule="auto"/>
        <w:jc w:val="both"/>
      </w:pPr>
      <w:r>
        <w:tab/>
      </w:r>
      <m:oMath>
        <m:f>
          <m:fPr>
            <m:ctrlPr>
              <w:rPr>
                <w:rFonts w:ascii="Cambria Math" w:hAnsi="Cambria Math"/>
                <w:i/>
              </w:rPr>
            </m:ctrlPr>
          </m:fPr>
          <m:num>
            <m:r>
              <w:rPr>
                <w:rFonts w:ascii="Cambria Math" w:hAnsi="Cambria Math"/>
              </w:rPr>
              <m:t>∂C</m:t>
            </m:r>
          </m:num>
          <m:den>
            <m:r>
              <w:rPr>
                <w:rFonts w:ascii="Cambria Math" w:hAnsi="Cambria Math"/>
              </w:rPr>
              <m:t>∂t</m:t>
            </m:r>
          </m:den>
        </m:f>
        <m:r>
          <w:rPr>
            <w:rFonts w:ascii="Cambria Math" w:hAnsi="Cambria Math"/>
          </w:rPr>
          <m:t>+</m:t>
        </m:r>
        <m:r>
          <m:rPr>
            <m:sty m:val="b"/>
          </m:rPr>
          <w:rPr>
            <w:rFonts w:ascii="Cambria Math" w:hAnsi="Cambria Math" w:cs="Cambria Math"/>
          </w:rPr>
          <m:t>∇</m:t>
        </m:r>
        <m:r>
          <w:rPr>
            <w:rFonts w:ascii="Cambria Math" w:hAnsi="Cambria Math" w:cs="Cambria Math"/>
          </w:rPr>
          <m:t>⋅</m:t>
        </m:r>
        <m:r>
          <m:rPr>
            <m:sty m:val="b"/>
          </m:rPr>
          <w:rPr>
            <w:rFonts w:ascii="Cambria Math" w:hAnsi="Cambria Math"/>
          </w:rPr>
          <m:t>N</m:t>
        </m:r>
        <m:r>
          <w:rPr>
            <w:rFonts w:ascii="Cambria Math" w:hAnsi="Cambria Math"/>
          </w:rPr>
          <m:t>=R</m:t>
        </m:r>
      </m:oMath>
      <w:r w:rsidR="00695E9A">
        <w:tab/>
        <w:t>(S</w:t>
      </w:r>
      <w:r w:rsidR="00A62E2B">
        <w:t>4</w:t>
      </w:r>
      <w:r w:rsidR="00695E9A">
        <w:t>4)</w:t>
      </w:r>
    </w:p>
    <w:p w14:paraId="6DE2D11E" w14:textId="03BB0CCD" w:rsidR="00673B71" w:rsidRDefault="00107F69" w:rsidP="00A22FC4">
      <w:pPr>
        <w:tabs>
          <w:tab w:val="center" w:pos="4680"/>
          <w:tab w:val="right" w:pos="9360"/>
        </w:tabs>
        <w:spacing w:line="480" w:lineRule="auto"/>
        <w:jc w:val="both"/>
      </w:pPr>
      <w:r>
        <w:tab/>
      </w:r>
      <m:oMath>
        <m:r>
          <m:rPr>
            <m:sty m:val="bi"/>
          </m:rPr>
          <w:rPr>
            <w:rFonts w:ascii="Cambria Math" w:hAnsi="Cambria Math"/>
          </w:rPr>
          <m:t>N</m:t>
        </m:r>
        <m:r>
          <w:rPr>
            <w:rFonts w:ascii="Cambria Math" w:hAnsi="Cambria Math"/>
          </w:rPr>
          <m:t>=-D</m:t>
        </m:r>
        <m:r>
          <m:rPr>
            <m:sty m:val="b"/>
          </m:rPr>
          <w:rPr>
            <w:rFonts w:ascii="Cambria Math" w:hAnsi="Cambria Math" w:cs="Cambria Math"/>
          </w:rPr>
          <m:t>∇</m:t>
        </m:r>
        <m:r>
          <m:rPr>
            <m:sty m:val="b"/>
          </m:rPr>
          <w:rPr>
            <w:rFonts w:ascii="Cambria Math" w:hAnsi="Cambria Math"/>
          </w:rPr>
          <m:t>C</m:t>
        </m:r>
        <m:r>
          <w:rPr>
            <w:rFonts w:ascii="Cambria Math" w:hAnsi="Cambria Math"/>
          </w:rPr>
          <m:t>-</m:t>
        </m:r>
        <m:f>
          <m:fPr>
            <m:ctrlPr>
              <w:rPr>
                <w:rFonts w:ascii="Cambria Math" w:hAnsi="Cambria Math"/>
                <w:i/>
              </w:rPr>
            </m:ctrlPr>
          </m:fPr>
          <m:num>
            <m:r>
              <w:rPr>
                <w:rFonts w:ascii="Cambria Math" w:hAnsi="Cambria Math"/>
              </w:rPr>
              <m:t>zFD</m:t>
            </m:r>
          </m:num>
          <m:den>
            <m:r>
              <w:rPr>
                <w:rFonts w:ascii="Cambria Math" w:hAnsi="Cambria Math"/>
              </w:rPr>
              <m:t>RT</m:t>
            </m:r>
          </m:den>
        </m:f>
        <m:r>
          <w:rPr>
            <w:rFonts w:ascii="Cambria Math" w:hAnsi="Cambria Math"/>
          </w:rPr>
          <m:t>C</m:t>
        </m:r>
        <m:r>
          <m:rPr>
            <m:sty m:val="b"/>
          </m:rPr>
          <w:rPr>
            <w:rFonts w:ascii="Cambria Math" w:hAnsi="Cambria Math" w:cs="Cambria Math"/>
          </w:rPr>
          <m:t>∇</m:t>
        </m:r>
        <m:r>
          <m:rPr>
            <m:sty m:val="b"/>
          </m:rPr>
          <w:rPr>
            <w:rFonts w:ascii="Cambria Math" w:hAnsi="Cambria Math"/>
          </w:rPr>
          <m:t>V</m:t>
        </m:r>
        <m:r>
          <w:rPr>
            <w:rFonts w:ascii="Cambria Math" w:hAnsi="Cambria Math"/>
          </w:rPr>
          <m:t>+C</m:t>
        </m:r>
        <m:r>
          <m:rPr>
            <m:sty m:val="b"/>
          </m:rPr>
          <w:rPr>
            <w:rFonts w:ascii="Cambria Math" w:hAnsi="Cambria Math"/>
          </w:rPr>
          <m:t>u</m:t>
        </m:r>
      </m:oMath>
      <w:r w:rsidR="00695E9A">
        <w:rPr>
          <w:b/>
          <w:bCs/>
          <w:iCs/>
        </w:rPr>
        <w:tab/>
      </w:r>
      <w:r w:rsidR="00695E9A" w:rsidRPr="000D38DD">
        <w:t>(S</w:t>
      </w:r>
      <w:r w:rsidR="00A62E2B">
        <w:t>4</w:t>
      </w:r>
      <w:r w:rsidR="00695E9A" w:rsidRPr="000D38DD">
        <w:t>5)</w:t>
      </w:r>
    </w:p>
    <w:p w14:paraId="263FBEC1" w14:textId="1594BCA0" w:rsidR="00E81148" w:rsidRDefault="00A94912">
      <w:pPr>
        <w:spacing w:line="480" w:lineRule="auto"/>
        <w:jc w:val="both"/>
      </w:pPr>
      <w:r>
        <w:t>where</w:t>
      </w:r>
      <w:r w:rsidR="00E5770F">
        <w:t xml:space="preserve"> </w:t>
      </w:r>
      <w:r w:rsidR="00673B71" w:rsidRPr="000D38DD">
        <w:rPr>
          <w:i/>
        </w:rPr>
        <w:t>C</w:t>
      </w:r>
      <w:r w:rsidR="00673B71">
        <w:t xml:space="preserve"> </w:t>
      </w:r>
      <w:r w:rsidR="00E5770F">
        <w:t xml:space="preserve">is the </w:t>
      </w:r>
      <w:r w:rsidR="00673B71">
        <w:t>concentration of species,</w:t>
      </w:r>
      <w:r w:rsidR="00E5770F">
        <w:t xml:space="preserve"> </w:t>
      </w:r>
      <w:r w:rsidR="00E5770F" w:rsidRPr="000D38DD">
        <w:rPr>
          <w:i/>
        </w:rPr>
        <w:t>D</w:t>
      </w:r>
      <w:r w:rsidR="00E5770F">
        <w:t xml:space="preserve"> is</w:t>
      </w:r>
      <w:r w:rsidR="00673B71">
        <w:t xml:space="preserve"> </w:t>
      </w:r>
      <w:r>
        <w:t xml:space="preserve">the </w:t>
      </w:r>
      <w:r w:rsidR="00673B71">
        <w:t>diffusion coefficient,</w:t>
      </w:r>
      <w:r w:rsidR="00F62F2A">
        <w:t xml:space="preserve"> </w:t>
      </w:r>
      <w:r w:rsidR="00673B71" w:rsidRPr="000D38DD">
        <w:rPr>
          <w:i/>
        </w:rPr>
        <w:t>z</w:t>
      </w:r>
      <w:r w:rsidR="00673B71">
        <w:t xml:space="preserve"> </w:t>
      </w:r>
      <w:r w:rsidR="00F62F2A">
        <w:t>is the</w:t>
      </w:r>
      <w:r w:rsidR="00673B71">
        <w:t xml:space="preserve"> valence of the species,</w:t>
      </w:r>
      <w:r w:rsidR="008B68EF">
        <w:t xml:space="preserve"> </w:t>
      </w:r>
      <w:r w:rsidR="00673B71" w:rsidRPr="000D38DD">
        <w:t>F</w:t>
      </w:r>
      <w:r w:rsidR="00F62F2A">
        <w:t xml:space="preserve"> is</w:t>
      </w:r>
      <w:r w:rsidR="00673B71">
        <w:t xml:space="preserve"> </w:t>
      </w:r>
      <w:r w:rsidR="008B68EF">
        <w:t xml:space="preserve">the </w:t>
      </w:r>
      <w:r w:rsidR="00673B71">
        <w:t>Faraday constant,</w:t>
      </w:r>
      <w:r w:rsidR="00F62F2A">
        <w:t xml:space="preserve"> </w:t>
      </w:r>
      <w:r w:rsidR="008B68EF">
        <w:t xml:space="preserve">and </w:t>
      </w:r>
      <w:r w:rsidR="00673B71" w:rsidRPr="000D38DD">
        <w:t>R</w:t>
      </w:r>
      <w:r w:rsidR="00F62F2A">
        <w:t xml:space="preserve"> is</w:t>
      </w:r>
      <w:r w:rsidR="00673B71">
        <w:t xml:space="preserve"> </w:t>
      </w:r>
      <w:r w:rsidR="008B68EF">
        <w:t xml:space="preserve">the </w:t>
      </w:r>
      <w:r w:rsidR="00673B71">
        <w:t>universal gas constant</w:t>
      </w:r>
      <w:r w:rsidR="00927768">
        <w:t>.</w:t>
      </w:r>
    </w:p>
    <w:p w14:paraId="4DFB48AF" w14:textId="77777777" w:rsidR="00E81148" w:rsidRDefault="00E81148">
      <w:pPr>
        <w:spacing w:after="160" w:line="278" w:lineRule="auto"/>
      </w:pPr>
      <w:r>
        <w:br w:type="page"/>
      </w:r>
    </w:p>
    <w:p w14:paraId="146D1513" w14:textId="77777777" w:rsidR="00B35D6C" w:rsidRPr="00B35D6C" w:rsidRDefault="00B35D6C" w:rsidP="00B35D6C">
      <w:pPr>
        <w:spacing w:line="480" w:lineRule="auto"/>
        <w:jc w:val="both"/>
        <w:rPr>
          <w:b/>
          <w:bCs/>
          <w:u w:val="single"/>
        </w:rPr>
      </w:pPr>
      <w:r w:rsidRPr="00B35D6C">
        <w:rPr>
          <w:b/>
          <w:bCs/>
          <w:u w:val="single"/>
        </w:rPr>
        <w:lastRenderedPageBreak/>
        <w:t>Supplementary Note 24</w:t>
      </w:r>
    </w:p>
    <w:p w14:paraId="37CE3E76" w14:textId="77777777" w:rsidR="00B35D6C" w:rsidRDefault="00B35D6C" w:rsidP="00B35D6C">
      <w:pPr>
        <w:spacing w:line="480" w:lineRule="auto"/>
        <w:jc w:val="both"/>
      </w:pPr>
    </w:p>
    <w:p w14:paraId="4B5E5822" w14:textId="43B5CE70" w:rsidR="006F6DED" w:rsidRPr="00AE4797" w:rsidRDefault="006F6DED" w:rsidP="00B35D6C">
      <w:pPr>
        <w:spacing w:line="480" w:lineRule="auto"/>
        <w:jc w:val="both"/>
        <w:rPr>
          <w:b/>
          <w:bCs/>
        </w:rPr>
      </w:pPr>
      <w:r w:rsidRPr="00AE4797">
        <w:rPr>
          <w:b/>
          <w:bCs/>
        </w:rPr>
        <w:t xml:space="preserve">Electrical Impedance of </w:t>
      </w:r>
      <w:r w:rsidR="00785438" w:rsidRPr="00AE4797">
        <w:rPr>
          <w:b/>
          <w:bCs/>
        </w:rPr>
        <w:t xml:space="preserve">Tip-shaped </w:t>
      </w:r>
      <w:r w:rsidR="00AE4797" w:rsidRPr="00AE4797">
        <w:rPr>
          <w:b/>
          <w:bCs/>
        </w:rPr>
        <w:t>OECT</w:t>
      </w:r>
    </w:p>
    <w:p w14:paraId="7E3F166C" w14:textId="3E0C8228" w:rsidR="00B35D6C" w:rsidRPr="00D712CE" w:rsidRDefault="00B35D6C" w:rsidP="00B35D6C">
      <w:pPr>
        <w:spacing w:line="480" w:lineRule="auto"/>
        <w:jc w:val="both"/>
        <w:rPr>
          <w:rFonts w:eastAsiaTheme="minorEastAsia"/>
          <w:color w:val="000000" w:themeColor="text1"/>
          <w:kern w:val="2"/>
          <w:lang w:val="en-GB"/>
          <w14:ligatures w14:val="standardContextual"/>
        </w:rPr>
      </w:pPr>
      <w:r w:rsidRPr="451B7F4F">
        <w:rPr>
          <w:rFonts w:eastAsiaTheme="minorEastAsia"/>
          <w:color w:val="000000" w:themeColor="text1"/>
          <w:lang w:val="en-GB"/>
        </w:rPr>
        <w:t xml:space="preserve">As </w:t>
      </w:r>
      <w:r w:rsidRPr="451B7F4F">
        <w:rPr>
          <w:rFonts w:eastAsiaTheme="minorEastAsia"/>
          <w:color w:val="000000" w:themeColor="text1"/>
          <w:kern w:val="2"/>
          <w:lang w:val="en-GB"/>
          <w14:ligatures w14:val="standardContextual"/>
        </w:rPr>
        <w:t xml:space="preserve">the temperature </w:t>
      </w:r>
      <w:r w:rsidRPr="451B7F4F">
        <w:rPr>
          <w:rFonts w:eastAsiaTheme="minorEastAsia"/>
          <w:color w:val="000000" w:themeColor="text1"/>
          <w:lang w:val="en-GB"/>
        </w:rPr>
        <w:t xml:space="preserve">increases </w:t>
      </w:r>
      <w:r w:rsidRPr="451B7F4F">
        <w:rPr>
          <w:rFonts w:eastAsiaTheme="minorEastAsia"/>
          <w:color w:val="000000" w:themeColor="text1"/>
          <w:kern w:val="2"/>
          <w:lang w:val="en-GB"/>
          <w14:ligatures w14:val="standardContextual"/>
        </w:rPr>
        <w:t>to 50°C, the impedance</w:t>
      </w:r>
      <w:r w:rsidRPr="451B7F4F">
        <w:rPr>
          <w:rFonts w:eastAsiaTheme="minorEastAsia"/>
          <w:color w:val="000000" w:themeColor="text1"/>
          <w:lang w:val="en-GB"/>
        </w:rPr>
        <w:t xml:space="preserve"> is</w:t>
      </w:r>
      <w:r w:rsidRPr="451B7F4F">
        <w:rPr>
          <w:rFonts w:eastAsiaTheme="minorEastAsia"/>
          <w:color w:val="000000" w:themeColor="text1"/>
          <w:kern w:val="2"/>
          <w:lang w:val="en-GB"/>
          <w14:ligatures w14:val="standardContextual"/>
        </w:rPr>
        <w:t xml:space="preserve"> decreased to approximately 70</w:t>
      </w:r>
      <w:r>
        <w:rPr>
          <w:rFonts w:eastAsiaTheme="minorEastAsia"/>
          <w:color w:val="000000" w:themeColor="text1"/>
          <w:kern w:val="2"/>
          <w:lang w:val="en-GB"/>
          <w14:ligatures w14:val="standardContextual"/>
        </w:rPr>
        <w:t xml:space="preserve"> </w:t>
      </w:r>
      <w:r w:rsidRPr="451B7F4F">
        <w:rPr>
          <w:rFonts w:eastAsiaTheme="minorEastAsia"/>
          <w:color w:val="000000" w:themeColor="text1"/>
          <w:kern w:val="2"/>
          <w:lang w:val="en-GB"/>
          <w14:ligatures w14:val="standardContextual"/>
        </w:rPr>
        <w:t xml:space="preserve">Ω, while the capacitance </w:t>
      </w:r>
      <w:r w:rsidRPr="451B7F4F">
        <w:rPr>
          <w:rFonts w:eastAsiaTheme="minorEastAsia"/>
          <w:color w:val="000000" w:themeColor="text1"/>
          <w:lang w:val="en-GB"/>
        </w:rPr>
        <w:t xml:space="preserve">is </w:t>
      </w:r>
      <w:r w:rsidRPr="451B7F4F">
        <w:rPr>
          <w:rFonts w:eastAsiaTheme="minorEastAsia"/>
          <w:color w:val="000000" w:themeColor="text1"/>
          <w:kern w:val="2"/>
          <w:lang w:val="en-GB"/>
          <w14:ligatures w14:val="standardContextual"/>
        </w:rPr>
        <w:t xml:space="preserve">increased to </w:t>
      </w:r>
      <w:r w:rsidRPr="451B7F4F">
        <w:rPr>
          <w:rFonts w:eastAsiaTheme="minorEastAsia"/>
          <w:color w:val="000000" w:themeColor="text1"/>
          <w:lang w:val="en-GB"/>
        </w:rPr>
        <w:t xml:space="preserve">70 µF </w:t>
      </w:r>
      <w:r w:rsidRPr="451B7F4F">
        <w:rPr>
          <w:rFonts w:eastAsiaTheme="minorEastAsia"/>
          <w:b/>
          <w:bCs/>
          <w:color w:val="000000" w:themeColor="text1"/>
          <w:kern w:val="2"/>
          <w:lang w:val="en-GB"/>
          <w14:ligatures w14:val="standardContextual"/>
        </w:rPr>
        <w:t xml:space="preserve">(Figure </w:t>
      </w:r>
      <w:r w:rsidR="00FD7BB4">
        <w:rPr>
          <w:rFonts w:eastAsiaTheme="minorEastAsia"/>
          <w:b/>
          <w:bCs/>
          <w:color w:val="000000" w:themeColor="text1"/>
          <w:kern w:val="2"/>
          <w:lang w:val="en-GB"/>
          <w14:ligatures w14:val="standardContextual"/>
        </w:rPr>
        <w:t>S</w:t>
      </w:r>
      <w:r w:rsidR="00482E25">
        <w:rPr>
          <w:rFonts w:eastAsiaTheme="minorEastAsia"/>
          <w:b/>
          <w:bCs/>
          <w:color w:val="000000" w:themeColor="text1"/>
          <w:kern w:val="2"/>
          <w:lang w:val="en-GB"/>
          <w14:ligatures w14:val="standardContextual"/>
        </w:rPr>
        <w:t>5</w:t>
      </w:r>
      <w:r w:rsidR="00756801">
        <w:rPr>
          <w:rFonts w:eastAsiaTheme="minorEastAsia"/>
          <w:b/>
          <w:bCs/>
          <w:color w:val="000000" w:themeColor="text1"/>
          <w:kern w:val="2"/>
          <w:lang w:val="en-GB"/>
          <w14:ligatures w14:val="standardContextual"/>
        </w:rPr>
        <w:t>0</w:t>
      </w:r>
      <w:r w:rsidRPr="451B7F4F">
        <w:rPr>
          <w:rFonts w:eastAsiaTheme="minorEastAsia"/>
          <w:b/>
          <w:bCs/>
          <w:color w:val="000000" w:themeColor="text1"/>
          <w:kern w:val="2"/>
          <w:lang w:val="en-GB"/>
          <w14:ligatures w14:val="standardContextual"/>
        </w:rPr>
        <w:t>)</w:t>
      </w:r>
      <w:r w:rsidRPr="451B7F4F">
        <w:rPr>
          <w:rFonts w:eastAsiaTheme="minorEastAsia"/>
          <w:color w:val="000000" w:themeColor="text1"/>
          <w:kern w:val="2"/>
          <w:lang w:val="en-GB"/>
          <w14:ligatures w14:val="standardContextual"/>
        </w:rPr>
        <w:t>.  This significant change in electrical properties with temperature is attributed to the enhanced ionic mobility and increased conductivity of the PEDOT</w:t>
      </w:r>
      <w:r w:rsidRPr="451B7F4F">
        <w:rPr>
          <w:color w:val="000000" w:themeColor="text1"/>
          <w:lang w:val="en-GB"/>
        </w:rPr>
        <w:t>:PSS</w:t>
      </w:r>
      <w:r w:rsidRPr="451B7F4F">
        <w:rPr>
          <w:rFonts w:eastAsiaTheme="minorEastAsia"/>
          <w:color w:val="000000" w:themeColor="text1"/>
          <w:kern w:val="2"/>
          <w:lang w:val="en-GB"/>
          <w14:ligatures w14:val="standardContextual"/>
        </w:rPr>
        <w:t>/EMIM-TFSI system, as well as the thermoresponsive behavio</w:t>
      </w:r>
      <w:r w:rsidRPr="451B7F4F">
        <w:rPr>
          <w:rFonts w:eastAsiaTheme="minorEastAsia"/>
          <w:color w:val="000000" w:themeColor="text1"/>
          <w:lang w:val="en-GB"/>
        </w:rPr>
        <w:t>u</w:t>
      </w:r>
      <w:r w:rsidRPr="451B7F4F">
        <w:rPr>
          <w:rFonts w:eastAsiaTheme="minorEastAsia"/>
          <w:color w:val="000000" w:themeColor="text1"/>
          <w:kern w:val="2"/>
          <w:lang w:val="en-GB"/>
          <w14:ligatures w14:val="standardContextual"/>
        </w:rPr>
        <w:t xml:space="preserve">r of the gelatin-glycerol matrix.  The gelatin-glycerol hydrogel becomes more flexible at elevated temperatures, facilitating ion diffusion and improving the coupling between the ionic and electronic charge carriers within the </w:t>
      </w:r>
      <w:r w:rsidRPr="451B7F4F">
        <w:rPr>
          <w:rFonts w:eastAsiaTheme="minorEastAsia"/>
          <w:color w:val="000000" w:themeColor="text1"/>
          <w:lang w:val="en-GB"/>
        </w:rPr>
        <w:t xml:space="preserve">ionic </w:t>
      </w:r>
      <w:r w:rsidRPr="451B7F4F">
        <w:rPr>
          <w:rFonts w:eastAsiaTheme="minorEastAsia"/>
          <w:color w:val="000000" w:themeColor="text1"/>
          <w:kern w:val="2"/>
          <w:lang w:val="en-GB"/>
          <w14:ligatures w14:val="standardContextual"/>
        </w:rPr>
        <w:t xml:space="preserve">biogel. </w:t>
      </w:r>
      <w:r w:rsidRPr="451B7F4F">
        <w:rPr>
          <w:color w:val="000000" w:themeColor="text1"/>
          <w:lang w:val="en-GB"/>
        </w:rPr>
        <w:t xml:space="preserve"> </w:t>
      </w:r>
      <w:r w:rsidRPr="451B7F4F">
        <w:rPr>
          <w:rFonts w:eastAsiaTheme="minorEastAsia"/>
          <w:color w:val="000000" w:themeColor="text1"/>
          <w:kern w:val="2"/>
          <w:lang w:val="en-GB"/>
          <w14:ligatures w14:val="standardContextual"/>
        </w:rPr>
        <w:t xml:space="preserve">The tip-shaped OECT </w:t>
      </w:r>
      <w:r w:rsidRPr="451B7F4F">
        <w:rPr>
          <w:rFonts w:eastAsiaTheme="minorEastAsia"/>
          <w:color w:val="000000" w:themeColor="text1"/>
          <w:lang w:val="en-GB"/>
        </w:rPr>
        <w:t xml:space="preserve">operates </w:t>
      </w:r>
      <w:r w:rsidRPr="451B7F4F">
        <w:rPr>
          <w:rFonts w:eastAsiaTheme="minorEastAsia"/>
          <w:color w:val="000000" w:themeColor="text1"/>
          <w:kern w:val="2"/>
          <w:lang w:val="en-GB"/>
          <w14:ligatures w14:val="standardContextual"/>
        </w:rPr>
        <w:t xml:space="preserve">in depletion mode, leveraging the synergistic properties of the gelatin-glycerol hydrogel matrix and the PEDOT:PSS/EMIM-TFSI network.  </w:t>
      </w:r>
      <w:r w:rsidRPr="451B7F4F">
        <w:rPr>
          <w:rFonts w:eastAsiaTheme="minorEastAsia"/>
          <w:color w:val="000000" w:themeColor="text1"/>
          <w:lang w:val="en-GB"/>
        </w:rPr>
        <w:t xml:space="preserve">After applying </w:t>
      </w:r>
      <w:r w:rsidRPr="451B7F4F">
        <w:rPr>
          <w:rFonts w:eastAsiaTheme="minorEastAsia"/>
          <w:color w:val="000000" w:themeColor="text1"/>
          <w:kern w:val="2"/>
          <w:lang w:val="en-GB"/>
          <w14:ligatures w14:val="standardContextual"/>
        </w:rPr>
        <w:t>a positive gate voltage, mobile cations from the salt ions and ionic liquid EMIM-TFSI ions, homogeneously distributed within the porous, three-dimensional gelatin-glycerol matrix, migrate into the PEDOT-rich regions of the film</w:t>
      </w:r>
      <w:r>
        <w:rPr>
          <w:rFonts w:eastAsiaTheme="minorEastAsia"/>
          <w:color w:val="000000" w:themeColor="text1"/>
          <w:kern w:val="2"/>
          <w:lang w:val="en-GB"/>
          <w14:ligatures w14:val="standardContextual"/>
        </w:rPr>
        <w:fldChar w:fldCharType="begin"/>
      </w:r>
      <w:r w:rsidR="00785CB3">
        <w:rPr>
          <w:rFonts w:eastAsiaTheme="minorEastAsia"/>
          <w:color w:val="000000" w:themeColor="text1"/>
          <w:kern w:val="2"/>
          <w:lang w:val="en-GB"/>
          <w14:ligatures w14:val="standardContextual"/>
        </w:rPr>
        <w:instrText xml:space="preserve"> ADDIN ZOTERO_ITEM CSL_CITATION {"citationID":"PCa6Q0LX","properties":{"formattedCitation":"\\super 33,35\\nosupersub{}","plainCitation":"33,35","noteIndex":0},"citationItems":[{"id":1174,"uris":["http://zotero.org/users/12063952/items/7BIK6RRS"],"itemData":{"id":1174,"type":"article-journal","abstract":"Transistors with tunable transconductance allow high-quality recordings of human brain rhythms.\n          , \n            \n              Despite recent interest in organic electrochemical transistors (OECTs), sparked by their straightforward fabrication and high performance, the fundamental mechanism behind their operation remains largely unexplored. OECTs use an electrolyte in direct contact with a polymer channel as part of their device structure. Hence, they offer facile integration with biological milieux and are currently used as amplifying transducers for bioelectronics. Ion exchange between electrolyte and channel is believed to take place in OECTs, although the extent of this process and its impact on device characteristics are still unknown. We show that the uptake of ions from an electrolyte into a film of poly(3,4-ethylenedioxythiophene) doped with polystyrene sulfonate (PEDOT:PSS) leads to a purely volumetric capacitance of 39 F/cm\n              3\n              . This results in a dependence of the transconductance on channel thickness, a new degree of freedom that we exploit to demonstrate high-quality recordings of human brain rhythms. Our results bring to the forefront a transistor class in which performance can be tuned independently of device footprint and provide guidelines for the design of materials that will lead to state-of-the-art transistor performance.","container-title":"Science Advances","DOI":"10.1126/sciadv.1400251","ISSN":"2375-2548","issue":"4","journalAbbreviation":"Sci. Adv.","language":"en","page":"e1400251","source":"DOI.org (Crossref)","title":"High-performance transistors for bioelectronics through tuning of channel thickness","volume":"1","author":[{"family":"Rivnay","given":"Jonathan"},{"family":"Leleux","given":"Pierre"},{"family":"Ferro","given":"Marc"},{"family":"Sessolo","given":"Michele"},{"family":"Williamson","given":"Adam"},{"family":"Koutsouras","given":"Dimitrios A."},{"family":"Khodagholy","given":"Dion"},{"family":"Ramuz","given":"Marc"},{"family":"Strakosas","given":"Xenofon"},{"family":"Owens","given":"Roisin M."},{"family":"Benar","given":"Christian"},{"family":"Badier","given":"Jean-Michel"},{"family":"Bernard","given":"Christophe"},{"family":"Malliaras","given":"George G."}],"issued":{"date-parts":[["2015",5]]}}},{"id":1287,"uris":["http://zotero.org/users/12063952/items/4FY75WL5"],"itemData":{"id":1287,"type":"article-journal","abstract":"Abstract\n            Poly(3,4-ethylenedioxythiophene) doped with poly(styrenesulfonate), PEDOT:PSS, has been utilized for over two decades as a stable, solution-processable hole conductor. While its hole transport properties have been the subject of intense investigation, recent work has turned to PEDOT:PSS as a mixed ionic/electronic conductor in applications including bioelectronics, energy storage and management, and soft robotics. Conducting polymers can efficiently transport both holes and ions when sufficiently hydrated, however, little is known about the role of morphology on mixed conduction. Here, we show that bulk ionic and electronic mobilities are simultaneously affected by processing-induced changes in nano- and meso-scale structure in PEDOT:PSS films. We quantify domain composition, and find that domain purification on addition of dispersion co-solvents limits ion mobility, even while electronic conductivity improves. We show that an optimal morphology allows for the balanced ionic and electronic transport that is critical for prototypical mixed conductor devices. These findings may pave the way for the rational design of polymeric materials and processing routes to enhance devices reliant on mixed conduction.","container-title":"Nature Communications","DOI":"10.1038/ncomms11287","ISSN":"2041-1723","issue":"1","journalAbbreviation":"Nat Commun","language":"en","page":"11287","source":"DOI.org (Crossref)","title":"Structural control of mixed ionic and electronic transport in conducting polymers","volume":"7","author":[{"family":"Rivnay","given":"Jonathan"},{"family":"Inal","given":"Sahika"},{"family":"Collins","given":"Brian A."},{"family":"Sessolo","given":"Michele"},{"family":"Stavrinidou","given":"Eleni"},{"family":"Strakosas","given":"Xenofon"},{"family":"Tassone","given":"Christopher"},{"family":"Delongchamp","given":"Dean M."},{"family":"Malliaras","given":"George G."}],"issued":{"date-parts":[["2016",4,19]]}}}],"schema":"https://github.com/citation-style-language/schema/raw/master/csl-citation.json"} </w:instrText>
      </w:r>
      <w:r>
        <w:rPr>
          <w:rFonts w:eastAsiaTheme="minorEastAsia"/>
          <w:color w:val="000000" w:themeColor="text1"/>
          <w:kern w:val="2"/>
          <w:lang w:val="en-GB"/>
          <w14:ligatures w14:val="standardContextual"/>
        </w:rPr>
        <w:fldChar w:fldCharType="separate"/>
      </w:r>
      <w:r w:rsidR="00785CB3" w:rsidRPr="00785CB3">
        <w:rPr>
          <w:vertAlign w:val="superscript"/>
        </w:rPr>
        <w:t>33,35</w:t>
      </w:r>
      <w:r>
        <w:rPr>
          <w:rFonts w:eastAsiaTheme="minorEastAsia"/>
          <w:color w:val="000000" w:themeColor="text1"/>
          <w:kern w:val="2"/>
          <w:lang w:val="en-GB"/>
          <w14:ligatures w14:val="standardContextual"/>
        </w:rPr>
        <w:fldChar w:fldCharType="end"/>
      </w:r>
      <w:r w:rsidRPr="451B7F4F">
        <w:rPr>
          <w:rFonts w:eastAsiaTheme="minorEastAsia"/>
          <w:color w:val="000000" w:themeColor="text1"/>
          <w:kern w:val="2"/>
          <w:lang w:val="en-GB"/>
          <w14:ligatures w14:val="standardContextual"/>
        </w:rPr>
        <w:t>.  The gelatin-glycerol hydrogel, saturated with the ionic liquid, acts as an intrinsic electrolyte, facilitating efficient ion transport throughout its volume.  This architecture form</w:t>
      </w:r>
      <w:r w:rsidRPr="451B7F4F">
        <w:rPr>
          <w:rFonts w:eastAsiaTheme="minorEastAsia"/>
          <w:color w:val="000000" w:themeColor="text1"/>
          <w:lang w:val="en-GB"/>
        </w:rPr>
        <w:t>s</w:t>
      </w:r>
      <w:r w:rsidRPr="451B7F4F">
        <w:rPr>
          <w:rFonts w:eastAsiaTheme="minorEastAsia"/>
          <w:color w:val="000000" w:themeColor="text1"/>
          <w:kern w:val="2"/>
          <w:lang w:val="en-GB"/>
          <w14:ligatures w14:val="standardContextual"/>
        </w:rPr>
        <w:t xml:space="preserve"> multiple EDLs within the interconnected porous network, significantly enhancing the volumetric capacitance of the device.</w:t>
      </w:r>
      <w:r w:rsidRPr="451B7F4F">
        <w:rPr>
          <w:color w:val="000000" w:themeColor="text1"/>
          <w:lang w:val="en-GB"/>
        </w:rPr>
        <w:t xml:space="preserve">  </w:t>
      </w:r>
      <w:r w:rsidRPr="451B7F4F">
        <w:rPr>
          <w:rFonts w:eastAsiaTheme="minorEastAsia"/>
          <w:color w:val="000000" w:themeColor="text1"/>
          <w:kern w:val="2"/>
          <w:lang w:val="en-GB"/>
          <w14:ligatures w14:val="standardContextual"/>
        </w:rPr>
        <w:t xml:space="preserve">These infiltrating cations penetrate the PEDOT:PSS domains and compensate the negatively charged sulfonate groups on the PSS chains.  This electrostatic compensation effectively dedopes the PEDOT by reducing the hole density within its conjugated backbone, which is characteristic of its p-type semiconducting nature.  The reduction in hole carriers leads to a decrease in the channel current due to the diminished availability of charge carriers for conduction.  The PEDOT chains, with fewer positive charges (holes), thus </w:t>
      </w:r>
      <w:r w:rsidRPr="451B7F4F">
        <w:rPr>
          <w:rFonts w:eastAsiaTheme="minorEastAsia"/>
          <w:color w:val="000000" w:themeColor="text1"/>
          <w:lang w:val="en-GB"/>
        </w:rPr>
        <w:t xml:space="preserve">give </w:t>
      </w:r>
      <w:r w:rsidRPr="451B7F4F">
        <w:rPr>
          <w:rFonts w:eastAsiaTheme="minorEastAsia"/>
          <w:color w:val="000000" w:themeColor="text1"/>
          <w:kern w:val="2"/>
          <w:lang w:val="en-GB"/>
          <w14:ligatures w14:val="standardContextual"/>
        </w:rPr>
        <w:t>reduc</w:t>
      </w:r>
      <w:r w:rsidRPr="451B7F4F">
        <w:rPr>
          <w:rFonts w:eastAsiaTheme="minorEastAsia"/>
          <w:color w:val="000000" w:themeColor="text1"/>
          <w:lang w:val="en-GB"/>
        </w:rPr>
        <w:t>ed</w:t>
      </w:r>
      <w:r w:rsidRPr="451B7F4F">
        <w:rPr>
          <w:rFonts w:eastAsiaTheme="minorEastAsia"/>
          <w:color w:val="000000" w:themeColor="text1"/>
          <w:kern w:val="2"/>
          <w:lang w:val="en-GB"/>
          <w14:ligatures w14:val="standardContextual"/>
        </w:rPr>
        <w:t xml:space="preserve"> current</w:t>
      </w:r>
      <w:r w:rsidRPr="451B7F4F">
        <w:rPr>
          <w:rFonts w:eastAsiaTheme="minorEastAsia"/>
          <w:color w:val="000000" w:themeColor="text1"/>
          <w:lang w:val="en-GB"/>
        </w:rPr>
        <w:t xml:space="preserve">; the </w:t>
      </w:r>
      <w:r w:rsidRPr="451B7F4F">
        <w:rPr>
          <w:rFonts w:eastAsiaTheme="minorEastAsia"/>
          <w:color w:val="000000" w:themeColor="text1"/>
          <w:kern w:val="2"/>
          <w:lang w:val="en-GB"/>
          <w14:ligatures w14:val="standardContextual"/>
        </w:rPr>
        <w:t xml:space="preserve">converse is </w:t>
      </w:r>
      <w:r w:rsidRPr="451B7F4F">
        <w:rPr>
          <w:rFonts w:eastAsiaTheme="minorEastAsia"/>
          <w:color w:val="000000" w:themeColor="text1"/>
          <w:lang w:val="en-GB"/>
        </w:rPr>
        <w:t xml:space="preserve">also </w:t>
      </w:r>
      <w:r w:rsidRPr="451B7F4F">
        <w:rPr>
          <w:rFonts w:eastAsiaTheme="minorEastAsia"/>
          <w:color w:val="000000" w:themeColor="text1"/>
          <w:kern w:val="2"/>
          <w:lang w:val="en-GB"/>
          <w14:ligatures w14:val="standardContextual"/>
        </w:rPr>
        <w:t xml:space="preserve">true for </w:t>
      </w:r>
      <w:r w:rsidRPr="451B7F4F">
        <w:rPr>
          <w:rFonts w:eastAsiaTheme="minorEastAsia"/>
          <w:color w:val="000000" w:themeColor="text1"/>
          <w:lang w:val="en-GB"/>
        </w:rPr>
        <w:t xml:space="preserve">the </w:t>
      </w:r>
      <w:r w:rsidRPr="451B7F4F">
        <w:rPr>
          <w:rFonts w:eastAsiaTheme="minorEastAsia"/>
          <w:color w:val="000000" w:themeColor="text1"/>
          <w:kern w:val="2"/>
          <w:lang w:val="en-GB"/>
          <w14:ligatures w14:val="standardContextual"/>
        </w:rPr>
        <w:lastRenderedPageBreak/>
        <w:t xml:space="preserve">negative gate voltage.  </w:t>
      </w:r>
      <w:r w:rsidRPr="451B7F4F">
        <w:rPr>
          <w:rFonts w:eastAsiaTheme="minorEastAsia"/>
          <w:color w:val="000000" w:themeColor="text1"/>
          <w:lang w:val="en-GB"/>
        </w:rPr>
        <w:t xml:space="preserve">The </w:t>
      </w:r>
      <w:r w:rsidRPr="451B7F4F">
        <w:rPr>
          <w:rFonts w:eastAsiaTheme="minorEastAsia"/>
          <w:color w:val="000000" w:themeColor="text1"/>
          <w:kern w:val="2"/>
          <w:lang w:val="en-GB"/>
          <w14:ligatures w14:val="standardContextual"/>
        </w:rPr>
        <w:t>reversible electrochemical doping and dedoping process underscores the semiconducting nature of the PEDOT:PSS/EMIM-TFSI network and its critical role in modulating the OECT's performance.</w:t>
      </w:r>
    </w:p>
    <w:p w14:paraId="639254CC" w14:textId="77777777" w:rsidR="00B35D6C" w:rsidRDefault="00B35D6C">
      <w:pPr>
        <w:spacing w:after="160" w:line="278" w:lineRule="auto"/>
        <w:rPr>
          <w:b/>
          <w:u w:val="single"/>
          <w:lang w:val="en-GB"/>
        </w:rPr>
      </w:pPr>
      <w:r>
        <w:rPr>
          <w:b/>
          <w:u w:val="single"/>
          <w:lang w:val="en-GB"/>
        </w:rPr>
        <w:br w:type="page"/>
      </w:r>
    </w:p>
    <w:p w14:paraId="0DF78450" w14:textId="52D7345D" w:rsidR="000B2533" w:rsidRPr="000D38DD" w:rsidRDefault="00E81148">
      <w:pPr>
        <w:spacing w:line="480" w:lineRule="auto"/>
        <w:jc w:val="both"/>
        <w:rPr>
          <w:b/>
          <w:u w:val="single"/>
        </w:rPr>
      </w:pPr>
      <w:r w:rsidRPr="000D38DD">
        <w:rPr>
          <w:b/>
          <w:u w:val="single"/>
        </w:rPr>
        <w:lastRenderedPageBreak/>
        <w:t xml:space="preserve">Supplementary Note </w:t>
      </w:r>
      <w:r w:rsidR="00F5108A">
        <w:rPr>
          <w:b/>
          <w:u w:val="single"/>
        </w:rPr>
        <w:t>2</w:t>
      </w:r>
      <w:r w:rsidR="00B35D6C">
        <w:rPr>
          <w:b/>
          <w:u w:val="single"/>
        </w:rPr>
        <w:t>5</w:t>
      </w:r>
    </w:p>
    <w:p w14:paraId="553E6D33" w14:textId="48ACC0F6" w:rsidR="00E81148" w:rsidRPr="002A30B5" w:rsidRDefault="00710AA0">
      <w:pPr>
        <w:spacing w:line="480" w:lineRule="auto"/>
        <w:jc w:val="both"/>
        <w:rPr>
          <w:b/>
        </w:rPr>
      </w:pPr>
      <w:r w:rsidRPr="002A30B5">
        <w:rPr>
          <w:b/>
        </w:rPr>
        <w:t>Improve</w:t>
      </w:r>
      <w:r w:rsidR="0032549F">
        <w:rPr>
          <w:b/>
          <w:bCs/>
        </w:rPr>
        <w:t>d</w:t>
      </w:r>
      <w:r w:rsidRPr="002A30B5">
        <w:rPr>
          <w:b/>
        </w:rPr>
        <w:t xml:space="preserve"> </w:t>
      </w:r>
      <w:r w:rsidR="00E15239" w:rsidRPr="002A30B5">
        <w:rPr>
          <w:b/>
          <w:bCs/>
        </w:rPr>
        <w:t>Signal</w:t>
      </w:r>
      <w:r w:rsidR="00E15239">
        <w:rPr>
          <w:b/>
          <w:bCs/>
        </w:rPr>
        <w:t>-</w:t>
      </w:r>
      <w:r w:rsidRPr="002A30B5">
        <w:rPr>
          <w:b/>
        </w:rPr>
        <w:t>to</w:t>
      </w:r>
      <w:r w:rsidR="00E15239">
        <w:rPr>
          <w:b/>
          <w:bCs/>
        </w:rPr>
        <w:t>-</w:t>
      </w:r>
      <w:r w:rsidRPr="002A30B5">
        <w:rPr>
          <w:b/>
        </w:rPr>
        <w:t xml:space="preserve">Noise ratio </w:t>
      </w:r>
      <w:r w:rsidR="00091575">
        <w:rPr>
          <w:b/>
          <w:bCs/>
        </w:rPr>
        <w:t xml:space="preserve">(SNR) </w:t>
      </w:r>
      <w:r w:rsidRPr="002A30B5">
        <w:rPr>
          <w:b/>
        </w:rPr>
        <w:t xml:space="preserve">in Organic Electrochemical </w:t>
      </w:r>
      <w:r w:rsidR="00C82010">
        <w:rPr>
          <w:b/>
          <w:bCs/>
        </w:rPr>
        <w:t>Transistors</w:t>
      </w:r>
      <w:r w:rsidR="00C82010" w:rsidRPr="002A30B5">
        <w:rPr>
          <w:b/>
          <w:bCs/>
        </w:rPr>
        <w:t xml:space="preserve"> </w:t>
      </w:r>
      <w:r w:rsidR="00C717E7">
        <w:rPr>
          <w:b/>
          <w:bCs/>
        </w:rPr>
        <w:t>from</w:t>
      </w:r>
      <w:r w:rsidR="00C717E7" w:rsidRPr="002A30B5">
        <w:rPr>
          <w:b/>
          <w:bCs/>
        </w:rPr>
        <w:t xml:space="preserve"> </w:t>
      </w:r>
      <w:r w:rsidR="00784D49" w:rsidRPr="002A30B5">
        <w:rPr>
          <w:b/>
          <w:bCs/>
        </w:rPr>
        <w:t>reduc</w:t>
      </w:r>
      <w:r w:rsidR="00784D49">
        <w:rPr>
          <w:b/>
          <w:bCs/>
        </w:rPr>
        <w:t xml:space="preserve">ed </w:t>
      </w:r>
      <w:r w:rsidR="00E877F2">
        <w:rPr>
          <w:b/>
          <w:bCs/>
        </w:rPr>
        <w:t>S</w:t>
      </w:r>
      <w:r w:rsidR="00E877F2" w:rsidRPr="002A30B5">
        <w:rPr>
          <w:b/>
          <w:bCs/>
        </w:rPr>
        <w:t>kin</w:t>
      </w:r>
      <w:r w:rsidRPr="002A30B5">
        <w:rPr>
          <w:b/>
        </w:rPr>
        <w:t xml:space="preserve">-contact </w:t>
      </w:r>
      <w:r w:rsidR="00E877F2">
        <w:rPr>
          <w:b/>
          <w:bCs/>
        </w:rPr>
        <w:t>I</w:t>
      </w:r>
      <w:r w:rsidR="00E877F2" w:rsidRPr="002A30B5">
        <w:rPr>
          <w:b/>
          <w:bCs/>
        </w:rPr>
        <w:t>mpedance</w:t>
      </w:r>
    </w:p>
    <w:p w14:paraId="403AA595" w14:textId="4CB61B52" w:rsidR="00B33EBC" w:rsidRDefault="00B416D4" w:rsidP="00A22FC4">
      <w:pPr>
        <w:spacing w:line="480" w:lineRule="auto"/>
        <w:ind w:firstLine="720"/>
        <w:jc w:val="both"/>
      </w:pPr>
      <w:r>
        <w:t>T</w:t>
      </w:r>
      <w:r w:rsidR="00710AA0">
        <w:t xml:space="preserve">he performance of the </w:t>
      </w:r>
      <w:r>
        <w:t xml:space="preserve">OECT </w:t>
      </w:r>
      <w:r w:rsidR="00710AA0">
        <w:t>device critically depends on the efficiency of signal transfer between the biological tissue (e.g., scalp) and the gate electrode.  Low skin-contact impedance (</w:t>
      </w:r>
      <m:oMath>
        <m:sSub>
          <m:sSubPr>
            <m:ctrlPr>
              <w:rPr>
                <w:rFonts w:ascii="Cambria Math" w:hAnsi="Cambria Math"/>
                <w:i/>
              </w:rPr>
            </m:ctrlPr>
          </m:sSubPr>
          <m:e>
            <m:r>
              <w:rPr>
                <w:rFonts w:ascii="Cambria Math" w:hAnsi="Cambria Math"/>
              </w:rPr>
              <m:t>Z</m:t>
            </m:r>
          </m:e>
          <m:sub>
            <m:r>
              <w:rPr>
                <w:rFonts w:ascii="Cambria Math" w:hAnsi="Cambria Math"/>
              </w:rPr>
              <m:t>skin</m:t>
            </m:r>
          </m:sub>
        </m:sSub>
      </m:oMath>
      <w:r>
        <w:t>)</w:t>
      </w:r>
      <w:r w:rsidR="00710AA0">
        <w:t xml:space="preserve"> plays a pivotal role in improving the coupling of the weak bioelectric signal to the OECT, enhancing overall device performance. </w:t>
      </w:r>
      <w:r w:rsidR="009B386A">
        <w:t xml:space="preserve"> </w:t>
      </w:r>
      <w:r w:rsidR="007B03C8">
        <w:t xml:space="preserve">In OECTs, the coupling efficiency of the bio-signal (EEG) to the gate voltage </w:t>
      </w:r>
      <m:oMath>
        <m:sSub>
          <m:sSubPr>
            <m:ctrlPr>
              <w:rPr>
                <w:rFonts w:ascii="Cambria Math" w:hAnsi="Cambria Math"/>
              </w:rPr>
            </m:ctrlPr>
          </m:sSubPr>
          <m:e>
            <m:r>
              <w:rPr>
                <w:rFonts w:ascii="Cambria Math" w:hAnsi="Cambria Math"/>
              </w:rPr>
              <m:t>V</m:t>
            </m:r>
          </m:e>
          <m:sub>
            <m:r>
              <w:rPr>
                <w:rFonts w:ascii="Cambria Math" w:hAnsi="Cambria Math"/>
              </w:rPr>
              <m:t>g</m:t>
            </m:r>
          </m:sub>
        </m:sSub>
      </m:oMath>
      <w:r w:rsidR="000047E3">
        <w:rPr>
          <w:rStyle w:val="katex-mathml"/>
          <w:rFonts w:eastAsiaTheme="majorEastAsia"/>
        </w:rPr>
        <w:t xml:space="preserve"> </w:t>
      </w:r>
      <w:r w:rsidR="007B03C8">
        <w:t>depends on the impedance ratio between the skin-contact interface (</w:t>
      </w:r>
      <m:oMath>
        <m:sSub>
          <m:sSubPr>
            <m:ctrlPr>
              <w:rPr>
                <w:rFonts w:ascii="Cambria Math" w:hAnsi="Cambria Math"/>
                <w:i/>
              </w:rPr>
            </m:ctrlPr>
          </m:sSubPr>
          <m:e>
            <m:r>
              <w:rPr>
                <w:rFonts w:ascii="Cambria Math" w:hAnsi="Cambria Math"/>
              </w:rPr>
              <m:t>Z</m:t>
            </m:r>
          </m:e>
          <m:sub>
            <m:r>
              <w:rPr>
                <w:rFonts w:ascii="Cambria Math" w:hAnsi="Cambria Math"/>
              </w:rPr>
              <m:t>skin</m:t>
            </m:r>
          </m:sub>
        </m:sSub>
      </m:oMath>
      <w:r w:rsidR="007B03C8">
        <w:t xml:space="preserve">) and the transistor's </w:t>
      </w:r>
      <w:r w:rsidR="008C324C">
        <w:t>channel</w:t>
      </w:r>
      <w:r w:rsidR="007B03C8">
        <w:t xml:space="preserve"> impedance (</w:t>
      </w:r>
      <m:oMath>
        <m:sSub>
          <m:sSubPr>
            <m:ctrlPr>
              <w:rPr>
                <w:rFonts w:ascii="Cambria Math" w:hAnsi="Cambria Math"/>
                <w:i/>
              </w:rPr>
            </m:ctrlPr>
          </m:sSubPr>
          <m:e>
            <m:r>
              <w:rPr>
                <w:rFonts w:ascii="Cambria Math" w:hAnsi="Cambria Math"/>
              </w:rPr>
              <m:t>Z</m:t>
            </m:r>
          </m:e>
          <m:sub>
            <m:r>
              <w:rPr>
                <w:rFonts w:ascii="Cambria Math" w:hAnsi="Cambria Math"/>
              </w:rPr>
              <m:t>OECT</m:t>
            </m:r>
          </m:sub>
        </m:sSub>
      </m:oMath>
      <w:r w:rsidR="007B03C8">
        <w:t xml:space="preserve">).  </w:t>
      </w:r>
      <w:r w:rsidR="00B33EBC">
        <w:t>The effective gate voltage is given by:</w:t>
      </w:r>
    </w:p>
    <w:p w14:paraId="5403882A" w14:textId="03203C9C" w:rsidR="00887EE5" w:rsidRDefault="00107F69" w:rsidP="00A22FC4">
      <w:pPr>
        <w:tabs>
          <w:tab w:val="center" w:pos="4680"/>
          <w:tab w:val="right" w:pos="9360"/>
        </w:tabs>
        <w:spacing w:line="480" w:lineRule="auto"/>
        <w:jc w:val="both"/>
      </w:pPr>
      <w:r>
        <w:tab/>
      </w:r>
      <m:oMath>
        <m:sSub>
          <m:sSubPr>
            <m:ctrlPr>
              <w:rPr>
                <w:rFonts w:ascii="Cambria Math" w:hAnsi="Cambria Math"/>
              </w:rPr>
            </m:ctrlPr>
          </m:sSubPr>
          <m:e>
            <m:r>
              <w:rPr>
                <w:rFonts w:ascii="Cambria Math" w:hAnsi="Cambria Math"/>
              </w:rPr>
              <m:t>V</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EEG</m:t>
            </m:r>
          </m:sub>
        </m:sSub>
        <m:f>
          <m:fPr>
            <m:ctrlPr>
              <w:rPr>
                <w:rFonts w:ascii="Cambria Math" w:hAnsi="Cambria Math"/>
                <w:i/>
              </w:rPr>
            </m:ctrlPr>
          </m:fPr>
          <m:num>
            <m:sSub>
              <m:sSubPr>
                <m:ctrlPr>
                  <w:rPr>
                    <w:rFonts w:ascii="Cambria Math" w:hAnsi="Cambria Math"/>
                    <w:i/>
                  </w:rPr>
                </m:ctrlPr>
              </m:sSubPr>
              <m:e>
                <m:r>
                  <w:rPr>
                    <w:rFonts w:ascii="Cambria Math" w:hAnsi="Cambria Math"/>
                  </w:rPr>
                  <m:t>Z</m:t>
                </m:r>
              </m:e>
              <m:sub>
                <m:r>
                  <w:rPr>
                    <w:rFonts w:ascii="Cambria Math" w:hAnsi="Cambria Math"/>
                  </w:rPr>
                  <m:t>skin</m:t>
                </m:r>
              </m:sub>
            </m:sSub>
          </m:num>
          <m:den>
            <m:sSub>
              <m:sSubPr>
                <m:ctrlPr>
                  <w:rPr>
                    <w:rFonts w:ascii="Cambria Math" w:hAnsi="Cambria Math"/>
                    <w:i/>
                  </w:rPr>
                </m:ctrlPr>
              </m:sSubPr>
              <m:e>
                <m:r>
                  <w:rPr>
                    <w:rFonts w:ascii="Cambria Math" w:hAnsi="Cambria Math"/>
                  </w:rPr>
                  <m:t>Z</m:t>
                </m:r>
              </m:e>
              <m:sub>
                <m:r>
                  <w:rPr>
                    <w:rFonts w:ascii="Cambria Math" w:hAnsi="Cambria Math"/>
                  </w:rPr>
                  <m:t>skin</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OECT</m:t>
                </m:r>
              </m:sub>
            </m:sSub>
          </m:den>
        </m:f>
      </m:oMath>
      <w:r w:rsidR="007C3251">
        <w:t>,</w:t>
      </w:r>
      <w:r w:rsidR="00E439C2">
        <w:tab/>
      </w:r>
      <w:r w:rsidR="00E439C2" w:rsidRPr="00C57599">
        <w:rPr>
          <w:iCs/>
        </w:rPr>
        <w:t>(S3</w:t>
      </w:r>
      <w:r w:rsidR="00E439C2">
        <w:rPr>
          <w:iCs/>
        </w:rPr>
        <w:t>6</w:t>
      </w:r>
      <w:r w:rsidR="00E439C2" w:rsidRPr="00C57599">
        <w:rPr>
          <w:iCs/>
        </w:rPr>
        <w:t>)</w:t>
      </w:r>
    </w:p>
    <w:p w14:paraId="6FF84134" w14:textId="59C3FCA2" w:rsidR="004C33C3" w:rsidRDefault="00E877F2">
      <w:pPr>
        <w:spacing w:line="480" w:lineRule="auto"/>
        <w:jc w:val="both"/>
      </w:pPr>
      <w:r>
        <w:t>w</w:t>
      </w:r>
      <w:r w:rsidR="00B33EBC">
        <w:t>here</w:t>
      </w:r>
      <w:r w:rsidR="00E952D3">
        <w:t xml:space="preserve"> </w:t>
      </w:r>
      <m:oMath>
        <m:sSub>
          <m:sSubPr>
            <m:ctrlPr>
              <w:rPr>
                <w:rFonts w:ascii="Cambria Math" w:hAnsi="Cambria Math"/>
                <w:i/>
              </w:rPr>
            </m:ctrlPr>
          </m:sSubPr>
          <m:e>
            <m:r>
              <w:rPr>
                <w:rFonts w:ascii="Cambria Math" w:hAnsi="Cambria Math"/>
              </w:rPr>
              <m:t>V</m:t>
            </m:r>
          </m:e>
          <m:sub>
            <m:r>
              <w:rPr>
                <w:rFonts w:ascii="Cambria Math" w:hAnsi="Cambria Math"/>
              </w:rPr>
              <m:t>EEG</m:t>
            </m:r>
          </m:sub>
        </m:sSub>
      </m:oMath>
      <w:r w:rsidR="00E952D3">
        <w:t xml:space="preserve"> is t</w:t>
      </w:r>
      <w:r w:rsidR="00B33EBC">
        <w:t>he bio-signal voltage originating from the scalp</w:t>
      </w:r>
      <w:r w:rsidR="00B76EEE">
        <w:t>.</w:t>
      </w:r>
    </w:p>
    <w:p w14:paraId="4EBFC6EA" w14:textId="77777777" w:rsidR="004C33C3" w:rsidRDefault="004C33C3">
      <w:pPr>
        <w:spacing w:after="160" w:line="278" w:lineRule="auto"/>
      </w:pPr>
      <w:r>
        <w:br w:type="page"/>
      </w:r>
    </w:p>
    <w:p w14:paraId="47218425" w14:textId="4F5EDAD0" w:rsidR="0082285F" w:rsidRDefault="0082285F" w:rsidP="0082285F">
      <w:pPr>
        <w:spacing w:line="480" w:lineRule="auto"/>
        <w:jc w:val="both"/>
        <w:rPr>
          <w:b/>
          <w:bCs/>
          <w:u w:val="single"/>
        </w:rPr>
      </w:pPr>
      <w:r w:rsidRPr="00F87CB0">
        <w:rPr>
          <w:b/>
          <w:bCs/>
          <w:u w:val="single"/>
        </w:rPr>
        <w:lastRenderedPageBreak/>
        <w:t>Supplementary Figure</w:t>
      </w:r>
      <w:r>
        <w:rPr>
          <w:b/>
          <w:bCs/>
          <w:u w:val="single"/>
        </w:rPr>
        <w:t xml:space="preserve"> 1</w:t>
      </w:r>
    </w:p>
    <w:p w14:paraId="221414AD" w14:textId="77777777" w:rsidR="00CC6630" w:rsidRDefault="00CC6630" w:rsidP="00CC6630">
      <w:pPr>
        <w:pStyle w:val="NormalWeb"/>
      </w:pPr>
      <w:r>
        <w:rPr>
          <w:noProof/>
        </w:rPr>
        <w:drawing>
          <wp:inline distT="0" distB="0" distL="0" distR="0" wp14:anchorId="5B40592B" wp14:editId="396400B2">
            <wp:extent cx="3032136" cy="4673600"/>
            <wp:effectExtent l="0" t="0" r="0" b="0"/>
            <wp:docPr id="8479134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042184" cy="4689088"/>
                    </a:xfrm>
                    <a:prstGeom prst="rect">
                      <a:avLst/>
                    </a:prstGeom>
                    <a:noFill/>
                  </pic:spPr>
                </pic:pic>
              </a:graphicData>
            </a:graphic>
          </wp:inline>
        </w:drawing>
      </w:r>
    </w:p>
    <w:p w14:paraId="61601A14" w14:textId="3F4A074E" w:rsidR="00647A3C" w:rsidRDefault="00CC6630">
      <w:pPr>
        <w:spacing w:line="480" w:lineRule="auto"/>
        <w:jc w:val="both"/>
        <w:rPr>
          <w:sz w:val="21"/>
          <w:szCs w:val="21"/>
        </w:rPr>
      </w:pPr>
      <w:r w:rsidRPr="003113A3">
        <w:rPr>
          <w:sz w:val="21"/>
          <w:szCs w:val="21"/>
        </w:rPr>
        <w:t xml:space="preserve">Figure S1: Optical microscope images </w:t>
      </w:r>
      <w:r w:rsidR="003113A3">
        <w:rPr>
          <w:sz w:val="21"/>
          <w:szCs w:val="21"/>
        </w:rPr>
        <w:t>of</w:t>
      </w:r>
      <w:r w:rsidR="003113A3" w:rsidRPr="003113A3">
        <w:rPr>
          <w:sz w:val="21"/>
          <w:szCs w:val="21"/>
        </w:rPr>
        <w:t xml:space="preserve"> </w:t>
      </w:r>
      <w:r w:rsidR="001672B1" w:rsidRPr="003113A3">
        <w:rPr>
          <w:sz w:val="21"/>
          <w:szCs w:val="21"/>
        </w:rPr>
        <w:t>ionic biogel showing phase-</w:t>
      </w:r>
      <w:r w:rsidR="006D62B3" w:rsidRPr="003113A3">
        <w:rPr>
          <w:sz w:val="21"/>
          <w:szCs w:val="21"/>
        </w:rPr>
        <w:t>sep</w:t>
      </w:r>
      <w:r w:rsidR="006D62B3">
        <w:rPr>
          <w:sz w:val="21"/>
          <w:szCs w:val="21"/>
        </w:rPr>
        <w:t>a</w:t>
      </w:r>
      <w:r w:rsidR="006D62B3" w:rsidRPr="003113A3">
        <w:rPr>
          <w:sz w:val="21"/>
          <w:szCs w:val="21"/>
        </w:rPr>
        <w:t xml:space="preserve">ration </w:t>
      </w:r>
      <w:r w:rsidR="001672B1" w:rsidRPr="003113A3">
        <w:rPr>
          <w:sz w:val="21"/>
          <w:szCs w:val="21"/>
        </w:rPr>
        <w:t>between two phase</w:t>
      </w:r>
      <w:r w:rsidR="006D62B3">
        <w:rPr>
          <w:sz w:val="21"/>
          <w:szCs w:val="21"/>
        </w:rPr>
        <w:t>s</w:t>
      </w:r>
      <w:r w:rsidR="001672B1" w:rsidRPr="003113A3">
        <w:rPr>
          <w:sz w:val="21"/>
          <w:szCs w:val="21"/>
        </w:rPr>
        <w:t>: PEDOT:PSS/</w:t>
      </w:r>
      <w:r w:rsidR="006D62B3">
        <w:rPr>
          <w:sz w:val="21"/>
          <w:szCs w:val="21"/>
        </w:rPr>
        <w:t>i</w:t>
      </w:r>
      <w:r w:rsidR="006D62B3" w:rsidRPr="003113A3">
        <w:rPr>
          <w:sz w:val="21"/>
          <w:szCs w:val="21"/>
        </w:rPr>
        <w:t xml:space="preserve">onic </w:t>
      </w:r>
      <w:r w:rsidR="006D62B3">
        <w:rPr>
          <w:sz w:val="21"/>
          <w:szCs w:val="21"/>
        </w:rPr>
        <w:t>l</w:t>
      </w:r>
      <w:r w:rsidR="006D62B3" w:rsidRPr="003113A3">
        <w:rPr>
          <w:sz w:val="21"/>
          <w:szCs w:val="21"/>
        </w:rPr>
        <w:t xml:space="preserve">iquid </w:t>
      </w:r>
      <w:r w:rsidR="001672B1" w:rsidRPr="003113A3">
        <w:rPr>
          <w:sz w:val="21"/>
          <w:szCs w:val="21"/>
        </w:rPr>
        <w:t>(</w:t>
      </w:r>
      <w:r w:rsidR="007C3709" w:rsidRPr="003113A3">
        <w:rPr>
          <w:sz w:val="21"/>
          <w:szCs w:val="21"/>
        </w:rPr>
        <w:t xml:space="preserve">ionic system - dark </w:t>
      </w:r>
      <w:r w:rsidR="001672B1" w:rsidRPr="003113A3">
        <w:rPr>
          <w:sz w:val="21"/>
          <w:szCs w:val="21"/>
        </w:rPr>
        <w:t>blue)</w:t>
      </w:r>
      <w:r w:rsidR="007C3709" w:rsidRPr="003113A3">
        <w:rPr>
          <w:sz w:val="21"/>
          <w:szCs w:val="21"/>
        </w:rPr>
        <w:t xml:space="preserve"> and </w:t>
      </w:r>
      <w:r w:rsidR="00CA35B0">
        <w:rPr>
          <w:sz w:val="21"/>
          <w:szCs w:val="21"/>
        </w:rPr>
        <w:t>g</w:t>
      </w:r>
      <w:r w:rsidR="00CA35B0" w:rsidRPr="003113A3">
        <w:rPr>
          <w:sz w:val="21"/>
          <w:szCs w:val="21"/>
        </w:rPr>
        <w:t>elatin</w:t>
      </w:r>
      <w:r w:rsidR="007C3709" w:rsidRPr="003113A3">
        <w:rPr>
          <w:sz w:val="21"/>
          <w:szCs w:val="21"/>
        </w:rPr>
        <w:t>/</w:t>
      </w:r>
      <w:r w:rsidR="00CA35B0">
        <w:rPr>
          <w:sz w:val="21"/>
          <w:szCs w:val="21"/>
        </w:rPr>
        <w:t>g</w:t>
      </w:r>
      <w:r w:rsidR="00CA35B0" w:rsidRPr="003113A3">
        <w:rPr>
          <w:sz w:val="21"/>
          <w:szCs w:val="21"/>
        </w:rPr>
        <w:t>lycerol</w:t>
      </w:r>
      <w:r w:rsidR="007C3709" w:rsidRPr="003113A3">
        <w:rPr>
          <w:sz w:val="21"/>
          <w:szCs w:val="21"/>
        </w:rPr>
        <w:t>/</w:t>
      </w:r>
      <w:r w:rsidR="00CA35B0">
        <w:rPr>
          <w:sz w:val="21"/>
          <w:szCs w:val="21"/>
        </w:rPr>
        <w:t>s</w:t>
      </w:r>
      <w:r w:rsidR="00CA35B0" w:rsidRPr="003113A3">
        <w:rPr>
          <w:sz w:val="21"/>
          <w:szCs w:val="21"/>
        </w:rPr>
        <w:t xml:space="preserve">alt </w:t>
      </w:r>
      <w:r w:rsidR="007C3709" w:rsidRPr="003113A3">
        <w:rPr>
          <w:sz w:val="21"/>
          <w:szCs w:val="21"/>
        </w:rPr>
        <w:t>(biogel system - transparent)</w:t>
      </w:r>
      <w:r w:rsidR="00CA35B0">
        <w:rPr>
          <w:sz w:val="21"/>
          <w:szCs w:val="21"/>
        </w:rPr>
        <w:t>.</w:t>
      </w:r>
    </w:p>
    <w:p w14:paraId="1B2FF422" w14:textId="77777777" w:rsidR="00647A3C" w:rsidRDefault="00647A3C">
      <w:pPr>
        <w:spacing w:after="160" w:line="278" w:lineRule="auto"/>
        <w:rPr>
          <w:sz w:val="21"/>
          <w:szCs w:val="21"/>
        </w:rPr>
      </w:pPr>
      <w:r>
        <w:rPr>
          <w:sz w:val="21"/>
          <w:szCs w:val="21"/>
        </w:rPr>
        <w:br w:type="page"/>
      </w:r>
    </w:p>
    <w:p w14:paraId="2E6246CF" w14:textId="1843C7E1" w:rsidR="00647A3C" w:rsidRDefault="00647A3C" w:rsidP="00647A3C">
      <w:pPr>
        <w:spacing w:line="480" w:lineRule="auto"/>
        <w:jc w:val="both"/>
        <w:rPr>
          <w:b/>
          <w:bCs/>
          <w:u w:val="single"/>
        </w:rPr>
      </w:pPr>
      <w:r w:rsidRPr="00F87CB0">
        <w:rPr>
          <w:b/>
          <w:bCs/>
          <w:u w:val="single"/>
        </w:rPr>
        <w:lastRenderedPageBreak/>
        <w:t>Supplementary Figure</w:t>
      </w:r>
      <w:r>
        <w:rPr>
          <w:b/>
          <w:bCs/>
          <w:u w:val="single"/>
        </w:rPr>
        <w:t xml:space="preserve"> 2</w:t>
      </w:r>
    </w:p>
    <w:p w14:paraId="0671CDA3" w14:textId="77777777" w:rsidR="00637775" w:rsidRDefault="00637775">
      <w:pPr>
        <w:spacing w:line="480" w:lineRule="auto"/>
        <w:jc w:val="both"/>
      </w:pPr>
      <w:r w:rsidRPr="00637775">
        <w:rPr>
          <w:noProof/>
        </w:rPr>
        <w:drawing>
          <wp:inline distT="0" distB="0" distL="0" distR="0" wp14:anchorId="0E3A4352" wp14:editId="3F77CE3B">
            <wp:extent cx="5943600" cy="4549775"/>
            <wp:effectExtent l="0" t="0" r="0" b="0"/>
            <wp:docPr id="2096735741" name="Picture 2" descr="A black background with white text&#10;&#10;Description automatically generated">
              <a:extLst xmlns:a="http://schemas.openxmlformats.org/drawingml/2006/main">
                <a:ext uri="{FF2B5EF4-FFF2-40B4-BE49-F238E27FC236}">
                  <a16:creationId xmlns:a16="http://schemas.microsoft.com/office/drawing/2014/main" id="{FCCECB33-A67D-C50F-C0E2-CA82255A0E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735741" name="Picture 2" descr="A black background with white text&#10;&#10;Description automatically generated">
                      <a:extLst>
                        <a:ext uri="{FF2B5EF4-FFF2-40B4-BE49-F238E27FC236}">
                          <a16:creationId xmlns:a16="http://schemas.microsoft.com/office/drawing/2014/main" id="{FCCECB33-A67D-C50F-C0E2-CA82255A0E19}"/>
                        </a:ext>
                      </a:extLst>
                    </pic:cNvPr>
                    <pic:cNvPicPr>
                      <a:picLocks noChangeAspect="1"/>
                    </pic:cNvPicPr>
                  </pic:nvPicPr>
                  <pic:blipFill>
                    <a:blip r:embed="rId7"/>
                    <a:stretch>
                      <a:fillRect/>
                    </a:stretch>
                  </pic:blipFill>
                  <pic:spPr>
                    <a:xfrm>
                      <a:off x="0" y="0"/>
                      <a:ext cx="5943600" cy="4549775"/>
                    </a:xfrm>
                    <a:prstGeom prst="rect">
                      <a:avLst/>
                    </a:prstGeom>
                  </pic:spPr>
                </pic:pic>
              </a:graphicData>
            </a:graphic>
          </wp:inline>
        </w:drawing>
      </w:r>
    </w:p>
    <w:p w14:paraId="6B3E5BE3" w14:textId="16071135" w:rsidR="00F1343D" w:rsidRPr="000107EC" w:rsidRDefault="00637775" w:rsidP="00E877F2">
      <w:pPr>
        <w:spacing w:line="480" w:lineRule="auto"/>
        <w:jc w:val="both"/>
      </w:pPr>
      <w:r w:rsidRPr="00EB7F67">
        <w:rPr>
          <w:sz w:val="21"/>
          <w:szCs w:val="21"/>
        </w:rPr>
        <w:t>Figure S</w:t>
      </w:r>
      <w:r>
        <w:rPr>
          <w:sz w:val="21"/>
          <w:szCs w:val="21"/>
        </w:rPr>
        <w:t>2</w:t>
      </w:r>
      <w:r w:rsidRPr="00EB7F67">
        <w:rPr>
          <w:sz w:val="21"/>
          <w:szCs w:val="21"/>
        </w:rPr>
        <w:t xml:space="preserve">: </w:t>
      </w:r>
      <w:r>
        <w:rPr>
          <w:sz w:val="21"/>
          <w:szCs w:val="21"/>
        </w:rPr>
        <w:t xml:space="preserve">Open Circuit Voltage </w:t>
      </w:r>
      <w:r w:rsidR="00F23A48">
        <w:rPr>
          <w:sz w:val="21"/>
          <w:szCs w:val="21"/>
        </w:rPr>
        <w:t xml:space="preserve">of ~40 mV </w:t>
      </w:r>
      <w:r>
        <w:rPr>
          <w:sz w:val="21"/>
          <w:szCs w:val="21"/>
        </w:rPr>
        <w:t xml:space="preserve">across the ionic biogel </w:t>
      </w:r>
      <w:r w:rsidR="00145ACB">
        <w:rPr>
          <w:sz w:val="21"/>
          <w:szCs w:val="21"/>
        </w:rPr>
        <w:t xml:space="preserve">over </w:t>
      </w:r>
      <w:r>
        <w:rPr>
          <w:sz w:val="21"/>
          <w:szCs w:val="21"/>
        </w:rPr>
        <w:t>7</w:t>
      </w:r>
      <w:r w:rsidR="00B85A39">
        <w:rPr>
          <w:sz w:val="21"/>
          <w:szCs w:val="21"/>
        </w:rPr>
        <w:t xml:space="preserve"> </w:t>
      </w:r>
      <w:r>
        <w:rPr>
          <w:sz w:val="21"/>
          <w:szCs w:val="21"/>
        </w:rPr>
        <w:t>hours</w:t>
      </w:r>
      <w:r w:rsidR="00AA0EFF">
        <w:rPr>
          <w:sz w:val="21"/>
          <w:szCs w:val="21"/>
        </w:rPr>
        <w:t>.</w:t>
      </w:r>
      <w:r w:rsidR="00F1343D" w:rsidRPr="000107EC">
        <w:br w:type="page"/>
      </w:r>
    </w:p>
    <w:p w14:paraId="7B108A9A" w14:textId="21E8568F" w:rsidR="00401DDF" w:rsidRDefault="00F87CB0" w:rsidP="00E82A14">
      <w:pPr>
        <w:spacing w:line="480" w:lineRule="auto"/>
        <w:jc w:val="both"/>
        <w:rPr>
          <w:b/>
          <w:bCs/>
          <w:u w:val="single"/>
        </w:rPr>
      </w:pPr>
      <w:r w:rsidRPr="00F87CB0">
        <w:rPr>
          <w:b/>
          <w:bCs/>
          <w:u w:val="single"/>
        </w:rPr>
        <w:lastRenderedPageBreak/>
        <w:t>Supplementary Figure</w:t>
      </w:r>
      <w:r w:rsidR="00812BAE">
        <w:rPr>
          <w:b/>
          <w:bCs/>
          <w:u w:val="single"/>
        </w:rPr>
        <w:t xml:space="preserve"> </w:t>
      </w:r>
      <w:r w:rsidR="003837A4">
        <w:rPr>
          <w:b/>
          <w:bCs/>
          <w:u w:val="single"/>
        </w:rPr>
        <w:t>3</w:t>
      </w:r>
    </w:p>
    <w:p w14:paraId="242CFF7B" w14:textId="0167B2C6" w:rsidR="00F93AA6" w:rsidRDefault="003D5CC8" w:rsidP="00E82A14">
      <w:pPr>
        <w:spacing w:line="480" w:lineRule="auto"/>
        <w:jc w:val="both"/>
        <w:rPr>
          <w:sz w:val="21"/>
          <w:szCs w:val="21"/>
        </w:rPr>
      </w:pPr>
      <w:r w:rsidRPr="00C668AD">
        <w:rPr>
          <w:noProof/>
          <w:sz w:val="21"/>
          <w:szCs w:val="21"/>
        </w:rPr>
        <w:drawing>
          <wp:anchor distT="0" distB="0" distL="114300" distR="114300" simplePos="0" relativeHeight="251658240" behindDoc="0" locked="0" layoutInCell="1" allowOverlap="1" wp14:anchorId="579898F0" wp14:editId="4EC83366">
            <wp:simplePos x="0" y="0"/>
            <wp:positionH relativeFrom="column">
              <wp:posOffset>0</wp:posOffset>
            </wp:positionH>
            <wp:positionV relativeFrom="paragraph">
              <wp:posOffset>-3387</wp:posOffset>
            </wp:positionV>
            <wp:extent cx="5919470" cy="6242685"/>
            <wp:effectExtent l="0" t="0" r="5080" b="5715"/>
            <wp:wrapTopAndBottom/>
            <wp:docPr id="6908630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19470" cy="6242685"/>
                    </a:xfrm>
                    <a:prstGeom prst="rect">
                      <a:avLst/>
                    </a:prstGeom>
                    <a:noFill/>
                  </pic:spPr>
                </pic:pic>
              </a:graphicData>
            </a:graphic>
          </wp:anchor>
        </w:drawing>
      </w:r>
      <w:r w:rsidR="00450F8D" w:rsidRPr="00C668AD">
        <w:rPr>
          <w:sz w:val="21"/>
          <w:szCs w:val="21"/>
        </w:rPr>
        <w:t>Figure S</w:t>
      </w:r>
      <w:r w:rsidR="003837A4">
        <w:rPr>
          <w:sz w:val="21"/>
          <w:szCs w:val="21"/>
        </w:rPr>
        <w:t>3</w:t>
      </w:r>
      <w:r w:rsidR="00450F8D" w:rsidRPr="00C668AD">
        <w:rPr>
          <w:sz w:val="21"/>
          <w:szCs w:val="21"/>
        </w:rPr>
        <w:t>:</w:t>
      </w:r>
      <w:r w:rsidR="00E20447">
        <w:rPr>
          <w:sz w:val="21"/>
          <w:szCs w:val="21"/>
        </w:rPr>
        <w:t xml:space="preserve"> XPS </w:t>
      </w:r>
      <w:r w:rsidR="002F6209">
        <w:rPr>
          <w:sz w:val="21"/>
          <w:szCs w:val="21"/>
        </w:rPr>
        <w:t>a</w:t>
      </w:r>
      <w:r w:rsidR="00E20447">
        <w:rPr>
          <w:sz w:val="21"/>
          <w:szCs w:val="21"/>
        </w:rPr>
        <w:t>nal</w:t>
      </w:r>
      <w:r w:rsidR="00C73710">
        <w:rPr>
          <w:sz w:val="21"/>
          <w:szCs w:val="21"/>
        </w:rPr>
        <w:t xml:space="preserve">ysis of </w:t>
      </w:r>
      <w:r w:rsidR="003946E6">
        <w:rPr>
          <w:sz w:val="21"/>
          <w:szCs w:val="21"/>
        </w:rPr>
        <w:t xml:space="preserve">the </w:t>
      </w:r>
      <w:r w:rsidR="00C73710">
        <w:rPr>
          <w:sz w:val="21"/>
          <w:szCs w:val="21"/>
        </w:rPr>
        <w:t xml:space="preserve">ionic biogel </w:t>
      </w:r>
      <w:r w:rsidR="005F73EF">
        <w:rPr>
          <w:sz w:val="21"/>
          <w:szCs w:val="21"/>
        </w:rPr>
        <w:t xml:space="preserve">to </w:t>
      </w:r>
      <w:r w:rsidR="00C73710">
        <w:rPr>
          <w:sz w:val="21"/>
          <w:szCs w:val="21"/>
        </w:rPr>
        <w:t xml:space="preserve">show different components. </w:t>
      </w:r>
    </w:p>
    <w:p w14:paraId="0241F481" w14:textId="77777777" w:rsidR="00F93AA6" w:rsidRDefault="00F93AA6">
      <w:pPr>
        <w:spacing w:after="160" w:line="278" w:lineRule="auto"/>
        <w:rPr>
          <w:sz w:val="21"/>
          <w:szCs w:val="21"/>
        </w:rPr>
      </w:pPr>
      <w:r>
        <w:rPr>
          <w:sz w:val="21"/>
          <w:szCs w:val="21"/>
        </w:rPr>
        <w:br w:type="page"/>
      </w:r>
    </w:p>
    <w:p w14:paraId="6455B05E" w14:textId="48145E75" w:rsidR="00450F8D" w:rsidRDefault="0057149E" w:rsidP="00450F8D">
      <w:pPr>
        <w:spacing w:line="480" w:lineRule="auto"/>
        <w:jc w:val="both"/>
        <w:rPr>
          <w:b/>
          <w:bCs/>
          <w:u w:val="single"/>
        </w:rPr>
      </w:pPr>
      <w:r>
        <w:rPr>
          <w:noProof/>
        </w:rPr>
        <w:lastRenderedPageBreak/>
        <w:drawing>
          <wp:anchor distT="0" distB="0" distL="114300" distR="114300" simplePos="0" relativeHeight="251658241" behindDoc="0" locked="0" layoutInCell="1" allowOverlap="1" wp14:anchorId="238E00BF" wp14:editId="684B0BC4">
            <wp:simplePos x="0" y="0"/>
            <wp:positionH relativeFrom="column">
              <wp:posOffset>1185334</wp:posOffset>
            </wp:positionH>
            <wp:positionV relativeFrom="paragraph">
              <wp:posOffset>279611</wp:posOffset>
            </wp:positionV>
            <wp:extent cx="4023995" cy="6809740"/>
            <wp:effectExtent l="0" t="0" r="0" b="0"/>
            <wp:wrapTopAndBottom/>
            <wp:docPr id="17354324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23995" cy="6809740"/>
                    </a:xfrm>
                    <a:prstGeom prst="rect">
                      <a:avLst/>
                    </a:prstGeom>
                    <a:noFill/>
                  </pic:spPr>
                </pic:pic>
              </a:graphicData>
            </a:graphic>
          </wp:anchor>
        </w:drawing>
      </w:r>
      <w:r w:rsidR="00450F8D" w:rsidRPr="00F87CB0">
        <w:rPr>
          <w:b/>
          <w:bCs/>
          <w:u w:val="single"/>
        </w:rPr>
        <w:t>Supplementary Figure</w:t>
      </w:r>
      <w:r w:rsidR="00450F8D">
        <w:rPr>
          <w:b/>
          <w:bCs/>
          <w:u w:val="single"/>
        </w:rPr>
        <w:t xml:space="preserve"> </w:t>
      </w:r>
      <w:r w:rsidR="00482E25">
        <w:rPr>
          <w:b/>
          <w:bCs/>
          <w:u w:val="single"/>
        </w:rPr>
        <w:t>4</w:t>
      </w:r>
    </w:p>
    <w:p w14:paraId="435A014A" w14:textId="39AEF9AD" w:rsidR="0057149E" w:rsidRPr="00C668AD" w:rsidRDefault="0057149E" w:rsidP="00E82A14">
      <w:pPr>
        <w:spacing w:line="480" w:lineRule="auto"/>
        <w:jc w:val="both"/>
        <w:rPr>
          <w:sz w:val="21"/>
          <w:szCs w:val="21"/>
        </w:rPr>
      </w:pPr>
      <w:r w:rsidRPr="00C668AD">
        <w:rPr>
          <w:sz w:val="21"/>
          <w:szCs w:val="21"/>
        </w:rPr>
        <w:t>Figure S</w:t>
      </w:r>
      <w:r w:rsidR="00482E25">
        <w:rPr>
          <w:sz w:val="21"/>
          <w:szCs w:val="21"/>
        </w:rPr>
        <w:t>4</w:t>
      </w:r>
      <w:r w:rsidRPr="00C668AD">
        <w:rPr>
          <w:sz w:val="21"/>
          <w:szCs w:val="21"/>
        </w:rPr>
        <w:t>:</w:t>
      </w:r>
      <w:r w:rsidR="00C73710">
        <w:rPr>
          <w:sz w:val="21"/>
          <w:szCs w:val="21"/>
        </w:rPr>
        <w:t xml:space="preserve"> AFM image</w:t>
      </w:r>
      <w:r w:rsidR="003946E6">
        <w:rPr>
          <w:sz w:val="21"/>
          <w:szCs w:val="21"/>
        </w:rPr>
        <w:t xml:space="preserve"> of the ionic biogel</w:t>
      </w:r>
      <w:r w:rsidR="00732E38">
        <w:rPr>
          <w:sz w:val="21"/>
          <w:szCs w:val="21"/>
        </w:rPr>
        <w:t xml:space="preserve"> </w:t>
      </w:r>
      <w:r w:rsidR="003946E6">
        <w:rPr>
          <w:sz w:val="21"/>
          <w:szCs w:val="21"/>
        </w:rPr>
        <w:t xml:space="preserve">with hierarchical pores to </w:t>
      </w:r>
      <w:r w:rsidR="00C73710">
        <w:rPr>
          <w:sz w:val="21"/>
          <w:szCs w:val="21"/>
        </w:rPr>
        <w:t>show</w:t>
      </w:r>
      <w:r w:rsidR="003946E6">
        <w:rPr>
          <w:sz w:val="21"/>
          <w:szCs w:val="21"/>
        </w:rPr>
        <w:t xml:space="preserve"> the variation in (a) height and (b) adhesion</w:t>
      </w:r>
      <w:r w:rsidR="00732E38">
        <w:rPr>
          <w:sz w:val="21"/>
          <w:szCs w:val="21"/>
        </w:rPr>
        <w:t>.</w:t>
      </w:r>
    </w:p>
    <w:p w14:paraId="0E9B2935" w14:textId="77777777" w:rsidR="0057149E" w:rsidRDefault="0057149E">
      <w:pPr>
        <w:spacing w:after="160" w:line="278" w:lineRule="auto"/>
      </w:pPr>
      <w:r>
        <w:br w:type="page"/>
      </w:r>
    </w:p>
    <w:p w14:paraId="7AE28BD6" w14:textId="7A9DCC2C" w:rsidR="00947021" w:rsidRDefault="0057149E" w:rsidP="00DC6183">
      <w:pPr>
        <w:spacing w:line="480" w:lineRule="auto"/>
        <w:jc w:val="both"/>
      </w:pPr>
      <w:r w:rsidRPr="00F87CB0">
        <w:rPr>
          <w:b/>
          <w:bCs/>
          <w:u w:val="single"/>
        </w:rPr>
        <w:lastRenderedPageBreak/>
        <w:t>Supplementary Figure</w:t>
      </w:r>
      <w:r>
        <w:rPr>
          <w:b/>
          <w:bCs/>
          <w:u w:val="single"/>
        </w:rPr>
        <w:t xml:space="preserve"> </w:t>
      </w:r>
      <w:r w:rsidR="00947021" w:rsidRPr="00A2716C">
        <w:rPr>
          <w:noProof/>
        </w:rPr>
        <w:drawing>
          <wp:anchor distT="0" distB="0" distL="114300" distR="114300" simplePos="0" relativeHeight="251658242" behindDoc="0" locked="0" layoutInCell="1" allowOverlap="1" wp14:anchorId="1AA7E0BE" wp14:editId="388A4C6C">
            <wp:simplePos x="0" y="0"/>
            <wp:positionH relativeFrom="margin">
              <wp:align>center</wp:align>
            </wp:positionH>
            <wp:positionV relativeFrom="paragraph">
              <wp:posOffset>191135</wp:posOffset>
            </wp:positionV>
            <wp:extent cx="4211955" cy="3632200"/>
            <wp:effectExtent l="0" t="0" r="0" b="6350"/>
            <wp:wrapTopAndBottom/>
            <wp:docPr id="1222026410" name="Picture 1" descr="A graph with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026410" name="Picture 1" descr="A graph with a red line&#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4211955" cy="3632200"/>
                    </a:xfrm>
                    <a:prstGeom prst="rect">
                      <a:avLst/>
                    </a:prstGeom>
                  </pic:spPr>
                </pic:pic>
              </a:graphicData>
            </a:graphic>
            <wp14:sizeRelH relativeFrom="margin">
              <wp14:pctWidth>0</wp14:pctWidth>
            </wp14:sizeRelH>
            <wp14:sizeRelV relativeFrom="margin">
              <wp14:pctHeight>0</wp14:pctHeight>
            </wp14:sizeRelV>
          </wp:anchor>
        </w:drawing>
      </w:r>
      <w:r w:rsidR="00482E25">
        <w:rPr>
          <w:b/>
          <w:bCs/>
          <w:u w:val="single"/>
        </w:rPr>
        <w:t>5</w:t>
      </w:r>
    </w:p>
    <w:p w14:paraId="1A1C021D" w14:textId="535A6626" w:rsidR="000E5263" w:rsidRDefault="00C668AD">
      <w:pPr>
        <w:spacing w:after="160" w:line="278" w:lineRule="auto"/>
        <w:rPr>
          <w:sz w:val="21"/>
          <w:szCs w:val="21"/>
        </w:rPr>
      </w:pPr>
      <w:r w:rsidRPr="00C668AD">
        <w:rPr>
          <w:sz w:val="21"/>
          <w:szCs w:val="21"/>
        </w:rPr>
        <w:t>Figure S</w:t>
      </w:r>
      <w:r w:rsidR="00482E25">
        <w:rPr>
          <w:sz w:val="21"/>
          <w:szCs w:val="21"/>
        </w:rPr>
        <w:t>5</w:t>
      </w:r>
      <w:r w:rsidRPr="00C668AD">
        <w:rPr>
          <w:sz w:val="21"/>
          <w:szCs w:val="21"/>
        </w:rPr>
        <w:t>:</w:t>
      </w:r>
      <w:r w:rsidR="00732E38">
        <w:rPr>
          <w:sz w:val="21"/>
          <w:szCs w:val="21"/>
        </w:rPr>
        <w:t xml:space="preserve"> UV-Vis spectrum of</w:t>
      </w:r>
      <w:r w:rsidR="00F40BD0">
        <w:rPr>
          <w:sz w:val="21"/>
          <w:szCs w:val="21"/>
        </w:rPr>
        <w:t xml:space="preserve"> the</w:t>
      </w:r>
      <w:r w:rsidR="00732E38">
        <w:rPr>
          <w:sz w:val="21"/>
          <w:szCs w:val="21"/>
        </w:rPr>
        <w:t xml:space="preserve"> ionic biogel.</w:t>
      </w:r>
    </w:p>
    <w:p w14:paraId="6B4BA0AF" w14:textId="77777777" w:rsidR="000E5263" w:rsidRDefault="000E5263">
      <w:pPr>
        <w:spacing w:after="160" w:line="278" w:lineRule="auto"/>
        <w:rPr>
          <w:sz w:val="21"/>
          <w:szCs w:val="21"/>
        </w:rPr>
      </w:pPr>
      <w:r>
        <w:rPr>
          <w:sz w:val="21"/>
          <w:szCs w:val="21"/>
        </w:rPr>
        <w:br w:type="page"/>
      </w:r>
    </w:p>
    <w:p w14:paraId="4E4EAA5F" w14:textId="7C952C0C" w:rsidR="00F56FFB" w:rsidRDefault="00F56FFB" w:rsidP="00F56FFB">
      <w:pPr>
        <w:spacing w:line="480" w:lineRule="auto"/>
        <w:jc w:val="both"/>
      </w:pPr>
      <w:r w:rsidRPr="00F87CB0">
        <w:rPr>
          <w:b/>
          <w:bCs/>
          <w:u w:val="single"/>
        </w:rPr>
        <w:lastRenderedPageBreak/>
        <w:t>Supplementary Figure</w:t>
      </w:r>
      <w:r>
        <w:rPr>
          <w:b/>
          <w:bCs/>
          <w:u w:val="single"/>
        </w:rPr>
        <w:t xml:space="preserve"> </w:t>
      </w:r>
      <w:r w:rsidR="00482E25">
        <w:rPr>
          <w:b/>
          <w:bCs/>
          <w:u w:val="single"/>
        </w:rPr>
        <w:t>6</w:t>
      </w:r>
    </w:p>
    <w:p w14:paraId="3AEAEA1C" w14:textId="77777777" w:rsidR="00F56FFB" w:rsidRDefault="00F56FFB" w:rsidP="00F56FFB">
      <w:pPr>
        <w:spacing w:after="160" w:line="278" w:lineRule="auto"/>
      </w:pPr>
      <w:r>
        <w:rPr>
          <w:noProof/>
        </w:rPr>
        <w:drawing>
          <wp:inline distT="0" distB="0" distL="0" distR="0" wp14:anchorId="3E48E5A0" wp14:editId="024288A1">
            <wp:extent cx="5627370" cy="3243580"/>
            <wp:effectExtent l="0" t="0" r="0" b="0"/>
            <wp:docPr id="759449412" name="Picture 3" descr="A group of images of a meteori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49412" name="Picture 3" descr="A group of images of a meteorite&#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27370" cy="3243580"/>
                    </a:xfrm>
                    <a:prstGeom prst="rect">
                      <a:avLst/>
                    </a:prstGeom>
                    <a:noFill/>
                  </pic:spPr>
                </pic:pic>
              </a:graphicData>
            </a:graphic>
          </wp:inline>
        </w:drawing>
      </w:r>
    </w:p>
    <w:p w14:paraId="4D832DA5" w14:textId="67DEF410" w:rsidR="00F56FFB" w:rsidRDefault="00F56FFB" w:rsidP="00F56FFB">
      <w:pPr>
        <w:spacing w:after="160" w:line="278" w:lineRule="auto"/>
        <w:rPr>
          <w:sz w:val="21"/>
          <w:szCs w:val="21"/>
        </w:rPr>
      </w:pPr>
      <w:r w:rsidRPr="00C668AD">
        <w:rPr>
          <w:sz w:val="21"/>
          <w:szCs w:val="21"/>
        </w:rPr>
        <w:t>Figure S</w:t>
      </w:r>
      <w:r w:rsidR="00482E25">
        <w:rPr>
          <w:sz w:val="21"/>
          <w:szCs w:val="21"/>
        </w:rPr>
        <w:t>6</w:t>
      </w:r>
      <w:r w:rsidRPr="00C668AD">
        <w:rPr>
          <w:sz w:val="21"/>
          <w:szCs w:val="21"/>
        </w:rPr>
        <w:t>:</w:t>
      </w:r>
      <w:r>
        <w:rPr>
          <w:sz w:val="21"/>
          <w:szCs w:val="21"/>
        </w:rPr>
        <w:t xml:space="preserve"> GIWAXS spectrum at different temperatures: 27, 40, 60, and back to 27°C.</w:t>
      </w:r>
    </w:p>
    <w:p w14:paraId="5105FB68" w14:textId="77777777" w:rsidR="00F56FFB" w:rsidRDefault="00F56FFB">
      <w:pPr>
        <w:spacing w:after="160" w:line="278" w:lineRule="auto"/>
        <w:rPr>
          <w:sz w:val="21"/>
          <w:szCs w:val="21"/>
        </w:rPr>
      </w:pPr>
      <w:r>
        <w:rPr>
          <w:sz w:val="21"/>
          <w:szCs w:val="21"/>
        </w:rPr>
        <w:br w:type="page"/>
      </w:r>
    </w:p>
    <w:p w14:paraId="3FDE2DFD" w14:textId="179BCBDE" w:rsidR="003946E6" w:rsidRDefault="003946E6" w:rsidP="0057149E">
      <w:pPr>
        <w:spacing w:line="480" w:lineRule="auto"/>
        <w:jc w:val="both"/>
        <w:rPr>
          <w:b/>
          <w:bCs/>
          <w:u w:val="single"/>
        </w:rPr>
      </w:pPr>
    </w:p>
    <w:p w14:paraId="18252C47" w14:textId="1C0BEA38" w:rsidR="0057149E" w:rsidRDefault="0057149E" w:rsidP="00E82A14">
      <w:pPr>
        <w:spacing w:line="480" w:lineRule="auto"/>
        <w:jc w:val="both"/>
      </w:pPr>
      <w:r w:rsidRPr="00F87CB0">
        <w:rPr>
          <w:b/>
          <w:bCs/>
          <w:u w:val="single"/>
        </w:rPr>
        <w:t>Supplementary Figure</w:t>
      </w:r>
      <w:r>
        <w:rPr>
          <w:b/>
          <w:bCs/>
          <w:u w:val="single"/>
        </w:rPr>
        <w:t xml:space="preserve"> </w:t>
      </w:r>
      <w:r w:rsidR="00482E25">
        <w:rPr>
          <w:b/>
          <w:bCs/>
          <w:u w:val="single"/>
        </w:rPr>
        <w:t>7</w:t>
      </w:r>
    </w:p>
    <w:p w14:paraId="323F44A5" w14:textId="77777777" w:rsidR="00C668AD" w:rsidRDefault="004F428B">
      <w:pPr>
        <w:spacing w:after="160" w:line="278" w:lineRule="auto"/>
      </w:pPr>
      <w:r>
        <w:rPr>
          <w:noProof/>
        </w:rPr>
        <w:drawing>
          <wp:inline distT="0" distB="0" distL="0" distR="0" wp14:anchorId="1BD893F9" wp14:editId="03C7F584">
            <wp:extent cx="5773420" cy="4407535"/>
            <wp:effectExtent l="0" t="0" r="0" b="0"/>
            <wp:docPr id="7130453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73420" cy="4407535"/>
                    </a:xfrm>
                    <a:prstGeom prst="rect">
                      <a:avLst/>
                    </a:prstGeom>
                    <a:noFill/>
                  </pic:spPr>
                </pic:pic>
              </a:graphicData>
            </a:graphic>
          </wp:inline>
        </w:drawing>
      </w:r>
    </w:p>
    <w:p w14:paraId="76483C04" w14:textId="2939981E" w:rsidR="00970382" w:rsidRDefault="00C668AD">
      <w:pPr>
        <w:spacing w:after="160" w:line="278" w:lineRule="auto"/>
        <w:rPr>
          <w:sz w:val="21"/>
          <w:szCs w:val="21"/>
        </w:rPr>
      </w:pPr>
      <w:r w:rsidRPr="00C668AD">
        <w:rPr>
          <w:sz w:val="21"/>
          <w:szCs w:val="21"/>
        </w:rPr>
        <w:t>Figure S</w:t>
      </w:r>
      <w:r w:rsidR="00482E25">
        <w:rPr>
          <w:sz w:val="21"/>
          <w:szCs w:val="21"/>
        </w:rPr>
        <w:t>7</w:t>
      </w:r>
      <w:r w:rsidRPr="00C668AD">
        <w:rPr>
          <w:sz w:val="21"/>
          <w:szCs w:val="21"/>
        </w:rPr>
        <w:t>:</w:t>
      </w:r>
      <w:r w:rsidR="00C45B3D">
        <w:rPr>
          <w:sz w:val="21"/>
          <w:szCs w:val="21"/>
        </w:rPr>
        <w:t xml:space="preserve"> Image showing no skin irritation </w:t>
      </w:r>
      <w:r w:rsidR="00241F3E">
        <w:rPr>
          <w:sz w:val="21"/>
          <w:szCs w:val="21"/>
        </w:rPr>
        <w:t>from the</w:t>
      </w:r>
      <w:r w:rsidR="00C45B3D">
        <w:rPr>
          <w:sz w:val="21"/>
          <w:szCs w:val="21"/>
        </w:rPr>
        <w:t xml:space="preserve"> ionic biogel after </w:t>
      </w:r>
      <w:r w:rsidR="00D2060A">
        <w:rPr>
          <w:sz w:val="21"/>
          <w:szCs w:val="21"/>
        </w:rPr>
        <w:t xml:space="preserve">continuous </w:t>
      </w:r>
      <w:r w:rsidR="00C45B3D">
        <w:rPr>
          <w:sz w:val="21"/>
          <w:szCs w:val="21"/>
        </w:rPr>
        <w:t xml:space="preserve">wearing for </w:t>
      </w:r>
      <w:r w:rsidR="00D11285">
        <w:rPr>
          <w:sz w:val="21"/>
          <w:szCs w:val="21"/>
        </w:rPr>
        <w:t>7 days.</w:t>
      </w:r>
    </w:p>
    <w:p w14:paraId="6A11F850" w14:textId="77777777" w:rsidR="00970382" w:rsidRDefault="00970382">
      <w:pPr>
        <w:spacing w:after="160" w:line="278" w:lineRule="auto"/>
        <w:rPr>
          <w:sz w:val="21"/>
          <w:szCs w:val="21"/>
        </w:rPr>
      </w:pPr>
      <w:r>
        <w:rPr>
          <w:sz w:val="21"/>
          <w:szCs w:val="21"/>
        </w:rPr>
        <w:br w:type="page"/>
      </w:r>
    </w:p>
    <w:p w14:paraId="604A1352" w14:textId="11D44602" w:rsidR="0057149E" w:rsidRDefault="0057149E" w:rsidP="00E82A14">
      <w:pPr>
        <w:spacing w:line="480" w:lineRule="auto"/>
        <w:jc w:val="both"/>
      </w:pPr>
      <w:r w:rsidRPr="00F87CB0">
        <w:rPr>
          <w:b/>
          <w:bCs/>
          <w:u w:val="single"/>
        </w:rPr>
        <w:lastRenderedPageBreak/>
        <w:t>Supplementary Figure</w:t>
      </w:r>
      <w:r>
        <w:rPr>
          <w:b/>
          <w:bCs/>
          <w:u w:val="single"/>
        </w:rPr>
        <w:t xml:space="preserve"> </w:t>
      </w:r>
      <w:r w:rsidR="00482E25">
        <w:rPr>
          <w:b/>
          <w:bCs/>
          <w:u w:val="single"/>
        </w:rPr>
        <w:t>8</w:t>
      </w:r>
    </w:p>
    <w:p w14:paraId="37034EC2" w14:textId="77777777" w:rsidR="00C668AD" w:rsidRDefault="00226F9D">
      <w:pPr>
        <w:spacing w:after="160" w:line="278" w:lineRule="auto"/>
      </w:pPr>
      <w:r w:rsidRPr="00226F9D">
        <w:rPr>
          <w:noProof/>
        </w:rPr>
        <w:drawing>
          <wp:inline distT="0" distB="0" distL="0" distR="0" wp14:anchorId="2A572D78" wp14:editId="26E88FB0">
            <wp:extent cx="5269175" cy="4472575"/>
            <wp:effectExtent l="0" t="0" r="8255" b="0"/>
            <wp:docPr id="10" name="Picture 9" descr="A collage of green cells&#10;&#10;Description automatically generated">
              <a:extLst xmlns:a="http://schemas.openxmlformats.org/drawingml/2006/main">
                <a:ext uri="{FF2B5EF4-FFF2-40B4-BE49-F238E27FC236}">
                  <a16:creationId xmlns:a16="http://schemas.microsoft.com/office/drawing/2014/main" id="{BD6C112E-8636-AC39-95F7-DD1D20746C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collage of green cells&#10;&#10;Description automatically generated">
                      <a:extLst>
                        <a:ext uri="{FF2B5EF4-FFF2-40B4-BE49-F238E27FC236}">
                          <a16:creationId xmlns:a16="http://schemas.microsoft.com/office/drawing/2014/main" id="{BD6C112E-8636-AC39-95F7-DD1D20746CC8}"/>
                        </a:ext>
                      </a:extLst>
                    </pic:cNvPr>
                    <pic:cNvPicPr>
                      <a:picLocks noChangeAspect="1"/>
                    </pic:cNvPicPr>
                  </pic:nvPicPr>
                  <pic:blipFill>
                    <a:blip r:embed="rId13"/>
                    <a:stretch>
                      <a:fillRect/>
                    </a:stretch>
                  </pic:blipFill>
                  <pic:spPr>
                    <a:xfrm>
                      <a:off x="0" y="0"/>
                      <a:ext cx="5269175" cy="4472575"/>
                    </a:xfrm>
                    <a:prstGeom prst="rect">
                      <a:avLst/>
                    </a:prstGeom>
                  </pic:spPr>
                </pic:pic>
              </a:graphicData>
            </a:graphic>
          </wp:inline>
        </w:drawing>
      </w:r>
    </w:p>
    <w:p w14:paraId="59235590" w14:textId="21633567" w:rsidR="00C668AD" w:rsidRDefault="00C668AD">
      <w:pPr>
        <w:spacing w:after="160" w:line="278" w:lineRule="auto"/>
      </w:pPr>
      <w:r w:rsidRPr="00C668AD">
        <w:rPr>
          <w:sz w:val="21"/>
          <w:szCs w:val="21"/>
        </w:rPr>
        <w:t>Figure S</w:t>
      </w:r>
      <w:r w:rsidR="00482E25">
        <w:rPr>
          <w:sz w:val="21"/>
          <w:szCs w:val="21"/>
        </w:rPr>
        <w:t>8</w:t>
      </w:r>
      <w:r w:rsidRPr="00C668AD">
        <w:rPr>
          <w:sz w:val="21"/>
          <w:szCs w:val="21"/>
        </w:rPr>
        <w:t>:</w:t>
      </w:r>
      <w:r w:rsidR="00D11285">
        <w:rPr>
          <w:sz w:val="21"/>
          <w:szCs w:val="21"/>
        </w:rPr>
        <w:t xml:space="preserve"> Comparison </w:t>
      </w:r>
      <w:r w:rsidR="00B84174">
        <w:rPr>
          <w:sz w:val="21"/>
          <w:szCs w:val="21"/>
        </w:rPr>
        <w:t xml:space="preserve">in the </w:t>
      </w:r>
      <w:r w:rsidR="00D11285">
        <w:rPr>
          <w:sz w:val="21"/>
          <w:szCs w:val="21"/>
        </w:rPr>
        <w:t xml:space="preserve">biocompatibility test </w:t>
      </w:r>
      <w:r w:rsidR="00B84174">
        <w:rPr>
          <w:sz w:val="21"/>
          <w:szCs w:val="21"/>
        </w:rPr>
        <w:t xml:space="preserve">between the </w:t>
      </w:r>
      <w:r w:rsidR="00D11285">
        <w:rPr>
          <w:sz w:val="21"/>
          <w:szCs w:val="21"/>
        </w:rPr>
        <w:t xml:space="preserve">ionic biogel </w:t>
      </w:r>
      <w:r w:rsidR="00B84174">
        <w:rPr>
          <w:sz w:val="21"/>
          <w:szCs w:val="21"/>
        </w:rPr>
        <w:t xml:space="preserve">and </w:t>
      </w:r>
      <w:r w:rsidR="00D11285">
        <w:rPr>
          <w:sz w:val="21"/>
          <w:szCs w:val="21"/>
        </w:rPr>
        <w:t xml:space="preserve">control </w:t>
      </w:r>
      <w:r w:rsidR="00521123">
        <w:rPr>
          <w:sz w:val="21"/>
          <w:szCs w:val="21"/>
        </w:rPr>
        <w:t xml:space="preserve">after culturing for </w:t>
      </w:r>
      <w:r w:rsidR="00D11285">
        <w:rPr>
          <w:sz w:val="21"/>
          <w:szCs w:val="21"/>
        </w:rPr>
        <w:t xml:space="preserve">24 h and 48 h. </w:t>
      </w:r>
      <w:r w:rsidR="0057149E">
        <w:br w:type="page"/>
      </w:r>
    </w:p>
    <w:p w14:paraId="4EB45D69" w14:textId="1DC03429" w:rsidR="0057149E" w:rsidRDefault="0057149E" w:rsidP="0057149E">
      <w:pPr>
        <w:spacing w:line="480" w:lineRule="auto"/>
        <w:jc w:val="both"/>
        <w:rPr>
          <w:b/>
          <w:bCs/>
          <w:u w:val="single"/>
        </w:rPr>
      </w:pPr>
      <w:r w:rsidRPr="00F87CB0">
        <w:rPr>
          <w:b/>
          <w:bCs/>
          <w:u w:val="single"/>
        </w:rPr>
        <w:lastRenderedPageBreak/>
        <w:t>Supplementary Figure</w:t>
      </w:r>
      <w:r>
        <w:rPr>
          <w:b/>
          <w:bCs/>
          <w:u w:val="single"/>
        </w:rPr>
        <w:t xml:space="preserve"> </w:t>
      </w:r>
      <w:r w:rsidR="00482E25">
        <w:rPr>
          <w:b/>
          <w:bCs/>
          <w:u w:val="single"/>
        </w:rPr>
        <w:t>9</w:t>
      </w:r>
    </w:p>
    <w:p w14:paraId="43C3E95F" w14:textId="5FEA0F41" w:rsidR="0057149E" w:rsidRDefault="00E029D1" w:rsidP="00E82A14">
      <w:pPr>
        <w:spacing w:line="480" w:lineRule="auto"/>
        <w:jc w:val="both"/>
      </w:pPr>
      <w:r w:rsidRPr="00E029D1">
        <w:rPr>
          <w:noProof/>
          <w14:ligatures w14:val="standardContextual"/>
        </w:rPr>
        <w:object w:dxaOrig="15437" w:dyaOrig="11816" w14:anchorId="2E45DF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67.75pt;height:358pt;mso-width-percent:0;mso-height-percent:0;mso-width-percent:0;mso-height-percent:0" o:ole="">
            <v:imagedata r:id="rId14" o:title=""/>
          </v:shape>
          <o:OLEObject Type="Embed" ProgID="Origin95.Graph" ShapeID="_x0000_i1025" DrawAspect="Content" ObjectID="_1798371524" r:id="rId15"/>
        </w:object>
      </w:r>
    </w:p>
    <w:p w14:paraId="32B2A760" w14:textId="775789B4" w:rsidR="00394981" w:rsidRDefault="00C668AD" w:rsidP="00E82A14">
      <w:pPr>
        <w:spacing w:line="480" w:lineRule="auto"/>
        <w:jc w:val="both"/>
        <w:rPr>
          <w:sz w:val="21"/>
          <w:szCs w:val="21"/>
        </w:rPr>
      </w:pPr>
      <w:r w:rsidRPr="00C668AD">
        <w:rPr>
          <w:sz w:val="21"/>
          <w:szCs w:val="21"/>
        </w:rPr>
        <w:t>Figure S</w:t>
      </w:r>
      <w:r w:rsidR="003837A4">
        <w:rPr>
          <w:sz w:val="21"/>
          <w:szCs w:val="21"/>
        </w:rPr>
        <w:t>9</w:t>
      </w:r>
      <w:r w:rsidRPr="00C668AD">
        <w:rPr>
          <w:sz w:val="21"/>
          <w:szCs w:val="21"/>
        </w:rPr>
        <w:t>:</w:t>
      </w:r>
      <w:r w:rsidR="00DF478A">
        <w:rPr>
          <w:sz w:val="21"/>
          <w:szCs w:val="21"/>
        </w:rPr>
        <w:t xml:space="preserve"> </w:t>
      </w:r>
      <w:r w:rsidR="00142112">
        <w:rPr>
          <w:sz w:val="21"/>
          <w:szCs w:val="21"/>
        </w:rPr>
        <w:t xml:space="preserve">Comparison </w:t>
      </w:r>
      <w:r w:rsidR="00521123">
        <w:rPr>
          <w:sz w:val="21"/>
          <w:szCs w:val="21"/>
        </w:rPr>
        <w:t xml:space="preserve">in the </w:t>
      </w:r>
      <w:r w:rsidR="00142112">
        <w:rPr>
          <w:sz w:val="21"/>
          <w:szCs w:val="21"/>
        </w:rPr>
        <w:t>c</w:t>
      </w:r>
      <w:r w:rsidR="00DF478A">
        <w:rPr>
          <w:sz w:val="21"/>
          <w:szCs w:val="21"/>
        </w:rPr>
        <w:t>hange of tan</w:t>
      </w:r>
      <w:r w:rsidR="00114299">
        <w:rPr>
          <w:sz w:val="21"/>
          <w:szCs w:val="21"/>
        </w:rPr>
        <w:t>(</w:t>
      </w:r>
      <m:oMath>
        <m:r>
          <w:rPr>
            <w:rFonts w:ascii="Cambria Math" w:hAnsi="Cambria Math"/>
            <w:sz w:val="21"/>
            <w:szCs w:val="21"/>
          </w:rPr>
          <m:t>δ</m:t>
        </m:r>
      </m:oMath>
      <w:r w:rsidR="00114299">
        <w:rPr>
          <w:sz w:val="21"/>
          <w:szCs w:val="21"/>
        </w:rPr>
        <w:t>)</w:t>
      </w:r>
      <w:r w:rsidR="00DF478A">
        <w:rPr>
          <w:sz w:val="21"/>
          <w:szCs w:val="21"/>
        </w:rPr>
        <w:t xml:space="preserve"> </w:t>
      </w:r>
      <w:r w:rsidR="00142112">
        <w:rPr>
          <w:sz w:val="21"/>
          <w:szCs w:val="21"/>
        </w:rPr>
        <w:t>with respect to temperature</w:t>
      </w:r>
      <w:r w:rsidR="00BD24F5">
        <w:rPr>
          <w:sz w:val="21"/>
          <w:szCs w:val="21"/>
        </w:rPr>
        <w:t xml:space="preserve"> between biogel and ionic biogel</w:t>
      </w:r>
      <w:r w:rsidR="00142112">
        <w:rPr>
          <w:sz w:val="21"/>
          <w:szCs w:val="21"/>
        </w:rPr>
        <w:t>.</w:t>
      </w:r>
    </w:p>
    <w:p w14:paraId="744AB41A" w14:textId="77777777" w:rsidR="00394981" w:rsidRDefault="00394981">
      <w:pPr>
        <w:spacing w:after="160" w:line="278" w:lineRule="auto"/>
        <w:rPr>
          <w:sz w:val="21"/>
          <w:szCs w:val="21"/>
        </w:rPr>
      </w:pPr>
      <w:r>
        <w:rPr>
          <w:sz w:val="21"/>
          <w:szCs w:val="21"/>
        </w:rPr>
        <w:br w:type="page"/>
      </w:r>
    </w:p>
    <w:p w14:paraId="23221F4F" w14:textId="4B13FCE6" w:rsidR="0057149E" w:rsidRDefault="0057149E" w:rsidP="00E82A14">
      <w:pPr>
        <w:spacing w:line="480" w:lineRule="auto"/>
        <w:jc w:val="both"/>
      </w:pPr>
      <w:r w:rsidRPr="00F87CB0">
        <w:rPr>
          <w:b/>
          <w:bCs/>
          <w:u w:val="single"/>
        </w:rPr>
        <w:lastRenderedPageBreak/>
        <w:t>Supplementary Figure</w:t>
      </w:r>
      <w:r>
        <w:rPr>
          <w:b/>
          <w:bCs/>
          <w:u w:val="single"/>
        </w:rPr>
        <w:t xml:space="preserve"> </w:t>
      </w:r>
      <w:r w:rsidR="003837A4">
        <w:rPr>
          <w:b/>
          <w:bCs/>
          <w:u w:val="single"/>
        </w:rPr>
        <w:t>1</w:t>
      </w:r>
      <w:r w:rsidR="00482E25">
        <w:rPr>
          <w:b/>
          <w:bCs/>
          <w:u w:val="single"/>
        </w:rPr>
        <w:t>0</w:t>
      </w:r>
    </w:p>
    <w:p w14:paraId="140A818F" w14:textId="3158238E" w:rsidR="00C668AD" w:rsidRDefault="00E029D1">
      <w:pPr>
        <w:spacing w:after="160" w:line="278" w:lineRule="auto"/>
      </w:pPr>
      <w:r w:rsidRPr="00E029D1">
        <w:rPr>
          <w:noProof/>
          <w14:ligatures w14:val="standardContextual"/>
        </w:rPr>
        <w:object w:dxaOrig="15437" w:dyaOrig="11816" w14:anchorId="130A50A2">
          <v:shape id="_x0000_i1026" type="#_x0000_t75" alt="" style="width:467.75pt;height:358pt;mso-width-percent:0;mso-height-percent:0;mso-width-percent:0;mso-height-percent:0" o:ole="">
            <v:imagedata r:id="rId16" o:title=""/>
          </v:shape>
          <o:OLEObject Type="Embed" ProgID="Origin95.Graph" ShapeID="_x0000_i1026" DrawAspect="Content" ObjectID="_1798371525" r:id="rId17"/>
        </w:object>
      </w:r>
    </w:p>
    <w:p w14:paraId="7050D996" w14:textId="3A796D12" w:rsidR="0057149E" w:rsidRDefault="00C668AD">
      <w:pPr>
        <w:spacing w:after="160" w:line="278" w:lineRule="auto"/>
      </w:pPr>
      <w:r w:rsidRPr="00C668AD">
        <w:rPr>
          <w:sz w:val="21"/>
          <w:szCs w:val="21"/>
        </w:rPr>
        <w:t>Figure S</w:t>
      </w:r>
      <w:r w:rsidR="003837A4">
        <w:rPr>
          <w:sz w:val="21"/>
          <w:szCs w:val="21"/>
        </w:rPr>
        <w:t>1</w:t>
      </w:r>
      <w:r w:rsidR="00482E25">
        <w:rPr>
          <w:sz w:val="21"/>
          <w:szCs w:val="21"/>
        </w:rPr>
        <w:t>0</w:t>
      </w:r>
      <w:r w:rsidRPr="00C668AD">
        <w:rPr>
          <w:sz w:val="21"/>
          <w:szCs w:val="21"/>
        </w:rPr>
        <w:t>:</w:t>
      </w:r>
      <w:r w:rsidR="00142112">
        <w:rPr>
          <w:sz w:val="21"/>
          <w:szCs w:val="21"/>
        </w:rPr>
        <w:t xml:space="preserve"> </w:t>
      </w:r>
      <w:r w:rsidR="00EF587B">
        <w:rPr>
          <w:sz w:val="21"/>
          <w:szCs w:val="21"/>
        </w:rPr>
        <w:t>Shear-thinning property of the ionic biogel</w:t>
      </w:r>
      <w:r w:rsidR="00114299">
        <w:rPr>
          <w:sz w:val="21"/>
          <w:szCs w:val="21"/>
        </w:rPr>
        <w:t>, with tan(</w:t>
      </w:r>
      <m:oMath>
        <m:r>
          <w:rPr>
            <w:rFonts w:ascii="Cambria Math" w:hAnsi="Cambria Math"/>
            <w:sz w:val="21"/>
            <w:szCs w:val="21"/>
          </w:rPr>
          <m:t>δ</m:t>
        </m:r>
      </m:oMath>
      <w:r w:rsidR="00114299">
        <w:rPr>
          <w:sz w:val="21"/>
          <w:szCs w:val="21"/>
        </w:rPr>
        <w:t xml:space="preserve">) </w:t>
      </w:r>
      <w:r w:rsidR="00242128">
        <w:rPr>
          <w:sz w:val="21"/>
          <w:szCs w:val="21"/>
        </w:rPr>
        <w:t xml:space="preserve">and viscosity </w:t>
      </w:r>
      <w:r w:rsidR="00114299">
        <w:rPr>
          <w:sz w:val="21"/>
          <w:szCs w:val="21"/>
        </w:rPr>
        <w:t>shown</w:t>
      </w:r>
      <w:r w:rsidR="000D009F">
        <w:rPr>
          <w:sz w:val="21"/>
          <w:szCs w:val="21"/>
        </w:rPr>
        <w:t xml:space="preserve"> on the left </w:t>
      </w:r>
      <w:r w:rsidR="00242128">
        <w:rPr>
          <w:sz w:val="21"/>
          <w:szCs w:val="21"/>
        </w:rPr>
        <w:t xml:space="preserve">and </w:t>
      </w:r>
      <w:r w:rsidR="000D009F">
        <w:rPr>
          <w:sz w:val="21"/>
          <w:szCs w:val="21"/>
        </w:rPr>
        <w:t>right</w:t>
      </w:r>
      <w:r w:rsidR="00242128">
        <w:rPr>
          <w:sz w:val="21"/>
          <w:szCs w:val="21"/>
        </w:rPr>
        <w:t>, respectively</w:t>
      </w:r>
      <w:r w:rsidR="00EF587B">
        <w:rPr>
          <w:sz w:val="21"/>
          <w:szCs w:val="21"/>
        </w:rPr>
        <w:t>.</w:t>
      </w:r>
      <w:r w:rsidR="008A6065">
        <w:rPr>
          <w:sz w:val="21"/>
          <w:szCs w:val="21"/>
        </w:rPr>
        <w:t xml:space="preserve"> </w:t>
      </w:r>
      <w:r w:rsidR="0057149E">
        <w:br w:type="page"/>
      </w:r>
    </w:p>
    <w:p w14:paraId="472ACBA3" w14:textId="1D33F020" w:rsidR="0057149E" w:rsidRDefault="0057149E" w:rsidP="00E82A14">
      <w:pPr>
        <w:spacing w:line="480" w:lineRule="auto"/>
        <w:jc w:val="both"/>
      </w:pPr>
      <w:r w:rsidRPr="00F87CB0">
        <w:rPr>
          <w:b/>
          <w:bCs/>
          <w:u w:val="single"/>
        </w:rPr>
        <w:lastRenderedPageBreak/>
        <w:t>Supplementary Figure</w:t>
      </w:r>
      <w:r>
        <w:rPr>
          <w:b/>
          <w:bCs/>
          <w:u w:val="single"/>
        </w:rPr>
        <w:t xml:space="preserve"> </w:t>
      </w:r>
      <w:r w:rsidR="00EB048A">
        <w:rPr>
          <w:b/>
          <w:bCs/>
          <w:u w:val="single"/>
        </w:rPr>
        <w:t>1</w:t>
      </w:r>
      <w:r w:rsidR="00482E25">
        <w:rPr>
          <w:b/>
          <w:bCs/>
          <w:u w:val="single"/>
        </w:rPr>
        <w:t>1</w:t>
      </w:r>
    </w:p>
    <w:p w14:paraId="01EBB9F4" w14:textId="1D58CA7E" w:rsidR="00621353" w:rsidRDefault="00E029D1">
      <w:pPr>
        <w:spacing w:after="160" w:line="278" w:lineRule="auto"/>
      </w:pPr>
      <w:r w:rsidRPr="00E029D1">
        <w:rPr>
          <w:noProof/>
          <w14:ligatures w14:val="standardContextual"/>
        </w:rPr>
        <w:object w:dxaOrig="15437" w:dyaOrig="11816" w14:anchorId="218C8710">
          <v:shape id="_x0000_i1027" type="#_x0000_t75" alt="" style="width:467.75pt;height:358pt;mso-width-percent:0;mso-height-percent:0;mso-width-percent:0;mso-height-percent:0" o:ole="">
            <v:imagedata r:id="rId18" o:title=""/>
          </v:shape>
          <o:OLEObject Type="Embed" ProgID="Origin95.Graph" ShapeID="_x0000_i1027" DrawAspect="Content" ObjectID="_1798371526" r:id="rId19"/>
        </w:object>
      </w:r>
    </w:p>
    <w:p w14:paraId="6C80A833" w14:textId="5F9F05B8" w:rsidR="0057149E" w:rsidRDefault="00621353">
      <w:pPr>
        <w:spacing w:after="160" w:line="278" w:lineRule="auto"/>
      </w:pPr>
      <w:r w:rsidRPr="00C668AD">
        <w:rPr>
          <w:sz w:val="21"/>
          <w:szCs w:val="21"/>
        </w:rPr>
        <w:t>Figure S</w:t>
      </w:r>
      <w:r w:rsidR="00EB048A">
        <w:rPr>
          <w:sz w:val="21"/>
          <w:szCs w:val="21"/>
        </w:rPr>
        <w:t>1</w:t>
      </w:r>
      <w:r w:rsidR="00482E25">
        <w:rPr>
          <w:sz w:val="21"/>
          <w:szCs w:val="21"/>
        </w:rPr>
        <w:t>1</w:t>
      </w:r>
      <w:r w:rsidRPr="00C668AD">
        <w:rPr>
          <w:sz w:val="21"/>
          <w:szCs w:val="21"/>
        </w:rPr>
        <w:t>:</w:t>
      </w:r>
      <w:r w:rsidR="00EF587B">
        <w:rPr>
          <w:sz w:val="21"/>
          <w:szCs w:val="21"/>
        </w:rPr>
        <w:t xml:space="preserve"> </w:t>
      </w:r>
      <w:r w:rsidR="00737FFE">
        <w:rPr>
          <w:sz w:val="21"/>
          <w:szCs w:val="21"/>
        </w:rPr>
        <w:t xml:space="preserve">Change of </w:t>
      </w:r>
      <w:r w:rsidR="000D009F">
        <w:rPr>
          <w:sz w:val="21"/>
          <w:szCs w:val="21"/>
        </w:rPr>
        <w:t>tan(</w:t>
      </w:r>
      <m:oMath>
        <m:r>
          <w:rPr>
            <w:rFonts w:ascii="Cambria Math" w:hAnsi="Cambria Math"/>
            <w:sz w:val="21"/>
            <w:szCs w:val="21"/>
          </w:rPr>
          <m:t>δ</m:t>
        </m:r>
      </m:oMath>
      <w:r w:rsidR="000D009F">
        <w:rPr>
          <w:sz w:val="21"/>
          <w:szCs w:val="21"/>
        </w:rPr>
        <w:t>) (left)</w:t>
      </w:r>
      <w:r w:rsidR="00737FFE">
        <w:rPr>
          <w:sz w:val="21"/>
          <w:szCs w:val="21"/>
        </w:rPr>
        <w:t xml:space="preserve"> and viscosity </w:t>
      </w:r>
      <w:r w:rsidR="000D009F">
        <w:rPr>
          <w:sz w:val="21"/>
          <w:szCs w:val="21"/>
        </w:rPr>
        <w:t xml:space="preserve">(right) </w:t>
      </w:r>
      <w:r w:rsidR="00737FFE">
        <w:rPr>
          <w:sz w:val="21"/>
          <w:szCs w:val="21"/>
        </w:rPr>
        <w:t xml:space="preserve">as a function of frequency.  </w:t>
      </w:r>
      <w:r w:rsidR="0057149E">
        <w:br w:type="page"/>
      </w:r>
    </w:p>
    <w:p w14:paraId="0268CAE5" w14:textId="30589E01" w:rsidR="0057149E" w:rsidRDefault="0057149E" w:rsidP="00E82A14">
      <w:pPr>
        <w:spacing w:line="480" w:lineRule="auto"/>
        <w:jc w:val="both"/>
      </w:pPr>
      <w:r w:rsidRPr="00F87CB0">
        <w:rPr>
          <w:b/>
          <w:bCs/>
          <w:u w:val="single"/>
        </w:rPr>
        <w:lastRenderedPageBreak/>
        <w:t>Supplementary Figure</w:t>
      </w:r>
      <w:r>
        <w:rPr>
          <w:b/>
          <w:bCs/>
          <w:u w:val="single"/>
        </w:rPr>
        <w:t xml:space="preserve"> 1</w:t>
      </w:r>
      <w:r w:rsidR="00482E25">
        <w:rPr>
          <w:b/>
          <w:bCs/>
          <w:u w:val="single"/>
        </w:rPr>
        <w:t>2</w:t>
      </w:r>
    </w:p>
    <w:p w14:paraId="63133673" w14:textId="725CF752" w:rsidR="00621353" w:rsidRDefault="00E029D1">
      <w:pPr>
        <w:spacing w:after="160" w:line="278" w:lineRule="auto"/>
      </w:pPr>
      <w:r w:rsidRPr="00E029D1">
        <w:rPr>
          <w:noProof/>
          <w14:ligatures w14:val="standardContextual"/>
        </w:rPr>
        <w:object w:dxaOrig="15437" w:dyaOrig="11816" w14:anchorId="2E065CC0">
          <v:shape id="_x0000_i1028" type="#_x0000_t75" alt="" style="width:467.75pt;height:358pt;mso-width-percent:0;mso-height-percent:0;mso-width-percent:0;mso-height-percent:0" o:ole="">
            <v:imagedata r:id="rId20" o:title=""/>
          </v:shape>
          <o:OLEObject Type="Embed" ProgID="Origin95.Graph" ShapeID="_x0000_i1028" DrawAspect="Content" ObjectID="_1798371527" r:id="rId21"/>
        </w:object>
      </w:r>
    </w:p>
    <w:p w14:paraId="385CFF24" w14:textId="1E3ECAA3" w:rsidR="003665BF" w:rsidRDefault="00621353">
      <w:pPr>
        <w:spacing w:after="160" w:line="278" w:lineRule="auto"/>
        <w:rPr>
          <w:sz w:val="21"/>
          <w:szCs w:val="21"/>
        </w:rPr>
      </w:pPr>
      <w:r w:rsidRPr="00C668AD">
        <w:rPr>
          <w:sz w:val="21"/>
          <w:szCs w:val="21"/>
        </w:rPr>
        <w:t>Figure S</w:t>
      </w:r>
      <w:r>
        <w:rPr>
          <w:sz w:val="21"/>
          <w:szCs w:val="21"/>
        </w:rPr>
        <w:t>1</w:t>
      </w:r>
      <w:r w:rsidR="00482E25">
        <w:rPr>
          <w:sz w:val="21"/>
          <w:szCs w:val="21"/>
        </w:rPr>
        <w:t>2</w:t>
      </w:r>
      <w:r w:rsidRPr="00C668AD">
        <w:rPr>
          <w:sz w:val="21"/>
          <w:szCs w:val="21"/>
        </w:rPr>
        <w:t>:</w:t>
      </w:r>
      <w:r w:rsidR="00737FFE">
        <w:rPr>
          <w:sz w:val="21"/>
          <w:szCs w:val="21"/>
        </w:rPr>
        <w:t xml:space="preserve"> Temperature profile used for </w:t>
      </w:r>
      <w:r w:rsidR="003E2C7D">
        <w:rPr>
          <w:sz w:val="21"/>
          <w:szCs w:val="21"/>
        </w:rPr>
        <w:t xml:space="preserve">the </w:t>
      </w:r>
      <w:r w:rsidR="00737FFE">
        <w:rPr>
          <w:sz w:val="21"/>
          <w:szCs w:val="21"/>
        </w:rPr>
        <w:t>repeated rheology test.</w:t>
      </w:r>
    </w:p>
    <w:p w14:paraId="4CAE2FAF" w14:textId="77777777" w:rsidR="003665BF" w:rsidRDefault="003665BF">
      <w:pPr>
        <w:spacing w:after="160" w:line="278" w:lineRule="auto"/>
        <w:rPr>
          <w:sz w:val="21"/>
          <w:szCs w:val="21"/>
        </w:rPr>
      </w:pPr>
      <w:r>
        <w:rPr>
          <w:sz w:val="21"/>
          <w:szCs w:val="21"/>
        </w:rPr>
        <w:br w:type="page"/>
      </w:r>
    </w:p>
    <w:p w14:paraId="04939420" w14:textId="77D9F258" w:rsidR="0057149E" w:rsidRDefault="0057149E" w:rsidP="00E82A14">
      <w:pPr>
        <w:spacing w:line="480" w:lineRule="auto"/>
        <w:jc w:val="both"/>
      </w:pPr>
      <w:r w:rsidRPr="00F87CB0">
        <w:rPr>
          <w:b/>
          <w:bCs/>
          <w:u w:val="single"/>
        </w:rPr>
        <w:lastRenderedPageBreak/>
        <w:t>Supplementary Figure</w:t>
      </w:r>
      <w:r>
        <w:rPr>
          <w:b/>
          <w:bCs/>
          <w:u w:val="single"/>
        </w:rPr>
        <w:t xml:space="preserve"> </w:t>
      </w:r>
      <w:r w:rsidR="00482E25">
        <w:rPr>
          <w:b/>
          <w:bCs/>
          <w:u w:val="single"/>
        </w:rPr>
        <w:t>13</w:t>
      </w:r>
    </w:p>
    <w:p w14:paraId="7C8D44ED" w14:textId="738903CA" w:rsidR="00737FFE" w:rsidRDefault="00E029D1">
      <w:pPr>
        <w:spacing w:after="160" w:line="278" w:lineRule="auto"/>
      </w:pPr>
      <w:r w:rsidRPr="00E029D1">
        <w:rPr>
          <w:noProof/>
          <w14:ligatures w14:val="standardContextual"/>
        </w:rPr>
        <w:object w:dxaOrig="15437" w:dyaOrig="11816" w14:anchorId="07D79E64">
          <v:shape id="_x0000_i1029" type="#_x0000_t75" alt="" style="width:467.75pt;height:358pt;mso-width-percent:0;mso-height-percent:0;mso-width-percent:0;mso-height-percent:0" o:ole="">
            <v:imagedata r:id="rId22" o:title=""/>
          </v:shape>
          <o:OLEObject Type="Embed" ProgID="Origin95.Graph" ShapeID="_x0000_i1029" DrawAspect="Content" ObjectID="_1798371528" r:id="rId23"/>
        </w:object>
      </w:r>
    </w:p>
    <w:p w14:paraId="06B3754C" w14:textId="4C804FED" w:rsidR="0057149E" w:rsidRDefault="00737FFE">
      <w:pPr>
        <w:spacing w:after="160" w:line="278" w:lineRule="auto"/>
      </w:pPr>
      <w:r>
        <w:t>Figure S</w:t>
      </w:r>
      <w:r w:rsidR="00482E25">
        <w:t>13</w:t>
      </w:r>
      <w:r>
        <w:t>: Dynamic</w:t>
      </w:r>
      <w:r w:rsidR="008F77AE">
        <w:t xml:space="preserve"> change</w:t>
      </w:r>
      <w:r>
        <w:t xml:space="preserve">s </w:t>
      </w:r>
      <w:r w:rsidR="008F77AE">
        <w:t xml:space="preserve">in the </w:t>
      </w:r>
      <w:r>
        <w:t>viscosity during temperature ramp up, down</w:t>
      </w:r>
      <w:r w:rsidR="001B7343">
        <w:t>,</w:t>
      </w:r>
      <w:r>
        <w:t xml:space="preserve"> and isothermal.</w:t>
      </w:r>
      <w:r w:rsidR="0057149E">
        <w:br w:type="page"/>
      </w:r>
    </w:p>
    <w:p w14:paraId="76D270F3" w14:textId="180954E6" w:rsidR="00722FF1" w:rsidRDefault="0057149E" w:rsidP="00E82A14">
      <w:pPr>
        <w:spacing w:line="480" w:lineRule="auto"/>
        <w:jc w:val="both"/>
      </w:pPr>
      <w:r w:rsidRPr="00F87CB0">
        <w:rPr>
          <w:b/>
          <w:bCs/>
          <w:u w:val="single"/>
        </w:rPr>
        <w:lastRenderedPageBreak/>
        <w:t>Supplementary Figure</w:t>
      </w:r>
      <w:r>
        <w:rPr>
          <w:b/>
          <w:bCs/>
          <w:u w:val="single"/>
        </w:rPr>
        <w:t xml:space="preserve"> </w:t>
      </w:r>
      <w:r w:rsidR="00482E25">
        <w:rPr>
          <w:b/>
          <w:bCs/>
          <w:u w:val="single"/>
        </w:rPr>
        <w:t>14</w:t>
      </w:r>
    </w:p>
    <w:p w14:paraId="5C8F7BD7" w14:textId="6A635816" w:rsidR="00737FFE" w:rsidRDefault="00E029D1">
      <w:pPr>
        <w:spacing w:after="160" w:line="278" w:lineRule="auto"/>
      </w:pPr>
      <w:r w:rsidRPr="00E029D1">
        <w:rPr>
          <w:noProof/>
          <w14:ligatures w14:val="standardContextual"/>
        </w:rPr>
        <w:object w:dxaOrig="15437" w:dyaOrig="11816" w14:anchorId="6F1085A2">
          <v:shape id="_x0000_i1030" type="#_x0000_t75" alt="" style="width:467.75pt;height:358pt;mso-width-percent:0;mso-height-percent:0;mso-width-percent:0;mso-height-percent:0" o:ole="">
            <v:imagedata r:id="rId24" o:title=""/>
          </v:shape>
          <o:OLEObject Type="Embed" ProgID="Origin95.Graph" ShapeID="_x0000_i1030" DrawAspect="Content" ObjectID="_1798371529" r:id="rId25"/>
        </w:object>
      </w:r>
    </w:p>
    <w:p w14:paraId="50D5148C" w14:textId="5A835D22" w:rsidR="00722FF1" w:rsidRDefault="00737FFE">
      <w:pPr>
        <w:spacing w:after="160" w:line="278" w:lineRule="auto"/>
      </w:pPr>
      <w:r>
        <w:t>Figure S</w:t>
      </w:r>
      <w:r w:rsidR="00482E25">
        <w:t>14</w:t>
      </w:r>
      <w:r>
        <w:t xml:space="preserve">: Comparison of </w:t>
      </w:r>
      <w:r w:rsidR="00325EDF">
        <w:t>storage and loss modul</w:t>
      </w:r>
      <w:r w:rsidR="00097E3F">
        <w:t>i</w:t>
      </w:r>
      <w:r w:rsidR="00325EDF">
        <w:t xml:space="preserve"> during </w:t>
      </w:r>
      <w:r w:rsidR="00F372F1">
        <w:t xml:space="preserve">temperature </w:t>
      </w:r>
      <w:r w:rsidR="00911579">
        <w:t>ramp-up</w:t>
      </w:r>
      <w:r w:rsidR="00325EDF">
        <w:t xml:space="preserve"> for </w:t>
      </w:r>
      <w:r w:rsidR="00F372F1">
        <w:t xml:space="preserve">the </w:t>
      </w:r>
      <w:r w:rsidR="00325EDF">
        <w:t>first two cycles.</w:t>
      </w:r>
      <w:r w:rsidR="00722FF1">
        <w:br w:type="page"/>
      </w:r>
    </w:p>
    <w:p w14:paraId="5958AF65" w14:textId="673405D7" w:rsidR="00EC0E5D" w:rsidRDefault="00EC0E5D" w:rsidP="00E82A14">
      <w:pPr>
        <w:spacing w:line="480" w:lineRule="auto"/>
        <w:jc w:val="both"/>
      </w:pPr>
      <w:r w:rsidRPr="00F87CB0">
        <w:rPr>
          <w:b/>
          <w:bCs/>
          <w:u w:val="single"/>
        </w:rPr>
        <w:lastRenderedPageBreak/>
        <w:t>Supplementary Figure</w:t>
      </w:r>
      <w:r>
        <w:rPr>
          <w:b/>
          <w:bCs/>
          <w:u w:val="single"/>
        </w:rPr>
        <w:t xml:space="preserve"> </w:t>
      </w:r>
      <w:r w:rsidR="00482E25">
        <w:rPr>
          <w:b/>
          <w:bCs/>
          <w:u w:val="single"/>
        </w:rPr>
        <w:t>15</w:t>
      </w:r>
    </w:p>
    <w:p w14:paraId="0672913B" w14:textId="00374001" w:rsidR="00325EDF" w:rsidRDefault="000A2DBC">
      <w:pPr>
        <w:spacing w:after="160" w:line="278" w:lineRule="auto"/>
      </w:pPr>
      <w:r w:rsidRPr="000A2DBC">
        <w:rPr>
          <w:rFonts w:asciiTheme="minorHAnsi" w:eastAsiaTheme="minorEastAsia" w:hAnsiTheme="minorHAnsi" w:cstheme="minorBidi"/>
          <w:kern w:val="2"/>
          <w14:ligatures w14:val="standardContextual"/>
        </w:rPr>
        <w:t xml:space="preserve"> </w:t>
      </w:r>
      <w:r w:rsidR="00E029D1" w:rsidRPr="00E029D1">
        <w:rPr>
          <w:noProof/>
          <w14:ligatures w14:val="standardContextual"/>
        </w:rPr>
        <w:object w:dxaOrig="15437" w:dyaOrig="11816" w14:anchorId="03DCB4F8">
          <v:shape id="_x0000_i1031" type="#_x0000_t75" alt="" style="width:467.75pt;height:358pt;mso-width-percent:0;mso-height-percent:0;mso-width-percent:0;mso-height-percent:0" o:ole="">
            <v:imagedata r:id="rId26" o:title=""/>
          </v:shape>
          <o:OLEObject Type="Embed" ProgID="Origin95.Graph" ShapeID="_x0000_i1031" DrawAspect="Content" ObjectID="_1798371530" r:id="rId27"/>
        </w:object>
      </w:r>
    </w:p>
    <w:p w14:paraId="2AC9A3BD" w14:textId="099AD11D" w:rsidR="00480263" w:rsidRDefault="00325EDF">
      <w:pPr>
        <w:spacing w:after="160" w:line="278" w:lineRule="auto"/>
      </w:pPr>
      <w:r>
        <w:t>Figure S</w:t>
      </w:r>
      <w:r w:rsidR="00482E25">
        <w:t>15</w:t>
      </w:r>
      <w:r>
        <w:t xml:space="preserve">: </w:t>
      </w:r>
      <w:r w:rsidR="0013728E">
        <w:t xml:space="preserve">Comparison of storage and loss </w:t>
      </w:r>
      <w:r w:rsidR="00F372F1">
        <w:t xml:space="preserve">moduli </w:t>
      </w:r>
      <w:r w:rsidR="0013728E">
        <w:t xml:space="preserve">during </w:t>
      </w:r>
      <w:r w:rsidR="00F372F1">
        <w:t xml:space="preserve">temperature </w:t>
      </w:r>
      <w:r w:rsidR="0013728E">
        <w:t xml:space="preserve">ramp down for </w:t>
      </w:r>
      <w:r w:rsidR="00F372F1">
        <w:t xml:space="preserve">the </w:t>
      </w:r>
      <w:r w:rsidR="0013728E">
        <w:t>first two cycles.</w:t>
      </w:r>
    </w:p>
    <w:p w14:paraId="263CAE95" w14:textId="77777777" w:rsidR="00480263" w:rsidRDefault="00480263">
      <w:pPr>
        <w:spacing w:after="160" w:line="278" w:lineRule="auto"/>
      </w:pPr>
      <w:r>
        <w:br w:type="page"/>
      </w:r>
    </w:p>
    <w:p w14:paraId="31FE33CD" w14:textId="3F509459" w:rsidR="00247E54" w:rsidRDefault="0013728E" w:rsidP="00247E54">
      <w:pPr>
        <w:spacing w:line="480" w:lineRule="auto"/>
        <w:jc w:val="both"/>
        <w:rPr>
          <w:b/>
          <w:bCs/>
          <w:u w:val="single"/>
        </w:rPr>
      </w:pPr>
      <w:r w:rsidRPr="00615399">
        <w:rPr>
          <w:noProof/>
        </w:rPr>
        <w:lastRenderedPageBreak/>
        <w:drawing>
          <wp:anchor distT="0" distB="0" distL="114300" distR="114300" simplePos="0" relativeHeight="251658243" behindDoc="0" locked="0" layoutInCell="1" allowOverlap="1" wp14:anchorId="0DE82FF2" wp14:editId="5DA194AA">
            <wp:simplePos x="0" y="0"/>
            <wp:positionH relativeFrom="column">
              <wp:posOffset>1312968</wp:posOffset>
            </wp:positionH>
            <wp:positionV relativeFrom="paragraph">
              <wp:posOffset>307128</wp:posOffset>
            </wp:positionV>
            <wp:extent cx="3978275" cy="3048000"/>
            <wp:effectExtent l="0" t="0" r="0" b="0"/>
            <wp:wrapNone/>
            <wp:docPr id="1010640082" name="Picture 1"/>
            <wp:cNvGraphicFramePr/>
            <a:graphic xmlns:a="http://schemas.openxmlformats.org/drawingml/2006/main">
              <a:graphicData uri="http://schemas.openxmlformats.org/drawingml/2006/picture">
                <pic:pic xmlns:pic="http://schemas.openxmlformats.org/drawingml/2006/picture">
                  <pic:nvPicPr>
                    <pic:cNvPr id="1010640082" name=""/>
                    <pic:cNvPicPr/>
                  </pic:nvPicPr>
                  <pic:blipFill>
                    <a:blip r:embed="rId28"/>
                    <a:stretch>
                      <a:fillRect/>
                    </a:stretch>
                  </pic:blipFill>
                  <pic:spPr>
                    <a:xfrm>
                      <a:off x="0" y="0"/>
                      <a:ext cx="3978275" cy="3048000"/>
                    </a:xfrm>
                    <a:prstGeom prst="rect">
                      <a:avLst/>
                    </a:prstGeom>
                  </pic:spPr>
                </pic:pic>
              </a:graphicData>
            </a:graphic>
          </wp:anchor>
        </w:drawing>
      </w:r>
      <w:r w:rsidR="00247E54" w:rsidRPr="00F87CB0">
        <w:rPr>
          <w:b/>
          <w:bCs/>
          <w:u w:val="single"/>
        </w:rPr>
        <w:t>Supplementary Figure</w:t>
      </w:r>
      <w:r w:rsidR="00247E54">
        <w:rPr>
          <w:b/>
          <w:bCs/>
          <w:u w:val="single"/>
        </w:rPr>
        <w:t xml:space="preserve"> </w:t>
      </w:r>
      <w:r w:rsidR="00482E25">
        <w:rPr>
          <w:b/>
          <w:bCs/>
          <w:u w:val="single"/>
        </w:rPr>
        <w:t>16</w:t>
      </w:r>
    </w:p>
    <w:p w14:paraId="3D19E6B0" w14:textId="7485E3E7" w:rsidR="00EC0E5D" w:rsidRDefault="00EC0E5D" w:rsidP="00E82A14">
      <w:pPr>
        <w:spacing w:line="480" w:lineRule="auto"/>
        <w:jc w:val="both"/>
      </w:pPr>
    </w:p>
    <w:p w14:paraId="6C137F7B" w14:textId="61DD428B" w:rsidR="0013728E" w:rsidRDefault="00615399">
      <w:pPr>
        <w:spacing w:after="160" w:line="278" w:lineRule="auto"/>
      </w:pPr>
      <w:r w:rsidRPr="00615399">
        <w:rPr>
          <w:noProof/>
        </w:rPr>
        <w:drawing>
          <wp:anchor distT="0" distB="0" distL="114300" distR="114300" simplePos="0" relativeHeight="251658244" behindDoc="0" locked="0" layoutInCell="1" allowOverlap="1" wp14:anchorId="27787109" wp14:editId="5243F025">
            <wp:simplePos x="0" y="0"/>
            <wp:positionH relativeFrom="column">
              <wp:posOffset>1292436</wp:posOffset>
            </wp:positionH>
            <wp:positionV relativeFrom="paragraph">
              <wp:posOffset>2400088</wp:posOffset>
            </wp:positionV>
            <wp:extent cx="3978275" cy="3048000"/>
            <wp:effectExtent l="0" t="0" r="0" b="0"/>
            <wp:wrapNone/>
            <wp:docPr id="544208692" name="Picture 2"/>
            <wp:cNvGraphicFramePr/>
            <a:graphic xmlns:a="http://schemas.openxmlformats.org/drawingml/2006/main">
              <a:graphicData uri="http://schemas.openxmlformats.org/drawingml/2006/picture">
                <pic:pic xmlns:pic="http://schemas.openxmlformats.org/drawingml/2006/picture">
                  <pic:nvPicPr>
                    <pic:cNvPr id="544208692" name=""/>
                    <pic:cNvPicPr/>
                  </pic:nvPicPr>
                  <pic:blipFill>
                    <a:blip r:embed="rId29"/>
                    <a:stretch>
                      <a:fillRect/>
                    </a:stretch>
                  </pic:blipFill>
                  <pic:spPr>
                    <a:xfrm>
                      <a:off x="0" y="0"/>
                      <a:ext cx="3978275" cy="3048000"/>
                    </a:xfrm>
                    <a:prstGeom prst="rect">
                      <a:avLst/>
                    </a:prstGeom>
                  </pic:spPr>
                </pic:pic>
              </a:graphicData>
            </a:graphic>
          </wp:anchor>
        </w:drawing>
      </w:r>
    </w:p>
    <w:p w14:paraId="684B927E" w14:textId="77777777" w:rsidR="0013728E" w:rsidRDefault="0013728E">
      <w:pPr>
        <w:spacing w:after="160" w:line="278" w:lineRule="auto"/>
      </w:pPr>
    </w:p>
    <w:p w14:paraId="4BE2862C" w14:textId="77777777" w:rsidR="0013728E" w:rsidRDefault="0013728E">
      <w:pPr>
        <w:spacing w:after="160" w:line="278" w:lineRule="auto"/>
      </w:pPr>
    </w:p>
    <w:p w14:paraId="221618F2" w14:textId="77777777" w:rsidR="0013728E" w:rsidRDefault="0013728E">
      <w:pPr>
        <w:spacing w:after="160" w:line="278" w:lineRule="auto"/>
      </w:pPr>
    </w:p>
    <w:p w14:paraId="3C0D9C16" w14:textId="77777777" w:rsidR="0013728E" w:rsidRDefault="0013728E">
      <w:pPr>
        <w:spacing w:after="160" w:line="278" w:lineRule="auto"/>
      </w:pPr>
    </w:p>
    <w:p w14:paraId="6BD9B042" w14:textId="77777777" w:rsidR="0013728E" w:rsidRDefault="0013728E">
      <w:pPr>
        <w:spacing w:after="160" w:line="278" w:lineRule="auto"/>
      </w:pPr>
    </w:p>
    <w:p w14:paraId="083272D9" w14:textId="77777777" w:rsidR="0013728E" w:rsidRDefault="0013728E">
      <w:pPr>
        <w:spacing w:after="160" w:line="278" w:lineRule="auto"/>
      </w:pPr>
    </w:p>
    <w:p w14:paraId="6CA421FB" w14:textId="77777777" w:rsidR="0013728E" w:rsidRDefault="0013728E">
      <w:pPr>
        <w:spacing w:after="160" w:line="278" w:lineRule="auto"/>
      </w:pPr>
    </w:p>
    <w:p w14:paraId="161C0FC1" w14:textId="77777777" w:rsidR="0013728E" w:rsidRDefault="0013728E">
      <w:pPr>
        <w:spacing w:after="160" w:line="278" w:lineRule="auto"/>
      </w:pPr>
    </w:p>
    <w:p w14:paraId="6D07E4BB" w14:textId="77777777" w:rsidR="0013728E" w:rsidRDefault="0013728E">
      <w:pPr>
        <w:spacing w:after="160" w:line="278" w:lineRule="auto"/>
      </w:pPr>
    </w:p>
    <w:p w14:paraId="15EB35F0" w14:textId="77777777" w:rsidR="0013728E" w:rsidRDefault="0013728E">
      <w:pPr>
        <w:spacing w:after="160" w:line="278" w:lineRule="auto"/>
      </w:pPr>
    </w:p>
    <w:p w14:paraId="1B6D8F7A" w14:textId="77777777" w:rsidR="0013728E" w:rsidRDefault="0013728E">
      <w:pPr>
        <w:spacing w:after="160" w:line="278" w:lineRule="auto"/>
      </w:pPr>
    </w:p>
    <w:p w14:paraId="2C4F4DE2" w14:textId="77777777" w:rsidR="0013728E" w:rsidRDefault="0013728E">
      <w:pPr>
        <w:spacing w:after="160" w:line="278" w:lineRule="auto"/>
      </w:pPr>
    </w:p>
    <w:p w14:paraId="340B183D" w14:textId="77777777" w:rsidR="0013728E" w:rsidRDefault="0013728E">
      <w:pPr>
        <w:spacing w:after="160" w:line="278" w:lineRule="auto"/>
      </w:pPr>
    </w:p>
    <w:p w14:paraId="2C3FE342" w14:textId="77777777" w:rsidR="0013728E" w:rsidRDefault="0013728E">
      <w:pPr>
        <w:spacing w:after="160" w:line="278" w:lineRule="auto"/>
      </w:pPr>
    </w:p>
    <w:p w14:paraId="165FDD12" w14:textId="77777777" w:rsidR="0013728E" w:rsidRDefault="0013728E">
      <w:pPr>
        <w:spacing w:after="160" w:line="278" w:lineRule="auto"/>
      </w:pPr>
    </w:p>
    <w:p w14:paraId="722E8A05" w14:textId="77777777" w:rsidR="0013728E" w:rsidRDefault="0013728E">
      <w:pPr>
        <w:spacing w:after="160" w:line="278" w:lineRule="auto"/>
      </w:pPr>
    </w:p>
    <w:p w14:paraId="684ECA8E" w14:textId="77777777" w:rsidR="0013728E" w:rsidRDefault="0013728E">
      <w:pPr>
        <w:spacing w:after="160" w:line="278" w:lineRule="auto"/>
      </w:pPr>
    </w:p>
    <w:p w14:paraId="51CEB715" w14:textId="40076A32" w:rsidR="00C83924" w:rsidRDefault="0013728E">
      <w:pPr>
        <w:spacing w:after="160" w:line="278" w:lineRule="auto"/>
      </w:pPr>
      <w:r>
        <w:t>Figure S</w:t>
      </w:r>
      <w:r w:rsidR="00482E25">
        <w:t>16</w:t>
      </w:r>
      <w:r>
        <w:t xml:space="preserve">: Comparison of loss modulus during </w:t>
      </w:r>
      <w:r w:rsidR="00680529">
        <w:t xml:space="preserve">temperature </w:t>
      </w:r>
      <w:r w:rsidR="00911579">
        <w:t>ramp-ups</w:t>
      </w:r>
      <w:r w:rsidR="00221EE1">
        <w:t xml:space="preserve"> and </w:t>
      </w:r>
      <w:r w:rsidR="00911579">
        <w:t>ramp-</w:t>
      </w:r>
      <w:r w:rsidR="00221EE1">
        <w:t>downs</w:t>
      </w:r>
      <w:r>
        <w:t xml:space="preserve"> for </w:t>
      </w:r>
      <w:r w:rsidR="00221EE1">
        <w:t>four</w:t>
      </w:r>
      <w:r>
        <w:t xml:space="preserve"> cycles.</w:t>
      </w:r>
    </w:p>
    <w:p w14:paraId="275B723D" w14:textId="77777777" w:rsidR="00C83924" w:rsidRDefault="00C83924">
      <w:pPr>
        <w:spacing w:after="160" w:line="278" w:lineRule="auto"/>
      </w:pPr>
      <w:r>
        <w:br w:type="page"/>
      </w:r>
    </w:p>
    <w:p w14:paraId="199E5C3E" w14:textId="0204E933" w:rsidR="00EC0E5D" w:rsidRDefault="00247E54" w:rsidP="00E82A14">
      <w:pPr>
        <w:spacing w:line="480" w:lineRule="auto"/>
        <w:jc w:val="both"/>
      </w:pPr>
      <w:r w:rsidRPr="00F87CB0">
        <w:rPr>
          <w:b/>
          <w:bCs/>
          <w:u w:val="single"/>
        </w:rPr>
        <w:lastRenderedPageBreak/>
        <w:t>Supplementary Figure</w:t>
      </w:r>
      <w:r>
        <w:rPr>
          <w:b/>
          <w:bCs/>
          <w:u w:val="single"/>
        </w:rPr>
        <w:t xml:space="preserve"> </w:t>
      </w:r>
      <w:r w:rsidR="00482E25">
        <w:rPr>
          <w:b/>
          <w:bCs/>
          <w:u w:val="single"/>
        </w:rPr>
        <w:t>17</w:t>
      </w:r>
    </w:p>
    <w:p w14:paraId="408D7B22" w14:textId="629F0B14" w:rsidR="00221EE1" w:rsidRDefault="00E029D1">
      <w:pPr>
        <w:spacing w:after="160" w:line="278" w:lineRule="auto"/>
      </w:pPr>
      <w:r w:rsidRPr="00E029D1">
        <w:rPr>
          <w:noProof/>
          <w14:ligatures w14:val="standardContextual"/>
        </w:rPr>
        <w:object w:dxaOrig="15437" w:dyaOrig="11816" w14:anchorId="28023648">
          <v:shape id="_x0000_i1032" type="#_x0000_t75" alt="" style="width:467.75pt;height:358pt;mso-width-percent:0;mso-height-percent:0;mso-width-percent:0;mso-height-percent:0" o:ole="">
            <v:imagedata r:id="rId30" o:title=""/>
          </v:shape>
          <o:OLEObject Type="Embed" ProgID="Origin95.Graph" ShapeID="_x0000_i1032" DrawAspect="Content" ObjectID="_1798371531" r:id="rId31"/>
        </w:object>
      </w:r>
    </w:p>
    <w:p w14:paraId="62617FF5" w14:textId="06908BB5" w:rsidR="0001721E" w:rsidRDefault="00221EE1">
      <w:pPr>
        <w:spacing w:after="160" w:line="278" w:lineRule="auto"/>
      </w:pPr>
      <w:r>
        <w:t>Figure S</w:t>
      </w:r>
      <w:r w:rsidR="00482E25">
        <w:t>17</w:t>
      </w:r>
      <w:r>
        <w:t>:</w:t>
      </w:r>
      <w:r w:rsidR="004F1201">
        <w:t xml:space="preserve"> Shear </w:t>
      </w:r>
      <w:r w:rsidR="00CB5AE8">
        <w:t>stress-</w:t>
      </w:r>
      <w:r w:rsidR="00844D99">
        <w:t>strain response of the ionic biogel.</w:t>
      </w:r>
    </w:p>
    <w:p w14:paraId="53EC3F79" w14:textId="77777777" w:rsidR="0001721E" w:rsidRDefault="0001721E">
      <w:pPr>
        <w:spacing w:after="160" w:line="278" w:lineRule="auto"/>
      </w:pPr>
      <w:r>
        <w:br w:type="page"/>
      </w:r>
    </w:p>
    <w:p w14:paraId="2DC4BB9E" w14:textId="72C05A4A" w:rsidR="0001721E" w:rsidRPr="0001721E" w:rsidRDefault="0001721E">
      <w:pPr>
        <w:spacing w:after="160" w:line="278" w:lineRule="auto"/>
        <w:rPr>
          <w:b/>
          <w:bCs/>
          <w:u w:val="single"/>
        </w:rPr>
      </w:pPr>
      <w:r w:rsidRPr="0001721E">
        <w:rPr>
          <w:b/>
          <w:bCs/>
          <w:u w:val="single"/>
        </w:rPr>
        <w:lastRenderedPageBreak/>
        <w:t xml:space="preserve">Supplementary Figure </w:t>
      </w:r>
      <w:r w:rsidR="00482E25">
        <w:rPr>
          <w:b/>
          <w:bCs/>
          <w:u w:val="single"/>
        </w:rPr>
        <w:t>18</w:t>
      </w:r>
    </w:p>
    <w:p w14:paraId="6955369A" w14:textId="77777777" w:rsidR="0001721E" w:rsidRDefault="00E029D1">
      <w:pPr>
        <w:spacing w:after="160" w:line="278" w:lineRule="auto"/>
      </w:pPr>
      <w:r w:rsidRPr="00E029D1">
        <w:rPr>
          <w:noProof/>
          <w14:ligatures w14:val="standardContextual"/>
        </w:rPr>
        <w:object w:dxaOrig="15437" w:dyaOrig="11816" w14:anchorId="0551615E">
          <v:shape id="_x0000_i1033" type="#_x0000_t75" alt="" style="width:467.75pt;height:358pt;mso-width-percent:0;mso-height-percent:0;mso-width-percent:0;mso-height-percent:0" o:ole="">
            <v:imagedata r:id="rId32" o:title=""/>
          </v:shape>
          <o:OLEObject Type="Embed" ProgID="Origin95.Graph" ShapeID="_x0000_i1033" DrawAspect="Content" ObjectID="_1798371532" r:id="rId33"/>
        </w:object>
      </w:r>
    </w:p>
    <w:p w14:paraId="17BBD8F2" w14:textId="79EDC5E5" w:rsidR="008F6A9E" w:rsidRDefault="0001721E" w:rsidP="008F6A9E">
      <w:pPr>
        <w:spacing w:after="160" w:line="278" w:lineRule="auto"/>
      </w:pPr>
      <w:r>
        <w:t>Figure S</w:t>
      </w:r>
      <w:r w:rsidR="00482E25">
        <w:t>18</w:t>
      </w:r>
      <w:r>
        <w:t>:</w:t>
      </w:r>
      <w:r w:rsidR="008F6A9E">
        <w:t xml:space="preserve"> </w:t>
      </w:r>
      <w:r w:rsidR="008F6A9E" w:rsidRPr="00D712CE">
        <w:rPr>
          <w:color w:val="000000" w:themeColor="text1"/>
          <w:sz w:val="21"/>
          <w:szCs w:val="21"/>
          <w:lang w:val="en-GB"/>
        </w:rPr>
        <w:t xml:space="preserve">Comparison </w:t>
      </w:r>
      <w:r w:rsidR="008F6A9E">
        <w:rPr>
          <w:color w:val="000000" w:themeColor="text1"/>
          <w:sz w:val="21"/>
          <w:szCs w:val="21"/>
          <w:lang w:val="en-GB"/>
        </w:rPr>
        <w:t>in the</w:t>
      </w:r>
      <w:r w:rsidR="008F6A9E" w:rsidRPr="00D712CE">
        <w:rPr>
          <w:color w:val="000000" w:themeColor="text1"/>
          <w:sz w:val="21"/>
          <w:szCs w:val="21"/>
          <w:lang w:val="en-GB"/>
        </w:rPr>
        <w:t xml:space="preserve"> compressi</w:t>
      </w:r>
      <w:r w:rsidR="008F6A9E">
        <w:rPr>
          <w:color w:val="000000" w:themeColor="text1"/>
          <w:sz w:val="21"/>
          <w:szCs w:val="21"/>
          <w:lang w:val="en-GB"/>
        </w:rPr>
        <w:t>ve stress and strain</w:t>
      </w:r>
      <w:r w:rsidR="008F6A9E" w:rsidRPr="00D712CE">
        <w:rPr>
          <w:color w:val="000000" w:themeColor="text1"/>
          <w:sz w:val="21"/>
          <w:szCs w:val="21"/>
          <w:lang w:val="en-GB"/>
        </w:rPr>
        <w:t xml:space="preserve"> </w:t>
      </w:r>
      <w:r w:rsidR="008F6A9E">
        <w:rPr>
          <w:color w:val="000000" w:themeColor="text1"/>
          <w:sz w:val="21"/>
          <w:szCs w:val="21"/>
          <w:lang w:val="en-GB"/>
        </w:rPr>
        <w:t xml:space="preserve">between the </w:t>
      </w:r>
      <w:r w:rsidR="008F6A9E" w:rsidRPr="00D712CE">
        <w:rPr>
          <w:color w:val="000000" w:themeColor="text1"/>
          <w:sz w:val="21"/>
          <w:szCs w:val="21"/>
          <w:lang w:val="en-GB"/>
        </w:rPr>
        <w:t xml:space="preserve">biogel and ionic biogel. </w:t>
      </w:r>
    </w:p>
    <w:p w14:paraId="16D2239B" w14:textId="1C7E8067" w:rsidR="00EC0E5D" w:rsidRDefault="00EC0E5D">
      <w:pPr>
        <w:spacing w:after="160" w:line="278" w:lineRule="auto"/>
      </w:pPr>
      <w:r>
        <w:br w:type="page"/>
      </w:r>
    </w:p>
    <w:p w14:paraId="258B070E" w14:textId="2830A236" w:rsidR="006C03E6" w:rsidRDefault="006C03E6" w:rsidP="006C03E6">
      <w:pPr>
        <w:spacing w:line="480" w:lineRule="auto"/>
        <w:jc w:val="both"/>
        <w:rPr>
          <w:b/>
          <w:bCs/>
          <w:u w:val="single"/>
        </w:rPr>
      </w:pPr>
      <w:r w:rsidRPr="00F87CB0">
        <w:rPr>
          <w:b/>
          <w:bCs/>
          <w:u w:val="single"/>
        </w:rPr>
        <w:lastRenderedPageBreak/>
        <w:t>Supplementary Figure</w:t>
      </w:r>
      <w:r>
        <w:rPr>
          <w:b/>
          <w:bCs/>
          <w:u w:val="single"/>
        </w:rPr>
        <w:t xml:space="preserve"> </w:t>
      </w:r>
      <w:r w:rsidR="00482E25">
        <w:rPr>
          <w:b/>
          <w:bCs/>
          <w:u w:val="single"/>
        </w:rPr>
        <w:t>19</w:t>
      </w:r>
    </w:p>
    <w:p w14:paraId="6AC192CC" w14:textId="0A78D842" w:rsidR="00EC0E5D" w:rsidRDefault="00E029D1" w:rsidP="00E82A14">
      <w:pPr>
        <w:spacing w:line="480" w:lineRule="auto"/>
        <w:jc w:val="both"/>
      </w:pPr>
      <w:r w:rsidRPr="00E029D1">
        <w:rPr>
          <w:noProof/>
          <w14:ligatures w14:val="standardContextual"/>
        </w:rPr>
        <w:object w:dxaOrig="15437" w:dyaOrig="11816" w14:anchorId="530BD2E1">
          <v:shape id="_x0000_i1034" type="#_x0000_t75" alt="" style="width:467.75pt;height:358pt;mso-width-percent:0;mso-height-percent:0;mso-width-percent:0;mso-height-percent:0" o:ole="">
            <v:imagedata r:id="rId34" o:title=""/>
          </v:shape>
          <o:OLEObject Type="Embed" ProgID="Origin95.Graph" ShapeID="_x0000_i1034" DrawAspect="Content" ObjectID="_1798371533" r:id="rId35"/>
        </w:object>
      </w:r>
    </w:p>
    <w:p w14:paraId="4D86E6E5" w14:textId="466DC8FF" w:rsidR="0052595B" w:rsidRDefault="00844D99" w:rsidP="00E82A14">
      <w:pPr>
        <w:spacing w:line="480" w:lineRule="auto"/>
        <w:jc w:val="both"/>
      </w:pPr>
      <w:r>
        <w:t>Figure S</w:t>
      </w:r>
      <w:r w:rsidR="00482E25">
        <w:t>19</w:t>
      </w:r>
      <w:r>
        <w:t xml:space="preserve">: </w:t>
      </w:r>
      <w:r w:rsidR="00616337">
        <w:t xml:space="preserve">Adhesive force </w:t>
      </w:r>
      <w:r w:rsidR="00635780">
        <w:t xml:space="preserve">of </w:t>
      </w:r>
      <w:r w:rsidR="00616337">
        <w:t>the ionic biogel</w:t>
      </w:r>
      <w:r w:rsidR="00635780">
        <w:t xml:space="preserve"> normally peeled away from </w:t>
      </w:r>
      <w:r w:rsidR="000D1F0D">
        <w:t>porcine skin in a T-pull test.</w:t>
      </w:r>
    </w:p>
    <w:p w14:paraId="483B560E" w14:textId="77777777" w:rsidR="0052595B" w:rsidRDefault="0052595B">
      <w:pPr>
        <w:spacing w:after="160" w:line="278" w:lineRule="auto"/>
      </w:pPr>
      <w:r>
        <w:br w:type="page"/>
      </w:r>
    </w:p>
    <w:p w14:paraId="0B65160C" w14:textId="21A6B4D7" w:rsidR="006C03E6" w:rsidRDefault="006C03E6" w:rsidP="006C03E6">
      <w:pPr>
        <w:spacing w:line="480" w:lineRule="auto"/>
        <w:jc w:val="both"/>
        <w:rPr>
          <w:b/>
          <w:bCs/>
          <w:u w:val="single"/>
        </w:rPr>
      </w:pPr>
      <w:r w:rsidRPr="00F87CB0">
        <w:rPr>
          <w:b/>
          <w:bCs/>
          <w:u w:val="single"/>
        </w:rPr>
        <w:lastRenderedPageBreak/>
        <w:t>Supplementary Figure</w:t>
      </w:r>
      <w:r>
        <w:rPr>
          <w:b/>
          <w:bCs/>
          <w:u w:val="single"/>
        </w:rPr>
        <w:t xml:space="preserve"> </w:t>
      </w:r>
      <w:r w:rsidR="005B6951">
        <w:rPr>
          <w:b/>
          <w:bCs/>
          <w:u w:val="single"/>
        </w:rPr>
        <w:t>2</w:t>
      </w:r>
      <w:r w:rsidR="00482E25">
        <w:rPr>
          <w:b/>
          <w:bCs/>
          <w:u w:val="single"/>
        </w:rPr>
        <w:t>0</w:t>
      </w:r>
    </w:p>
    <w:p w14:paraId="77D8C916" w14:textId="19E20951" w:rsidR="00EC0E5D" w:rsidRDefault="003837A4" w:rsidP="00E82A14">
      <w:pPr>
        <w:spacing w:line="480" w:lineRule="auto"/>
        <w:jc w:val="both"/>
      </w:pPr>
      <w:r w:rsidRPr="00CA76E8">
        <w:rPr>
          <w:noProof/>
        </w:rPr>
        <w:drawing>
          <wp:anchor distT="0" distB="0" distL="114300" distR="114300" simplePos="0" relativeHeight="251658248" behindDoc="0" locked="0" layoutInCell="1" allowOverlap="1" wp14:anchorId="6EFFC394" wp14:editId="0A3266EC">
            <wp:simplePos x="0" y="0"/>
            <wp:positionH relativeFrom="margin">
              <wp:posOffset>474134</wp:posOffset>
            </wp:positionH>
            <wp:positionV relativeFrom="paragraph">
              <wp:posOffset>343535</wp:posOffset>
            </wp:positionV>
            <wp:extent cx="4611864" cy="3530600"/>
            <wp:effectExtent l="0" t="0" r="0" b="0"/>
            <wp:wrapNone/>
            <wp:docPr id="1208028592" name="Picture 2" descr="A line of purple dots&#10;&#10;Description automatically generated">
              <a:extLst xmlns:a="http://schemas.openxmlformats.org/drawingml/2006/main">
                <a:ext uri="{FF2B5EF4-FFF2-40B4-BE49-F238E27FC236}">
                  <a16:creationId xmlns:a16="http://schemas.microsoft.com/office/drawing/2014/main" id="{8231E68D-BCF6-BC82-D337-9C3318B535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028592" name="Picture 2" descr="A line of purple dots&#10;&#10;Description automatically generated">
                      <a:extLst>
                        <a:ext uri="{FF2B5EF4-FFF2-40B4-BE49-F238E27FC236}">
                          <a16:creationId xmlns:a16="http://schemas.microsoft.com/office/drawing/2014/main" id="{8231E68D-BCF6-BC82-D337-9C3318B535CD}"/>
                        </a:ext>
                      </a:extLst>
                    </pic:cNvPr>
                    <pic:cNvPicPr>
                      <a:picLocks noChangeAspect="1"/>
                    </pic:cNvPicPr>
                  </pic:nvPicPr>
                  <pic:blipFill>
                    <a:blip r:embed="rId36"/>
                    <a:stretch>
                      <a:fillRect/>
                    </a:stretch>
                  </pic:blipFill>
                  <pic:spPr>
                    <a:xfrm>
                      <a:off x="0" y="0"/>
                      <a:ext cx="4611864" cy="3530600"/>
                    </a:xfrm>
                    <a:prstGeom prst="rect">
                      <a:avLst/>
                    </a:prstGeom>
                  </pic:spPr>
                </pic:pic>
              </a:graphicData>
            </a:graphic>
            <wp14:sizeRelH relativeFrom="margin">
              <wp14:pctWidth>0</wp14:pctWidth>
            </wp14:sizeRelH>
            <wp14:sizeRelV relativeFrom="margin">
              <wp14:pctHeight>0</wp14:pctHeight>
            </wp14:sizeRelV>
          </wp:anchor>
        </w:drawing>
      </w:r>
    </w:p>
    <w:p w14:paraId="590F1AC9" w14:textId="31B501F3" w:rsidR="00616337" w:rsidRDefault="00616337">
      <w:pPr>
        <w:spacing w:after="160" w:line="278" w:lineRule="auto"/>
      </w:pPr>
    </w:p>
    <w:p w14:paraId="6710BD53" w14:textId="77777777" w:rsidR="00616337" w:rsidRDefault="00616337">
      <w:pPr>
        <w:spacing w:after="160" w:line="278" w:lineRule="auto"/>
      </w:pPr>
    </w:p>
    <w:p w14:paraId="03C553D2" w14:textId="77777777" w:rsidR="00616337" w:rsidRDefault="00616337">
      <w:pPr>
        <w:spacing w:after="160" w:line="278" w:lineRule="auto"/>
      </w:pPr>
    </w:p>
    <w:p w14:paraId="1BE96290" w14:textId="77777777" w:rsidR="00616337" w:rsidRDefault="00616337">
      <w:pPr>
        <w:spacing w:after="160" w:line="278" w:lineRule="auto"/>
      </w:pPr>
    </w:p>
    <w:p w14:paraId="674FDF8C" w14:textId="77777777" w:rsidR="00616337" w:rsidRDefault="00616337">
      <w:pPr>
        <w:spacing w:after="160" w:line="278" w:lineRule="auto"/>
      </w:pPr>
    </w:p>
    <w:p w14:paraId="746AA6DE" w14:textId="77777777" w:rsidR="00616337" w:rsidRDefault="00616337">
      <w:pPr>
        <w:spacing w:after="160" w:line="278" w:lineRule="auto"/>
      </w:pPr>
    </w:p>
    <w:p w14:paraId="53BB30D8" w14:textId="77777777" w:rsidR="00616337" w:rsidRDefault="00616337">
      <w:pPr>
        <w:spacing w:after="160" w:line="278" w:lineRule="auto"/>
      </w:pPr>
    </w:p>
    <w:p w14:paraId="7119520D" w14:textId="77777777" w:rsidR="00616337" w:rsidRDefault="00616337">
      <w:pPr>
        <w:spacing w:after="160" w:line="278" w:lineRule="auto"/>
      </w:pPr>
    </w:p>
    <w:p w14:paraId="506C2A82" w14:textId="77777777" w:rsidR="00616337" w:rsidRDefault="00616337">
      <w:pPr>
        <w:spacing w:after="160" w:line="278" w:lineRule="auto"/>
      </w:pPr>
    </w:p>
    <w:p w14:paraId="175E443B" w14:textId="648C7731" w:rsidR="00616337" w:rsidRDefault="00616337">
      <w:pPr>
        <w:spacing w:after="160" w:line="278" w:lineRule="auto"/>
      </w:pPr>
    </w:p>
    <w:p w14:paraId="543FE516" w14:textId="0B00194A" w:rsidR="00616337" w:rsidRDefault="003837A4">
      <w:pPr>
        <w:spacing w:after="160" w:line="278" w:lineRule="auto"/>
      </w:pPr>
      <w:r w:rsidRPr="00CA76E8">
        <w:rPr>
          <w:noProof/>
        </w:rPr>
        <w:drawing>
          <wp:anchor distT="0" distB="0" distL="114300" distR="114300" simplePos="0" relativeHeight="251658249" behindDoc="0" locked="0" layoutInCell="1" allowOverlap="1" wp14:anchorId="23B6CF24" wp14:editId="1843852E">
            <wp:simplePos x="0" y="0"/>
            <wp:positionH relativeFrom="margin">
              <wp:posOffset>558589</wp:posOffset>
            </wp:positionH>
            <wp:positionV relativeFrom="paragraph">
              <wp:posOffset>155364</wp:posOffset>
            </wp:positionV>
            <wp:extent cx="4463838" cy="3417279"/>
            <wp:effectExtent l="0" t="0" r="0" b="0"/>
            <wp:wrapNone/>
            <wp:docPr id="131076271" name="Picture 4" descr="A screenshot of a computer screen&#10;&#10;Description automatically generated">
              <a:extLst xmlns:a="http://schemas.openxmlformats.org/drawingml/2006/main">
                <a:ext uri="{FF2B5EF4-FFF2-40B4-BE49-F238E27FC236}">
                  <a16:creationId xmlns:a16="http://schemas.microsoft.com/office/drawing/2014/main" id="{4CEB8EA3-1BDD-B43A-A67F-90D91A76B7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76271" name="Picture 4" descr="A screenshot of a computer screen&#10;&#10;Description automatically generated">
                      <a:extLst>
                        <a:ext uri="{FF2B5EF4-FFF2-40B4-BE49-F238E27FC236}">
                          <a16:creationId xmlns:a16="http://schemas.microsoft.com/office/drawing/2014/main" id="{4CEB8EA3-1BDD-B43A-A67F-90D91A76B751}"/>
                        </a:ext>
                      </a:extLst>
                    </pic:cNvPr>
                    <pic:cNvPicPr>
                      <a:picLocks noChangeAspect="1"/>
                    </pic:cNvPicPr>
                  </pic:nvPicPr>
                  <pic:blipFill>
                    <a:blip r:embed="rId37"/>
                    <a:stretch>
                      <a:fillRect/>
                    </a:stretch>
                  </pic:blipFill>
                  <pic:spPr>
                    <a:xfrm>
                      <a:off x="0" y="0"/>
                      <a:ext cx="4463838" cy="3417279"/>
                    </a:xfrm>
                    <a:prstGeom prst="rect">
                      <a:avLst/>
                    </a:prstGeom>
                  </pic:spPr>
                </pic:pic>
              </a:graphicData>
            </a:graphic>
            <wp14:sizeRelH relativeFrom="margin">
              <wp14:pctWidth>0</wp14:pctWidth>
            </wp14:sizeRelH>
            <wp14:sizeRelV relativeFrom="margin">
              <wp14:pctHeight>0</wp14:pctHeight>
            </wp14:sizeRelV>
          </wp:anchor>
        </w:drawing>
      </w:r>
    </w:p>
    <w:p w14:paraId="06DA4BFB" w14:textId="5D907C5E" w:rsidR="00616337" w:rsidRDefault="00616337">
      <w:pPr>
        <w:spacing w:after="160" w:line="278" w:lineRule="auto"/>
      </w:pPr>
    </w:p>
    <w:p w14:paraId="736A5F91" w14:textId="77777777" w:rsidR="00616337" w:rsidRDefault="00616337">
      <w:pPr>
        <w:spacing w:after="160" w:line="278" w:lineRule="auto"/>
      </w:pPr>
    </w:p>
    <w:p w14:paraId="2191E638" w14:textId="77777777" w:rsidR="00616337" w:rsidRDefault="00616337">
      <w:pPr>
        <w:spacing w:after="160" w:line="278" w:lineRule="auto"/>
      </w:pPr>
    </w:p>
    <w:p w14:paraId="406751C7" w14:textId="77777777" w:rsidR="00616337" w:rsidRDefault="00616337">
      <w:pPr>
        <w:spacing w:after="160" w:line="278" w:lineRule="auto"/>
      </w:pPr>
    </w:p>
    <w:p w14:paraId="181CA6F9" w14:textId="77777777" w:rsidR="00616337" w:rsidRDefault="00616337">
      <w:pPr>
        <w:spacing w:after="160" w:line="278" w:lineRule="auto"/>
      </w:pPr>
    </w:p>
    <w:p w14:paraId="57E58EFA" w14:textId="77777777" w:rsidR="00616337" w:rsidRDefault="00616337">
      <w:pPr>
        <w:spacing w:after="160" w:line="278" w:lineRule="auto"/>
      </w:pPr>
    </w:p>
    <w:p w14:paraId="6695CE14" w14:textId="77777777" w:rsidR="00616337" w:rsidRDefault="00616337">
      <w:pPr>
        <w:spacing w:after="160" w:line="278" w:lineRule="auto"/>
      </w:pPr>
    </w:p>
    <w:p w14:paraId="22445EE5" w14:textId="77777777" w:rsidR="00616337" w:rsidRDefault="00616337">
      <w:pPr>
        <w:spacing w:after="160" w:line="278" w:lineRule="auto"/>
      </w:pPr>
    </w:p>
    <w:p w14:paraId="7B145AB3" w14:textId="77777777" w:rsidR="00616337" w:rsidRDefault="00616337">
      <w:pPr>
        <w:spacing w:after="160" w:line="278" w:lineRule="auto"/>
      </w:pPr>
    </w:p>
    <w:p w14:paraId="3226705A" w14:textId="77777777" w:rsidR="00616337" w:rsidRDefault="00616337">
      <w:pPr>
        <w:spacing w:after="160" w:line="278" w:lineRule="auto"/>
      </w:pPr>
    </w:p>
    <w:p w14:paraId="2D5D270E" w14:textId="77777777" w:rsidR="00616337" w:rsidRDefault="00616337">
      <w:pPr>
        <w:spacing w:after="160" w:line="278" w:lineRule="auto"/>
      </w:pPr>
    </w:p>
    <w:p w14:paraId="228D54E3" w14:textId="72234185" w:rsidR="0001659F" w:rsidRDefault="00616337">
      <w:pPr>
        <w:spacing w:after="160" w:line="278" w:lineRule="auto"/>
      </w:pPr>
      <w:r>
        <w:t xml:space="preserve">Figure </w:t>
      </w:r>
      <w:r w:rsidR="00F624EA">
        <w:t>S</w:t>
      </w:r>
      <w:r w:rsidR="005B6951">
        <w:t>2</w:t>
      </w:r>
      <w:r w:rsidR="00482E25">
        <w:t>0</w:t>
      </w:r>
      <w:r>
        <w:t xml:space="preserve">: </w:t>
      </w:r>
      <w:r w:rsidR="006D18E0">
        <w:t>(a) W</w:t>
      </w:r>
      <w:r w:rsidR="00AE226A">
        <w:t xml:space="preserve">eight retention </w:t>
      </w:r>
      <w:r w:rsidR="0079730D">
        <w:t xml:space="preserve">of the ionic biogel over the time of two weeks </w:t>
      </w:r>
      <w:r w:rsidR="00AE226A">
        <w:t xml:space="preserve">and </w:t>
      </w:r>
      <w:r w:rsidR="006D18E0">
        <w:t xml:space="preserve">(b) comparison </w:t>
      </w:r>
      <w:r w:rsidR="004B6EFC">
        <w:t>in</w:t>
      </w:r>
      <w:r w:rsidR="006D18E0">
        <w:t xml:space="preserve"> </w:t>
      </w:r>
      <w:r w:rsidR="004B6EFC">
        <w:t xml:space="preserve">the </w:t>
      </w:r>
      <w:r w:rsidR="00E31D9A">
        <w:t xml:space="preserve">incremental </w:t>
      </w:r>
      <w:r w:rsidR="00AE226A">
        <w:t xml:space="preserve">weight loss </w:t>
      </w:r>
      <w:r w:rsidR="004B6EFC">
        <w:t xml:space="preserve">between biogel and ionic biogel over two </w:t>
      </w:r>
      <w:r w:rsidR="00AE226A">
        <w:t>weeks.</w:t>
      </w:r>
    </w:p>
    <w:p w14:paraId="66AAACDB" w14:textId="77777777" w:rsidR="0001659F" w:rsidRDefault="0001659F">
      <w:pPr>
        <w:spacing w:after="160" w:line="278" w:lineRule="auto"/>
      </w:pPr>
      <w:r>
        <w:br w:type="page"/>
      </w:r>
    </w:p>
    <w:p w14:paraId="4DCEC538" w14:textId="625865BD" w:rsidR="00F5301D" w:rsidRPr="00C86750" w:rsidRDefault="001C2D33" w:rsidP="006C03E6">
      <w:pPr>
        <w:spacing w:line="480" w:lineRule="auto"/>
        <w:jc w:val="both"/>
        <w:rPr>
          <w:b/>
          <w:bCs/>
          <w:u w:val="single"/>
        </w:rPr>
      </w:pPr>
      <w:r w:rsidRPr="00C86750">
        <w:rPr>
          <w:b/>
          <w:bCs/>
          <w:u w:val="single"/>
        </w:rPr>
        <w:lastRenderedPageBreak/>
        <w:t xml:space="preserve">Supplementary Figure </w:t>
      </w:r>
      <w:r w:rsidR="0031614C">
        <w:rPr>
          <w:b/>
          <w:bCs/>
          <w:u w:val="single"/>
        </w:rPr>
        <w:t>21</w:t>
      </w:r>
    </w:p>
    <w:p w14:paraId="39DF6F0A" w14:textId="7B9D2CC6" w:rsidR="001C2D33" w:rsidRDefault="00E029D1" w:rsidP="006C03E6">
      <w:pPr>
        <w:spacing w:line="480" w:lineRule="auto"/>
        <w:jc w:val="both"/>
      </w:pPr>
      <w:r w:rsidRPr="00E029D1">
        <w:rPr>
          <w:noProof/>
          <w14:ligatures w14:val="standardContextual"/>
        </w:rPr>
        <w:object w:dxaOrig="15437" w:dyaOrig="11816" w14:anchorId="790E5EA5">
          <v:shape id="_x0000_i1035" type="#_x0000_t75" alt="" style="width:467.75pt;height:358pt;mso-width-percent:0;mso-height-percent:0;mso-width-percent:0;mso-height-percent:0" o:ole="">
            <v:imagedata r:id="rId38" o:title=""/>
          </v:shape>
          <o:OLEObject Type="Embed" ProgID="Origin95.Graph" ShapeID="_x0000_i1035" DrawAspect="Content" ObjectID="_1798371534" r:id="rId39"/>
        </w:object>
      </w:r>
    </w:p>
    <w:p w14:paraId="6620C59E" w14:textId="4CEB1A87" w:rsidR="00D1538C" w:rsidRDefault="00D1538C" w:rsidP="006C03E6">
      <w:pPr>
        <w:spacing w:line="480" w:lineRule="auto"/>
        <w:jc w:val="both"/>
      </w:pPr>
      <w:r>
        <w:t>Figure S</w:t>
      </w:r>
      <w:r w:rsidR="0031614C">
        <w:t>21</w:t>
      </w:r>
      <w:r>
        <w:t>:</w:t>
      </w:r>
      <w:r w:rsidR="00A005BF">
        <w:t xml:space="preserve"> </w:t>
      </w:r>
      <w:r w:rsidR="00A005BF">
        <w:rPr>
          <w:color w:val="000000" w:themeColor="text1"/>
          <w:sz w:val="21"/>
          <w:szCs w:val="21"/>
          <w:lang w:val="en-GB"/>
        </w:rPr>
        <w:t>C</w:t>
      </w:r>
      <w:r w:rsidR="00A005BF" w:rsidRPr="00D712CE">
        <w:rPr>
          <w:color w:val="000000" w:themeColor="text1"/>
          <w:sz w:val="21"/>
          <w:szCs w:val="21"/>
          <w:lang w:val="en-GB"/>
        </w:rPr>
        <w:t xml:space="preserve">omparison </w:t>
      </w:r>
      <w:r w:rsidR="00A005BF">
        <w:rPr>
          <w:color w:val="000000" w:themeColor="text1"/>
          <w:sz w:val="21"/>
          <w:szCs w:val="21"/>
          <w:lang w:val="en-GB"/>
        </w:rPr>
        <w:t xml:space="preserve">of the stress-strain curve between the </w:t>
      </w:r>
      <w:r w:rsidR="00A005BF" w:rsidRPr="00D712CE">
        <w:rPr>
          <w:color w:val="000000" w:themeColor="text1"/>
          <w:sz w:val="21"/>
          <w:szCs w:val="21"/>
          <w:lang w:val="en-GB"/>
        </w:rPr>
        <w:t>pristine and self-healed ionic biogel</w:t>
      </w:r>
      <w:r w:rsidR="00A005BF">
        <w:rPr>
          <w:color w:val="000000" w:themeColor="text1"/>
          <w:sz w:val="21"/>
          <w:szCs w:val="21"/>
          <w:lang w:val="en-GB"/>
        </w:rPr>
        <w:t xml:space="preserve"> </w:t>
      </w:r>
      <w:r w:rsidR="00A005BF" w:rsidRPr="00D712CE">
        <w:rPr>
          <w:color w:val="000000" w:themeColor="text1"/>
          <w:sz w:val="21"/>
          <w:szCs w:val="21"/>
          <w:lang w:val="en-GB"/>
        </w:rPr>
        <w:t>(</w:t>
      </w:r>
      <w:r w:rsidR="00A005BF">
        <w:rPr>
          <w:color w:val="000000" w:themeColor="text1"/>
          <w:sz w:val="21"/>
          <w:szCs w:val="21"/>
          <w:lang w:val="en-GB"/>
        </w:rPr>
        <w:t xml:space="preserve">after cutting and heating for </w:t>
      </w:r>
      <w:r w:rsidR="00A005BF" w:rsidRPr="00D712CE">
        <w:rPr>
          <w:color w:val="000000" w:themeColor="text1"/>
          <w:sz w:val="21"/>
          <w:szCs w:val="21"/>
          <w:lang w:val="en-GB"/>
        </w:rPr>
        <w:t>12 h</w:t>
      </w:r>
      <w:r w:rsidR="00A005BF">
        <w:rPr>
          <w:color w:val="000000" w:themeColor="text1"/>
          <w:sz w:val="21"/>
          <w:szCs w:val="21"/>
          <w:lang w:val="en-GB"/>
        </w:rPr>
        <w:t xml:space="preserve"> at </w:t>
      </w:r>
      <w:r w:rsidR="00A005BF" w:rsidRPr="00D712CE">
        <w:rPr>
          <w:color w:val="000000" w:themeColor="text1"/>
          <w:sz w:val="21"/>
          <w:szCs w:val="21"/>
          <w:lang w:val="en-GB"/>
        </w:rPr>
        <w:t xml:space="preserve">room temperature). </w:t>
      </w:r>
    </w:p>
    <w:p w14:paraId="1ECD8440" w14:textId="77777777" w:rsidR="00D1538C" w:rsidRDefault="00D1538C">
      <w:pPr>
        <w:spacing w:after="160" w:line="278" w:lineRule="auto"/>
      </w:pPr>
      <w:r>
        <w:br w:type="page"/>
      </w:r>
    </w:p>
    <w:p w14:paraId="534EED0C" w14:textId="078F5D90" w:rsidR="00D1538C" w:rsidRPr="00C86750" w:rsidRDefault="00D1538C" w:rsidP="006C03E6">
      <w:pPr>
        <w:spacing w:line="480" w:lineRule="auto"/>
        <w:jc w:val="both"/>
        <w:rPr>
          <w:b/>
          <w:bCs/>
          <w:u w:val="single"/>
        </w:rPr>
      </w:pPr>
      <w:r w:rsidRPr="00C86750">
        <w:rPr>
          <w:b/>
          <w:bCs/>
          <w:u w:val="single"/>
        </w:rPr>
        <w:lastRenderedPageBreak/>
        <w:t xml:space="preserve">Supplementary Figure </w:t>
      </w:r>
      <w:r w:rsidR="0031614C">
        <w:rPr>
          <w:b/>
          <w:bCs/>
          <w:u w:val="single"/>
        </w:rPr>
        <w:t>22</w:t>
      </w:r>
    </w:p>
    <w:p w14:paraId="105D72C1" w14:textId="2C1C33C5" w:rsidR="00D1538C" w:rsidRDefault="00C86750" w:rsidP="006C03E6">
      <w:pPr>
        <w:spacing w:line="480" w:lineRule="auto"/>
        <w:jc w:val="both"/>
      </w:pPr>
      <w:r>
        <w:rPr>
          <w:noProof/>
        </w:rPr>
        <w:drawing>
          <wp:inline distT="0" distB="0" distL="0" distR="0" wp14:anchorId="5AB2181A" wp14:editId="07A20A54">
            <wp:extent cx="4690533" cy="3725218"/>
            <wp:effectExtent l="0" t="0" r="0" b="0"/>
            <wp:docPr id="2591662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93917" cy="3727906"/>
                    </a:xfrm>
                    <a:prstGeom prst="rect">
                      <a:avLst/>
                    </a:prstGeom>
                    <a:noFill/>
                  </pic:spPr>
                </pic:pic>
              </a:graphicData>
            </a:graphic>
          </wp:inline>
        </w:drawing>
      </w:r>
    </w:p>
    <w:p w14:paraId="4CE21DC5" w14:textId="00991421" w:rsidR="00C86750" w:rsidRDefault="00C86750" w:rsidP="006C03E6">
      <w:pPr>
        <w:spacing w:line="480" w:lineRule="auto"/>
        <w:jc w:val="both"/>
      </w:pPr>
      <w:r>
        <w:t>Figure S</w:t>
      </w:r>
      <w:r w:rsidR="0031614C">
        <w:t>22</w:t>
      </w:r>
      <w:r>
        <w:t xml:space="preserve">: </w:t>
      </w:r>
      <w:r w:rsidR="00A005BF" w:rsidRPr="00D712CE">
        <w:rPr>
          <w:color w:val="000000" w:themeColor="text1"/>
          <w:sz w:val="21"/>
          <w:szCs w:val="21"/>
          <w:lang w:val="en-GB"/>
        </w:rPr>
        <w:t>The instantaneous restoration of current due to self-healing and adhesive properties of</w:t>
      </w:r>
      <w:r w:rsidR="00A005BF">
        <w:rPr>
          <w:color w:val="000000" w:themeColor="text1"/>
          <w:sz w:val="21"/>
          <w:szCs w:val="21"/>
          <w:lang w:val="en-GB"/>
        </w:rPr>
        <w:t xml:space="preserve"> the</w:t>
      </w:r>
      <w:r w:rsidR="00A005BF" w:rsidRPr="00D712CE">
        <w:rPr>
          <w:color w:val="000000" w:themeColor="text1"/>
          <w:sz w:val="21"/>
          <w:szCs w:val="21"/>
          <w:lang w:val="en-GB"/>
        </w:rPr>
        <w:t xml:space="preserve"> ionic biogel</w:t>
      </w:r>
    </w:p>
    <w:p w14:paraId="628B7389" w14:textId="77777777" w:rsidR="00F5301D" w:rsidRDefault="00F5301D">
      <w:pPr>
        <w:spacing w:after="160" w:line="278" w:lineRule="auto"/>
      </w:pPr>
      <w:r>
        <w:br w:type="page"/>
      </w:r>
    </w:p>
    <w:p w14:paraId="2B738C91" w14:textId="566125F4" w:rsidR="00F5301D" w:rsidRPr="003D38E4" w:rsidRDefault="00F5301D" w:rsidP="006C03E6">
      <w:pPr>
        <w:spacing w:line="480" w:lineRule="auto"/>
        <w:jc w:val="both"/>
        <w:rPr>
          <w:b/>
          <w:u w:val="single"/>
        </w:rPr>
      </w:pPr>
      <w:r w:rsidRPr="003D38E4">
        <w:rPr>
          <w:b/>
          <w:u w:val="single"/>
        </w:rPr>
        <w:lastRenderedPageBreak/>
        <w:t xml:space="preserve">Supplementary Figure </w:t>
      </w:r>
      <w:r w:rsidR="0031614C">
        <w:rPr>
          <w:b/>
          <w:u w:val="single"/>
        </w:rPr>
        <w:t>23</w:t>
      </w:r>
    </w:p>
    <w:p w14:paraId="56EC8EC5" w14:textId="590D239B" w:rsidR="007E0BCB" w:rsidRDefault="00E029D1" w:rsidP="006C03E6">
      <w:pPr>
        <w:spacing w:line="480" w:lineRule="auto"/>
        <w:jc w:val="both"/>
      </w:pPr>
      <w:r w:rsidRPr="00E029D1">
        <w:rPr>
          <w:noProof/>
          <w14:ligatures w14:val="standardContextual"/>
        </w:rPr>
        <w:object w:dxaOrig="15437" w:dyaOrig="11816" w14:anchorId="67E75CB4">
          <v:shape id="_x0000_i1036" type="#_x0000_t75" alt="" style="width:467.75pt;height:358pt;mso-width-percent:0;mso-height-percent:0;mso-width-percent:0;mso-height-percent:0" o:ole="">
            <v:imagedata r:id="rId41" o:title=""/>
          </v:shape>
          <o:OLEObject Type="Embed" ProgID="Origin95.Graph" ShapeID="_x0000_i1036" DrawAspect="Content" ObjectID="_1798371535" r:id="rId42"/>
        </w:object>
      </w:r>
    </w:p>
    <w:p w14:paraId="2971CD36" w14:textId="1D855BA4" w:rsidR="007E0BCB" w:rsidRDefault="007E0BCB" w:rsidP="006C03E6">
      <w:pPr>
        <w:spacing w:line="480" w:lineRule="auto"/>
        <w:jc w:val="both"/>
      </w:pPr>
      <w:r>
        <w:t>Figure S</w:t>
      </w:r>
      <w:r w:rsidR="0031614C">
        <w:t>23</w:t>
      </w:r>
      <w:r>
        <w:t xml:space="preserve">: </w:t>
      </w:r>
      <w:r w:rsidR="00B735B0" w:rsidRPr="00A4255E">
        <w:t xml:space="preserve">The </w:t>
      </w:r>
      <w:r w:rsidR="007B752C">
        <w:t xml:space="preserve">normalized relative resistance change as a function of </w:t>
      </w:r>
      <w:r w:rsidR="00B735B0">
        <w:t>strain</w:t>
      </w:r>
      <w:r w:rsidR="007B752C">
        <w:t xml:space="preserve"> to show the significantly reduced </w:t>
      </w:r>
      <w:r w:rsidR="00B735B0" w:rsidRPr="00A4255E">
        <w:t>strain-sensitiv</w:t>
      </w:r>
      <w:r w:rsidR="00853ADC">
        <w:t>ity</w:t>
      </w:r>
      <w:r w:rsidR="00B735B0" w:rsidRPr="00A4255E">
        <w:t xml:space="preserve"> of the ionic biogel upon stretching up to 380%.</w:t>
      </w:r>
    </w:p>
    <w:p w14:paraId="105C668F" w14:textId="1A05431E" w:rsidR="004E367C" w:rsidRDefault="004E367C" w:rsidP="006C03E6">
      <w:pPr>
        <w:spacing w:line="480" w:lineRule="auto"/>
        <w:jc w:val="both"/>
      </w:pPr>
      <w:r>
        <w:br w:type="page"/>
      </w:r>
    </w:p>
    <w:p w14:paraId="7F0FB430" w14:textId="7EDF1DA9" w:rsidR="006C03E6" w:rsidRDefault="006C03E6" w:rsidP="006C03E6">
      <w:pPr>
        <w:spacing w:line="480" w:lineRule="auto"/>
        <w:jc w:val="both"/>
        <w:rPr>
          <w:b/>
          <w:bCs/>
          <w:u w:val="single"/>
        </w:rPr>
      </w:pPr>
      <w:r w:rsidRPr="00F87CB0">
        <w:rPr>
          <w:b/>
          <w:bCs/>
          <w:u w:val="single"/>
        </w:rPr>
        <w:lastRenderedPageBreak/>
        <w:t>Supplementary Figure</w:t>
      </w:r>
      <w:r>
        <w:rPr>
          <w:b/>
          <w:bCs/>
          <w:u w:val="single"/>
        </w:rPr>
        <w:t xml:space="preserve"> </w:t>
      </w:r>
      <w:r w:rsidR="0031614C">
        <w:rPr>
          <w:b/>
          <w:bCs/>
          <w:u w:val="single"/>
        </w:rPr>
        <w:t>24</w:t>
      </w:r>
    </w:p>
    <w:p w14:paraId="7E83A64E" w14:textId="681BE406" w:rsidR="00EC0E5D" w:rsidRDefault="00E029D1" w:rsidP="00E82A14">
      <w:pPr>
        <w:spacing w:line="480" w:lineRule="auto"/>
        <w:jc w:val="both"/>
      </w:pPr>
      <w:r w:rsidRPr="00E029D1">
        <w:rPr>
          <w:noProof/>
          <w14:ligatures w14:val="standardContextual"/>
        </w:rPr>
        <w:object w:dxaOrig="15437" w:dyaOrig="11816" w14:anchorId="68AC51AB">
          <v:shape id="_x0000_i1037" type="#_x0000_t75" alt="" style="width:467.75pt;height:358pt;mso-width-percent:0;mso-height-percent:0;mso-width-percent:0;mso-height-percent:0" o:ole="">
            <v:imagedata r:id="rId43" o:title=""/>
          </v:shape>
          <o:OLEObject Type="Embed" ProgID="Origin95.Graph" ShapeID="_x0000_i1037" DrawAspect="Content" ObjectID="_1798371536" r:id="rId44"/>
        </w:object>
      </w:r>
    </w:p>
    <w:p w14:paraId="043B0E81" w14:textId="65BD8997" w:rsidR="00AE226A" w:rsidRDefault="00AE226A" w:rsidP="00E82A14">
      <w:pPr>
        <w:spacing w:line="480" w:lineRule="auto"/>
        <w:jc w:val="both"/>
      </w:pPr>
      <w:r>
        <w:t>Figure S</w:t>
      </w:r>
      <w:r w:rsidR="0031614C">
        <w:t>24</w:t>
      </w:r>
      <w:r w:rsidR="007E0BCB">
        <w:t xml:space="preserve">: </w:t>
      </w:r>
      <w:r w:rsidR="004E2513">
        <w:t xml:space="preserve">Comparison in the electrical impedance (left) and phase (right) </w:t>
      </w:r>
      <w:r w:rsidR="0011412C">
        <w:t>for</w:t>
      </w:r>
      <w:r>
        <w:t xml:space="preserve"> a </w:t>
      </w:r>
      <w:r w:rsidR="0011412C">
        <w:t xml:space="preserve">parallel plate capacitor </w:t>
      </w:r>
      <w:r w:rsidR="002B452B">
        <w:t xml:space="preserve">based on the </w:t>
      </w:r>
      <w:r w:rsidR="007468C6" w:rsidRPr="007468C6">
        <w:t>dielectric</w:t>
      </w:r>
      <w:r w:rsidR="002B452B">
        <w:t xml:space="preserve"> </w:t>
      </w:r>
      <w:r w:rsidR="009D4134">
        <w:t xml:space="preserve">ionic </w:t>
      </w:r>
      <w:r w:rsidR="002B452B">
        <w:t xml:space="preserve">biogel </w:t>
      </w:r>
      <w:r w:rsidR="009D4134">
        <w:t xml:space="preserve">(dots) </w:t>
      </w:r>
      <w:r w:rsidR="002B452B">
        <w:t xml:space="preserve">and biogel </w:t>
      </w:r>
      <w:r w:rsidR="009D4134">
        <w:t xml:space="preserve">(squares) </w:t>
      </w:r>
      <w:r w:rsidR="0011412C">
        <w:t xml:space="preserve">with </w:t>
      </w:r>
      <w:r w:rsidR="00911579">
        <w:t xml:space="preserve">a </w:t>
      </w:r>
      <w:r>
        <w:t>thickness of 5</w:t>
      </w:r>
      <w:r w:rsidR="0011412C">
        <w:t xml:space="preserve"> </w:t>
      </w:r>
      <w:r>
        <w:t>mm.</w:t>
      </w:r>
    </w:p>
    <w:p w14:paraId="19069B3E" w14:textId="77777777" w:rsidR="00EC0E5D" w:rsidRDefault="00EC0E5D">
      <w:pPr>
        <w:spacing w:after="160" w:line="278" w:lineRule="auto"/>
      </w:pPr>
      <w:r>
        <w:br w:type="page"/>
      </w:r>
    </w:p>
    <w:p w14:paraId="71A705E5" w14:textId="64C7DFED" w:rsidR="006C03E6" w:rsidRDefault="006C03E6" w:rsidP="006C03E6">
      <w:pPr>
        <w:spacing w:line="480" w:lineRule="auto"/>
        <w:jc w:val="both"/>
        <w:rPr>
          <w:b/>
          <w:bCs/>
          <w:u w:val="single"/>
        </w:rPr>
      </w:pPr>
      <w:r w:rsidRPr="00F87CB0">
        <w:rPr>
          <w:b/>
          <w:bCs/>
          <w:u w:val="single"/>
        </w:rPr>
        <w:lastRenderedPageBreak/>
        <w:t>Supplementary Figure</w:t>
      </w:r>
      <w:r>
        <w:rPr>
          <w:b/>
          <w:bCs/>
          <w:u w:val="single"/>
        </w:rPr>
        <w:t xml:space="preserve"> </w:t>
      </w:r>
      <w:r w:rsidR="0031614C">
        <w:rPr>
          <w:b/>
          <w:bCs/>
          <w:u w:val="single"/>
        </w:rPr>
        <w:t>25</w:t>
      </w:r>
    </w:p>
    <w:p w14:paraId="50573D7B" w14:textId="1107978B" w:rsidR="00EC0E5D" w:rsidRDefault="00E029D1" w:rsidP="00E82A14">
      <w:pPr>
        <w:spacing w:line="480" w:lineRule="auto"/>
        <w:jc w:val="both"/>
      </w:pPr>
      <w:r w:rsidRPr="00E029D1">
        <w:rPr>
          <w:noProof/>
          <w14:ligatures w14:val="standardContextual"/>
        </w:rPr>
        <w:object w:dxaOrig="15437" w:dyaOrig="11816" w14:anchorId="6318EA7C">
          <v:shape id="_x0000_i1038" type="#_x0000_t75" alt="" style="width:467.75pt;height:358pt;mso-width-percent:0;mso-height-percent:0;mso-width-percent:0;mso-height-percent:0" o:ole="">
            <v:imagedata r:id="rId45" o:title=""/>
          </v:shape>
          <o:OLEObject Type="Embed" ProgID="Origin95.Graph" ShapeID="_x0000_i1038" DrawAspect="Content" ObjectID="_1798371537" r:id="rId46"/>
        </w:object>
      </w:r>
    </w:p>
    <w:p w14:paraId="63311F46" w14:textId="7516E3AF" w:rsidR="00D45A58" w:rsidRDefault="0011412C" w:rsidP="0011412C">
      <w:pPr>
        <w:spacing w:line="480" w:lineRule="auto"/>
        <w:jc w:val="both"/>
      </w:pPr>
      <w:r>
        <w:t xml:space="preserve">Figure </w:t>
      </w:r>
      <w:r w:rsidR="0082285F">
        <w:t>S</w:t>
      </w:r>
      <w:r w:rsidR="0031614C">
        <w:t>25</w:t>
      </w:r>
      <w:r>
        <w:t xml:space="preserve">: </w:t>
      </w:r>
      <w:r w:rsidR="00CD660F">
        <w:t xml:space="preserve">Changes in the electrical impedance magnitude (left) and phase (right) </w:t>
      </w:r>
      <w:r>
        <w:t>for a parallel plate capacitor with 0.5 mm</w:t>
      </w:r>
      <w:r w:rsidR="002B6892">
        <w:t>-thick</w:t>
      </w:r>
      <w:r w:rsidR="00653630">
        <w:t xml:space="preserve"> ionic biogel</w:t>
      </w:r>
      <w:r w:rsidR="00793091">
        <w:t xml:space="preserve"> dielectric</w:t>
      </w:r>
      <w:r>
        <w:t>.</w:t>
      </w:r>
    </w:p>
    <w:p w14:paraId="359EC184" w14:textId="77777777" w:rsidR="00D45A58" w:rsidRDefault="00D45A58">
      <w:pPr>
        <w:spacing w:after="160" w:line="278" w:lineRule="auto"/>
      </w:pPr>
      <w:r>
        <w:br w:type="page"/>
      </w:r>
    </w:p>
    <w:p w14:paraId="7CFD8625" w14:textId="46591ABC" w:rsidR="006E4D89" w:rsidRPr="00341197" w:rsidRDefault="006E4D89" w:rsidP="0011412C">
      <w:pPr>
        <w:spacing w:line="480" w:lineRule="auto"/>
        <w:jc w:val="both"/>
        <w:rPr>
          <w:b/>
          <w:bCs/>
          <w:u w:val="single"/>
        </w:rPr>
      </w:pPr>
      <w:r w:rsidRPr="00341197">
        <w:rPr>
          <w:b/>
          <w:bCs/>
          <w:u w:val="single"/>
        </w:rPr>
        <w:lastRenderedPageBreak/>
        <w:t xml:space="preserve">Supplementary Figure </w:t>
      </w:r>
      <w:r w:rsidR="0031614C">
        <w:rPr>
          <w:b/>
          <w:bCs/>
          <w:u w:val="single"/>
        </w:rPr>
        <w:t>26</w:t>
      </w:r>
    </w:p>
    <w:p w14:paraId="21319647" w14:textId="2F49C5B5" w:rsidR="006E4D89" w:rsidRDefault="00E029D1" w:rsidP="0011412C">
      <w:pPr>
        <w:spacing w:line="480" w:lineRule="auto"/>
        <w:jc w:val="both"/>
      </w:pPr>
      <w:r w:rsidRPr="00E029D1">
        <w:rPr>
          <w:noProof/>
          <w14:ligatures w14:val="standardContextual"/>
        </w:rPr>
        <w:object w:dxaOrig="15437" w:dyaOrig="11816" w14:anchorId="34C41A44">
          <v:shape id="_x0000_i1039" type="#_x0000_t75" alt="" style="width:467.75pt;height:358pt;mso-width-percent:0;mso-height-percent:0;mso-width-percent:0;mso-height-percent:0" o:ole="">
            <v:imagedata r:id="rId47" o:title=""/>
          </v:shape>
          <o:OLEObject Type="Embed" ProgID="Origin95.Graph" ShapeID="_x0000_i1039" DrawAspect="Content" ObjectID="_1798371538" r:id="rId48"/>
        </w:object>
      </w:r>
    </w:p>
    <w:p w14:paraId="3507C567" w14:textId="22200FD9" w:rsidR="00BF586B" w:rsidRDefault="00BF586B" w:rsidP="0011412C">
      <w:pPr>
        <w:spacing w:line="480" w:lineRule="auto"/>
        <w:jc w:val="both"/>
      </w:pPr>
      <w:r>
        <w:t>Figure S</w:t>
      </w:r>
      <w:r w:rsidR="0031614C">
        <w:t>26</w:t>
      </w:r>
      <w:r>
        <w:t>:</w:t>
      </w:r>
      <w:r w:rsidR="003D3D1D" w:rsidRPr="00D712CE">
        <w:rPr>
          <w:color w:val="000000" w:themeColor="text1"/>
          <w:sz w:val="21"/>
          <w:szCs w:val="21"/>
          <w:lang w:val="en-GB"/>
        </w:rPr>
        <w:t xml:space="preserve"> Comparison </w:t>
      </w:r>
      <w:r w:rsidR="003D3D1D">
        <w:rPr>
          <w:color w:val="000000" w:themeColor="text1"/>
          <w:sz w:val="21"/>
          <w:szCs w:val="21"/>
          <w:lang w:val="en-GB"/>
        </w:rPr>
        <w:t>in the</w:t>
      </w:r>
      <w:r w:rsidR="003D3D1D" w:rsidRPr="00D712CE">
        <w:rPr>
          <w:color w:val="000000" w:themeColor="text1"/>
          <w:sz w:val="21"/>
          <w:szCs w:val="21"/>
          <w:lang w:val="en-GB"/>
        </w:rPr>
        <w:t xml:space="preserve"> skin</w:t>
      </w:r>
      <w:r w:rsidR="003D3D1D">
        <w:rPr>
          <w:color w:val="000000" w:themeColor="text1"/>
          <w:sz w:val="21"/>
          <w:szCs w:val="21"/>
          <w:lang w:val="en-GB"/>
        </w:rPr>
        <w:t xml:space="preserve"> </w:t>
      </w:r>
      <w:r w:rsidR="003D3D1D" w:rsidRPr="00D712CE">
        <w:rPr>
          <w:color w:val="000000" w:themeColor="text1"/>
          <w:sz w:val="21"/>
          <w:szCs w:val="21"/>
          <w:lang w:val="en-GB"/>
        </w:rPr>
        <w:t xml:space="preserve">contact impedance </w:t>
      </w:r>
      <w:r w:rsidR="003D3D1D">
        <w:rPr>
          <w:color w:val="000000" w:themeColor="text1"/>
          <w:sz w:val="21"/>
          <w:szCs w:val="21"/>
          <w:lang w:val="en-GB"/>
        </w:rPr>
        <w:t xml:space="preserve">between the </w:t>
      </w:r>
      <w:r w:rsidR="003D3D1D" w:rsidRPr="00D712CE">
        <w:rPr>
          <w:color w:val="000000" w:themeColor="text1"/>
          <w:sz w:val="21"/>
          <w:szCs w:val="21"/>
          <w:lang w:val="en-GB"/>
        </w:rPr>
        <w:t xml:space="preserve">ionic biogel and </w:t>
      </w:r>
      <w:r w:rsidR="003D3D1D">
        <w:rPr>
          <w:color w:val="000000" w:themeColor="text1"/>
          <w:sz w:val="21"/>
          <w:szCs w:val="21"/>
          <w:lang w:val="en-GB"/>
        </w:rPr>
        <w:t xml:space="preserve">commercial </w:t>
      </w:r>
      <w:r w:rsidR="003D3D1D" w:rsidRPr="00D712CE">
        <w:rPr>
          <w:color w:val="000000" w:themeColor="text1"/>
          <w:sz w:val="21"/>
          <w:szCs w:val="21"/>
          <w:lang w:val="en-GB"/>
        </w:rPr>
        <w:t>Ag/AgCl</w:t>
      </w:r>
      <w:r w:rsidR="003D3D1D">
        <w:rPr>
          <w:color w:val="000000" w:themeColor="text1"/>
          <w:sz w:val="21"/>
          <w:szCs w:val="21"/>
          <w:lang w:val="en-GB"/>
        </w:rPr>
        <w:t xml:space="preserve"> gel electrode</w:t>
      </w:r>
      <w:r w:rsidR="003D3D1D" w:rsidRPr="00D712CE">
        <w:rPr>
          <w:color w:val="000000" w:themeColor="text1"/>
          <w:sz w:val="21"/>
          <w:szCs w:val="21"/>
          <w:lang w:val="en-GB"/>
        </w:rPr>
        <w:t xml:space="preserve">. </w:t>
      </w:r>
    </w:p>
    <w:p w14:paraId="6E5F84C4" w14:textId="77777777" w:rsidR="00EC0E5D" w:rsidRDefault="00EC0E5D">
      <w:pPr>
        <w:spacing w:after="160" w:line="278" w:lineRule="auto"/>
      </w:pPr>
      <w:r>
        <w:br w:type="page"/>
      </w:r>
    </w:p>
    <w:p w14:paraId="647906D9" w14:textId="0C41C042" w:rsidR="00EC0E5D" w:rsidRDefault="006C03E6" w:rsidP="00E82A14">
      <w:pPr>
        <w:spacing w:line="480" w:lineRule="auto"/>
        <w:jc w:val="both"/>
      </w:pPr>
      <w:r w:rsidRPr="00F87CB0">
        <w:rPr>
          <w:b/>
          <w:bCs/>
          <w:u w:val="single"/>
        </w:rPr>
        <w:lastRenderedPageBreak/>
        <w:t>Supplementary Figure</w:t>
      </w:r>
      <w:r>
        <w:rPr>
          <w:b/>
          <w:bCs/>
          <w:u w:val="single"/>
        </w:rPr>
        <w:t xml:space="preserve"> </w:t>
      </w:r>
      <w:r w:rsidR="0031614C">
        <w:rPr>
          <w:b/>
          <w:bCs/>
          <w:u w:val="single"/>
        </w:rPr>
        <w:t>27</w:t>
      </w:r>
    </w:p>
    <w:p w14:paraId="22E0DB57" w14:textId="6B4D6F68" w:rsidR="0011412C" w:rsidRDefault="00525164">
      <w:pPr>
        <w:spacing w:after="160" w:line="278" w:lineRule="auto"/>
      </w:pPr>
      <w:r w:rsidRPr="00525164">
        <w:rPr>
          <w:rFonts w:asciiTheme="minorHAnsi" w:eastAsiaTheme="minorEastAsia" w:hAnsiTheme="minorHAnsi" w:cstheme="minorBidi"/>
          <w:kern w:val="2"/>
          <w14:ligatures w14:val="standardContextual"/>
        </w:rPr>
        <w:t xml:space="preserve"> </w:t>
      </w:r>
      <w:r w:rsidR="00E029D1" w:rsidRPr="00E029D1">
        <w:rPr>
          <w:noProof/>
          <w14:ligatures w14:val="standardContextual"/>
        </w:rPr>
        <w:object w:dxaOrig="15437" w:dyaOrig="11816" w14:anchorId="20755873">
          <v:shape id="_x0000_i1040" type="#_x0000_t75" alt="" style="width:467.75pt;height:358pt;mso-width-percent:0;mso-height-percent:0;mso-width-percent:0;mso-height-percent:0" o:ole="">
            <v:imagedata r:id="rId49" o:title=""/>
          </v:shape>
          <o:OLEObject Type="Embed" ProgID="Origin95.Graph" ShapeID="_x0000_i1040" DrawAspect="Content" ObjectID="_1798371539" r:id="rId50"/>
        </w:object>
      </w:r>
    </w:p>
    <w:p w14:paraId="274B5500" w14:textId="553F0AA1" w:rsidR="00045E23" w:rsidRDefault="0011412C" w:rsidP="0011412C">
      <w:pPr>
        <w:spacing w:line="480" w:lineRule="auto"/>
        <w:jc w:val="both"/>
      </w:pPr>
      <w:r>
        <w:t>Figure S</w:t>
      </w:r>
      <w:r w:rsidR="0031614C">
        <w:t>27</w:t>
      </w:r>
      <w:r>
        <w:t xml:space="preserve">: </w:t>
      </w:r>
      <w:r w:rsidR="00AA02F4">
        <w:t xml:space="preserve">Comparison in the electrical </w:t>
      </w:r>
      <w:r>
        <w:t xml:space="preserve">Impedance </w:t>
      </w:r>
      <w:r w:rsidR="00AA02F4">
        <w:t xml:space="preserve">between ionic biogels </w:t>
      </w:r>
      <w:r>
        <w:t>with different diameters</w:t>
      </w:r>
      <w:r w:rsidR="00AA02F4">
        <w:t>: 5, 10, and 15 mm</w:t>
      </w:r>
      <w:r>
        <w:t>.</w:t>
      </w:r>
    </w:p>
    <w:p w14:paraId="697B498A" w14:textId="77777777" w:rsidR="00045E23" w:rsidRDefault="00045E23">
      <w:pPr>
        <w:spacing w:after="160" w:line="278" w:lineRule="auto"/>
      </w:pPr>
      <w:r>
        <w:br w:type="page"/>
      </w:r>
    </w:p>
    <w:p w14:paraId="687BA316" w14:textId="5817584A" w:rsidR="00EC0E5D" w:rsidRDefault="00EA7FF6" w:rsidP="00E82A14">
      <w:pPr>
        <w:spacing w:line="480" w:lineRule="auto"/>
        <w:jc w:val="both"/>
      </w:pPr>
      <w:r w:rsidRPr="00F87CB0">
        <w:rPr>
          <w:b/>
          <w:bCs/>
          <w:u w:val="single"/>
        </w:rPr>
        <w:lastRenderedPageBreak/>
        <w:t>Supplementary Figure</w:t>
      </w:r>
      <w:r>
        <w:rPr>
          <w:b/>
          <w:bCs/>
          <w:u w:val="single"/>
        </w:rPr>
        <w:t xml:space="preserve"> </w:t>
      </w:r>
      <w:r w:rsidR="0031614C">
        <w:rPr>
          <w:b/>
          <w:bCs/>
          <w:u w:val="single"/>
        </w:rPr>
        <w:t>28</w:t>
      </w:r>
    </w:p>
    <w:p w14:paraId="0DBDBC9A" w14:textId="14B7E6AA" w:rsidR="008D7C5A" w:rsidRDefault="00E029D1">
      <w:pPr>
        <w:spacing w:after="160" w:line="278" w:lineRule="auto"/>
      </w:pPr>
      <w:r w:rsidRPr="00E029D1">
        <w:rPr>
          <w:noProof/>
          <w14:ligatures w14:val="standardContextual"/>
        </w:rPr>
        <w:object w:dxaOrig="15437" w:dyaOrig="11816" w14:anchorId="64EFF672">
          <v:shape id="_x0000_i1041" type="#_x0000_t75" alt="" style="width:467.75pt;height:358pt;mso-width-percent:0;mso-height-percent:0;mso-width-percent:0;mso-height-percent:0" o:ole="">
            <v:imagedata r:id="rId51" o:title=""/>
          </v:shape>
          <o:OLEObject Type="Embed" ProgID="Origin95.Graph" ShapeID="_x0000_i1041" DrawAspect="Content" ObjectID="_1798371540" r:id="rId52"/>
        </w:object>
      </w:r>
    </w:p>
    <w:p w14:paraId="42F90CC1" w14:textId="7E9ADC4C" w:rsidR="003F128B" w:rsidRDefault="008D7C5A" w:rsidP="008D7C5A">
      <w:pPr>
        <w:spacing w:line="480" w:lineRule="auto"/>
        <w:jc w:val="both"/>
      </w:pPr>
      <w:r>
        <w:t>Figure S</w:t>
      </w:r>
      <w:r w:rsidR="0031614C">
        <w:t>28</w:t>
      </w:r>
      <w:r>
        <w:t xml:space="preserve">: </w:t>
      </w:r>
      <w:r w:rsidR="00BF42C4">
        <w:t xml:space="preserve">Changes in the electrochemical </w:t>
      </w:r>
      <w:r w:rsidR="00077B0A">
        <w:t xml:space="preserve">impedance spectrograph </w:t>
      </w:r>
      <w:r>
        <w:t xml:space="preserve">of </w:t>
      </w:r>
      <w:r w:rsidR="00BF42C4">
        <w:t xml:space="preserve">the </w:t>
      </w:r>
      <w:r>
        <w:t xml:space="preserve">ionic biogel with </w:t>
      </w:r>
      <w:r w:rsidR="00DE5610">
        <w:t>time or swelling</w:t>
      </w:r>
      <w:r w:rsidR="00BF42C4">
        <w:t xml:space="preserve">: </w:t>
      </w:r>
      <w:r w:rsidR="00775D3B">
        <w:t>&lt;10 sec</w:t>
      </w:r>
      <w:r w:rsidR="00FE6AE2">
        <w:t xml:space="preserve"> (</w:t>
      </w:r>
      <w:r w:rsidR="00D61D1B">
        <w:t>dark purple</w:t>
      </w:r>
      <w:r w:rsidR="00FE6AE2">
        <w:t>)</w:t>
      </w:r>
      <w:r w:rsidR="00775D3B">
        <w:t>, 5 mins</w:t>
      </w:r>
      <w:r w:rsidR="00D61D1B">
        <w:t xml:space="preserve"> (</w:t>
      </w:r>
      <w:r w:rsidR="00A0534B">
        <w:t>purple</w:t>
      </w:r>
      <w:r w:rsidR="00D61D1B">
        <w:t>)</w:t>
      </w:r>
      <w:r w:rsidR="00775D3B">
        <w:t>, 30 mins</w:t>
      </w:r>
      <w:r w:rsidR="00A0534B">
        <w:t xml:space="preserve"> (light purple)</w:t>
      </w:r>
      <w:r>
        <w:t>.</w:t>
      </w:r>
    </w:p>
    <w:p w14:paraId="1306B08A" w14:textId="77777777" w:rsidR="003F128B" w:rsidRDefault="003F128B">
      <w:pPr>
        <w:spacing w:after="160" w:line="278" w:lineRule="auto"/>
      </w:pPr>
      <w:r>
        <w:br w:type="page"/>
      </w:r>
    </w:p>
    <w:p w14:paraId="6F923AC3" w14:textId="34408FDC" w:rsidR="008D7C5A" w:rsidRPr="00341197" w:rsidRDefault="003F128B" w:rsidP="008D7C5A">
      <w:pPr>
        <w:spacing w:line="480" w:lineRule="auto"/>
        <w:jc w:val="both"/>
        <w:rPr>
          <w:b/>
          <w:bCs/>
          <w:u w:val="single"/>
        </w:rPr>
      </w:pPr>
      <w:r w:rsidRPr="00341197">
        <w:rPr>
          <w:b/>
          <w:bCs/>
          <w:u w:val="single"/>
        </w:rPr>
        <w:lastRenderedPageBreak/>
        <w:t xml:space="preserve">Supplementary Figure </w:t>
      </w:r>
      <w:r w:rsidR="0031614C">
        <w:rPr>
          <w:b/>
          <w:bCs/>
          <w:u w:val="single"/>
        </w:rPr>
        <w:t>29</w:t>
      </w:r>
    </w:p>
    <w:p w14:paraId="6CD2CE57" w14:textId="1603CE6F" w:rsidR="003F128B" w:rsidRDefault="00E029D1" w:rsidP="008D7C5A">
      <w:pPr>
        <w:spacing w:line="480" w:lineRule="auto"/>
        <w:jc w:val="both"/>
      </w:pPr>
      <w:r w:rsidRPr="00E029D1">
        <w:rPr>
          <w:noProof/>
          <w14:ligatures w14:val="standardContextual"/>
        </w:rPr>
        <w:object w:dxaOrig="15437" w:dyaOrig="11816" w14:anchorId="0264CC17">
          <v:shape id="_x0000_i1042" type="#_x0000_t75" alt="" style="width:467.75pt;height:358pt;mso-width-percent:0;mso-height-percent:0;mso-width-percent:0;mso-height-percent:0" o:ole="">
            <v:imagedata r:id="rId53" o:title=""/>
          </v:shape>
          <o:OLEObject Type="Embed" ProgID="Origin95.Graph" ShapeID="_x0000_i1042" DrawAspect="Content" ObjectID="_1798371541" r:id="rId54"/>
        </w:object>
      </w:r>
    </w:p>
    <w:p w14:paraId="1B84E668" w14:textId="0AD3DBCA" w:rsidR="00707043" w:rsidRDefault="00707043" w:rsidP="008D7C5A">
      <w:pPr>
        <w:spacing w:line="480" w:lineRule="auto"/>
        <w:jc w:val="both"/>
      </w:pPr>
      <w:r>
        <w:t>Figure S</w:t>
      </w:r>
      <w:r w:rsidR="0031614C">
        <w:t>29</w:t>
      </w:r>
      <w:r>
        <w:t>:</w:t>
      </w:r>
      <w:r w:rsidR="003D3D1D">
        <w:t xml:space="preserve"> </w:t>
      </w:r>
      <w:r w:rsidR="003D3D1D" w:rsidRPr="00D712CE">
        <w:rPr>
          <w:color w:val="000000" w:themeColor="text1"/>
          <w:sz w:val="21"/>
          <w:szCs w:val="21"/>
          <w:lang w:val="en-GB"/>
        </w:rPr>
        <w:t xml:space="preserve">Variation of impedance at low </w:t>
      </w:r>
      <w:r w:rsidR="003D3D1D">
        <w:rPr>
          <w:color w:val="000000" w:themeColor="text1"/>
          <w:sz w:val="21"/>
          <w:szCs w:val="21"/>
          <w:lang w:val="en-GB"/>
        </w:rPr>
        <w:t xml:space="preserve">(4 Hz, left) </w:t>
      </w:r>
      <w:r w:rsidR="003D3D1D" w:rsidRPr="00D712CE">
        <w:rPr>
          <w:color w:val="000000" w:themeColor="text1"/>
          <w:sz w:val="21"/>
          <w:szCs w:val="21"/>
          <w:lang w:val="en-GB"/>
        </w:rPr>
        <w:t xml:space="preserve">and high </w:t>
      </w:r>
      <w:r w:rsidR="003D3D1D">
        <w:rPr>
          <w:color w:val="000000" w:themeColor="text1"/>
          <w:sz w:val="21"/>
          <w:szCs w:val="21"/>
          <w:lang w:val="en-GB"/>
        </w:rPr>
        <w:t xml:space="preserve">(40 kHz, right) </w:t>
      </w:r>
      <w:r w:rsidR="003D3D1D" w:rsidRPr="00D712CE">
        <w:rPr>
          <w:color w:val="000000" w:themeColor="text1"/>
          <w:sz w:val="21"/>
          <w:szCs w:val="21"/>
          <w:lang w:val="en-GB"/>
        </w:rPr>
        <w:t>frequencies over time</w:t>
      </w:r>
      <w:r w:rsidR="003D3D1D">
        <w:rPr>
          <w:color w:val="000000" w:themeColor="text1"/>
          <w:sz w:val="21"/>
          <w:szCs w:val="21"/>
          <w:lang w:val="en-GB"/>
        </w:rPr>
        <w:t>.</w:t>
      </w:r>
    </w:p>
    <w:p w14:paraId="1361313D" w14:textId="68D35055" w:rsidR="00EC0E5D" w:rsidRDefault="00EC0E5D">
      <w:pPr>
        <w:spacing w:after="160" w:line="278" w:lineRule="auto"/>
      </w:pPr>
      <w:r>
        <w:br w:type="page"/>
      </w:r>
    </w:p>
    <w:p w14:paraId="6F33366A" w14:textId="35A40388" w:rsidR="00EC0E5D" w:rsidRDefault="00994C0B" w:rsidP="00E82A14">
      <w:pPr>
        <w:spacing w:line="480" w:lineRule="auto"/>
        <w:jc w:val="both"/>
      </w:pPr>
      <w:r w:rsidRPr="00F87CB0">
        <w:rPr>
          <w:b/>
          <w:bCs/>
          <w:u w:val="single"/>
        </w:rPr>
        <w:lastRenderedPageBreak/>
        <w:t>Supplementary Figure</w:t>
      </w:r>
      <w:r>
        <w:rPr>
          <w:b/>
          <w:bCs/>
          <w:u w:val="single"/>
        </w:rPr>
        <w:t xml:space="preserve"> </w:t>
      </w:r>
      <w:r w:rsidR="00E0614B">
        <w:rPr>
          <w:b/>
          <w:bCs/>
          <w:u w:val="single"/>
        </w:rPr>
        <w:t>30</w:t>
      </w:r>
    </w:p>
    <w:p w14:paraId="48538E0C" w14:textId="1916E48D" w:rsidR="002D6DED" w:rsidRDefault="00E029D1">
      <w:pPr>
        <w:spacing w:after="160" w:line="278" w:lineRule="auto"/>
      </w:pPr>
      <w:r w:rsidRPr="00E029D1">
        <w:rPr>
          <w:noProof/>
          <w14:ligatures w14:val="standardContextual"/>
        </w:rPr>
        <w:object w:dxaOrig="15437" w:dyaOrig="11816" w14:anchorId="5C08F8D3">
          <v:shape id="_x0000_i1043" type="#_x0000_t75" alt="" style="width:467.75pt;height:358pt;mso-width-percent:0;mso-height-percent:0;mso-width-percent:0;mso-height-percent:0" o:ole="">
            <v:imagedata r:id="rId55" o:title=""/>
          </v:shape>
          <o:OLEObject Type="Embed" ProgID="Origin95.Graph" ShapeID="_x0000_i1043" DrawAspect="Content" ObjectID="_1798371542" r:id="rId56"/>
        </w:object>
      </w:r>
    </w:p>
    <w:p w14:paraId="1AF92861" w14:textId="57FC3BDD" w:rsidR="00EC0E5D" w:rsidRDefault="002D6DED">
      <w:pPr>
        <w:spacing w:after="160" w:line="278" w:lineRule="auto"/>
      </w:pPr>
      <w:r>
        <w:t xml:space="preserve">Figure </w:t>
      </w:r>
      <w:r w:rsidR="0082285F">
        <w:t>S</w:t>
      </w:r>
      <w:r w:rsidR="00E0614B">
        <w:t>30</w:t>
      </w:r>
      <w:r>
        <w:t xml:space="preserve">: EMG </w:t>
      </w:r>
      <w:r w:rsidR="00D341A6">
        <w:t xml:space="preserve">signal measured </w:t>
      </w:r>
      <w:r w:rsidR="000A4BAE">
        <w:t xml:space="preserve">with </w:t>
      </w:r>
      <w:r w:rsidR="007835C0">
        <w:t>ionic biogel kept at 25°C</w:t>
      </w:r>
      <w:r w:rsidR="000A4BAE">
        <w:t xml:space="preserve"> during flexing</w:t>
      </w:r>
      <w:r w:rsidR="007835C0">
        <w:t>.</w:t>
      </w:r>
      <w:r w:rsidR="00EC0E5D">
        <w:br w:type="page"/>
      </w:r>
    </w:p>
    <w:p w14:paraId="02FC62C8" w14:textId="4240F0CF" w:rsidR="00EC0E5D" w:rsidRDefault="00994C0B" w:rsidP="00E82A14">
      <w:pPr>
        <w:spacing w:line="480" w:lineRule="auto"/>
        <w:jc w:val="both"/>
      </w:pPr>
      <w:r w:rsidRPr="00F87CB0">
        <w:rPr>
          <w:b/>
          <w:bCs/>
          <w:u w:val="single"/>
        </w:rPr>
        <w:lastRenderedPageBreak/>
        <w:t>Supplementary Figure</w:t>
      </w:r>
      <w:r>
        <w:rPr>
          <w:b/>
          <w:bCs/>
          <w:u w:val="single"/>
        </w:rPr>
        <w:t xml:space="preserve"> </w:t>
      </w:r>
      <w:r w:rsidR="00BD60E8">
        <w:rPr>
          <w:b/>
          <w:bCs/>
          <w:u w:val="single"/>
        </w:rPr>
        <w:t>31</w:t>
      </w:r>
    </w:p>
    <w:p w14:paraId="41F32A00" w14:textId="1E4AAC13" w:rsidR="007835C0" w:rsidRDefault="00E029D1">
      <w:pPr>
        <w:spacing w:after="160" w:line="278" w:lineRule="auto"/>
      </w:pPr>
      <w:r w:rsidRPr="00E029D1">
        <w:rPr>
          <w:noProof/>
          <w14:ligatures w14:val="standardContextual"/>
        </w:rPr>
        <w:object w:dxaOrig="15437" w:dyaOrig="11816" w14:anchorId="542DBD56">
          <v:shape id="_x0000_i1044" type="#_x0000_t75" alt="" style="width:467.75pt;height:358pt;mso-width-percent:0;mso-height-percent:0;mso-width-percent:0;mso-height-percent:0" o:ole="">
            <v:imagedata r:id="rId57" o:title=""/>
          </v:shape>
          <o:OLEObject Type="Embed" ProgID="Origin95.Graph" ShapeID="_x0000_i1044" DrawAspect="Content" ObjectID="_1798371543" r:id="rId58"/>
        </w:object>
      </w:r>
    </w:p>
    <w:p w14:paraId="6C81A87B" w14:textId="5CB728A3" w:rsidR="00EC0E5D" w:rsidRDefault="007835C0">
      <w:pPr>
        <w:spacing w:after="160" w:line="278" w:lineRule="auto"/>
      </w:pPr>
      <w:r>
        <w:t>Figure S</w:t>
      </w:r>
      <w:r w:rsidR="00BD60E8">
        <w:t>31</w:t>
      </w:r>
      <w:r>
        <w:t xml:space="preserve">: EMG </w:t>
      </w:r>
      <w:r w:rsidR="000A4BAE">
        <w:t xml:space="preserve">signal measured with the </w:t>
      </w:r>
      <w:r>
        <w:t>ionic biogel kept at 40°C</w:t>
      </w:r>
      <w:r w:rsidR="000A4BAE">
        <w:t xml:space="preserve"> during flexing</w:t>
      </w:r>
      <w:r>
        <w:t>.</w:t>
      </w:r>
      <w:r w:rsidR="00EC0E5D">
        <w:br w:type="page"/>
      </w:r>
    </w:p>
    <w:p w14:paraId="7A818B18" w14:textId="08E21A17" w:rsidR="00EC0E5D" w:rsidRDefault="00994C0B" w:rsidP="00E82A14">
      <w:pPr>
        <w:spacing w:line="480" w:lineRule="auto"/>
        <w:jc w:val="both"/>
      </w:pPr>
      <w:r w:rsidRPr="00F87CB0">
        <w:rPr>
          <w:b/>
          <w:bCs/>
          <w:u w:val="single"/>
        </w:rPr>
        <w:lastRenderedPageBreak/>
        <w:t>Supplementary Figure</w:t>
      </w:r>
      <w:r>
        <w:rPr>
          <w:b/>
          <w:bCs/>
          <w:u w:val="single"/>
        </w:rPr>
        <w:t xml:space="preserve"> </w:t>
      </w:r>
      <w:r w:rsidR="00BD60E8">
        <w:rPr>
          <w:b/>
          <w:bCs/>
          <w:u w:val="single"/>
        </w:rPr>
        <w:t>32</w:t>
      </w:r>
    </w:p>
    <w:p w14:paraId="76AAEDA8" w14:textId="31B806E1" w:rsidR="007835C0" w:rsidRDefault="00E029D1">
      <w:pPr>
        <w:spacing w:after="160" w:line="278" w:lineRule="auto"/>
      </w:pPr>
      <w:r w:rsidRPr="00E029D1">
        <w:rPr>
          <w:noProof/>
          <w14:ligatures w14:val="standardContextual"/>
        </w:rPr>
        <w:object w:dxaOrig="15437" w:dyaOrig="11816" w14:anchorId="436CCAED">
          <v:shape id="_x0000_i1045" type="#_x0000_t75" alt="" style="width:467.75pt;height:358pt;mso-width-percent:0;mso-height-percent:0;mso-width-percent:0;mso-height-percent:0" o:ole="">
            <v:imagedata r:id="rId59" o:title=""/>
          </v:shape>
          <o:OLEObject Type="Embed" ProgID="Origin95.Graph" ShapeID="_x0000_i1045" DrawAspect="Content" ObjectID="_1798371544" r:id="rId60"/>
        </w:object>
      </w:r>
    </w:p>
    <w:p w14:paraId="2D867359" w14:textId="67B8212A" w:rsidR="00EC0E5D" w:rsidRDefault="007835C0">
      <w:pPr>
        <w:spacing w:after="160" w:line="278" w:lineRule="auto"/>
      </w:pPr>
      <w:r>
        <w:t>Figure S</w:t>
      </w:r>
      <w:r w:rsidR="00BD60E8">
        <w:t>32</w:t>
      </w:r>
      <w:r>
        <w:t xml:space="preserve">: </w:t>
      </w:r>
      <w:r w:rsidR="00E51CCC">
        <w:t xml:space="preserve">Comparison in the </w:t>
      </w:r>
      <w:r>
        <w:t xml:space="preserve">EMG </w:t>
      </w:r>
      <w:r w:rsidR="00E51CCC">
        <w:t xml:space="preserve">signals measured from </w:t>
      </w:r>
      <w:r w:rsidR="00ED2D9F">
        <w:t xml:space="preserve">two </w:t>
      </w:r>
      <w:r w:rsidR="00E51CCC">
        <w:t xml:space="preserve">ionic biogel </w:t>
      </w:r>
      <w:r w:rsidR="00ED2D9F">
        <w:t>electrodes</w:t>
      </w:r>
      <w:r w:rsidR="001821B2">
        <w:t xml:space="preserve"> at body temperature</w:t>
      </w:r>
      <w:r w:rsidR="00ED2D9F">
        <w:t xml:space="preserve"> </w:t>
      </w:r>
      <w:r>
        <w:t xml:space="preserve">during </w:t>
      </w:r>
      <w:r w:rsidR="00ED2D9F">
        <w:t xml:space="preserve">repeated </w:t>
      </w:r>
      <w:r>
        <w:t>flexing.</w:t>
      </w:r>
      <w:r w:rsidR="00EC0E5D">
        <w:br w:type="page"/>
      </w:r>
    </w:p>
    <w:p w14:paraId="6349CE35" w14:textId="7DFC73B1" w:rsidR="00EC0E5D" w:rsidRDefault="00DF5F3A" w:rsidP="00E82A14">
      <w:pPr>
        <w:spacing w:line="480" w:lineRule="auto"/>
        <w:jc w:val="both"/>
      </w:pPr>
      <w:r w:rsidRPr="00F87CB0">
        <w:rPr>
          <w:b/>
          <w:bCs/>
          <w:u w:val="single"/>
        </w:rPr>
        <w:lastRenderedPageBreak/>
        <w:t>Supplementary Figure</w:t>
      </w:r>
      <w:r>
        <w:rPr>
          <w:b/>
          <w:bCs/>
          <w:u w:val="single"/>
        </w:rPr>
        <w:t xml:space="preserve"> </w:t>
      </w:r>
      <w:r w:rsidR="00BD60E8">
        <w:rPr>
          <w:b/>
          <w:bCs/>
          <w:u w:val="single"/>
        </w:rPr>
        <w:t>33</w:t>
      </w:r>
    </w:p>
    <w:p w14:paraId="436CABC2" w14:textId="77777777" w:rsidR="00165B4F" w:rsidRDefault="000B0BEC">
      <w:pPr>
        <w:spacing w:after="160" w:line="278" w:lineRule="auto"/>
      </w:pPr>
      <w:r w:rsidRPr="000B0BEC">
        <w:rPr>
          <w:noProof/>
        </w:rPr>
        <w:drawing>
          <wp:inline distT="0" distB="0" distL="0" distR="0" wp14:anchorId="46DCE630" wp14:editId="2377A980">
            <wp:extent cx="3922041" cy="3808748"/>
            <wp:effectExtent l="0" t="0" r="2540" b="1270"/>
            <wp:docPr id="20" name="Picture 19" descr="A comparison of frequency waves&#10;&#10;Description automatically generated with medium confidence">
              <a:extLst xmlns:a="http://schemas.openxmlformats.org/drawingml/2006/main">
                <a:ext uri="{FF2B5EF4-FFF2-40B4-BE49-F238E27FC236}">
                  <a16:creationId xmlns:a16="http://schemas.microsoft.com/office/drawing/2014/main" id="{58C732C8-9107-4DAB-B22B-D283BBB2D0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descr="A comparison of frequency waves&#10;&#10;Description automatically generated with medium confidence">
                      <a:extLst>
                        <a:ext uri="{FF2B5EF4-FFF2-40B4-BE49-F238E27FC236}">
                          <a16:creationId xmlns:a16="http://schemas.microsoft.com/office/drawing/2014/main" id="{58C732C8-9107-4DAB-B22B-D283BBB2D00F}"/>
                        </a:ext>
                      </a:extLst>
                    </pic:cNvPr>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3922041" cy="3808748"/>
                    </a:xfrm>
                    <a:prstGeom prst="rect">
                      <a:avLst/>
                    </a:prstGeom>
                  </pic:spPr>
                </pic:pic>
              </a:graphicData>
            </a:graphic>
          </wp:inline>
        </w:drawing>
      </w:r>
    </w:p>
    <w:p w14:paraId="5C913AB8" w14:textId="79411C0B" w:rsidR="00EC0E5D" w:rsidRDefault="00165B4F">
      <w:pPr>
        <w:spacing w:after="160" w:line="278" w:lineRule="auto"/>
      </w:pPr>
      <w:r>
        <w:t>Figure S</w:t>
      </w:r>
      <w:r w:rsidR="00BD60E8">
        <w:t>33</w:t>
      </w:r>
      <w:r>
        <w:t xml:space="preserve">: </w:t>
      </w:r>
      <w:r w:rsidR="00C64632">
        <w:t xml:space="preserve">Comparison in the </w:t>
      </w:r>
      <w:r>
        <w:t xml:space="preserve">EMG power </w:t>
      </w:r>
      <w:r w:rsidR="00B12942">
        <w:t>spectrum</w:t>
      </w:r>
      <w:r>
        <w:t xml:space="preserve"> </w:t>
      </w:r>
      <w:r w:rsidR="00C64632">
        <w:t xml:space="preserve">between the </w:t>
      </w:r>
      <w:r>
        <w:t xml:space="preserve">two </w:t>
      </w:r>
      <w:r w:rsidR="00C64632">
        <w:t xml:space="preserve">ionic biogel </w:t>
      </w:r>
      <w:r>
        <w:t>electrodes during repeated flexing</w:t>
      </w:r>
      <w:r w:rsidR="00C64632">
        <w:t>.</w:t>
      </w:r>
      <w:r>
        <w:t xml:space="preserve"> </w:t>
      </w:r>
      <w:r w:rsidR="00EC0E5D">
        <w:br w:type="page"/>
      </w:r>
    </w:p>
    <w:p w14:paraId="4B5422B7" w14:textId="5053F3F7" w:rsidR="00DF5F3A" w:rsidRDefault="00DF5F3A" w:rsidP="00DF5F3A">
      <w:pPr>
        <w:spacing w:line="480" w:lineRule="auto"/>
        <w:jc w:val="both"/>
        <w:rPr>
          <w:b/>
          <w:bCs/>
          <w:u w:val="single"/>
        </w:rPr>
      </w:pPr>
      <w:r w:rsidRPr="00F87CB0">
        <w:rPr>
          <w:b/>
          <w:bCs/>
          <w:u w:val="single"/>
        </w:rPr>
        <w:lastRenderedPageBreak/>
        <w:t>Supplementary Figure</w:t>
      </w:r>
      <w:r>
        <w:rPr>
          <w:b/>
          <w:bCs/>
          <w:u w:val="single"/>
        </w:rPr>
        <w:t xml:space="preserve"> </w:t>
      </w:r>
      <w:r w:rsidR="00BD60E8">
        <w:rPr>
          <w:b/>
          <w:bCs/>
          <w:u w:val="single"/>
        </w:rPr>
        <w:t>34</w:t>
      </w:r>
    </w:p>
    <w:p w14:paraId="215FB080" w14:textId="7BECC57E" w:rsidR="00450F8D" w:rsidRDefault="00E029D1" w:rsidP="00E82A14">
      <w:pPr>
        <w:spacing w:line="480" w:lineRule="auto"/>
        <w:jc w:val="both"/>
      </w:pPr>
      <w:r w:rsidRPr="00E029D1">
        <w:rPr>
          <w:noProof/>
          <w14:ligatures w14:val="standardContextual"/>
        </w:rPr>
        <w:object w:dxaOrig="15437" w:dyaOrig="11816" w14:anchorId="564AF11F">
          <v:shape id="_x0000_i1046" type="#_x0000_t75" alt="" style="width:467.75pt;height:358pt;mso-width-percent:0;mso-height-percent:0;mso-width-percent:0;mso-height-percent:0" o:ole="">
            <v:imagedata r:id="rId62" o:title=""/>
          </v:shape>
          <o:OLEObject Type="Embed" ProgID="Origin95.Graph" ShapeID="_x0000_i1046" DrawAspect="Content" ObjectID="_1798371545" r:id="rId63"/>
        </w:object>
      </w:r>
    </w:p>
    <w:p w14:paraId="2C47E458" w14:textId="581FB769" w:rsidR="009C6325" w:rsidRDefault="00165B4F" w:rsidP="009C6325">
      <w:pPr>
        <w:spacing w:line="480" w:lineRule="auto"/>
        <w:jc w:val="both"/>
      </w:pPr>
      <w:r>
        <w:t>Figure S</w:t>
      </w:r>
      <w:r w:rsidR="00BD60E8">
        <w:t>34</w:t>
      </w:r>
      <w:r>
        <w:t xml:space="preserve">: </w:t>
      </w:r>
      <w:r w:rsidR="00B12942">
        <w:t xml:space="preserve">Comparison </w:t>
      </w:r>
      <w:r w:rsidR="00E04DB4">
        <w:t xml:space="preserve">in the amplitude </w:t>
      </w:r>
      <w:r w:rsidR="00B12942">
        <w:t xml:space="preserve">of </w:t>
      </w:r>
      <w:r w:rsidR="00E04DB4">
        <w:t xml:space="preserve">measured </w:t>
      </w:r>
      <w:r>
        <w:t xml:space="preserve">EMG </w:t>
      </w:r>
      <w:r w:rsidR="00E04DB4">
        <w:t xml:space="preserve">signals from </w:t>
      </w:r>
      <w:r>
        <w:t>grasping two different materials</w:t>
      </w:r>
      <w:r w:rsidR="00E04DB4">
        <w:t>: cotton vs. Ecoflex</w:t>
      </w:r>
      <w:r>
        <w:t>.</w:t>
      </w:r>
    </w:p>
    <w:p w14:paraId="42645AE6" w14:textId="77777777" w:rsidR="009C6325" w:rsidRDefault="009C6325">
      <w:pPr>
        <w:spacing w:after="160" w:line="278" w:lineRule="auto"/>
      </w:pPr>
      <w:r>
        <w:br w:type="page"/>
      </w:r>
    </w:p>
    <w:p w14:paraId="5AA2217B" w14:textId="5B89EB38" w:rsidR="009C6325" w:rsidRDefault="009C6325" w:rsidP="009C6325">
      <w:pPr>
        <w:spacing w:line="480" w:lineRule="auto"/>
        <w:jc w:val="both"/>
      </w:pPr>
      <w:r w:rsidRPr="009C6325">
        <w:rPr>
          <w:b/>
          <w:bCs/>
          <w:u w:val="single"/>
        </w:rPr>
        <w:lastRenderedPageBreak/>
        <w:t xml:space="preserve"> </w:t>
      </w:r>
      <w:r w:rsidRPr="00F87CB0">
        <w:rPr>
          <w:b/>
          <w:bCs/>
          <w:u w:val="single"/>
        </w:rPr>
        <w:t>Supplementary Figure</w:t>
      </w:r>
      <w:r>
        <w:rPr>
          <w:b/>
          <w:bCs/>
          <w:u w:val="single"/>
        </w:rPr>
        <w:t xml:space="preserve"> </w:t>
      </w:r>
      <w:r w:rsidR="00BD60E8">
        <w:rPr>
          <w:b/>
          <w:bCs/>
          <w:u w:val="single"/>
        </w:rPr>
        <w:t>35</w:t>
      </w:r>
    </w:p>
    <w:p w14:paraId="18EB52DD" w14:textId="77777777" w:rsidR="009C6325" w:rsidRDefault="009C6325" w:rsidP="009C6325">
      <w:pPr>
        <w:spacing w:after="160" w:line="278" w:lineRule="auto"/>
      </w:pPr>
      <w:r w:rsidRPr="001C3B47">
        <w:rPr>
          <w:noProof/>
        </w:rPr>
        <w:drawing>
          <wp:inline distT="0" distB="0" distL="0" distR="0" wp14:anchorId="18D2BA8E" wp14:editId="674B905B">
            <wp:extent cx="5270150" cy="4455176"/>
            <wp:effectExtent l="0" t="0" r="0" b="0"/>
            <wp:docPr id="5" name="Picture 4">
              <a:extLst xmlns:a="http://schemas.openxmlformats.org/drawingml/2006/main">
                <a:ext uri="{FF2B5EF4-FFF2-40B4-BE49-F238E27FC236}">
                  <a16:creationId xmlns:a16="http://schemas.microsoft.com/office/drawing/2014/main" id="{3D5A37EE-204C-7C43-FF01-F92B30BC85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D5A37EE-204C-7C43-FF01-F92B30BC859C}"/>
                        </a:ext>
                      </a:extLst>
                    </pic:cNvPr>
                    <pic:cNvPicPr>
                      <a:picLocks noChangeAspect="1"/>
                    </pic:cNvPicPr>
                  </pic:nvPicPr>
                  <pic:blipFill rotWithShape="1">
                    <a:blip r:embed="rId64"/>
                    <a:srcRect l="9467"/>
                    <a:stretch/>
                  </pic:blipFill>
                  <pic:spPr>
                    <a:xfrm>
                      <a:off x="0" y="0"/>
                      <a:ext cx="5270150" cy="4455176"/>
                    </a:xfrm>
                    <a:prstGeom prst="rect">
                      <a:avLst/>
                    </a:prstGeom>
                  </pic:spPr>
                </pic:pic>
              </a:graphicData>
            </a:graphic>
          </wp:inline>
        </w:drawing>
      </w:r>
    </w:p>
    <w:p w14:paraId="16D6A056" w14:textId="6FC97B29" w:rsidR="009C6325" w:rsidRDefault="009C6325" w:rsidP="009C6325">
      <w:pPr>
        <w:spacing w:line="480" w:lineRule="auto"/>
        <w:jc w:val="both"/>
      </w:pPr>
      <w:r>
        <w:t>Figure S</w:t>
      </w:r>
      <w:r w:rsidR="00BD60E8">
        <w:t>35</w:t>
      </w:r>
      <w:r>
        <w:t>: Transient voltage response to an electrical current pulse train of 5 mA at 0.05 Hz.</w:t>
      </w:r>
    </w:p>
    <w:p w14:paraId="42D1B19F" w14:textId="77777777" w:rsidR="009C6325" w:rsidRDefault="009C6325" w:rsidP="009C6325">
      <w:pPr>
        <w:spacing w:after="160" w:line="278" w:lineRule="auto"/>
      </w:pPr>
      <w:r>
        <w:br w:type="page"/>
      </w:r>
    </w:p>
    <w:p w14:paraId="01980B50" w14:textId="02E42B53" w:rsidR="009C6325" w:rsidRDefault="009C6325" w:rsidP="009C6325">
      <w:pPr>
        <w:spacing w:line="480" w:lineRule="auto"/>
        <w:jc w:val="both"/>
      </w:pPr>
      <w:r w:rsidRPr="0058274E">
        <w:rPr>
          <w:noProof/>
        </w:rPr>
        <w:lastRenderedPageBreak/>
        <w:drawing>
          <wp:anchor distT="0" distB="0" distL="114300" distR="114300" simplePos="0" relativeHeight="251658250" behindDoc="0" locked="0" layoutInCell="1" allowOverlap="1" wp14:anchorId="58EDEACB" wp14:editId="3A5551A0">
            <wp:simplePos x="0" y="0"/>
            <wp:positionH relativeFrom="margin">
              <wp:posOffset>338666</wp:posOffset>
            </wp:positionH>
            <wp:positionV relativeFrom="paragraph">
              <wp:posOffset>296802</wp:posOffset>
            </wp:positionV>
            <wp:extent cx="5060103" cy="4434583"/>
            <wp:effectExtent l="0" t="0" r="0" b="0"/>
            <wp:wrapNone/>
            <wp:docPr id="7" name="Picture 6">
              <a:extLst xmlns:a="http://schemas.openxmlformats.org/drawingml/2006/main">
                <a:ext uri="{FF2B5EF4-FFF2-40B4-BE49-F238E27FC236}">
                  <a16:creationId xmlns:a16="http://schemas.microsoft.com/office/drawing/2014/main" id="{A23C95FF-AD00-DE1D-8CE9-23A6A77D51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A23C95FF-AD00-DE1D-8CE9-23A6A77D511D}"/>
                        </a:ext>
                      </a:extLst>
                    </pic:cNvPr>
                    <pic:cNvPicPr>
                      <a:picLocks noChangeAspect="1"/>
                    </pic:cNvPicPr>
                  </pic:nvPicPr>
                  <pic:blipFill rotWithShape="1">
                    <a:blip r:embed="rId65"/>
                    <a:srcRect l="12667"/>
                    <a:stretch/>
                  </pic:blipFill>
                  <pic:spPr>
                    <a:xfrm>
                      <a:off x="0" y="0"/>
                      <a:ext cx="5068603" cy="4442033"/>
                    </a:xfrm>
                    <a:prstGeom prst="rect">
                      <a:avLst/>
                    </a:prstGeom>
                  </pic:spPr>
                </pic:pic>
              </a:graphicData>
            </a:graphic>
            <wp14:sizeRelH relativeFrom="margin">
              <wp14:pctWidth>0</wp14:pctWidth>
            </wp14:sizeRelH>
            <wp14:sizeRelV relativeFrom="margin">
              <wp14:pctHeight>0</wp14:pctHeight>
            </wp14:sizeRelV>
          </wp:anchor>
        </w:drawing>
      </w:r>
      <w:r w:rsidRPr="00F87CB0">
        <w:rPr>
          <w:b/>
          <w:bCs/>
          <w:u w:val="single"/>
        </w:rPr>
        <w:t>Supplementary Figure</w:t>
      </w:r>
      <w:r>
        <w:rPr>
          <w:b/>
          <w:bCs/>
          <w:u w:val="single"/>
        </w:rPr>
        <w:t xml:space="preserve"> </w:t>
      </w:r>
      <w:r w:rsidRPr="0058274E">
        <w:rPr>
          <w:noProof/>
        </w:rPr>
        <mc:AlternateContent>
          <mc:Choice Requires="wps">
            <w:drawing>
              <wp:anchor distT="0" distB="0" distL="114300" distR="114300" simplePos="0" relativeHeight="251658251" behindDoc="0" locked="0" layoutInCell="1" allowOverlap="1" wp14:anchorId="762945D5" wp14:editId="2868ECFF">
                <wp:simplePos x="0" y="0"/>
                <wp:positionH relativeFrom="column">
                  <wp:posOffset>2507615</wp:posOffset>
                </wp:positionH>
                <wp:positionV relativeFrom="paragraph">
                  <wp:posOffset>2342515</wp:posOffset>
                </wp:positionV>
                <wp:extent cx="568960" cy="482600"/>
                <wp:effectExtent l="38100" t="38100" r="21590" b="31750"/>
                <wp:wrapNone/>
                <wp:docPr id="3" name="Straight Arrow Connector 2">
                  <a:extLst xmlns:a="http://schemas.openxmlformats.org/drawingml/2006/main">
                    <a:ext uri="{FF2B5EF4-FFF2-40B4-BE49-F238E27FC236}">
                      <a16:creationId xmlns:a16="http://schemas.microsoft.com/office/drawing/2014/main" id="{99CBB724-58FB-3D97-FBCB-B8045359309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68960" cy="4826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type w14:anchorId="6CDDC203" id="_x0000_t32" coordsize="21600,21600" o:spt="32" o:oned="t" path="m,l21600,21600e" filled="f">
                <v:path arrowok="t" fillok="f" o:connecttype="none"/>
                <o:lock v:ext="edit" shapetype="t"/>
              </v:shapetype>
              <v:shape id="Straight Arrow Connector 2" o:spid="_x0000_s1026" type="#_x0000_t32" style="position:absolute;margin-left:197.45pt;margin-top:184.45pt;width:44.8pt;height:38pt;flip:x y;z-index:2516613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mjI2QEAAPMDAAAOAAAAZHJzL2Uyb0RvYy54bWysU01v2zAMvQ/YfxB0X+wEW5AZcXpI93Eo&#10;tmLdeldlyRYqSwLFxfa/HyUn7rCtOwy7EJLI98hHUvursbfspCAa72q+XpWcKSd9Y1xb829f37/a&#10;cRZRuEZY71TNJxX51eHli/0QKrXxnbeNAkYkLlZDqHmHGKqiiLJTvYgrH5Qjp/bQC6QrtEUDYiD2&#10;3habstwWg4cmgJcqRnq9np38kPm1VhI/ax0VMltzqg2zhWwfki0Oe1G1IEJn5LkM8Q9V9MI4SrpQ&#10;XQsU7DuY36h6I8FHr3ElfV94rY1UWQOpWZe/qLnrRFBZCzUnhqVN8f/Ryk+no7uFVLoc3V248fIx&#10;UlOKIcRqcaZLDHPYqKFn2prwkebN8+k+nRIF6WFjbu60NFeNyCQ9vtnu3m5pBJJcr3ebbZmbX4gq&#10;ESZwgIgflO9ZOtQ8IgjTdnj0ztEYPcwpxOkmYirwCZDA1iWLwth3rmE4Bdo1BCNca1UaMoWnkCxr&#10;VpI14WTVDP+iNDMN1bnJSvICqqMFdhK0Os3jemGhyATRxtoFVP4ddI5NMJWXcgHOop7NtkTnjN7h&#10;AuyN8/CnrDheStVz/EX1rDXJfvDNdAuXKdNm5f6cf0Fa3Z/vGf70Vw8/AAAA//8DAFBLAwQUAAYA&#10;CAAAACEApmdAGd0AAAALAQAADwAAAGRycy9kb3ducmV2LnhtbEyPwU7DMBBE70j8g7VI3KjTEkqa&#10;xqkQErceaIvE1Y0XJ2q8jmynDXw9y4ne3mpGM7PVZnK9OGOInScF81kGAqnxpiOr4OPw9lCAiEmT&#10;0b0nVPCNETb17U2lS+MvtMPzPlnBIRRLraBNaSiljE2LTseZH5BY+/LB6cRnsNIEfeFw18tFli2l&#10;0x1xQ6sHfG2xOe1Hx702ex/j9nn6Oe06++nQHcJ2odT93fSyBpFwSv9m+JvP06HmTUc/komiV/C4&#10;yldsZVgWDOzIi/wJxJEhZ0nWlbz+of4FAAD//wMAUEsBAi0AFAAGAAgAAAAhALaDOJL+AAAA4QEA&#10;ABMAAAAAAAAAAAAAAAAAAAAAAFtDb250ZW50X1R5cGVzXS54bWxQSwECLQAUAAYACAAAACEAOP0h&#10;/9YAAACUAQAACwAAAAAAAAAAAAAAAAAvAQAAX3JlbHMvLnJlbHNQSwECLQAUAAYACAAAACEAQh5o&#10;yNkBAADzAwAADgAAAAAAAAAAAAAAAAAuAgAAZHJzL2Uyb0RvYy54bWxQSwECLQAUAAYACAAAACEA&#10;pmdAGd0AAAALAQAADwAAAAAAAAAAAAAAAAAzBAAAZHJzL2Rvd25yZXYueG1sUEsFBgAAAAAEAAQA&#10;8wAAAD0FAAAAAA==&#10;" strokecolor="black [3200]" strokeweight="1pt">
                <v:stroke endarrow="block" joinstyle="miter"/>
                <o:lock v:ext="edit" shapetype="f"/>
              </v:shape>
            </w:pict>
          </mc:Fallback>
        </mc:AlternateContent>
      </w:r>
      <w:r w:rsidRPr="0058274E">
        <w:rPr>
          <w:noProof/>
        </w:rPr>
        <mc:AlternateContent>
          <mc:Choice Requires="wps">
            <w:drawing>
              <wp:anchor distT="0" distB="0" distL="114300" distR="114300" simplePos="0" relativeHeight="251658252" behindDoc="0" locked="0" layoutInCell="1" allowOverlap="1" wp14:anchorId="5C58CCC6" wp14:editId="55B4B579">
                <wp:simplePos x="0" y="0"/>
                <wp:positionH relativeFrom="column">
                  <wp:posOffset>3015615</wp:posOffset>
                </wp:positionH>
                <wp:positionV relativeFrom="paragraph">
                  <wp:posOffset>2864485</wp:posOffset>
                </wp:positionV>
                <wp:extent cx="1356360" cy="369332"/>
                <wp:effectExtent l="0" t="0" r="0" b="0"/>
                <wp:wrapNone/>
                <wp:docPr id="4" name="TextBox 3">
                  <a:extLst xmlns:a="http://schemas.openxmlformats.org/drawingml/2006/main">
                    <a:ext uri="{FF2B5EF4-FFF2-40B4-BE49-F238E27FC236}">
                      <a16:creationId xmlns:a16="http://schemas.microsoft.com/office/drawing/2014/main" id="{B8BC28DF-894B-C382-F5B9-82A6010B82F9}"/>
                    </a:ext>
                  </a:extLst>
                </wp:docPr>
                <wp:cNvGraphicFramePr/>
                <a:graphic xmlns:a="http://schemas.openxmlformats.org/drawingml/2006/main">
                  <a:graphicData uri="http://schemas.microsoft.com/office/word/2010/wordprocessingShape">
                    <wps:wsp>
                      <wps:cNvSpPr txBox="1"/>
                      <wps:spPr>
                        <a:xfrm>
                          <a:off x="0" y="0"/>
                          <a:ext cx="1356360" cy="369332"/>
                        </a:xfrm>
                        <a:prstGeom prst="rect">
                          <a:avLst/>
                        </a:prstGeom>
                        <a:noFill/>
                      </wps:spPr>
                      <wps:txbx>
                        <w:txbxContent>
                          <w:p w14:paraId="47DF3FDF" w14:textId="77777777" w:rsidR="009C6325" w:rsidRDefault="009C6325" w:rsidP="009C6325">
                            <w:pPr>
                              <w:rPr>
                                <w:rFonts w:asciiTheme="minorHAnsi" w:hAnsi="Aptos" w:cstheme="minorBidi"/>
                                <w:color w:val="000000" w:themeColor="text1"/>
                                <w:kern w:val="24"/>
                                <w:sz w:val="36"/>
                                <w:szCs w:val="36"/>
                              </w:rPr>
                            </w:pPr>
                            <w:r>
                              <w:rPr>
                                <w:rFonts w:asciiTheme="minorHAnsi" w:hAnsi="Aptos" w:cstheme="minorBidi"/>
                                <w:color w:val="000000" w:themeColor="text1"/>
                                <w:kern w:val="24"/>
                                <w:sz w:val="36"/>
                                <w:szCs w:val="36"/>
                              </w:rPr>
                              <w:t>|E</w:t>
                            </w:r>
                            <w:r>
                              <w:rPr>
                                <w:rFonts w:asciiTheme="minorHAnsi" w:hAnsi="Aptos" w:cstheme="minorBidi"/>
                                <w:color w:val="000000" w:themeColor="text1"/>
                                <w:kern w:val="24"/>
                                <w:position w:val="-9"/>
                                <w:sz w:val="36"/>
                                <w:szCs w:val="36"/>
                                <w:vertAlign w:val="subscript"/>
                              </w:rPr>
                              <w:t>mc</w:t>
                            </w:r>
                            <w:r>
                              <w:rPr>
                                <w:rFonts w:asciiTheme="minorHAnsi" w:hAnsi="Aptos" w:cstheme="minorBidi"/>
                                <w:color w:val="000000" w:themeColor="text1"/>
                                <w:kern w:val="24"/>
                                <w:sz w:val="36"/>
                                <w:szCs w:val="36"/>
                              </w:rPr>
                              <w:t>|&lt;0.6</w:t>
                            </w:r>
                          </w:p>
                        </w:txbxContent>
                      </wps:txbx>
                      <wps:bodyPr wrap="square" rtlCol="0">
                        <a:spAutoFit/>
                      </wps:bodyPr>
                    </wps:wsp>
                  </a:graphicData>
                </a:graphic>
              </wp:anchor>
            </w:drawing>
          </mc:Choice>
          <mc:Fallback>
            <w:pict>
              <v:shapetype w14:anchorId="5C58CCC6" id="_x0000_t202" coordsize="21600,21600" o:spt="202" path="m,l,21600r21600,l21600,xe">
                <v:stroke joinstyle="miter"/>
                <v:path gradientshapeok="t" o:connecttype="rect"/>
              </v:shapetype>
              <v:shape id="TextBox 3" o:spid="_x0000_s1026" type="#_x0000_t202" style="position:absolute;left:0;text-align:left;margin-left:237.45pt;margin-top:225.55pt;width:106.8pt;height:29.1pt;z-index:2516582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TEufgEAAOkCAAAOAAAAZHJzL2Uyb0RvYy54bWysUk1P4zAQvSPtf7B836ZtRAVRUwSL4IJg&#10;JZYf4Dp2Eyn2eGfcJv33jN1ui5Yb4uLY8/HmzXtZ3oyuFzuD1IGv5WwylcJ4DU3nN7V8+/Pw80oK&#10;iso3qgdvark3JG9WPy6WQ6jMHFroG4OCQTxVQ6hlG2OoioJ0a5yiCQTjOWkBnYr8xE3RoBoY3fXF&#10;fDpdFANgExC0IeLo/SEpVxnfWqPji7VkouhrydxiPjGf63QWq6WqNqhC2+kjDfUFFk51noeeoO5V&#10;VGKL3Sco12kEAhsnGlwB1nba5B14m9n0v21eWxVM3oXFoXCSib4PVj/vXsNvFHG8g5ENTIIMgSri&#10;YNpntOjSl5kKzrOE+5NsZoxCp6byclEuOKU5Vy6uy3KeYIpzd0CKjwacSJdaItuS1VK7J4qH0n8l&#10;aZiHh67vU/xMJd3iuB6P/NbQ7Jn2wM7Vkv5uFRopMPa/IBudUCjcbiMj5QGp/dBzRGU9M8Wj98mw&#10;j+9cdf5DV+8AAAD//wMAUEsDBBQABgAIAAAAIQC1NTOU4AAAAAsBAAAPAAAAZHJzL2Rvd25yZXYu&#10;eG1sTI9NT8MwDIbvSPyHyEjcWFpYR1eaThMfEgcujO7uNVlT0ThVk63dv8ec4GbLj14/b7mZXS/O&#10;ZgydJwXpIgFhqPG6o1ZB/fV2l4MIEUlj78kouJgAm+r6qsRC+4k+zXkXW8EhFApUYGMcCilDY43D&#10;sPCDIb4d/egw8jq2Uo84cbjr5X2SrKTDjviDxcE8W9N8705OQYx6m17qVxfe9/PHy2STJsNaqdub&#10;efsEIpo5/sHwq8/qULHTwZ9IB9ErWD4u14zykKUpCCZWeZ6BOCjIkvUDyKqU/ztUPwAAAP//AwBQ&#10;SwECLQAUAAYACAAAACEAtoM4kv4AAADhAQAAEwAAAAAAAAAAAAAAAAAAAAAAW0NvbnRlbnRfVHlw&#10;ZXNdLnhtbFBLAQItABQABgAIAAAAIQA4/SH/1gAAAJQBAAALAAAAAAAAAAAAAAAAAC8BAABfcmVs&#10;cy8ucmVsc1BLAQItABQABgAIAAAAIQB0GTEufgEAAOkCAAAOAAAAAAAAAAAAAAAAAC4CAABkcnMv&#10;ZTJvRG9jLnhtbFBLAQItABQABgAIAAAAIQC1NTOU4AAAAAsBAAAPAAAAAAAAAAAAAAAAANgDAABk&#10;cnMvZG93bnJldi54bWxQSwUGAAAAAAQABADzAAAA5QQAAAAA&#10;" filled="f" stroked="f">
                <v:textbox style="mso-fit-shape-to-text:t">
                  <w:txbxContent>
                    <w:p w14:paraId="47DF3FDF" w14:textId="77777777" w:rsidR="009C6325" w:rsidRDefault="009C6325" w:rsidP="009C6325">
                      <w:pPr>
                        <w:rPr>
                          <w:rFonts w:asciiTheme="minorHAnsi" w:hAnsi="Aptos" w:cstheme="minorBidi"/>
                          <w:color w:val="000000" w:themeColor="text1"/>
                          <w:kern w:val="24"/>
                          <w:sz w:val="36"/>
                          <w:szCs w:val="36"/>
                        </w:rPr>
                      </w:pPr>
                      <w:r>
                        <w:rPr>
                          <w:rFonts w:asciiTheme="minorHAnsi" w:hAnsi="Aptos" w:cstheme="minorBidi"/>
                          <w:color w:val="000000" w:themeColor="text1"/>
                          <w:kern w:val="24"/>
                          <w:sz w:val="36"/>
                          <w:szCs w:val="36"/>
                        </w:rPr>
                        <w:t>|E</w:t>
                      </w:r>
                      <w:r>
                        <w:rPr>
                          <w:rFonts w:asciiTheme="minorHAnsi" w:hAnsi="Aptos" w:cstheme="minorBidi"/>
                          <w:color w:val="000000" w:themeColor="text1"/>
                          <w:kern w:val="24"/>
                          <w:position w:val="-9"/>
                          <w:sz w:val="36"/>
                          <w:szCs w:val="36"/>
                          <w:vertAlign w:val="subscript"/>
                        </w:rPr>
                        <w:t>mc</w:t>
                      </w:r>
                      <w:r>
                        <w:rPr>
                          <w:rFonts w:asciiTheme="minorHAnsi" w:hAnsi="Aptos" w:cstheme="minorBidi"/>
                          <w:color w:val="000000" w:themeColor="text1"/>
                          <w:kern w:val="24"/>
                          <w:sz w:val="36"/>
                          <w:szCs w:val="36"/>
                        </w:rPr>
                        <w:t>|&lt;0.6</w:t>
                      </w:r>
                    </w:p>
                  </w:txbxContent>
                </v:textbox>
              </v:shape>
            </w:pict>
          </mc:Fallback>
        </mc:AlternateContent>
      </w:r>
      <w:r w:rsidR="00BD60E8">
        <w:rPr>
          <w:b/>
          <w:bCs/>
          <w:u w:val="single"/>
        </w:rPr>
        <w:t>36</w:t>
      </w:r>
    </w:p>
    <w:p w14:paraId="40F6BAC7" w14:textId="77777777" w:rsidR="009C6325" w:rsidRDefault="009C6325" w:rsidP="009C6325">
      <w:pPr>
        <w:spacing w:after="160" w:line="278" w:lineRule="auto"/>
      </w:pPr>
    </w:p>
    <w:p w14:paraId="54683F68" w14:textId="77777777" w:rsidR="009C6325" w:rsidRDefault="009C6325" w:rsidP="009C6325">
      <w:pPr>
        <w:spacing w:after="160" w:line="278" w:lineRule="auto"/>
      </w:pPr>
    </w:p>
    <w:p w14:paraId="3E55594A" w14:textId="77777777" w:rsidR="009C6325" w:rsidRDefault="009C6325" w:rsidP="009C6325">
      <w:pPr>
        <w:spacing w:after="160" w:line="278" w:lineRule="auto"/>
      </w:pPr>
    </w:p>
    <w:p w14:paraId="6B4F43EC" w14:textId="77777777" w:rsidR="009C6325" w:rsidRDefault="009C6325" w:rsidP="009C6325">
      <w:pPr>
        <w:spacing w:after="160" w:line="278" w:lineRule="auto"/>
      </w:pPr>
    </w:p>
    <w:p w14:paraId="5AED9EFB" w14:textId="77777777" w:rsidR="009C6325" w:rsidRDefault="009C6325" w:rsidP="009C6325">
      <w:pPr>
        <w:spacing w:after="160" w:line="278" w:lineRule="auto"/>
      </w:pPr>
    </w:p>
    <w:p w14:paraId="68F8F2E6" w14:textId="77777777" w:rsidR="009C6325" w:rsidRDefault="009C6325" w:rsidP="009C6325">
      <w:pPr>
        <w:spacing w:after="160" w:line="278" w:lineRule="auto"/>
      </w:pPr>
    </w:p>
    <w:p w14:paraId="318B5B17" w14:textId="77777777" w:rsidR="009C6325" w:rsidRDefault="009C6325" w:rsidP="009C6325">
      <w:pPr>
        <w:spacing w:after="160" w:line="278" w:lineRule="auto"/>
      </w:pPr>
    </w:p>
    <w:p w14:paraId="4A324CA8" w14:textId="77777777" w:rsidR="009C6325" w:rsidRDefault="009C6325" w:rsidP="009C6325">
      <w:pPr>
        <w:spacing w:after="160" w:line="278" w:lineRule="auto"/>
      </w:pPr>
    </w:p>
    <w:p w14:paraId="06B3B7EE" w14:textId="77777777" w:rsidR="009C6325" w:rsidRDefault="009C6325" w:rsidP="009C6325">
      <w:pPr>
        <w:spacing w:after="160" w:line="278" w:lineRule="auto"/>
      </w:pPr>
    </w:p>
    <w:p w14:paraId="37A3D258" w14:textId="77777777" w:rsidR="009C6325" w:rsidRDefault="009C6325" w:rsidP="009C6325">
      <w:pPr>
        <w:spacing w:after="160" w:line="278" w:lineRule="auto"/>
      </w:pPr>
    </w:p>
    <w:p w14:paraId="22C94C3E" w14:textId="77777777" w:rsidR="009C6325" w:rsidRDefault="009C6325" w:rsidP="009C6325">
      <w:pPr>
        <w:spacing w:after="160" w:line="278" w:lineRule="auto"/>
      </w:pPr>
    </w:p>
    <w:p w14:paraId="1F7EAAEF" w14:textId="77777777" w:rsidR="009C6325" w:rsidRDefault="009C6325" w:rsidP="009C6325">
      <w:pPr>
        <w:spacing w:after="160" w:line="278" w:lineRule="auto"/>
      </w:pPr>
    </w:p>
    <w:p w14:paraId="59706671" w14:textId="77777777" w:rsidR="009C6325" w:rsidRDefault="009C6325" w:rsidP="009C6325">
      <w:pPr>
        <w:spacing w:after="160" w:line="278" w:lineRule="auto"/>
      </w:pPr>
    </w:p>
    <w:p w14:paraId="4816F22A" w14:textId="77777777" w:rsidR="009C6325" w:rsidRDefault="009C6325" w:rsidP="009C6325">
      <w:pPr>
        <w:spacing w:after="160" w:line="278" w:lineRule="auto"/>
      </w:pPr>
    </w:p>
    <w:p w14:paraId="33550B6D" w14:textId="77777777" w:rsidR="009C6325" w:rsidRDefault="009C6325" w:rsidP="009C6325">
      <w:pPr>
        <w:spacing w:after="160" w:line="278" w:lineRule="auto"/>
      </w:pPr>
    </w:p>
    <w:p w14:paraId="60A42A17" w14:textId="46B0B55E" w:rsidR="00791AFA" w:rsidRDefault="009C6325" w:rsidP="009C6325">
      <w:pPr>
        <w:spacing w:line="480" w:lineRule="auto"/>
        <w:jc w:val="both"/>
      </w:pPr>
      <w:r>
        <w:t>Figure S</w:t>
      </w:r>
      <w:r w:rsidR="00BD60E8">
        <w:t>36</w:t>
      </w:r>
      <w:r>
        <w:t xml:space="preserve">: Transient voltage changes to varying current pulses with different amplitudes: 400 mA (gold), 200 mA (purple), 100 mA (green), 50 mA (blue), 10 mA (red), and 5 mA (black). </w:t>
      </w:r>
    </w:p>
    <w:p w14:paraId="1637B929" w14:textId="77777777" w:rsidR="00791AFA" w:rsidRDefault="00791AFA">
      <w:pPr>
        <w:spacing w:after="160" w:line="278" w:lineRule="auto"/>
      </w:pPr>
      <w:r>
        <w:br w:type="page"/>
      </w:r>
    </w:p>
    <w:p w14:paraId="46A1B527" w14:textId="6E301946" w:rsidR="009C6325" w:rsidRDefault="009C6325" w:rsidP="009C6325">
      <w:pPr>
        <w:spacing w:line="480" w:lineRule="auto"/>
        <w:jc w:val="both"/>
      </w:pPr>
      <w:r w:rsidRPr="00F87CB0">
        <w:rPr>
          <w:b/>
          <w:bCs/>
          <w:u w:val="single"/>
        </w:rPr>
        <w:lastRenderedPageBreak/>
        <w:t>Supplementary Figure</w:t>
      </w:r>
      <w:r>
        <w:rPr>
          <w:b/>
          <w:bCs/>
          <w:u w:val="single"/>
        </w:rPr>
        <w:t xml:space="preserve"> </w:t>
      </w:r>
      <w:r w:rsidR="00BD60E8">
        <w:rPr>
          <w:b/>
          <w:bCs/>
          <w:u w:val="single"/>
        </w:rPr>
        <w:t>37</w:t>
      </w:r>
    </w:p>
    <w:p w14:paraId="44AF7807" w14:textId="77777777" w:rsidR="009C6325" w:rsidRDefault="009C6325" w:rsidP="009C6325">
      <w:pPr>
        <w:spacing w:after="160" w:line="278" w:lineRule="auto"/>
      </w:pPr>
      <w:r w:rsidRPr="007D77D7">
        <w:rPr>
          <w:noProof/>
        </w:rPr>
        <w:drawing>
          <wp:inline distT="0" distB="0" distL="0" distR="0" wp14:anchorId="10A2D23B" wp14:editId="5167CACB">
            <wp:extent cx="5828430" cy="4964847"/>
            <wp:effectExtent l="0" t="0" r="1270" b="0"/>
            <wp:docPr id="546455119" name="Picture 3">
              <a:extLst xmlns:a="http://schemas.openxmlformats.org/drawingml/2006/main">
                <a:ext uri="{FF2B5EF4-FFF2-40B4-BE49-F238E27FC236}">
                  <a16:creationId xmlns:a16="http://schemas.microsoft.com/office/drawing/2014/main" id="{9637C7BC-8C7E-1592-68AE-E124FD846C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637C7BC-8C7E-1592-68AE-E124FD846CD3}"/>
                        </a:ext>
                      </a:extLst>
                    </pic:cNvPr>
                    <pic:cNvPicPr>
                      <a:picLocks noChangeAspect="1"/>
                    </pic:cNvPicPr>
                  </pic:nvPicPr>
                  <pic:blipFill rotWithShape="1">
                    <a:blip r:embed="rId66"/>
                    <a:srcRect l="10154"/>
                    <a:stretch/>
                  </pic:blipFill>
                  <pic:spPr>
                    <a:xfrm>
                      <a:off x="0" y="0"/>
                      <a:ext cx="5828430" cy="4964847"/>
                    </a:xfrm>
                    <a:prstGeom prst="rect">
                      <a:avLst/>
                    </a:prstGeom>
                  </pic:spPr>
                </pic:pic>
              </a:graphicData>
            </a:graphic>
          </wp:inline>
        </w:drawing>
      </w:r>
    </w:p>
    <w:p w14:paraId="1A9C7CBC" w14:textId="0642CF34" w:rsidR="009C6325" w:rsidRDefault="009C6325" w:rsidP="009C6325">
      <w:pPr>
        <w:spacing w:line="480" w:lineRule="auto"/>
        <w:jc w:val="both"/>
      </w:pPr>
      <w:r>
        <w:t>Figure S</w:t>
      </w:r>
      <w:r w:rsidR="00BD60E8">
        <w:t>37</w:t>
      </w:r>
      <w:r>
        <w:t xml:space="preserve">: Transient voltage in response to 100 mA with a pulse width of 33 Hz. </w:t>
      </w:r>
    </w:p>
    <w:p w14:paraId="006A0A1F" w14:textId="77777777" w:rsidR="009C6325" w:rsidRDefault="009C6325" w:rsidP="009C6325">
      <w:pPr>
        <w:spacing w:after="160" w:line="278" w:lineRule="auto"/>
      </w:pPr>
      <w:r>
        <w:br w:type="page"/>
      </w:r>
    </w:p>
    <w:p w14:paraId="7F130839" w14:textId="42CFA7C4" w:rsidR="009C6325" w:rsidRDefault="009C6325" w:rsidP="009C6325">
      <w:pPr>
        <w:spacing w:line="480" w:lineRule="auto"/>
        <w:jc w:val="both"/>
      </w:pPr>
      <w:r w:rsidRPr="00F87CB0">
        <w:rPr>
          <w:b/>
          <w:bCs/>
          <w:u w:val="single"/>
        </w:rPr>
        <w:lastRenderedPageBreak/>
        <w:t>Supplementary Figure</w:t>
      </w:r>
      <w:r>
        <w:rPr>
          <w:b/>
          <w:bCs/>
          <w:u w:val="single"/>
        </w:rPr>
        <w:t xml:space="preserve"> </w:t>
      </w:r>
      <w:r w:rsidR="00BD60E8">
        <w:rPr>
          <w:b/>
          <w:bCs/>
          <w:u w:val="single"/>
        </w:rPr>
        <w:t>38</w:t>
      </w:r>
    </w:p>
    <w:p w14:paraId="182F5F0F" w14:textId="77777777" w:rsidR="009C6325" w:rsidRDefault="009C6325" w:rsidP="009C6325">
      <w:pPr>
        <w:spacing w:after="160" w:line="278" w:lineRule="auto"/>
      </w:pPr>
      <w:r w:rsidRPr="00B60C3E">
        <w:rPr>
          <w:noProof/>
        </w:rPr>
        <w:drawing>
          <wp:inline distT="0" distB="0" distL="0" distR="0" wp14:anchorId="15DBB1C7" wp14:editId="283FE594">
            <wp:extent cx="5385174" cy="4552415"/>
            <wp:effectExtent l="0" t="0" r="6350" b="0"/>
            <wp:docPr id="6" name="Picture 5">
              <a:extLst xmlns:a="http://schemas.openxmlformats.org/drawingml/2006/main">
                <a:ext uri="{FF2B5EF4-FFF2-40B4-BE49-F238E27FC236}">
                  <a16:creationId xmlns:a16="http://schemas.microsoft.com/office/drawing/2014/main" id="{E1268A5C-D09C-1A58-FB35-2FB72F08BC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E1268A5C-D09C-1A58-FB35-2FB72F08BCB7}"/>
                        </a:ext>
                      </a:extLst>
                    </pic:cNvPr>
                    <pic:cNvPicPr>
                      <a:picLocks noChangeAspect="1"/>
                    </pic:cNvPicPr>
                  </pic:nvPicPr>
                  <pic:blipFill rotWithShape="1">
                    <a:blip r:embed="rId67"/>
                    <a:srcRect l="9467"/>
                    <a:stretch/>
                  </pic:blipFill>
                  <pic:spPr>
                    <a:xfrm>
                      <a:off x="0" y="0"/>
                      <a:ext cx="5385174" cy="4552415"/>
                    </a:xfrm>
                    <a:prstGeom prst="rect">
                      <a:avLst/>
                    </a:prstGeom>
                  </pic:spPr>
                </pic:pic>
              </a:graphicData>
            </a:graphic>
          </wp:inline>
        </w:drawing>
      </w:r>
    </w:p>
    <w:p w14:paraId="6C5E76F9" w14:textId="0D0B65EE" w:rsidR="009C6325" w:rsidRDefault="009C6325" w:rsidP="009C6325">
      <w:pPr>
        <w:spacing w:after="160" w:line="278" w:lineRule="auto"/>
      </w:pPr>
      <w:r>
        <w:t>Figure S</w:t>
      </w:r>
      <w:r w:rsidR="00BD60E8">
        <w:t>38</w:t>
      </w:r>
      <w:r>
        <w:t>: Transient voltage in response to 100 mA with a pulse width of 67 Hz.</w:t>
      </w:r>
      <w:r>
        <w:br w:type="page"/>
      </w:r>
    </w:p>
    <w:p w14:paraId="7F0714F5" w14:textId="36754D62" w:rsidR="009C6325" w:rsidRDefault="009C6325" w:rsidP="009C6325">
      <w:pPr>
        <w:spacing w:line="480" w:lineRule="auto"/>
        <w:jc w:val="both"/>
      </w:pPr>
      <w:r w:rsidRPr="00F87CB0">
        <w:rPr>
          <w:b/>
          <w:bCs/>
          <w:u w:val="single"/>
        </w:rPr>
        <w:lastRenderedPageBreak/>
        <w:t>Supplementary Figure</w:t>
      </w:r>
      <w:r>
        <w:rPr>
          <w:b/>
          <w:bCs/>
          <w:u w:val="single"/>
        </w:rPr>
        <w:t xml:space="preserve"> </w:t>
      </w:r>
      <w:r w:rsidR="00BD60E8">
        <w:rPr>
          <w:b/>
          <w:bCs/>
          <w:u w:val="single"/>
        </w:rPr>
        <w:t>39</w:t>
      </w:r>
    </w:p>
    <w:p w14:paraId="4DBBE76D" w14:textId="77777777" w:rsidR="009C6325" w:rsidRDefault="009C6325" w:rsidP="009C6325">
      <w:pPr>
        <w:spacing w:after="160" w:line="278" w:lineRule="auto"/>
      </w:pPr>
      <w:r w:rsidRPr="00CC13D6">
        <w:rPr>
          <w:rFonts w:asciiTheme="minorHAnsi" w:eastAsiaTheme="minorEastAsia" w:hAnsiTheme="minorHAnsi" w:cstheme="minorBidi"/>
          <w:kern w:val="2"/>
          <w14:ligatures w14:val="standardContextual"/>
        </w:rPr>
        <w:t xml:space="preserve"> </w:t>
      </w:r>
      <w:r w:rsidR="00E029D1" w:rsidRPr="00E029D1">
        <w:rPr>
          <w:noProof/>
          <w14:ligatures w14:val="standardContextual"/>
        </w:rPr>
        <w:object w:dxaOrig="15437" w:dyaOrig="11816" w14:anchorId="56305CDB">
          <v:shape id="_x0000_i1047" type="#_x0000_t75" alt="" style="width:467.75pt;height:358pt;mso-width-percent:0;mso-height-percent:0;mso-width-percent:0;mso-height-percent:0" o:ole="">
            <v:imagedata r:id="rId68" o:title=""/>
          </v:shape>
          <o:OLEObject Type="Embed" ProgID="Origin95.Graph" ShapeID="_x0000_i1047" DrawAspect="Content" ObjectID="_1798371546" r:id="rId69"/>
        </w:object>
      </w:r>
    </w:p>
    <w:p w14:paraId="3CAA1425" w14:textId="39EEE5D9" w:rsidR="009C6325" w:rsidRDefault="009C6325" w:rsidP="009C6325">
      <w:pPr>
        <w:spacing w:after="160" w:line="278" w:lineRule="auto"/>
      </w:pPr>
      <w:r>
        <w:t>Figure S</w:t>
      </w:r>
      <w:r w:rsidR="00BD60E8">
        <w:t>39</w:t>
      </w:r>
      <w:r>
        <w:t>: Comparison in the charge injection capacity at different frequencies between ionic biogel (purple) and biogel (yellow).</w:t>
      </w:r>
      <w:r>
        <w:br w:type="page"/>
      </w:r>
    </w:p>
    <w:p w14:paraId="63D39739" w14:textId="6433E034" w:rsidR="009C6325" w:rsidRDefault="009C6325" w:rsidP="009C6325">
      <w:pPr>
        <w:spacing w:line="480" w:lineRule="auto"/>
        <w:jc w:val="both"/>
        <w:rPr>
          <w:b/>
          <w:bCs/>
          <w:u w:val="single"/>
        </w:rPr>
      </w:pPr>
      <w:r w:rsidRPr="00F87CB0">
        <w:rPr>
          <w:b/>
          <w:bCs/>
          <w:u w:val="single"/>
        </w:rPr>
        <w:lastRenderedPageBreak/>
        <w:t>Supplementary Figure</w:t>
      </w:r>
      <w:r>
        <w:rPr>
          <w:b/>
          <w:bCs/>
          <w:u w:val="single"/>
        </w:rPr>
        <w:t xml:space="preserve"> </w:t>
      </w:r>
      <w:r w:rsidR="00BD60E8">
        <w:rPr>
          <w:b/>
          <w:bCs/>
          <w:u w:val="single"/>
        </w:rPr>
        <w:t>40</w:t>
      </w:r>
    </w:p>
    <w:p w14:paraId="475D3FFF" w14:textId="77777777" w:rsidR="009C6325" w:rsidRDefault="00E029D1" w:rsidP="009C6325">
      <w:pPr>
        <w:spacing w:line="480" w:lineRule="auto"/>
        <w:jc w:val="both"/>
      </w:pPr>
      <w:r w:rsidRPr="00E029D1">
        <w:rPr>
          <w:noProof/>
          <w14:ligatures w14:val="standardContextual"/>
        </w:rPr>
        <w:object w:dxaOrig="15437" w:dyaOrig="11816" w14:anchorId="18672410">
          <v:shape id="_x0000_i1048" type="#_x0000_t75" alt="" style="width:467.75pt;height:358pt;mso-width-percent:0;mso-height-percent:0;mso-width-percent:0;mso-height-percent:0" o:ole="">
            <v:imagedata r:id="rId70" o:title=""/>
          </v:shape>
          <o:OLEObject Type="Embed" ProgID="Origin95.Graph" ShapeID="_x0000_i1048" DrawAspect="Content" ObjectID="_1798371547" r:id="rId71"/>
        </w:object>
      </w:r>
    </w:p>
    <w:p w14:paraId="5F6CEEC1" w14:textId="3D9B4DF6" w:rsidR="00226AD5" w:rsidRDefault="009C6325" w:rsidP="009C6325">
      <w:pPr>
        <w:spacing w:line="480" w:lineRule="auto"/>
        <w:jc w:val="both"/>
      </w:pPr>
      <w:r>
        <w:t>Figure S</w:t>
      </w:r>
      <w:r w:rsidR="00BD60E8">
        <w:t>40</w:t>
      </w:r>
      <w:r>
        <w:t>: Changes in the charge storage capacity of the ionic biogel with varied scan rates.</w:t>
      </w:r>
    </w:p>
    <w:p w14:paraId="3ECD7A30" w14:textId="77777777" w:rsidR="00226AD5" w:rsidRDefault="00226AD5">
      <w:pPr>
        <w:spacing w:after="160" w:line="278" w:lineRule="auto"/>
      </w:pPr>
      <w:r>
        <w:br w:type="page"/>
      </w:r>
    </w:p>
    <w:p w14:paraId="6BD55867" w14:textId="5FD47AB0" w:rsidR="00226AD5" w:rsidRDefault="00226AD5" w:rsidP="00226AD5">
      <w:pPr>
        <w:spacing w:line="480" w:lineRule="auto"/>
        <w:jc w:val="both"/>
        <w:rPr>
          <w:b/>
          <w:bCs/>
          <w:u w:val="single"/>
        </w:rPr>
      </w:pPr>
      <w:r w:rsidRPr="00F87CB0">
        <w:rPr>
          <w:b/>
          <w:bCs/>
          <w:u w:val="single"/>
        </w:rPr>
        <w:lastRenderedPageBreak/>
        <w:t>Supplementary Figure</w:t>
      </w:r>
      <w:r>
        <w:rPr>
          <w:b/>
          <w:bCs/>
          <w:u w:val="single"/>
        </w:rPr>
        <w:t xml:space="preserve"> </w:t>
      </w:r>
      <w:r w:rsidRPr="0098304B">
        <w:rPr>
          <w:noProof/>
        </w:rPr>
        <w:drawing>
          <wp:anchor distT="0" distB="0" distL="114300" distR="114300" simplePos="0" relativeHeight="251660302" behindDoc="0" locked="0" layoutInCell="1" allowOverlap="1" wp14:anchorId="478574E0" wp14:editId="65E1A10C">
            <wp:simplePos x="0" y="0"/>
            <wp:positionH relativeFrom="column">
              <wp:posOffset>0</wp:posOffset>
            </wp:positionH>
            <wp:positionV relativeFrom="paragraph">
              <wp:posOffset>144780</wp:posOffset>
            </wp:positionV>
            <wp:extent cx="4956988" cy="4702500"/>
            <wp:effectExtent l="0" t="0" r="0" b="3175"/>
            <wp:wrapNone/>
            <wp:docPr id="2" name="Picture 1" descr="A screen shot of a computer screen&#10;&#10;Description automatically generated">
              <a:extLst xmlns:a="http://schemas.openxmlformats.org/drawingml/2006/main">
                <a:ext uri="{FF2B5EF4-FFF2-40B4-BE49-F238E27FC236}">
                  <a16:creationId xmlns:a16="http://schemas.microsoft.com/office/drawing/2014/main" id="{B85D4F6B-CA45-1EB0-9836-E3DD5199D8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screen shot of a computer screen&#10;&#10;Description automatically generated">
                      <a:extLst>
                        <a:ext uri="{FF2B5EF4-FFF2-40B4-BE49-F238E27FC236}">
                          <a16:creationId xmlns:a16="http://schemas.microsoft.com/office/drawing/2014/main" id="{B85D4F6B-CA45-1EB0-9836-E3DD5199D85B}"/>
                        </a:ext>
                      </a:extLst>
                    </pic:cNvPr>
                    <pic:cNvPicPr>
                      <a:picLocks noChangeAspect="1"/>
                    </pic:cNvPicPr>
                  </pic:nvPicPr>
                  <pic:blipFill>
                    <a:blip r:embed="rId72"/>
                    <a:stretch>
                      <a:fillRect/>
                    </a:stretch>
                  </pic:blipFill>
                  <pic:spPr>
                    <a:xfrm>
                      <a:off x="0" y="0"/>
                      <a:ext cx="4956988" cy="4702500"/>
                    </a:xfrm>
                    <a:prstGeom prst="rect">
                      <a:avLst/>
                    </a:prstGeom>
                  </pic:spPr>
                </pic:pic>
              </a:graphicData>
            </a:graphic>
          </wp:anchor>
        </w:drawing>
      </w:r>
      <w:r w:rsidRPr="0098304B">
        <w:rPr>
          <w:noProof/>
        </w:rPr>
        <w:drawing>
          <wp:anchor distT="0" distB="0" distL="114300" distR="114300" simplePos="0" relativeHeight="251661326" behindDoc="0" locked="0" layoutInCell="1" allowOverlap="1" wp14:anchorId="1BEC23E0" wp14:editId="4D290C09">
            <wp:simplePos x="0" y="0"/>
            <wp:positionH relativeFrom="column">
              <wp:posOffset>4956810</wp:posOffset>
            </wp:positionH>
            <wp:positionV relativeFrom="paragraph">
              <wp:posOffset>-635</wp:posOffset>
            </wp:positionV>
            <wp:extent cx="742122" cy="4993989"/>
            <wp:effectExtent l="0" t="0" r="1270" b="0"/>
            <wp:wrapNone/>
            <wp:docPr id="1378248249" name="Picture 2" descr="A close-up of a sound wave&#10;&#10;Description automatically generated">
              <a:extLst xmlns:a="http://schemas.openxmlformats.org/drawingml/2006/main">
                <a:ext uri="{FF2B5EF4-FFF2-40B4-BE49-F238E27FC236}">
                  <a16:creationId xmlns:a16="http://schemas.microsoft.com/office/drawing/2014/main" id="{FE1894F2-2246-174E-2FDC-C773F96775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248249" name="Picture 2" descr="A close-up of a sound wave&#10;&#10;Description automatically generated">
                      <a:extLst>
                        <a:ext uri="{FF2B5EF4-FFF2-40B4-BE49-F238E27FC236}">
                          <a16:creationId xmlns:a16="http://schemas.microsoft.com/office/drawing/2014/main" id="{FE1894F2-2246-174E-2FDC-C773F9677573}"/>
                        </a:ext>
                      </a:extLst>
                    </pic:cNvPr>
                    <pic:cNvPicPr>
                      <a:picLocks noChangeAspect="1"/>
                    </pic:cNvPicPr>
                  </pic:nvPicPr>
                  <pic:blipFill>
                    <a:blip r:embed="rId73"/>
                    <a:srcRect l="87752"/>
                    <a:stretch/>
                  </pic:blipFill>
                  <pic:spPr>
                    <a:xfrm>
                      <a:off x="0" y="0"/>
                      <a:ext cx="742122" cy="4993989"/>
                    </a:xfrm>
                    <a:prstGeom prst="rect">
                      <a:avLst/>
                    </a:prstGeom>
                  </pic:spPr>
                </pic:pic>
              </a:graphicData>
            </a:graphic>
          </wp:anchor>
        </w:drawing>
      </w:r>
      <w:r w:rsidR="00BD60E8">
        <w:rPr>
          <w:b/>
          <w:bCs/>
          <w:u w:val="single"/>
        </w:rPr>
        <w:t>41</w:t>
      </w:r>
    </w:p>
    <w:p w14:paraId="6201956B" w14:textId="77777777" w:rsidR="00226AD5" w:rsidRDefault="00226AD5" w:rsidP="00226AD5">
      <w:pPr>
        <w:spacing w:line="480" w:lineRule="auto"/>
        <w:jc w:val="both"/>
      </w:pPr>
    </w:p>
    <w:p w14:paraId="72AD66DE" w14:textId="77777777" w:rsidR="00226AD5" w:rsidRDefault="00226AD5" w:rsidP="00226AD5">
      <w:pPr>
        <w:spacing w:after="160" w:line="278" w:lineRule="auto"/>
      </w:pPr>
    </w:p>
    <w:p w14:paraId="015051CE" w14:textId="77777777" w:rsidR="00226AD5" w:rsidRDefault="00226AD5" w:rsidP="00226AD5">
      <w:pPr>
        <w:spacing w:after="160" w:line="278" w:lineRule="auto"/>
      </w:pPr>
    </w:p>
    <w:p w14:paraId="015F08C2" w14:textId="77777777" w:rsidR="00226AD5" w:rsidRDefault="00226AD5" w:rsidP="00226AD5">
      <w:pPr>
        <w:spacing w:after="160" w:line="278" w:lineRule="auto"/>
      </w:pPr>
    </w:p>
    <w:p w14:paraId="35DFA171" w14:textId="77777777" w:rsidR="00226AD5" w:rsidRDefault="00226AD5" w:rsidP="00226AD5">
      <w:pPr>
        <w:spacing w:after="160" w:line="278" w:lineRule="auto"/>
      </w:pPr>
    </w:p>
    <w:p w14:paraId="5F413C68" w14:textId="77777777" w:rsidR="00226AD5" w:rsidRDefault="00226AD5" w:rsidP="00226AD5">
      <w:pPr>
        <w:spacing w:after="160" w:line="278" w:lineRule="auto"/>
      </w:pPr>
    </w:p>
    <w:p w14:paraId="64B756E4" w14:textId="77777777" w:rsidR="00226AD5" w:rsidRDefault="00226AD5" w:rsidP="00226AD5">
      <w:pPr>
        <w:spacing w:after="160" w:line="278" w:lineRule="auto"/>
      </w:pPr>
    </w:p>
    <w:p w14:paraId="688D655B" w14:textId="77777777" w:rsidR="00226AD5" w:rsidRDefault="00226AD5" w:rsidP="00226AD5">
      <w:pPr>
        <w:spacing w:after="160" w:line="278" w:lineRule="auto"/>
      </w:pPr>
    </w:p>
    <w:p w14:paraId="13764FEB" w14:textId="77777777" w:rsidR="00226AD5" w:rsidRDefault="00226AD5" w:rsidP="00226AD5">
      <w:pPr>
        <w:spacing w:after="160" w:line="278" w:lineRule="auto"/>
      </w:pPr>
    </w:p>
    <w:p w14:paraId="3CE4A783" w14:textId="77777777" w:rsidR="00226AD5" w:rsidRDefault="00226AD5" w:rsidP="00226AD5">
      <w:pPr>
        <w:spacing w:after="160" w:line="278" w:lineRule="auto"/>
      </w:pPr>
    </w:p>
    <w:p w14:paraId="2AFB2ED3" w14:textId="77777777" w:rsidR="00226AD5" w:rsidRDefault="00226AD5" w:rsidP="00226AD5">
      <w:pPr>
        <w:spacing w:after="160" w:line="278" w:lineRule="auto"/>
      </w:pPr>
    </w:p>
    <w:p w14:paraId="01400D27" w14:textId="77777777" w:rsidR="00226AD5" w:rsidRDefault="00226AD5" w:rsidP="00226AD5">
      <w:pPr>
        <w:spacing w:after="160" w:line="278" w:lineRule="auto"/>
      </w:pPr>
    </w:p>
    <w:p w14:paraId="11454300" w14:textId="77777777" w:rsidR="00226AD5" w:rsidRDefault="00226AD5" w:rsidP="00226AD5">
      <w:pPr>
        <w:spacing w:after="160" w:line="278" w:lineRule="auto"/>
      </w:pPr>
    </w:p>
    <w:p w14:paraId="29280276" w14:textId="77777777" w:rsidR="00226AD5" w:rsidRDefault="00226AD5" w:rsidP="00226AD5">
      <w:pPr>
        <w:spacing w:after="160" w:line="278" w:lineRule="auto"/>
      </w:pPr>
    </w:p>
    <w:p w14:paraId="7EF33554" w14:textId="77777777" w:rsidR="00226AD5" w:rsidRDefault="00226AD5" w:rsidP="00226AD5">
      <w:pPr>
        <w:spacing w:after="160" w:line="278" w:lineRule="auto"/>
      </w:pPr>
    </w:p>
    <w:p w14:paraId="5351D282" w14:textId="77777777" w:rsidR="00226AD5" w:rsidRDefault="00226AD5" w:rsidP="00226AD5">
      <w:pPr>
        <w:spacing w:after="160" w:line="278" w:lineRule="auto"/>
      </w:pPr>
    </w:p>
    <w:p w14:paraId="0505B88C" w14:textId="1F49221A" w:rsidR="00226AD5" w:rsidRDefault="00226AD5" w:rsidP="00226AD5">
      <w:pPr>
        <w:spacing w:after="160" w:line="278" w:lineRule="auto"/>
      </w:pPr>
      <w:r>
        <w:t>Figure S</w:t>
      </w:r>
      <w:r w:rsidR="00BD60E8">
        <w:t>41</w:t>
      </w:r>
      <w:r>
        <w:t>: EEG amplitude (top inset) and power spectrum during eye opening and closing.</w:t>
      </w:r>
    </w:p>
    <w:p w14:paraId="758DA660" w14:textId="77777777" w:rsidR="00886F3D" w:rsidRDefault="00886F3D" w:rsidP="009C6325">
      <w:pPr>
        <w:spacing w:line="480" w:lineRule="auto"/>
        <w:jc w:val="both"/>
      </w:pPr>
    </w:p>
    <w:p w14:paraId="37F0ACB0" w14:textId="77777777" w:rsidR="00886F3D" w:rsidRDefault="00886F3D">
      <w:pPr>
        <w:spacing w:after="160" w:line="278" w:lineRule="auto"/>
      </w:pPr>
      <w:r>
        <w:br w:type="page"/>
      </w:r>
    </w:p>
    <w:p w14:paraId="5710EA12" w14:textId="7A2BE3DF" w:rsidR="00081AE2" w:rsidRDefault="003947F4" w:rsidP="00E82A14">
      <w:pPr>
        <w:spacing w:line="480" w:lineRule="auto"/>
        <w:jc w:val="both"/>
      </w:pPr>
      <w:r w:rsidRPr="00F87CB0">
        <w:rPr>
          <w:b/>
          <w:bCs/>
          <w:u w:val="single"/>
        </w:rPr>
        <w:lastRenderedPageBreak/>
        <w:t>Supplementary Figure</w:t>
      </w:r>
      <w:r>
        <w:rPr>
          <w:b/>
          <w:bCs/>
          <w:u w:val="single"/>
        </w:rPr>
        <w:t xml:space="preserve"> </w:t>
      </w:r>
      <w:r w:rsidR="00BD60E8">
        <w:rPr>
          <w:b/>
          <w:bCs/>
          <w:u w:val="single"/>
        </w:rPr>
        <w:t>42</w:t>
      </w:r>
    </w:p>
    <w:p w14:paraId="71C066BA" w14:textId="45617839" w:rsidR="00CD787F" w:rsidRDefault="00E029D1">
      <w:pPr>
        <w:spacing w:after="160" w:line="278" w:lineRule="auto"/>
      </w:pPr>
      <w:r w:rsidRPr="00E029D1">
        <w:rPr>
          <w:noProof/>
          <w14:ligatures w14:val="standardContextual"/>
        </w:rPr>
        <w:object w:dxaOrig="15437" w:dyaOrig="11816" w14:anchorId="7FB31477">
          <v:shape id="_x0000_i1049" type="#_x0000_t75" alt="" style="width:467.75pt;height:358pt;mso-width-percent:0;mso-height-percent:0;mso-width-percent:0;mso-height-percent:0" o:ole="">
            <v:imagedata r:id="rId74" o:title=""/>
          </v:shape>
          <o:OLEObject Type="Embed" ProgID="Origin95.Graph" ShapeID="_x0000_i1049" DrawAspect="Content" ObjectID="_1798371548" r:id="rId75"/>
        </w:object>
      </w:r>
    </w:p>
    <w:p w14:paraId="74AC659B" w14:textId="6DC97AFF" w:rsidR="00CD787F" w:rsidRDefault="00CD787F" w:rsidP="00CD787F">
      <w:pPr>
        <w:spacing w:after="160" w:line="278" w:lineRule="auto"/>
      </w:pPr>
      <w:r>
        <w:t>Figure S</w:t>
      </w:r>
      <w:r w:rsidR="00BD60E8">
        <w:t>42</w:t>
      </w:r>
      <w:r>
        <w:t xml:space="preserve">: </w:t>
      </w:r>
      <w:r w:rsidR="006B445B">
        <w:t>Comparison</w:t>
      </w:r>
      <w:r w:rsidR="00257BE0">
        <w:t xml:space="preserve"> in the s</w:t>
      </w:r>
      <w:r>
        <w:t>kin</w:t>
      </w:r>
      <w:r w:rsidR="002D6C85">
        <w:t xml:space="preserve"> </w:t>
      </w:r>
      <w:r>
        <w:t>contact impedance of</w:t>
      </w:r>
      <w:r w:rsidR="00257BE0">
        <w:t xml:space="preserve"> the</w:t>
      </w:r>
      <w:r>
        <w:t xml:space="preserve"> </w:t>
      </w:r>
      <w:r w:rsidR="006A69C5">
        <w:t>ionic biogel before and after sweating</w:t>
      </w:r>
      <w:r w:rsidR="00257BE0">
        <w:t xml:space="preserve"> from running</w:t>
      </w:r>
      <w:r>
        <w:t>.</w:t>
      </w:r>
    </w:p>
    <w:p w14:paraId="598A3AEF" w14:textId="666CA9F1" w:rsidR="00081AE2" w:rsidRDefault="00081AE2">
      <w:pPr>
        <w:spacing w:after="160" w:line="278" w:lineRule="auto"/>
      </w:pPr>
      <w:r>
        <w:br w:type="page"/>
      </w:r>
    </w:p>
    <w:p w14:paraId="28050F8D" w14:textId="018D47FA" w:rsidR="00081AE2" w:rsidRDefault="003947F4" w:rsidP="00E82A14">
      <w:pPr>
        <w:spacing w:line="480" w:lineRule="auto"/>
        <w:jc w:val="both"/>
      </w:pPr>
      <w:r w:rsidRPr="00F87CB0">
        <w:rPr>
          <w:b/>
          <w:bCs/>
          <w:u w:val="single"/>
        </w:rPr>
        <w:lastRenderedPageBreak/>
        <w:t>Supplementary Figure</w:t>
      </w:r>
      <w:r w:rsidR="0079394A">
        <w:rPr>
          <w:b/>
          <w:bCs/>
          <w:u w:val="single"/>
        </w:rPr>
        <w:t xml:space="preserve"> </w:t>
      </w:r>
      <w:r w:rsidR="00BD60E8">
        <w:rPr>
          <w:b/>
          <w:bCs/>
          <w:u w:val="single"/>
        </w:rPr>
        <w:t>43</w:t>
      </w:r>
    </w:p>
    <w:p w14:paraId="7806E8CC" w14:textId="77777777" w:rsidR="006A69C5" w:rsidRDefault="008A00A7">
      <w:pPr>
        <w:spacing w:after="160" w:line="278" w:lineRule="auto"/>
      </w:pPr>
      <w:r w:rsidRPr="008A00A7">
        <w:rPr>
          <w:noProof/>
        </w:rPr>
        <w:drawing>
          <wp:inline distT="0" distB="0" distL="0" distR="0" wp14:anchorId="0D1013A5" wp14:editId="3CCE625B">
            <wp:extent cx="5877218" cy="4548733"/>
            <wp:effectExtent l="0" t="0" r="0" b="4445"/>
            <wp:docPr id="1610248372" name="Picture 1">
              <a:extLst xmlns:a="http://schemas.openxmlformats.org/drawingml/2006/main">
                <a:ext uri="{FF2B5EF4-FFF2-40B4-BE49-F238E27FC236}">
                  <a16:creationId xmlns:a16="http://schemas.microsoft.com/office/drawing/2014/main" id="{79DDC68E-ECEE-FBB1-C727-71E012D32E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79DDC68E-ECEE-FBB1-C727-71E012D32E00}"/>
                        </a:ext>
                      </a:extLst>
                    </pic:cNvPr>
                    <pic:cNvPicPr>
                      <a:picLocks noChangeAspect="1"/>
                    </pic:cNvPicPr>
                  </pic:nvPicPr>
                  <pic:blipFill>
                    <a:blip r:embed="rId76"/>
                    <a:stretch>
                      <a:fillRect/>
                    </a:stretch>
                  </pic:blipFill>
                  <pic:spPr>
                    <a:xfrm>
                      <a:off x="0" y="0"/>
                      <a:ext cx="5877218" cy="4548733"/>
                    </a:xfrm>
                    <a:prstGeom prst="rect">
                      <a:avLst/>
                    </a:prstGeom>
                  </pic:spPr>
                </pic:pic>
              </a:graphicData>
            </a:graphic>
          </wp:inline>
        </w:drawing>
      </w:r>
    </w:p>
    <w:p w14:paraId="3C1DD2F8" w14:textId="30DCC17A" w:rsidR="006262C2" w:rsidRDefault="006A69C5" w:rsidP="006A69C5">
      <w:pPr>
        <w:spacing w:after="160" w:line="278" w:lineRule="auto"/>
      </w:pPr>
      <w:r>
        <w:t>Figure S</w:t>
      </w:r>
      <w:r w:rsidR="00BD60E8">
        <w:t>43</w:t>
      </w:r>
      <w:r>
        <w:t xml:space="preserve">: </w:t>
      </w:r>
      <w:r w:rsidR="009447DC">
        <w:t>Coupling of different wave</w:t>
      </w:r>
      <w:r w:rsidR="00BF18C4">
        <w:t>s</w:t>
      </w:r>
      <w:r w:rsidR="004F7713">
        <w:t xml:space="preserve"> (alpha</w:t>
      </w:r>
      <w:r w:rsidR="00232A33">
        <w:t xml:space="preserve"> – 8 to 13 Hz, beta – 13 to 30 Hz</w:t>
      </w:r>
      <w:r w:rsidR="004F7713">
        <w:t>)</w:t>
      </w:r>
      <w:r w:rsidR="009447DC">
        <w:t xml:space="preserve"> </w:t>
      </w:r>
      <w:r w:rsidR="00343AA0">
        <w:t>in</w:t>
      </w:r>
      <w:r w:rsidR="009447DC">
        <w:t xml:space="preserve"> </w:t>
      </w:r>
      <w:r w:rsidR="00BF18C4">
        <w:t xml:space="preserve">the </w:t>
      </w:r>
      <w:r>
        <w:t xml:space="preserve">EEG power spectrum during </w:t>
      </w:r>
      <w:r w:rsidR="00212253">
        <w:t xml:space="preserve">eye </w:t>
      </w:r>
      <w:r>
        <w:t>clos</w:t>
      </w:r>
      <w:r w:rsidR="00212253">
        <w:t>ing</w:t>
      </w:r>
      <w:r>
        <w:t>.</w:t>
      </w:r>
    </w:p>
    <w:p w14:paraId="75CCA9AB" w14:textId="77777777" w:rsidR="006262C2" w:rsidRDefault="006262C2">
      <w:pPr>
        <w:spacing w:after="160" w:line="278" w:lineRule="auto"/>
      </w:pPr>
      <w:r>
        <w:br w:type="page"/>
      </w:r>
    </w:p>
    <w:p w14:paraId="0B346B8D" w14:textId="2E90904F" w:rsidR="00081AE2" w:rsidRDefault="00081AE2">
      <w:pPr>
        <w:spacing w:after="160" w:line="278" w:lineRule="auto"/>
      </w:pPr>
    </w:p>
    <w:p w14:paraId="681CEB51" w14:textId="2A8A34C3" w:rsidR="00343AA0" w:rsidRDefault="003947F4" w:rsidP="00DC6183">
      <w:pPr>
        <w:spacing w:line="480" w:lineRule="auto"/>
        <w:jc w:val="both"/>
      </w:pPr>
      <w:r w:rsidRPr="00F87CB0">
        <w:rPr>
          <w:b/>
          <w:bCs/>
          <w:u w:val="single"/>
        </w:rPr>
        <w:t>Supplementary Figure</w:t>
      </w:r>
      <w:r>
        <w:rPr>
          <w:b/>
          <w:bCs/>
          <w:u w:val="single"/>
        </w:rPr>
        <w:t xml:space="preserve"> </w:t>
      </w:r>
      <w:r w:rsidR="0015425B">
        <w:rPr>
          <w:noProof/>
        </w:rPr>
        <w:drawing>
          <wp:anchor distT="0" distB="0" distL="114300" distR="114300" simplePos="0" relativeHeight="251658247" behindDoc="0" locked="0" layoutInCell="1" allowOverlap="1" wp14:anchorId="2BE19ABC" wp14:editId="4530B378">
            <wp:simplePos x="0" y="0"/>
            <wp:positionH relativeFrom="margin">
              <wp:align>center</wp:align>
            </wp:positionH>
            <wp:positionV relativeFrom="paragraph">
              <wp:posOffset>289560</wp:posOffset>
            </wp:positionV>
            <wp:extent cx="6870700" cy="2280285"/>
            <wp:effectExtent l="0" t="0" r="6350" b="5715"/>
            <wp:wrapTopAndBottom/>
            <wp:docPr id="51288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870700" cy="2280285"/>
                    </a:xfrm>
                    <a:prstGeom prst="rect">
                      <a:avLst/>
                    </a:prstGeom>
                    <a:noFill/>
                  </pic:spPr>
                </pic:pic>
              </a:graphicData>
            </a:graphic>
          </wp:anchor>
        </w:drawing>
      </w:r>
      <w:r w:rsidR="00BD60E8">
        <w:rPr>
          <w:b/>
          <w:bCs/>
          <w:u w:val="single"/>
        </w:rPr>
        <w:t>44</w:t>
      </w:r>
    </w:p>
    <w:p w14:paraId="22A9A494" w14:textId="6F92AA74" w:rsidR="00374EE7" w:rsidRDefault="0085347F" w:rsidP="0085347F">
      <w:pPr>
        <w:spacing w:after="160" w:line="278" w:lineRule="auto"/>
      </w:pPr>
      <w:r>
        <w:t>Figure S</w:t>
      </w:r>
      <w:r w:rsidR="00BD60E8">
        <w:t>4</w:t>
      </w:r>
      <w:r w:rsidR="0098625E">
        <w:t>4</w:t>
      </w:r>
      <w:r>
        <w:t xml:space="preserve">: </w:t>
      </w:r>
      <w:r w:rsidR="00DB7B73">
        <w:t xml:space="preserve">Comparison in the </w:t>
      </w:r>
      <w:r>
        <w:t xml:space="preserve">EEG </w:t>
      </w:r>
      <w:r w:rsidR="00220B25">
        <w:t>signal</w:t>
      </w:r>
      <w:r w:rsidR="0006057A">
        <w:t xml:space="preserve"> </w:t>
      </w:r>
      <w:r>
        <w:t xml:space="preserve">and power spectrum </w:t>
      </w:r>
      <w:r w:rsidR="0006057A">
        <w:t xml:space="preserve">from </w:t>
      </w:r>
      <w:r>
        <w:t>lifting different weights</w:t>
      </w:r>
      <w:r w:rsidR="00DB7B73">
        <w:t>: 0.5, 1, and 2 kg</w:t>
      </w:r>
      <w:r>
        <w:t>.</w:t>
      </w:r>
    </w:p>
    <w:p w14:paraId="337B8086" w14:textId="77777777" w:rsidR="00374EE7" w:rsidRDefault="00374EE7">
      <w:pPr>
        <w:spacing w:after="160" w:line="278" w:lineRule="auto"/>
      </w:pPr>
      <w:r>
        <w:br w:type="page"/>
      </w:r>
    </w:p>
    <w:p w14:paraId="0721ACDF" w14:textId="03D525B7" w:rsidR="003947F4" w:rsidRDefault="003947F4" w:rsidP="003947F4">
      <w:pPr>
        <w:spacing w:line="480" w:lineRule="auto"/>
        <w:jc w:val="both"/>
        <w:rPr>
          <w:b/>
          <w:bCs/>
          <w:u w:val="single"/>
        </w:rPr>
      </w:pPr>
      <w:r w:rsidRPr="00F87CB0">
        <w:rPr>
          <w:b/>
          <w:bCs/>
          <w:u w:val="single"/>
        </w:rPr>
        <w:lastRenderedPageBreak/>
        <w:t>Supplementary Figure</w:t>
      </w:r>
      <w:r>
        <w:rPr>
          <w:b/>
          <w:bCs/>
          <w:u w:val="single"/>
        </w:rPr>
        <w:t xml:space="preserve"> </w:t>
      </w:r>
      <w:r w:rsidR="00BD60E8">
        <w:rPr>
          <w:b/>
          <w:bCs/>
          <w:u w:val="single"/>
        </w:rPr>
        <w:t>45</w:t>
      </w:r>
    </w:p>
    <w:p w14:paraId="5A6E7695" w14:textId="474DE984" w:rsidR="008A7B15" w:rsidRDefault="00E029D1">
      <w:pPr>
        <w:spacing w:after="160" w:line="278" w:lineRule="auto"/>
      </w:pPr>
      <w:r w:rsidRPr="00E029D1">
        <w:rPr>
          <w:noProof/>
          <w14:ligatures w14:val="standardContextual"/>
        </w:rPr>
        <w:object w:dxaOrig="15437" w:dyaOrig="11816" w14:anchorId="52F6A431">
          <v:shape id="_x0000_i1050" type="#_x0000_t75" alt="" style="width:467.75pt;height:358pt;mso-width-percent:0;mso-height-percent:0;mso-width-percent:0;mso-height-percent:0" o:ole="">
            <v:imagedata r:id="rId78" o:title=""/>
          </v:shape>
          <o:OLEObject Type="Embed" ProgID="Origin95.Graph" ShapeID="_x0000_i1050" DrawAspect="Content" ObjectID="_1798371549" r:id="rId79"/>
        </w:object>
      </w:r>
    </w:p>
    <w:p w14:paraId="3D9AA807" w14:textId="03D64095" w:rsidR="00C6243B" w:rsidRDefault="0085347F" w:rsidP="00DC6183">
      <w:pPr>
        <w:spacing w:after="160" w:line="278" w:lineRule="auto"/>
      </w:pPr>
      <w:r>
        <w:t>Figure S</w:t>
      </w:r>
      <w:r w:rsidR="00BD60E8">
        <w:t>45</w:t>
      </w:r>
      <w:r>
        <w:t xml:space="preserve">: </w:t>
      </w:r>
      <w:r w:rsidR="00793C6F">
        <w:t>Increase</w:t>
      </w:r>
      <w:r w:rsidR="00E70F28">
        <w:t>d</w:t>
      </w:r>
      <w:r w:rsidR="00793C6F">
        <w:t xml:space="preserve"> </w:t>
      </w:r>
      <w:r>
        <w:t xml:space="preserve">EEG </w:t>
      </w:r>
      <w:r w:rsidR="00793C6F">
        <w:t xml:space="preserve">power </w:t>
      </w:r>
      <w:r>
        <w:t xml:space="preserve">amplitude </w:t>
      </w:r>
      <w:r w:rsidR="00E70F28">
        <w:t xml:space="preserve">as the </w:t>
      </w:r>
      <w:r>
        <w:t xml:space="preserve">lifting </w:t>
      </w:r>
      <w:r w:rsidR="00E70F28">
        <w:t xml:space="preserve">weight is increased from </w:t>
      </w:r>
      <w:r w:rsidR="00793C6F">
        <w:t xml:space="preserve">1 </w:t>
      </w:r>
      <w:r w:rsidR="00E70F28">
        <w:t xml:space="preserve">to </w:t>
      </w:r>
      <w:r w:rsidR="00793C6F">
        <w:t>2 kg</w:t>
      </w:r>
      <w:r>
        <w:t>.</w:t>
      </w:r>
    </w:p>
    <w:p w14:paraId="1F065E86" w14:textId="77777777" w:rsidR="00C6243B" w:rsidRDefault="00C6243B">
      <w:pPr>
        <w:spacing w:after="160" w:line="278" w:lineRule="auto"/>
      </w:pPr>
      <w:r>
        <w:br w:type="page"/>
      </w:r>
    </w:p>
    <w:p w14:paraId="4F10762D" w14:textId="4634EB3F" w:rsidR="00B15119" w:rsidRPr="00341197" w:rsidRDefault="005F68E2" w:rsidP="00DC6183">
      <w:pPr>
        <w:spacing w:after="160" w:line="278" w:lineRule="auto"/>
        <w:rPr>
          <w:b/>
          <w:bCs/>
          <w:u w:val="single"/>
        </w:rPr>
      </w:pPr>
      <w:r w:rsidRPr="00341197">
        <w:rPr>
          <w:b/>
          <w:bCs/>
          <w:u w:val="single"/>
        </w:rPr>
        <w:lastRenderedPageBreak/>
        <w:t xml:space="preserve">Supplementary Figure </w:t>
      </w:r>
      <w:r w:rsidR="00BD60E8">
        <w:rPr>
          <w:b/>
          <w:bCs/>
          <w:u w:val="single"/>
        </w:rPr>
        <w:t>46</w:t>
      </w:r>
    </w:p>
    <w:p w14:paraId="5B3280A6" w14:textId="2CEFE15D" w:rsidR="005F68E2" w:rsidRDefault="00E029D1" w:rsidP="00DC6183">
      <w:pPr>
        <w:spacing w:after="160" w:line="278" w:lineRule="auto"/>
      </w:pPr>
      <w:r w:rsidRPr="00E029D1">
        <w:rPr>
          <w:noProof/>
          <w14:ligatures w14:val="standardContextual"/>
        </w:rPr>
        <w:object w:dxaOrig="15437" w:dyaOrig="11816" w14:anchorId="38202F65">
          <v:shape id="_x0000_i1051" type="#_x0000_t75" alt="" style="width:467.75pt;height:358pt;mso-width-percent:0;mso-height-percent:0;mso-width-percent:0;mso-height-percent:0" o:ole="">
            <v:imagedata r:id="rId80" o:title=""/>
          </v:shape>
          <o:OLEObject Type="Embed" ProgID="Origin95.Graph" ShapeID="_x0000_i1051" DrawAspect="Content" ObjectID="_1798371550" r:id="rId81"/>
        </w:object>
      </w:r>
    </w:p>
    <w:p w14:paraId="7C4F6CA7" w14:textId="71D6493C" w:rsidR="005F68E2" w:rsidRDefault="005F68E2" w:rsidP="00DC6183">
      <w:pPr>
        <w:spacing w:after="160" w:line="278" w:lineRule="auto"/>
      </w:pPr>
      <w:r>
        <w:t>Figure S</w:t>
      </w:r>
      <w:r w:rsidR="00C5391F">
        <w:t>46</w:t>
      </w:r>
      <w:r>
        <w:t xml:space="preserve">: </w:t>
      </w:r>
      <w:r w:rsidR="006558D3" w:rsidRPr="00D712CE">
        <w:rPr>
          <w:color w:val="000000" w:themeColor="text1"/>
          <w:sz w:val="21"/>
          <w:szCs w:val="21"/>
          <w:lang w:val="en-GB"/>
        </w:rPr>
        <w:t xml:space="preserve">Variation of power amplitude with repeated weight reps. </w:t>
      </w:r>
    </w:p>
    <w:p w14:paraId="6615F215" w14:textId="77777777" w:rsidR="005F68E2" w:rsidRDefault="005F68E2">
      <w:pPr>
        <w:spacing w:after="160" w:line="278" w:lineRule="auto"/>
      </w:pPr>
      <w:r>
        <w:br w:type="page"/>
      </w:r>
    </w:p>
    <w:p w14:paraId="3C0EB664" w14:textId="2FB63384" w:rsidR="00A353DC" w:rsidRPr="00A353DC" w:rsidRDefault="00A353DC" w:rsidP="00A353DC">
      <w:pPr>
        <w:spacing w:after="160" w:line="278" w:lineRule="auto"/>
        <w:rPr>
          <w:b/>
          <w:bCs/>
          <w:u w:val="single"/>
        </w:rPr>
      </w:pPr>
      <w:r w:rsidRPr="00A353DC">
        <w:rPr>
          <w:b/>
          <w:bCs/>
          <w:u w:val="single"/>
        </w:rPr>
        <w:lastRenderedPageBreak/>
        <w:t xml:space="preserve">Supplementary Figure </w:t>
      </w:r>
      <w:r w:rsidR="00C5391F">
        <w:rPr>
          <w:b/>
          <w:bCs/>
          <w:u w:val="single"/>
        </w:rPr>
        <w:t>47</w:t>
      </w:r>
    </w:p>
    <w:p w14:paraId="45C3270F" w14:textId="77777777" w:rsidR="00BF6C85" w:rsidRDefault="00BF6C85">
      <w:pPr>
        <w:spacing w:after="160" w:line="278" w:lineRule="auto"/>
      </w:pPr>
      <w:r>
        <w:rPr>
          <w:noProof/>
        </w:rPr>
        <w:drawing>
          <wp:inline distT="0" distB="0" distL="0" distR="0" wp14:anchorId="4CF5303A" wp14:editId="3E816ABA">
            <wp:extent cx="4176395" cy="1530350"/>
            <wp:effectExtent l="0" t="0" r="0" b="0"/>
            <wp:docPr id="7505338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176395" cy="1530350"/>
                    </a:xfrm>
                    <a:prstGeom prst="rect">
                      <a:avLst/>
                    </a:prstGeom>
                    <a:noFill/>
                  </pic:spPr>
                </pic:pic>
              </a:graphicData>
            </a:graphic>
          </wp:inline>
        </w:drawing>
      </w:r>
    </w:p>
    <w:p w14:paraId="73A8E8CD" w14:textId="237F5069" w:rsidR="00BF6C85" w:rsidRDefault="00BF6C85">
      <w:pPr>
        <w:spacing w:after="160" w:line="278" w:lineRule="auto"/>
      </w:pPr>
      <w:r>
        <w:t>Figure S</w:t>
      </w:r>
      <w:r w:rsidR="00C5391F">
        <w:t>47</w:t>
      </w:r>
      <w:r>
        <w:t>:</w:t>
      </w:r>
      <w:r w:rsidR="002C5E96">
        <w:t xml:space="preserve"> </w:t>
      </w:r>
      <w:r w:rsidR="002C5E96">
        <w:rPr>
          <w:rStyle w:val="Strong"/>
          <w:rFonts w:eastAsiaTheme="majorEastAsia"/>
          <w:b w:val="0"/>
          <w:bCs w:val="0"/>
          <w:color w:val="000000" w:themeColor="text1"/>
          <w:sz w:val="21"/>
          <w:szCs w:val="21"/>
          <w:lang w:val="en-GB"/>
        </w:rPr>
        <w:t xml:space="preserve">Photograph </w:t>
      </w:r>
      <w:r w:rsidR="002C5E96" w:rsidRPr="00D712CE">
        <w:rPr>
          <w:rStyle w:val="Strong"/>
          <w:rFonts w:eastAsiaTheme="majorEastAsia"/>
          <w:b w:val="0"/>
          <w:bCs w:val="0"/>
          <w:color w:val="000000" w:themeColor="text1"/>
          <w:sz w:val="21"/>
          <w:szCs w:val="21"/>
          <w:lang w:val="en-GB"/>
        </w:rPr>
        <w:t xml:space="preserve">of </w:t>
      </w:r>
      <w:r w:rsidR="002C5E96">
        <w:rPr>
          <w:rStyle w:val="Strong"/>
          <w:rFonts w:eastAsiaTheme="majorEastAsia"/>
          <w:b w:val="0"/>
          <w:bCs w:val="0"/>
          <w:color w:val="000000" w:themeColor="text1"/>
          <w:sz w:val="21"/>
          <w:szCs w:val="21"/>
          <w:lang w:val="en-GB"/>
        </w:rPr>
        <w:t xml:space="preserve">the </w:t>
      </w:r>
      <w:r w:rsidR="002C5E96" w:rsidRPr="00D712CE">
        <w:rPr>
          <w:rStyle w:val="Strong"/>
          <w:rFonts w:eastAsiaTheme="majorEastAsia"/>
          <w:b w:val="0"/>
          <w:bCs w:val="0"/>
          <w:color w:val="000000" w:themeColor="text1"/>
          <w:sz w:val="21"/>
          <w:szCs w:val="21"/>
          <w:lang w:val="en-GB"/>
        </w:rPr>
        <w:t xml:space="preserve">wearable electrical stimulator array placed on the arm. </w:t>
      </w:r>
      <w:r w:rsidR="00A353DC">
        <w:br w:type="page"/>
      </w:r>
    </w:p>
    <w:p w14:paraId="4C0DC0E0" w14:textId="55895CC6" w:rsidR="00B15119" w:rsidRDefault="00B15119" w:rsidP="00B15119">
      <w:pPr>
        <w:spacing w:line="480" w:lineRule="auto"/>
        <w:jc w:val="both"/>
      </w:pPr>
      <w:r w:rsidRPr="00F87CB0">
        <w:rPr>
          <w:b/>
          <w:bCs/>
          <w:u w:val="single"/>
        </w:rPr>
        <w:lastRenderedPageBreak/>
        <w:t>Supplementary Figure</w:t>
      </w:r>
      <w:r>
        <w:rPr>
          <w:b/>
          <w:bCs/>
          <w:u w:val="single"/>
        </w:rPr>
        <w:t xml:space="preserve"> </w:t>
      </w:r>
      <w:r w:rsidR="00811872">
        <w:rPr>
          <w:b/>
          <w:bCs/>
          <w:u w:val="single"/>
        </w:rPr>
        <w:t>48</w:t>
      </w:r>
    </w:p>
    <w:p w14:paraId="7BC9B9E3" w14:textId="72768AFE" w:rsidR="00F668A1" w:rsidRDefault="00533FD0" w:rsidP="00DC6183">
      <w:pPr>
        <w:spacing w:after="160" w:line="278" w:lineRule="auto"/>
        <w:rPr>
          <w:b/>
          <w:bCs/>
          <w:u w:val="single"/>
        </w:rPr>
      </w:pPr>
      <w:r w:rsidRPr="00A22FC4">
        <w:rPr>
          <w:b/>
          <w:noProof/>
        </w:rPr>
        <w:drawing>
          <wp:inline distT="0" distB="0" distL="0" distR="0" wp14:anchorId="48BF15DA" wp14:editId="4543B0CC">
            <wp:extent cx="5333271" cy="4030134"/>
            <wp:effectExtent l="0" t="0" r="0" b="8890"/>
            <wp:docPr id="1125095263" name="Picture 5" descr="A graph of a graph showing a number of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095263" name="Picture 5" descr="A graph of a graph showing a number of lines&#10;&#10;Description automatically generated with medium confidence"/>
                    <pic:cNvPicPr>
                      <a:picLocks noChangeAspect="1" noChangeArrowheads="1"/>
                    </pic:cNvPicPr>
                  </pic:nvPicPr>
                  <pic:blipFill rotWithShape="1">
                    <a:blip r:embed="rId83">
                      <a:extLst>
                        <a:ext uri="{28A0092B-C50C-407E-A947-70E740481C1C}">
                          <a14:useLocalDpi xmlns:a14="http://schemas.microsoft.com/office/drawing/2010/main" val="0"/>
                        </a:ext>
                      </a:extLst>
                    </a:blip>
                    <a:srcRect t="-1" b="1308"/>
                    <a:stretch/>
                  </pic:blipFill>
                  <pic:spPr bwMode="auto">
                    <a:xfrm>
                      <a:off x="0" y="0"/>
                      <a:ext cx="5340090" cy="4035287"/>
                    </a:xfrm>
                    <a:prstGeom prst="rect">
                      <a:avLst/>
                    </a:prstGeom>
                    <a:noFill/>
                    <a:ln>
                      <a:noFill/>
                    </a:ln>
                    <a:extLst>
                      <a:ext uri="{53640926-AAD7-44D8-BBD7-CCE9431645EC}">
                        <a14:shadowObscured xmlns:a14="http://schemas.microsoft.com/office/drawing/2010/main"/>
                      </a:ext>
                    </a:extLst>
                  </pic:spPr>
                </pic:pic>
              </a:graphicData>
            </a:graphic>
          </wp:inline>
        </w:drawing>
      </w:r>
    </w:p>
    <w:p w14:paraId="7DBAEA8C" w14:textId="323B37E0" w:rsidR="00A16DB6" w:rsidRDefault="00533FD0">
      <w:pPr>
        <w:spacing w:after="160" w:line="278" w:lineRule="auto"/>
      </w:pPr>
      <w:r>
        <w:t>Figure S</w:t>
      </w:r>
      <w:r w:rsidR="00811872">
        <w:t>48</w:t>
      </w:r>
      <w:r>
        <w:t xml:space="preserve">: </w:t>
      </w:r>
      <w:r w:rsidR="000E1353">
        <w:t>Event Related Desynchronization (ERD) during electrical stimulation or haptic sensation on Day 7.</w:t>
      </w:r>
    </w:p>
    <w:p w14:paraId="0EEF82BB" w14:textId="77777777" w:rsidR="00A16DB6" w:rsidRDefault="00A16DB6">
      <w:pPr>
        <w:spacing w:after="160" w:line="278" w:lineRule="auto"/>
      </w:pPr>
      <w:r>
        <w:br w:type="page"/>
      </w:r>
    </w:p>
    <w:p w14:paraId="05CE53E4" w14:textId="0E816BDE" w:rsidR="002F4FAA" w:rsidRDefault="002F4FAA">
      <w:pPr>
        <w:spacing w:after="160" w:line="278" w:lineRule="auto"/>
        <w:rPr>
          <w:b/>
          <w:bCs/>
          <w:u w:val="single"/>
        </w:rPr>
      </w:pPr>
      <w:r>
        <w:rPr>
          <w:b/>
          <w:bCs/>
          <w:u w:val="single"/>
        </w:rPr>
        <w:lastRenderedPageBreak/>
        <w:t xml:space="preserve">Supplementary Figure </w:t>
      </w:r>
      <w:r w:rsidR="00811872">
        <w:rPr>
          <w:b/>
          <w:bCs/>
          <w:u w:val="single"/>
        </w:rPr>
        <w:t>49</w:t>
      </w:r>
    </w:p>
    <w:p w14:paraId="7273682F" w14:textId="77777777" w:rsidR="002F4FAA" w:rsidRDefault="002F4FAA">
      <w:pPr>
        <w:spacing w:after="160" w:line="278" w:lineRule="auto"/>
        <w:rPr>
          <w:b/>
          <w:bCs/>
          <w:u w:val="single"/>
        </w:rPr>
      </w:pPr>
      <w:r w:rsidRPr="00A22FC4">
        <w:rPr>
          <w:noProof/>
          <w:u w:val="single"/>
        </w:rPr>
        <w:drawing>
          <wp:inline distT="0" distB="0" distL="0" distR="0" wp14:anchorId="11635C04" wp14:editId="1255E173">
            <wp:extent cx="6193790" cy="4700270"/>
            <wp:effectExtent l="0" t="0" r="0" b="5080"/>
            <wp:docPr id="20811193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93790" cy="4700270"/>
                    </a:xfrm>
                    <a:prstGeom prst="rect">
                      <a:avLst/>
                    </a:prstGeom>
                    <a:noFill/>
                  </pic:spPr>
                </pic:pic>
              </a:graphicData>
            </a:graphic>
          </wp:inline>
        </w:drawing>
      </w:r>
    </w:p>
    <w:p w14:paraId="377CDEB8" w14:textId="529DF8F2" w:rsidR="00BD55CE" w:rsidRDefault="002F4FAA">
      <w:pPr>
        <w:spacing w:after="160" w:line="278" w:lineRule="auto"/>
      </w:pPr>
      <w:r>
        <w:t>Figure S</w:t>
      </w:r>
      <w:r w:rsidR="00811872">
        <w:t>49</w:t>
      </w:r>
      <w:r>
        <w:t xml:space="preserve">: </w:t>
      </w:r>
      <w:r w:rsidR="001210A1">
        <w:t xml:space="preserve">Contact angle </w:t>
      </w:r>
      <w:r w:rsidR="00EC4392">
        <w:t>(</w:t>
      </w:r>
      <w:r w:rsidR="00E06B1D">
        <w:t>82°</w:t>
      </w:r>
      <w:r w:rsidR="00EC4392">
        <w:t>)</w:t>
      </w:r>
      <w:r w:rsidR="001210A1">
        <w:t xml:space="preserve"> between Paraffin Film and Ionic Biogel</w:t>
      </w:r>
      <w:r w:rsidR="00425DF0">
        <w:t>, which is</w:t>
      </w:r>
      <w:r w:rsidR="00E06B1D">
        <w:t xml:space="preserve"> larger than </w:t>
      </w:r>
      <w:r w:rsidR="00F0656E">
        <w:t>that of 60°</w:t>
      </w:r>
      <w:r w:rsidR="00517A09">
        <w:t xml:space="preserve"> for Ionic Biogel on </w:t>
      </w:r>
      <w:r w:rsidR="00E06B1D">
        <w:t>Polyimide Film</w:t>
      </w:r>
      <w:r w:rsidR="00A97C32">
        <w:t>.</w:t>
      </w:r>
    </w:p>
    <w:p w14:paraId="37C8B4E6" w14:textId="77777777" w:rsidR="00BD55CE" w:rsidRDefault="00BD55CE">
      <w:pPr>
        <w:spacing w:after="160" w:line="278" w:lineRule="auto"/>
      </w:pPr>
      <w:r>
        <w:br w:type="page"/>
      </w:r>
    </w:p>
    <w:p w14:paraId="43CDA9CA" w14:textId="1F9B226C" w:rsidR="00357FCF" w:rsidRPr="001229F8" w:rsidRDefault="00516982">
      <w:pPr>
        <w:spacing w:after="160" w:line="278" w:lineRule="auto"/>
        <w:rPr>
          <w:b/>
          <w:bCs/>
          <w:u w:val="single"/>
        </w:rPr>
      </w:pPr>
      <w:r w:rsidRPr="001229F8">
        <w:rPr>
          <w:b/>
          <w:bCs/>
          <w:u w:val="single"/>
        </w:rPr>
        <w:lastRenderedPageBreak/>
        <w:t xml:space="preserve">Supplementary Figure </w:t>
      </w:r>
      <w:r w:rsidR="00811872">
        <w:rPr>
          <w:b/>
          <w:bCs/>
          <w:u w:val="single"/>
        </w:rPr>
        <w:t>50</w:t>
      </w:r>
    </w:p>
    <w:p w14:paraId="51BFB44B" w14:textId="7C94631D" w:rsidR="00516982" w:rsidRDefault="001229F8">
      <w:pPr>
        <w:spacing w:after="160" w:line="278" w:lineRule="auto"/>
      </w:pPr>
      <w:r>
        <w:rPr>
          <w:noProof/>
        </w:rPr>
        <w:drawing>
          <wp:inline distT="0" distB="0" distL="0" distR="0" wp14:anchorId="1A020AE4" wp14:editId="20D1336F">
            <wp:extent cx="3722854" cy="2810933"/>
            <wp:effectExtent l="0" t="0" r="0" b="8890"/>
            <wp:docPr id="14546137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734484" cy="2819714"/>
                    </a:xfrm>
                    <a:prstGeom prst="rect">
                      <a:avLst/>
                    </a:prstGeom>
                    <a:noFill/>
                  </pic:spPr>
                </pic:pic>
              </a:graphicData>
            </a:graphic>
          </wp:inline>
        </w:drawing>
      </w:r>
    </w:p>
    <w:p w14:paraId="14116DDF" w14:textId="7F0C5CBA" w:rsidR="001229F8" w:rsidRDefault="001229F8">
      <w:pPr>
        <w:spacing w:after="160" w:line="278" w:lineRule="auto"/>
      </w:pPr>
      <w:r>
        <w:t>Figure S</w:t>
      </w:r>
      <w:r w:rsidR="00811872">
        <w:t>50</w:t>
      </w:r>
      <w:r>
        <w:t xml:space="preserve">: </w:t>
      </w:r>
      <w:r w:rsidR="00EE5216" w:rsidRPr="00D712CE">
        <w:rPr>
          <w:rStyle w:val="Strong"/>
          <w:rFonts w:eastAsiaTheme="majorEastAsia"/>
          <w:b w:val="0"/>
          <w:bCs w:val="0"/>
          <w:color w:val="000000" w:themeColor="text1"/>
          <w:sz w:val="21"/>
          <w:szCs w:val="21"/>
          <w:lang w:val="en-GB"/>
        </w:rPr>
        <w:t>Impedance spectra of tip-shaped neural interface with temperature.</w:t>
      </w:r>
    </w:p>
    <w:p w14:paraId="308457E4" w14:textId="763598EE" w:rsidR="00E54EF3" w:rsidRDefault="00A7617F">
      <w:pPr>
        <w:spacing w:after="160" w:line="278" w:lineRule="auto"/>
      </w:pPr>
      <w:r>
        <w:br w:type="page"/>
      </w:r>
    </w:p>
    <w:p w14:paraId="670CD1D5" w14:textId="33F9EAB3" w:rsidR="00A7617F" w:rsidRDefault="00A7617F">
      <w:pPr>
        <w:spacing w:after="160" w:line="278" w:lineRule="auto"/>
        <w:rPr>
          <w:b/>
          <w:bCs/>
          <w:u w:val="single"/>
        </w:rPr>
      </w:pPr>
      <w:r>
        <w:rPr>
          <w:b/>
          <w:bCs/>
          <w:u w:val="single"/>
        </w:rPr>
        <w:lastRenderedPageBreak/>
        <w:t xml:space="preserve">Supplementary Figure </w:t>
      </w:r>
      <w:r w:rsidR="00811872">
        <w:rPr>
          <w:b/>
          <w:bCs/>
          <w:u w:val="single"/>
        </w:rPr>
        <w:t>51</w:t>
      </w:r>
    </w:p>
    <w:p w14:paraId="07616944" w14:textId="13043962" w:rsidR="00A7603E" w:rsidRPr="00A22FC4" w:rsidRDefault="00E029D1">
      <w:pPr>
        <w:spacing w:after="160" w:line="278" w:lineRule="auto"/>
        <w:rPr>
          <w:b/>
        </w:rPr>
      </w:pPr>
      <w:r w:rsidRPr="00E029D1">
        <w:rPr>
          <w:b/>
          <w:bCs/>
          <w:noProof/>
          <w14:ligatures w14:val="standardContextual"/>
        </w:rPr>
        <w:object w:dxaOrig="15437" w:dyaOrig="11816" w14:anchorId="662F8285">
          <v:shape id="_x0000_i1052" type="#_x0000_t75" alt="" style="width:467.75pt;height:358pt;mso-width-percent:0;mso-height-percent:0;mso-width-percent:0;mso-height-percent:0" o:ole="">
            <v:imagedata r:id="rId86" o:title=""/>
          </v:shape>
          <o:OLEObject Type="Embed" ProgID="Origin95.Graph" ShapeID="_x0000_i1052" DrawAspect="Content" ObjectID="_1798371551" r:id="rId87"/>
        </w:object>
      </w:r>
    </w:p>
    <w:p w14:paraId="54A945C5" w14:textId="6554F538" w:rsidR="005A7F6D" w:rsidRDefault="00A7603E" w:rsidP="00046A01">
      <w:pPr>
        <w:spacing w:after="160" w:line="278" w:lineRule="auto"/>
        <w:jc w:val="both"/>
      </w:pPr>
      <w:r>
        <w:t>Figure S</w:t>
      </w:r>
      <w:r w:rsidR="00811872">
        <w:t>51</w:t>
      </w:r>
      <w:r>
        <w:t xml:space="preserve">: </w:t>
      </w:r>
      <w:r w:rsidR="00A94A0B">
        <w:t>Difference in the transconductance while ramping up and down the temperature at 20</w:t>
      </w:r>
      <w:r w:rsidR="00C46A79">
        <w:t>°</w:t>
      </w:r>
      <w:r w:rsidR="00A94A0B">
        <w:t xml:space="preserve"> C.</w:t>
      </w:r>
      <w:r w:rsidR="00C46A79">
        <w:t xml:space="preserve"> </w:t>
      </w:r>
      <w:r w:rsidR="00046A01">
        <w:t xml:space="preserve"> </w:t>
      </w:r>
      <w:r w:rsidR="00067C89">
        <w:t xml:space="preserve">The slight difference in transconductance during ramping up and ramping down at the same temperature can be attributed to </w:t>
      </w:r>
      <w:r w:rsidR="00067C89" w:rsidRPr="00046A01">
        <w:t>hysteresis</w:t>
      </w:r>
      <w:r w:rsidR="00067C89">
        <w:t xml:space="preserve"> arising from the slow ion migration and redistribution within the biogel matrix and PEDOT:PSS domains. </w:t>
      </w:r>
      <w:r w:rsidR="00046A01">
        <w:t xml:space="preserve"> </w:t>
      </w:r>
      <w:r w:rsidR="00067C89">
        <w:t>This time-dependent ionic motion causes a lag in electrochemical doping/dedoping, leading to minor asymmetry in the channel current response.</w:t>
      </w:r>
    </w:p>
    <w:p w14:paraId="075059C9" w14:textId="77777777" w:rsidR="005A7F6D" w:rsidRDefault="005A7F6D">
      <w:pPr>
        <w:spacing w:after="160" w:line="278" w:lineRule="auto"/>
      </w:pPr>
      <w:r>
        <w:br w:type="page"/>
      </w:r>
    </w:p>
    <w:p w14:paraId="2E05AAE7" w14:textId="7206F9EF" w:rsidR="00652C2F" w:rsidRPr="001323B9" w:rsidRDefault="00652C2F" w:rsidP="00454D83">
      <w:pPr>
        <w:spacing w:after="160" w:line="278" w:lineRule="auto"/>
        <w:rPr>
          <w:b/>
        </w:rPr>
      </w:pPr>
      <w:r w:rsidRPr="001323B9">
        <w:rPr>
          <w:b/>
        </w:rPr>
        <w:lastRenderedPageBreak/>
        <w:t>References</w:t>
      </w:r>
    </w:p>
    <w:p w14:paraId="126598BC" w14:textId="77777777" w:rsidR="00785CB3" w:rsidRPr="00785CB3" w:rsidRDefault="00652C2F" w:rsidP="00785CB3">
      <w:pPr>
        <w:pStyle w:val="Bibliography"/>
      </w:pPr>
      <w:r>
        <w:fldChar w:fldCharType="begin"/>
      </w:r>
      <w:r w:rsidR="00785CB3">
        <w:instrText xml:space="preserve"> ADDIN ZOTERO_BIBL {"uncited":[],"omitted":[],"custom":[]} CSL_BIBLIOGRAPHY </w:instrText>
      </w:r>
      <w:r>
        <w:fldChar w:fldCharType="separate"/>
      </w:r>
      <w:r w:rsidR="00785CB3" w:rsidRPr="00785CB3">
        <w:t>1.</w:t>
      </w:r>
      <w:r w:rsidR="00785CB3" w:rsidRPr="00785CB3">
        <w:tab/>
        <w:t xml:space="preserve">Wang, Y. </w:t>
      </w:r>
      <w:r w:rsidR="00785CB3" w:rsidRPr="00785CB3">
        <w:rPr>
          <w:i/>
          <w:iCs/>
        </w:rPr>
        <w:t>et al.</w:t>
      </w:r>
      <w:r w:rsidR="00785CB3" w:rsidRPr="00785CB3">
        <w:t xml:space="preserve"> A highly stretchable, transparent, and conductive polymer. </w:t>
      </w:r>
      <w:r w:rsidR="00785CB3" w:rsidRPr="00785CB3">
        <w:rPr>
          <w:i/>
          <w:iCs/>
        </w:rPr>
        <w:t>Sci. Adv.</w:t>
      </w:r>
      <w:r w:rsidR="00785CB3" w:rsidRPr="00785CB3">
        <w:t xml:space="preserve"> </w:t>
      </w:r>
      <w:r w:rsidR="00785CB3" w:rsidRPr="00785CB3">
        <w:rPr>
          <w:b/>
          <w:bCs/>
        </w:rPr>
        <w:t>3</w:t>
      </w:r>
      <w:r w:rsidR="00785CB3" w:rsidRPr="00785CB3">
        <w:t>, e1602076 (2017).</w:t>
      </w:r>
    </w:p>
    <w:p w14:paraId="5EA1275B" w14:textId="77777777" w:rsidR="00785CB3" w:rsidRPr="00785CB3" w:rsidRDefault="00785CB3" w:rsidP="00785CB3">
      <w:pPr>
        <w:pStyle w:val="Bibliography"/>
      </w:pPr>
      <w:r w:rsidRPr="00785CB3">
        <w:t>2.</w:t>
      </w:r>
      <w:r w:rsidRPr="00785CB3">
        <w:tab/>
        <w:t xml:space="preserve">Wang, C. </w:t>
      </w:r>
      <w:r w:rsidRPr="00785CB3">
        <w:rPr>
          <w:i/>
          <w:iCs/>
        </w:rPr>
        <w:t>et al.</w:t>
      </w:r>
      <w:r w:rsidRPr="00785CB3">
        <w:t xml:space="preserve"> On-skin paintable biogel for long-term high-fidelity electroencephalogram recording. </w:t>
      </w:r>
      <w:r w:rsidRPr="00785CB3">
        <w:rPr>
          <w:i/>
          <w:iCs/>
        </w:rPr>
        <w:t>Sci. Adv.</w:t>
      </w:r>
      <w:r w:rsidRPr="00785CB3">
        <w:t xml:space="preserve"> </w:t>
      </w:r>
      <w:r w:rsidRPr="00785CB3">
        <w:rPr>
          <w:b/>
          <w:bCs/>
        </w:rPr>
        <w:t>8</w:t>
      </w:r>
      <w:r w:rsidRPr="00785CB3">
        <w:t>, eabo1396 (2022).</w:t>
      </w:r>
    </w:p>
    <w:p w14:paraId="676FBDB3" w14:textId="77777777" w:rsidR="00785CB3" w:rsidRPr="00785CB3" w:rsidRDefault="00785CB3" w:rsidP="00785CB3">
      <w:pPr>
        <w:pStyle w:val="Bibliography"/>
      </w:pPr>
      <w:r w:rsidRPr="00785CB3">
        <w:t>3.</w:t>
      </w:r>
      <w:r w:rsidRPr="00785CB3">
        <w:tab/>
        <w:t xml:space="preserve">Lan, L. </w:t>
      </w:r>
      <w:r w:rsidRPr="00785CB3">
        <w:rPr>
          <w:i/>
          <w:iCs/>
        </w:rPr>
        <w:t>et al.</w:t>
      </w:r>
      <w:r w:rsidRPr="00785CB3">
        <w:t xml:space="preserve"> Skin‐Inspired All‐Natural Biogel for Bioadhesive Interface. </w:t>
      </w:r>
      <w:r w:rsidRPr="00785CB3">
        <w:rPr>
          <w:i/>
          <w:iCs/>
        </w:rPr>
        <w:t>Adv. Mater.</w:t>
      </w:r>
      <w:r w:rsidRPr="00785CB3">
        <w:t xml:space="preserve"> </w:t>
      </w:r>
      <w:r w:rsidRPr="00785CB3">
        <w:rPr>
          <w:b/>
          <w:bCs/>
        </w:rPr>
        <w:t>36</w:t>
      </w:r>
      <w:r w:rsidRPr="00785CB3">
        <w:t>, 2401151 (2024).</w:t>
      </w:r>
    </w:p>
    <w:p w14:paraId="44CD6E98" w14:textId="77777777" w:rsidR="00785CB3" w:rsidRPr="00785CB3" w:rsidRDefault="00785CB3" w:rsidP="00785CB3">
      <w:pPr>
        <w:pStyle w:val="Bibliography"/>
      </w:pPr>
      <w:r w:rsidRPr="00785CB3">
        <w:t>4.</w:t>
      </w:r>
      <w:r w:rsidRPr="00785CB3">
        <w:tab/>
        <w:t xml:space="preserve">Brangwynne, C. P. </w:t>
      </w:r>
      <w:r w:rsidRPr="00785CB3">
        <w:rPr>
          <w:i/>
          <w:iCs/>
        </w:rPr>
        <w:t>et al.</w:t>
      </w:r>
      <w:r w:rsidRPr="00785CB3">
        <w:t xml:space="preserve"> Germline P Granules Are Liquid Droplets That Localize by Controlled Dissolution/Condensation. </w:t>
      </w:r>
      <w:r w:rsidRPr="00785CB3">
        <w:rPr>
          <w:i/>
          <w:iCs/>
        </w:rPr>
        <w:t>Science</w:t>
      </w:r>
      <w:r w:rsidRPr="00785CB3">
        <w:t xml:space="preserve"> </w:t>
      </w:r>
      <w:r w:rsidRPr="00785CB3">
        <w:rPr>
          <w:b/>
          <w:bCs/>
        </w:rPr>
        <w:t>324</w:t>
      </w:r>
      <w:r w:rsidRPr="00785CB3">
        <w:t>, 1729–1732 (2009).</w:t>
      </w:r>
    </w:p>
    <w:p w14:paraId="18188CA5" w14:textId="77777777" w:rsidR="00785CB3" w:rsidRPr="00785CB3" w:rsidRDefault="00785CB3" w:rsidP="00785CB3">
      <w:pPr>
        <w:pStyle w:val="Bibliography"/>
      </w:pPr>
      <w:r w:rsidRPr="00785CB3">
        <w:t>5.</w:t>
      </w:r>
      <w:r w:rsidRPr="00785CB3">
        <w:tab/>
        <w:t xml:space="preserve">Duan, C. &amp; Wang, R. A Unified Description of Salt Effects on the Liquid–Liquid Phase Separation of Proteins. </w:t>
      </w:r>
      <w:r w:rsidRPr="00785CB3">
        <w:rPr>
          <w:i/>
          <w:iCs/>
        </w:rPr>
        <w:t>ACS Cent. Sci.</w:t>
      </w:r>
      <w:r w:rsidRPr="00785CB3">
        <w:t xml:space="preserve"> </w:t>
      </w:r>
      <w:r w:rsidRPr="00785CB3">
        <w:rPr>
          <w:b/>
          <w:bCs/>
        </w:rPr>
        <w:t>10</w:t>
      </w:r>
      <w:r w:rsidRPr="00785CB3">
        <w:t>, 460–468 (2024).</w:t>
      </w:r>
    </w:p>
    <w:p w14:paraId="00D85E1A" w14:textId="77777777" w:rsidR="00785CB3" w:rsidRPr="00785CB3" w:rsidRDefault="00785CB3" w:rsidP="00785CB3">
      <w:pPr>
        <w:pStyle w:val="Bibliography"/>
      </w:pPr>
      <w:r w:rsidRPr="00785CB3">
        <w:t>6.</w:t>
      </w:r>
      <w:r w:rsidRPr="00785CB3">
        <w:tab/>
        <w:t xml:space="preserve">Liu, J. </w:t>
      </w:r>
      <w:r w:rsidRPr="00785CB3">
        <w:rPr>
          <w:i/>
          <w:iCs/>
        </w:rPr>
        <w:t>et al.</w:t>
      </w:r>
      <w:r w:rsidRPr="00785CB3">
        <w:t xml:space="preserve"> Metastable biological matter in liquid phase separation. </w:t>
      </w:r>
      <w:r w:rsidRPr="00785CB3">
        <w:rPr>
          <w:i/>
          <w:iCs/>
        </w:rPr>
        <w:t>Appl. Res.</w:t>
      </w:r>
      <w:r w:rsidRPr="00785CB3">
        <w:t xml:space="preserve"> </w:t>
      </w:r>
      <w:r w:rsidRPr="00785CB3">
        <w:rPr>
          <w:b/>
          <w:bCs/>
        </w:rPr>
        <w:t>3</w:t>
      </w:r>
      <w:r w:rsidRPr="00785CB3">
        <w:t>, e202300071 (2024).</w:t>
      </w:r>
    </w:p>
    <w:p w14:paraId="079EBBDA" w14:textId="77777777" w:rsidR="00785CB3" w:rsidRPr="00785CB3" w:rsidRDefault="00785CB3" w:rsidP="00785CB3">
      <w:pPr>
        <w:pStyle w:val="Bibliography"/>
      </w:pPr>
      <w:r w:rsidRPr="00785CB3">
        <w:t>7.</w:t>
      </w:r>
      <w:r w:rsidRPr="00785CB3">
        <w:tab/>
        <w:t xml:space="preserve">Hirose, T., Ninomiya, K., Nakagawa, S. &amp; Yamazaki, T. A guide to membraneless organelles and their various roles in gene regulation. </w:t>
      </w:r>
      <w:r w:rsidRPr="00785CB3">
        <w:rPr>
          <w:i/>
          <w:iCs/>
        </w:rPr>
        <w:t>Nat. Rev. Mol. Cell Biol.</w:t>
      </w:r>
      <w:r w:rsidRPr="00785CB3">
        <w:t xml:space="preserve"> </w:t>
      </w:r>
      <w:r w:rsidRPr="00785CB3">
        <w:rPr>
          <w:b/>
          <w:bCs/>
        </w:rPr>
        <w:t>24</w:t>
      </w:r>
      <w:r w:rsidRPr="00785CB3">
        <w:t>, 288–304 (2023).</w:t>
      </w:r>
    </w:p>
    <w:p w14:paraId="6F995AB5" w14:textId="77777777" w:rsidR="00785CB3" w:rsidRPr="00785CB3" w:rsidRDefault="00785CB3" w:rsidP="00785CB3">
      <w:pPr>
        <w:pStyle w:val="Bibliography"/>
      </w:pPr>
      <w:r w:rsidRPr="00785CB3">
        <w:t>8.</w:t>
      </w:r>
      <w:r w:rsidRPr="00785CB3">
        <w:tab/>
        <w:t xml:space="preserve">Fritsch, A. W. </w:t>
      </w:r>
      <w:r w:rsidRPr="00785CB3">
        <w:rPr>
          <w:i/>
          <w:iCs/>
        </w:rPr>
        <w:t>et al.</w:t>
      </w:r>
      <w:r w:rsidRPr="00785CB3">
        <w:t xml:space="preserve"> Local thermodynamics govern formation and dissolution of </w:t>
      </w:r>
      <w:r w:rsidRPr="00785CB3">
        <w:rPr>
          <w:i/>
          <w:iCs/>
        </w:rPr>
        <w:t>Caenorhabditis</w:t>
      </w:r>
      <w:r w:rsidRPr="00785CB3">
        <w:t xml:space="preserve"> elegans P granule condensates. </w:t>
      </w:r>
      <w:r w:rsidRPr="00785CB3">
        <w:rPr>
          <w:i/>
          <w:iCs/>
        </w:rPr>
        <w:t>Proc. Natl. Acad. Sci.</w:t>
      </w:r>
      <w:r w:rsidRPr="00785CB3">
        <w:t xml:space="preserve"> </w:t>
      </w:r>
      <w:r w:rsidRPr="00785CB3">
        <w:rPr>
          <w:b/>
          <w:bCs/>
        </w:rPr>
        <w:t>118</w:t>
      </w:r>
      <w:r w:rsidRPr="00785CB3">
        <w:t>, e2102772118 (2021).</w:t>
      </w:r>
    </w:p>
    <w:p w14:paraId="6939C627" w14:textId="77777777" w:rsidR="00785CB3" w:rsidRPr="00785CB3" w:rsidRDefault="00785CB3" w:rsidP="00785CB3">
      <w:pPr>
        <w:pStyle w:val="Bibliography"/>
      </w:pPr>
      <w:r w:rsidRPr="00785CB3">
        <w:t>9.</w:t>
      </w:r>
      <w:r w:rsidRPr="00785CB3">
        <w:tab/>
        <w:t xml:space="preserve">Zhou, T. </w:t>
      </w:r>
      <w:r w:rsidRPr="00785CB3">
        <w:rPr>
          <w:i/>
          <w:iCs/>
        </w:rPr>
        <w:t>et al.</w:t>
      </w:r>
      <w:r w:rsidRPr="00785CB3">
        <w:t xml:space="preserve"> 3D printable high-performance conducting polymer hydrogel for all-hydrogel bioelectronic interfaces. </w:t>
      </w:r>
      <w:r w:rsidRPr="00785CB3">
        <w:rPr>
          <w:i/>
          <w:iCs/>
        </w:rPr>
        <w:t>Nat. Mater.</w:t>
      </w:r>
      <w:r w:rsidRPr="00785CB3">
        <w:t xml:space="preserve"> </w:t>
      </w:r>
      <w:r w:rsidRPr="00785CB3">
        <w:rPr>
          <w:b/>
          <w:bCs/>
        </w:rPr>
        <w:t>22</w:t>
      </w:r>
      <w:r w:rsidRPr="00785CB3">
        <w:t>, 895–902 (2023).</w:t>
      </w:r>
    </w:p>
    <w:p w14:paraId="6873BA14" w14:textId="77777777" w:rsidR="00785CB3" w:rsidRPr="00785CB3" w:rsidRDefault="00785CB3" w:rsidP="00785CB3">
      <w:pPr>
        <w:pStyle w:val="Bibliography"/>
      </w:pPr>
      <w:r w:rsidRPr="00785CB3">
        <w:t>10.</w:t>
      </w:r>
      <w:r w:rsidRPr="00785CB3">
        <w:tab/>
        <w:t xml:space="preserve">Qian, D., Michaels, T. C. T. &amp; Knowles, T. P. J. Analytical Solution to the Flory–Huggins Model. </w:t>
      </w:r>
      <w:r w:rsidRPr="00785CB3">
        <w:rPr>
          <w:i/>
          <w:iCs/>
        </w:rPr>
        <w:t>J. Phys. Chem. Lett.</w:t>
      </w:r>
      <w:r w:rsidRPr="00785CB3">
        <w:t xml:space="preserve"> </w:t>
      </w:r>
      <w:r w:rsidRPr="00785CB3">
        <w:rPr>
          <w:b/>
          <w:bCs/>
        </w:rPr>
        <w:t>13</w:t>
      </w:r>
      <w:r w:rsidRPr="00785CB3">
        <w:t>, 7853–7860 (2022).</w:t>
      </w:r>
    </w:p>
    <w:p w14:paraId="3AB69165" w14:textId="77777777" w:rsidR="00785CB3" w:rsidRPr="00785CB3" w:rsidRDefault="00785CB3" w:rsidP="00785CB3">
      <w:pPr>
        <w:pStyle w:val="Bibliography"/>
      </w:pPr>
      <w:r w:rsidRPr="00785CB3">
        <w:t>11.</w:t>
      </w:r>
      <w:r w:rsidRPr="00785CB3">
        <w:tab/>
        <w:t xml:space="preserve">van Leuken, S. H. M., van Benthem, R. A. T. M., Tuinier, R. &amp; Vis, M. Predicting Multi-Component Phase Equilibria of Polymers using Approximations to Flory–Huggins Theory. </w:t>
      </w:r>
      <w:r w:rsidRPr="00785CB3">
        <w:rPr>
          <w:i/>
          <w:iCs/>
        </w:rPr>
        <w:t>Macromol. Theory Simul.</w:t>
      </w:r>
      <w:r w:rsidRPr="00785CB3">
        <w:t xml:space="preserve"> </w:t>
      </w:r>
      <w:r w:rsidRPr="00785CB3">
        <w:rPr>
          <w:b/>
          <w:bCs/>
        </w:rPr>
        <w:t>32</w:t>
      </w:r>
      <w:r w:rsidRPr="00785CB3">
        <w:t>, 2300001 (2023).</w:t>
      </w:r>
    </w:p>
    <w:p w14:paraId="08F49A66" w14:textId="77777777" w:rsidR="00785CB3" w:rsidRPr="00785CB3" w:rsidRDefault="00785CB3" w:rsidP="00785CB3">
      <w:pPr>
        <w:pStyle w:val="Bibliography"/>
      </w:pPr>
      <w:r w:rsidRPr="00785CB3">
        <w:t>12.</w:t>
      </w:r>
      <w:r w:rsidRPr="00785CB3">
        <w:tab/>
        <w:t xml:space="preserve">Berera, A., Mabillard, J., Mintz, B. W. &amp; Ramos, R. O. Formulating the Kramers problem in field theory. </w:t>
      </w:r>
      <w:r w:rsidRPr="00785CB3">
        <w:rPr>
          <w:i/>
          <w:iCs/>
        </w:rPr>
        <w:t>Phys. Rev. D</w:t>
      </w:r>
      <w:r w:rsidRPr="00785CB3">
        <w:t xml:space="preserve"> </w:t>
      </w:r>
      <w:r w:rsidRPr="00785CB3">
        <w:rPr>
          <w:b/>
          <w:bCs/>
        </w:rPr>
        <w:t>100</w:t>
      </w:r>
      <w:r w:rsidRPr="00785CB3">
        <w:t>, 076005 (2019).</w:t>
      </w:r>
    </w:p>
    <w:p w14:paraId="2AD3F234" w14:textId="77777777" w:rsidR="00785CB3" w:rsidRPr="00785CB3" w:rsidRDefault="00785CB3" w:rsidP="00785CB3">
      <w:pPr>
        <w:pStyle w:val="Bibliography"/>
      </w:pPr>
      <w:r w:rsidRPr="00785CB3">
        <w:t>13.</w:t>
      </w:r>
      <w:r w:rsidRPr="00785CB3">
        <w:tab/>
        <w:t xml:space="preserve">Kopač, T. Mathematical model for characterization of temperature-responsive polymers: A study on the rheological behavior of gelatin and poly(N-isopropylacrylamide). </w:t>
      </w:r>
      <w:r w:rsidRPr="00785CB3">
        <w:rPr>
          <w:i/>
          <w:iCs/>
        </w:rPr>
        <w:t>Polym. Test.</w:t>
      </w:r>
      <w:r w:rsidRPr="00785CB3">
        <w:t xml:space="preserve"> </w:t>
      </w:r>
      <w:r w:rsidRPr="00785CB3">
        <w:rPr>
          <w:b/>
          <w:bCs/>
        </w:rPr>
        <w:t>133</w:t>
      </w:r>
      <w:r w:rsidRPr="00785CB3">
        <w:t>, 108402 (2024).</w:t>
      </w:r>
    </w:p>
    <w:p w14:paraId="1FFF82BE" w14:textId="77777777" w:rsidR="00785CB3" w:rsidRPr="00785CB3" w:rsidRDefault="00785CB3" w:rsidP="00785CB3">
      <w:pPr>
        <w:pStyle w:val="Bibliography"/>
      </w:pPr>
      <w:r w:rsidRPr="00785CB3">
        <w:t>14.</w:t>
      </w:r>
      <w:r w:rsidRPr="00785CB3">
        <w:tab/>
        <w:t xml:space="preserve">Jaspers, M. </w:t>
      </w:r>
      <w:r w:rsidRPr="00785CB3">
        <w:rPr>
          <w:i/>
          <w:iCs/>
        </w:rPr>
        <w:t>et al.</w:t>
      </w:r>
      <w:r w:rsidRPr="00785CB3">
        <w:t xml:space="preserve"> Ultra-responsive soft matter from strain-stiffening hydrogels. </w:t>
      </w:r>
      <w:r w:rsidRPr="00785CB3">
        <w:rPr>
          <w:i/>
          <w:iCs/>
        </w:rPr>
        <w:t>Nat. Commun.</w:t>
      </w:r>
      <w:r w:rsidRPr="00785CB3">
        <w:t xml:space="preserve"> </w:t>
      </w:r>
      <w:r w:rsidRPr="00785CB3">
        <w:rPr>
          <w:b/>
          <w:bCs/>
        </w:rPr>
        <w:t>5</w:t>
      </w:r>
      <w:r w:rsidRPr="00785CB3">
        <w:t>, 5808 (2014).</w:t>
      </w:r>
    </w:p>
    <w:p w14:paraId="2847824D" w14:textId="77777777" w:rsidR="00785CB3" w:rsidRPr="00785CB3" w:rsidRDefault="00785CB3" w:rsidP="00785CB3">
      <w:pPr>
        <w:pStyle w:val="Bibliography"/>
      </w:pPr>
      <w:r w:rsidRPr="00785CB3">
        <w:t>15.</w:t>
      </w:r>
      <w:r w:rsidRPr="00785CB3">
        <w:tab/>
        <w:t xml:space="preserve">Kottner, J., Lichterfeld, A. &amp; Blume-Peytavi, U. Transepidermal water loss in young and aged healthy humans: a systematic review and meta-analysis. </w:t>
      </w:r>
      <w:r w:rsidRPr="00785CB3">
        <w:rPr>
          <w:i/>
          <w:iCs/>
        </w:rPr>
        <w:t>Arch. Dermatol. Res.</w:t>
      </w:r>
      <w:r w:rsidRPr="00785CB3">
        <w:t xml:space="preserve"> </w:t>
      </w:r>
      <w:r w:rsidRPr="00785CB3">
        <w:rPr>
          <w:b/>
          <w:bCs/>
        </w:rPr>
        <w:t>305</w:t>
      </w:r>
      <w:r w:rsidRPr="00785CB3">
        <w:t>, 315–323 (2013).</w:t>
      </w:r>
    </w:p>
    <w:p w14:paraId="5A5E7E31" w14:textId="77777777" w:rsidR="00785CB3" w:rsidRPr="00785CB3" w:rsidRDefault="00785CB3" w:rsidP="00785CB3">
      <w:pPr>
        <w:pStyle w:val="Bibliography"/>
      </w:pPr>
      <w:r w:rsidRPr="00785CB3">
        <w:t>16.</w:t>
      </w:r>
      <w:r w:rsidRPr="00785CB3">
        <w:tab/>
        <w:t xml:space="preserve">Han, C.-G. </w:t>
      </w:r>
      <w:r w:rsidRPr="00785CB3">
        <w:rPr>
          <w:i/>
          <w:iCs/>
        </w:rPr>
        <w:t>et al.</w:t>
      </w:r>
      <w:r w:rsidRPr="00785CB3">
        <w:t xml:space="preserve"> Giant thermopower of ionic gelatin near room temperature. </w:t>
      </w:r>
      <w:r w:rsidRPr="00785CB3">
        <w:rPr>
          <w:i/>
          <w:iCs/>
        </w:rPr>
        <w:t>Science</w:t>
      </w:r>
      <w:r w:rsidRPr="00785CB3">
        <w:t xml:space="preserve"> </w:t>
      </w:r>
      <w:r w:rsidRPr="00785CB3">
        <w:rPr>
          <w:b/>
          <w:bCs/>
        </w:rPr>
        <w:t>368</w:t>
      </w:r>
      <w:r w:rsidRPr="00785CB3">
        <w:t>, 1091–1098 (2020).</w:t>
      </w:r>
    </w:p>
    <w:p w14:paraId="761BFCCF" w14:textId="77777777" w:rsidR="00785CB3" w:rsidRPr="00785CB3" w:rsidRDefault="00785CB3" w:rsidP="00785CB3">
      <w:pPr>
        <w:pStyle w:val="Bibliography"/>
      </w:pPr>
      <w:r w:rsidRPr="00785CB3">
        <w:t>17.</w:t>
      </w:r>
      <w:r w:rsidRPr="00785CB3">
        <w:tab/>
        <w:t xml:space="preserve">Xu, S. </w:t>
      </w:r>
      <w:r w:rsidRPr="00785CB3">
        <w:rPr>
          <w:i/>
          <w:iCs/>
        </w:rPr>
        <w:t>et al.</w:t>
      </w:r>
      <w:r w:rsidRPr="00785CB3">
        <w:t xml:space="preserve"> High-Performance PEDOT:PSS Flexible Thermoelectric Materials and Their Devices by Triple Post-Treatments. </w:t>
      </w:r>
      <w:r w:rsidRPr="00785CB3">
        <w:rPr>
          <w:i/>
          <w:iCs/>
        </w:rPr>
        <w:t>Chem. Mater.</w:t>
      </w:r>
      <w:r w:rsidRPr="00785CB3">
        <w:t xml:space="preserve"> </w:t>
      </w:r>
      <w:r w:rsidRPr="00785CB3">
        <w:rPr>
          <w:b/>
          <w:bCs/>
        </w:rPr>
        <w:t>31</w:t>
      </w:r>
      <w:r w:rsidRPr="00785CB3">
        <w:t>, 5238–5244 (2019).</w:t>
      </w:r>
    </w:p>
    <w:p w14:paraId="2ABE7754" w14:textId="77777777" w:rsidR="00785CB3" w:rsidRPr="00785CB3" w:rsidRDefault="00785CB3" w:rsidP="00785CB3">
      <w:pPr>
        <w:pStyle w:val="Bibliography"/>
      </w:pPr>
      <w:r w:rsidRPr="00785CB3">
        <w:t>18.</w:t>
      </w:r>
      <w:r w:rsidRPr="00785CB3">
        <w:tab/>
        <w:t xml:space="preserve">Ganji, M., Tanaka, A., Gilja, V., Halgren, E. &amp; Dayeh, S. A. Scaling Effects on the Electrochemical Stimulation Performance of Au, Pt, and PEDOT:PSS Electrocorticography Arrays. </w:t>
      </w:r>
      <w:r w:rsidRPr="00785CB3">
        <w:rPr>
          <w:i/>
          <w:iCs/>
        </w:rPr>
        <w:t>Adv. Funct. Mater.</w:t>
      </w:r>
      <w:r w:rsidRPr="00785CB3">
        <w:t xml:space="preserve"> </w:t>
      </w:r>
      <w:r w:rsidRPr="00785CB3">
        <w:rPr>
          <w:b/>
          <w:bCs/>
        </w:rPr>
        <w:t>27</w:t>
      </w:r>
      <w:r w:rsidRPr="00785CB3">
        <w:t>, 1703019 (2017).</w:t>
      </w:r>
    </w:p>
    <w:p w14:paraId="67F49B2B" w14:textId="77777777" w:rsidR="00785CB3" w:rsidRPr="00785CB3" w:rsidRDefault="00785CB3" w:rsidP="00785CB3">
      <w:pPr>
        <w:pStyle w:val="Bibliography"/>
      </w:pPr>
      <w:r w:rsidRPr="00785CB3">
        <w:t>19.</w:t>
      </w:r>
      <w:r w:rsidRPr="00785CB3">
        <w:tab/>
        <w:t xml:space="preserve">Engchuan, P., Wongsuphasawat, K. &amp; Sittiprapaporn, P. Brain electrical activity during bench press weight training exercise. </w:t>
      </w:r>
      <w:r w:rsidRPr="00785CB3">
        <w:rPr>
          <w:i/>
          <w:iCs/>
        </w:rPr>
        <w:t>Asian J. Med. Sci.</w:t>
      </w:r>
      <w:r w:rsidRPr="00785CB3">
        <w:t xml:space="preserve"> </w:t>
      </w:r>
      <w:r w:rsidRPr="00785CB3">
        <w:rPr>
          <w:b/>
          <w:bCs/>
        </w:rPr>
        <w:t>10</w:t>
      </w:r>
      <w:r w:rsidRPr="00785CB3">
        <w:t>, 80–85 (2019).</w:t>
      </w:r>
    </w:p>
    <w:p w14:paraId="2DF1AFAB" w14:textId="77777777" w:rsidR="00785CB3" w:rsidRPr="00785CB3" w:rsidRDefault="00785CB3" w:rsidP="00785CB3">
      <w:pPr>
        <w:pStyle w:val="Bibliography"/>
      </w:pPr>
      <w:r w:rsidRPr="00785CB3">
        <w:t>20.</w:t>
      </w:r>
      <w:r w:rsidRPr="00785CB3">
        <w:tab/>
        <w:t xml:space="preserve">Peter, J. </w:t>
      </w:r>
      <w:r w:rsidRPr="00785CB3">
        <w:rPr>
          <w:i/>
          <w:iCs/>
        </w:rPr>
        <w:t>et al.</w:t>
      </w:r>
      <w:r w:rsidRPr="00785CB3">
        <w:t xml:space="preserve"> Movement-related beta ERD and ERS abnormalities in neuropsychiatric disorders. </w:t>
      </w:r>
      <w:r w:rsidRPr="00785CB3">
        <w:rPr>
          <w:i/>
          <w:iCs/>
        </w:rPr>
        <w:t>Front. Neurosci.</w:t>
      </w:r>
      <w:r w:rsidRPr="00785CB3">
        <w:t xml:space="preserve"> </w:t>
      </w:r>
      <w:r w:rsidRPr="00785CB3">
        <w:rPr>
          <w:b/>
          <w:bCs/>
        </w:rPr>
        <w:t>16</w:t>
      </w:r>
      <w:r w:rsidRPr="00785CB3">
        <w:t>, 1045715 (2022).</w:t>
      </w:r>
    </w:p>
    <w:p w14:paraId="2BECEDF1" w14:textId="77777777" w:rsidR="00785CB3" w:rsidRPr="00785CB3" w:rsidRDefault="00785CB3" w:rsidP="00785CB3">
      <w:pPr>
        <w:pStyle w:val="Bibliography"/>
      </w:pPr>
      <w:r w:rsidRPr="00785CB3">
        <w:t>21.</w:t>
      </w:r>
      <w:r w:rsidRPr="00785CB3">
        <w:tab/>
        <w:t xml:space="preserve">Meirovitch, Y., Harris, H., Dayan, E., Arieli, A. &amp; Flash, T. Alpha and Beta Band Event-Related Desynchronization Reflects Kinematic Regularities. </w:t>
      </w:r>
      <w:r w:rsidRPr="00785CB3">
        <w:rPr>
          <w:i/>
          <w:iCs/>
        </w:rPr>
        <w:t>J. Neurosci.</w:t>
      </w:r>
      <w:r w:rsidRPr="00785CB3">
        <w:t xml:space="preserve"> </w:t>
      </w:r>
      <w:r w:rsidRPr="00785CB3">
        <w:rPr>
          <w:b/>
          <w:bCs/>
        </w:rPr>
        <w:t>35</w:t>
      </w:r>
      <w:r w:rsidRPr="00785CB3">
        <w:t>, 1627–1637 (2015).</w:t>
      </w:r>
    </w:p>
    <w:p w14:paraId="3B710095" w14:textId="77777777" w:rsidR="00785CB3" w:rsidRPr="00785CB3" w:rsidRDefault="00785CB3" w:rsidP="00785CB3">
      <w:pPr>
        <w:pStyle w:val="Bibliography"/>
      </w:pPr>
      <w:r w:rsidRPr="00785CB3">
        <w:t>22.</w:t>
      </w:r>
      <w:r w:rsidRPr="00785CB3">
        <w:tab/>
        <w:t xml:space="preserve">Hortobágyi, T. </w:t>
      </w:r>
      <w:r w:rsidRPr="00785CB3">
        <w:rPr>
          <w:i/>
          <w:iCs/>
        </w:rPr>
        <w:t>et al.</w:t>
      </w:r>
      <w:r w:rsidRPr="00785CB3">
        <w:t xml:space="preserve"> Functional relevance of resistance training-induced neuroplasticity in health and disease. </w:t>
      </w:r>
      <w:r w:rsidRPr="00785CB3">
        <w:rPr>
          <w:i/>
          <w:iCs/>
        </w:rPr>
        <w:t>Neurosci. Biobehav. Rev.</w:t>
      </w:r>
      <w:r w:rsidRPr="00785CB3">
        <w:t xml:space="preserve"> </w:t>
      </w:r>
      <w:r w:rsidRPr="00785CB3">
        <w:rPr>
          <w:b/>
          <w:bCs/>
        </w:rPr>
        <w:t>122</w:t>
      </w:r>
      <w:r w:rsidRPr="00785CB3">
        <w:t>, 79–91 (2021).</w:t>
      </w:r>
    </w:p>
    <w:p w14:paraId="79301949" w14:textId="77777777" w:rsidR="00785CB3" w:rsidRPr="00785CB3" w:rsidRDefault="00785CB3" w:rsidP="00785CB3">
      <w:pPr>
        <w:pStyle w:val="Bibliography"/>
      </w:pPr>
      <w:r w:rsidRPr="00785CB3">
        <w:t>23.</w:t>
      </w:r>
      <w:r w:rsidRPr="00785CB3">
        <w:tab/>
        <w:t xml:space="preserve">Zhuang, N. </w:t>
      </w:r>
      <w:r w:rsidRPr="00785CB3">
        <w:rPr>
          <w:i/>
          <w:iCs/>
        </w:rPr>
        <w:t>et al.</w:t>
      </w:r>
      <w:r w:rsidRPr="00785CB3">
        <w:t xml:space="preserve"> Emotion Recognition from EEG Signals Using Multidimensional Information in EMD Domain. </w:t>
      </w:r>
      <w:r w:rsidRPr="00785CB3">
        <w:rPr>
          <w:i/>
          <w:iCs/>
        </w:rPr>
        <w:t>BioMed Res. Int.</w:t>
      </w:r>
      <w:r w:rsidRPr="00785CB3">
        <w:t xml:space="preserve"> </w:t>
      </w:r>
      <w:r w:rsidRPr="00785CB3">
        <w:rPr>
          <w:b/>
          <w:bCs/>
        </w:rPr>
        <w:t>2017</w:t>
      </w:r>
      <w:r w:rsidRPr="00785CB3">
        <w:t>, 8317357 (2017).</w:t>
      </w:r>
    </w:p>
    <w:p w14:paraId="4546F876" w14:textId="77777777" w:rsidR="00785CB3" w:rsidRPr="00785CB3" w:rsidRDefault="00785CB3" w:rsidP="00785CB3">
      <w:pPr>
        <w:pStyle w:val="Bibliography"/>
      </w:pPr>
      <w:r w:rsidRPr="00785CB3">
        <w:t>24.</w:t>
      </w:r>
      <w:r w:rsidRPr="00785CB3">
        <w:tab/>
        <w:t xml:space="preserve">Spyropoulos, G. D., Gelinas, J. N. &amp; Khodagholy, D. Internal ion-gated organic electrochemical transistor: A building block for integrated bioelectronics. </w:t>
      </w:r>
      <w:r w:rsidRPr="00785CB3">
        <w:rPr>
          <w:i/>
          <w:iCs/>
        </w:rPr>
        <w:t>Sci. Adv.</w:t>
      </w:r>
      <w:r w:rsidRPr="00785CB3">
        <w:t xml:space="preserve"> </w:t>
      </w:r>
      <w:r w:rsidRPr="00785CB3">
        <w:rPr>
          <w:b/>
          <w:bCs/>
        </w:rPr>
        <w:t>5</w:t>
      </w:r>
      <w:r w:rsidRPr="00785CB3">
        <w:t>, eaau7378 (2019).</w:t>
      </w:r>
    </w:p>
    <w:p w14:paraId="4EB692EB" w14:textId="77777777" w:rsidR="00785CB3" w:rsidRPr="00785CB3" w:rsidRDefault="00785CB3" w:rsidP="00785CB3">
      <w:pPr>
        <w:pStyle w:val="Bibliography"/>
      </w:pPr>
      <w:r w:rsidRPr="00785CB3">
        <w:t>25.</w:t>
      </w:r>
      <w:r w:rsidRPr="00785CB3">
        <w:tab/>
        <w:t xml:space="preserve">Yakovlev, L., Syrov, N., Miroshnikov, A., Lebedev, M. &amp; Kaplan, A. Event-Related Desynchronization Induced by Tactile Imagery: an EEG Study. </w:t>
      </w:r>
      <w:r w:rsidRPr="00785CB3">
        <w:rPr>
          <w:i/>
          <w:iCs/>
        </w:rPr>
        <w:t>eneuro</w:t>
      </w:r>
      <w:r w:rsidRPr="00785CB3">
        <w:t xml:space="preserve"> </w:t>
      </w:r>
      <w:r w:rsidRPr="00785CB3">
        <w:rPr>
          <w:b/>
          <w:bCs/>
        </w:rPr>
        <w:t>10</w:t>
      </w:r>
      <w:r w:rsidRPr="00785CB3">
        <w:t>, ENEURO.0455-22.2023 (2023).</w:t>
      </w:r>
    </w:p>
    <w:p w14:paraId="4D2F2939" w14:textId="77777777" w:rsidR="00785CB3" w:rsidRPr="00785CB3" w:rsidRDefault="00785CB3" w:rsidP="00785CB3">
      <w:pPr>
        <w:pStyle w:val="Bibliography"/>
      </w:pPr>
      <w:r w:rsidRPr="00785CB3">
        <w:t>26.</w:t>
      </w:r>
      <w:r w:rsidRPr="00785CB3">
        <w:tab/>
        <w:t xml:space="preserve">Meesen, R. L. J., Cuypers, K., Rothwell, J. C., Swinnen, S. P. &amp; Levin, O. The effect of long‐term TENS on persistent neuroplastic changes in the human cerebral cortex. </w:t>
      </w:r>
      <w:r w:rsidRPr="00785CB3">
        <w:rPr>
          <w:i/>
          <w:iCs/>
        </w:rPr>
        <w:t>Hum. Brain Mapp.</w:t>
      </w:r>
      <w:r w:rsidRPr="00785CB3">
        <w:t xml:space="preserve"> </w:t>
      </w:r>
      <w:r w:rsidRPr="00785CB3">
        <w:rPr>
          <w:b/>
          <w:bCs/>
        </w:rPr>
        <w:t>32</w:t>
      </w:r>
      <w:r w:rsidRPr="00785CB3">
        <w:t>, 872–882 (2011).</w:t>
      </w:r>
    </w:p>
    <w:p w14:paraId="254D401B" w14:textId="77777777" w:rsidR="00785CB3" w:rsidRPr="00785CB3" w:rsidRDefault="00785CB3" w:rsidP="00785CB3">
      <w:pPr>
        <w:pStyle w:val="Bibliography"/>
      </w:pPr>
      <w:r w:rsidRPr="00785CB3">
        <w:t>27.</w:t>
      </w:r>
      <w:r w:rsidRPr="00785CB3">
        <w:tab/>
        <w:t xml:space="preserve">Beijora, A. C., Back, A. P., Fréz, A. R., Azevedo, M. R. B. &amp; Bertolini, G. R. F. Peripheral electrical stimulation on neuroplasticity and motor function in stroke patients: a systematic review and meta-analysis. </w:t>
      </w:r>
      <w:r w:rsidRPr="00785CB3">
        <w:rPr>
          <w:i/>
          <w:iCs/>
        </w:rPr>
        <w:t>Neurol. Res.</w:t>
      </w:r>
      <w:r w:rsidRPr="00785CB3">
        <w:t xml:space="preserve"> </w:t>
      </w:r>
      <w:r w:rsidRPr="00785CB3">
        <w:rPr>
          <w:b/>
          <w:bCs/>
        </w:rPr>
        <w:t>45</w:t>
      </w:r>
      <w:r w:rsidRPr="00785CB3">
        <w:t>, 1111–1126 (2023).</w:t>
      </w:r>
    </w:p>
    <w:p w14:paraId="1FA121D4" w14:textId="77777777" w:rsidR="00785CB3" w:rsidRPr="00785CB3" w:rsidRDefault="00785CB3" w:rsidP="00785CB3">
      <w:pPr>
        <w:pStyle w:val="Bibliography"/>
      </w:pPr>
      <w:r w:rsidRPr="00785CB3">
        <w:t>28.</w:t>
      </w:r>
      <w:r w:rsidRPr="00785CB3">
        <w:tab/>
        <w:t xml:space="preserve">Ackerley, R. &amp; Watkins, R. H. Microneurography as a tool to study the function of individual C-fiber afferents in humans: responses from nociceptors, thermoreceptors, and mechanoreceptors. </w:t>
      </w:r>
      <w:r w:rsidRPr="00785CB3">
        <w:rPr>
          <w:i/>
          <w:iCs/>
        </w:rPr>
        <w:t>J. Neurophysiol.</w:t>
      </w:r>
      <w:r w:rsidRPr="00785CB3">
        <w:t xml:space="preserve"> </w:t>
      </w:r>
      <w:r w:rsidRPr="00785CB3">
        <w:rPr>
          <w:b/>
          <w:bCs/>
        </w:rPr>
        <w:t>120</w:t>
      </w:r>
      <w:r w:rsidRPr="00785CB3">
        <w:t>, 2834–2846 (2018).</w:t>
      </w:r>
    </w:p>
    <w:p w14:paraId="039B8993" w14:textId="77777777" w:rsidR="00785CB3" w:rsidRPr="00785CB3" w:rsidRDefault="00785CB3" w:rsidP="00785CB3">
      <w:pPr>
        <w:pStyle w:val="Bibliography"/>
      </w:pPr>
      <w:r w:rsidRPr="00785CB3">
        <w:t>29.</w:t>
      </w:r>
      <w:r w:rsidRPr="00785CB3">
        <w:tab/>
        <w:t xml:space="preserve">Blau, R. </w:t>
      </w:r>
      <w:r w:rsidRPr="00785CB3">
        <w:rPr>
          <w:i/>
          <w:iCs/>
        </w:rPr>
        <w:t>et al.</w:t>
      </w:r>
      <w:r w:rsidRPr="00785CB3">
        <w:t xml:space="preserve"> Conductive block copolymer elastomers and psychophysical thresholding for accurate haptic effects. </w:t>
      </w:r>
      <w:r w:rsidRPr="00785CB3">
        <w:rPr>
          <w:i/>
          <w:iCs/>
        </w:rPr>
        <w:t>Sci. Robot.</w:t>
      </w:r>
      <w:r w:rsidRPr="00785CB3">
        <w:t xml:space="preserve"> </w:t>
      </w:r>
      <w:r w:rsidRPr="00785CB3">
        <w:rPr>
          <w:b/>
          <w:bCs/>
        </w:rPr>
        <w:t>9</w:t>
      </w:r>
      <w:r w:rsidRPr="00785CB3">
        <w:t>, eadk3925 (2024).</w:t>
      </w:r>
    </w:p>
    <w:p w14:paraId="00F991CA" w14:textId="77777777" w:rsidR="00785CB3" w:rsidRPr="00785CB3" w:rsidRDefault="00785CB3" w:rsidP="00785CB3">
      <w:pPr>
        <w:pStyle w:val="Bibliography"/>
      </w:pPr>
      <w:r w:rsidRPr="00785CB3">
        <w:t>30.</w:t>
      </w:r>
      <w:r w:rsidRPr="00785CB3">
        <w:tab/>
        <w:t xml:space="preserve">Alsuradi, H., Park, W. &amp; Eid, M. EEG-Based Neurohaptics Research: A Literature Review. </w:t>
      </w:r>
      <w:r w:rsidRPr="00785CB3">
        <w:rPr>
          <w:i/>
          <w:iCs/>
        </w:rPr>
        <w:t>IEEE Access</w:t>
      </w:r>
      <w:r w:rsidRPr="00785CB3">
        <w:t xml:space="preserve"> </w:t>
      </w:r>
      <w:r w:rsidRPr="00785CB3">
        <w:rPr>
          <w:b/>
          <w:bCs/>
        </w:rPr>
        <w:t>8</w:t>
      </w:r>
      <w:r w:rsidRPr="00785CB3">
        <w:t>, 49313–49328 (2020).</w:t>
      </w:r>
    </w:p>
    <w:p w14:paraId="015AAD81" w14:textId="77777777" w:rsidR="00785CB3" w:rsidRPr="00785CB3" w:rsidRDefault="00785CB3" w:rsidP="00785CB3">
      <w:pPr>
        <w:pStyle w:val="Bibliography"/>
      </w:pPr>
      <w:r w:rsidRPr="00785CB3">
        <w:t>31.</w:t>
      </w:r>
      <w:r w:rsidRPr="00785CB3">
        <w:tab/>
        <w:t xml:space="preserve">Khodagholy, D. </w:t>
      </w:r>
      <w:r w:rsidRPr="00785CB3">
        <w:rPr>
          <w:i/>
          <w:iCs/>
        </w:rPr>
        <w:t>et al.</w:t>
      </w:r>
      <w:r w:rsidRPr="00785CB3">
        <w:t xml:space="preserve"> High transconductance organic electrochemical transistors. </w:t>
      </w:r>
      <w:r w:rsidRPr="00785CB3">
        <w:rPr>
          <w:i/>
          <w:iCs/>
        </w:rPr>
        <w:t>Nat. Commun.</w:t>
      </w:r>
      <w:r w:rsidRPr="00785CB3">
        <w:t xml:space="preserve"> </w:t>
      </w:r>
      <w:r w:rsidRPr="00785CB3">
        <w:rPr>
          <w:b/>
          <w:bCs/>
        </w:rPr>
        <w:t>4</w:t>
      </w:r>
      <w:r w:rsidRPr="00785CB3">
        <w:t>, 2133 (2013).</w:t>
      </w:r>
    </w:p>
    <w:p w14:paraId="0EBEED68" w14:textId="77777777" w:rsidR="00785CB3" w:rsidRPr="00785CB3" w:rsidRDefault="00785CB3" w:rsidP="00785CB3">
      <w:pPr>
        <w:pStyle w:val="Bibliography"/>
      </w:pPr>
      <w:r w:rsidRPr="00785CB3">
        <w:t>32.</w:t>
      </w:r>
      <w:r w:rsidRPr="00785CB3">
        <w:tab/>
        <w:t xml:space="preserve">Rivnay, J. </w:t>
      </w:r>
      <w:r w:rsidRPr="00785CB3">
        <w:rPr>
          <w:i/>
          <w:iCs/>
        </w:rPr>
        <w:t>et al.</w:t>
      </w:r>
      <w:r w:rsidRPr="00785CB3">
        <w:t xml:space="preserve"> Organic electrochemical transistors. </w:t>
      </w:r>
      <w:r w:rsidRPr="00785CB3">
        <w:rPr>
          <w:i/>
          <w:iCs/>
        </w:rPr>
        <w:t>Nat. Rev. Mater.</w:t>
      </w:r>
      <w:r w:rsidRPr="00785CB3">
        <w:t xml:space="preserve"> </w:t>
      </w:r>
      <w:r w:rsidRPr="00785CB3">
        <w:rPr>
          <w:b/>
          <w:bCs/>
        </w:rPr>
        <w:t>3</w:t>
      </w:r>
      <w:r w:rsidRPr="00785CB3">
        <w:t>, 17086 (2018).</w:t>
      </w:r>
    </w:p>
    <w:p w14:paraId="4DA66EF4" w14:textId="77777777" w:rsidR="00785CB3" w:rsidRPr="00785CB3" w:rsidRDefault="00785CB3" w:rsidP="00785CB3">
      <w:pPr>
        <w:pStyle w:val="Bibliography"/>
      </w:pPr>
      <w:r w:rsidRPr="00785CB3">
        <w:t>33.</w:t>
      </w:r>
      <w:r w:rsidRPr="00785CB3">
        <w:tab/>
        <w:t xml:space="preserve">Rivnay, J. </w:t>
      </w:r>
      <w:r w:rsidRPr="00785CB3">
        <w:rPr>
          <w:i/>
          <w:iCs/>
        </w:rPr>
        <w:t>et al.</w:t>
      </w:r>
      <w:r w:rsidRPr="00785CB3">
        <w:t xml:space="preserve"> Structural control of mixed ionic and electronic transport in conducting polymers. </w:t>
      </w:r>
      <w:r w:rsidRPr="00785CB3">
        <w:rPr>
          <w:i/>
          <w:iCs/>
        </w:rPr>
        <w:t>Nat. Commun.</w:t>
      </w:r>
      <w:r w:rsidRPr="00785CB3">
        <w:t xml:space="preserve"> </w:t>
      </w:r>
      <w:r w:rsidRPr="00785CB3">
        <w:rPr>
          <w:b/>
          <w:bCs/>
        </w:rPr>
        <w:t>7</w:t>
      </w:r>
      <w:r w:rsidRPr="00785CB3">
        <w:t>, 11287 (2016).</w:t>
      </w:r>
    </w:p>
    <w:p w14:paraId="04FB72BB" w14:textId="77777777" w:rsidR="00785CB3" w:rsidRPr="00785CB3" w:rsidRDefault="00785CB3" w:rsidP="00785CB3">
      <w:pPr>
        <w:pStyle w:val="Bibliography"/>
      </w:pPr>
      <w:r w:rsidRPr="00785CB3">
        <w:t>34.</w:t>
      </w:r>
      <w:r w:rsidRPr="00785CB3">
        <w:tab/>
        <w:t xml:space="preserve">Nauenberg, M. A paradox with the Hagen-Poiseuille relation for viscous fluid flow. </w:t>
      </w:r>
      <w:r w:rsidRPr="00785CB3">
        <w:rPr>
          <w:i/>
          <w:iCs/>
        </w:rPr>
        <w:t>Am. J. Phys.</w:t>
      </w:r>
      <w:r w:rsidRPr="00785CB3">
        <w:t xml:space="preserve"> </w:t>
      </w:r>
      <w:r w:rsidRPr="00785CB3">
        <w:rPr>
          <w:b/>
          <w:bCs/>
        </w:rPr>
        <w:t>82</w:t>
      </w:r>
      <w:r w:rsidRPr="00785CB3">
        <w:t>, 82–85 (2014).</w:t>
      </w:r>
    </w:p>
    <w:p w14:paraId="3D6D10E7" w14:textId="77777777" w:rsidR="00785CB3" w:rsidRPr="00785CB3" w:rsidRDefault="00785CB3" w:rsidP="00785CB3">
      <w:pPr>
        <w:pStyle w:val="Bibliography"/>
      </w:pPr>
      <w:r w:rsidRPr="00785CB3">
        <w:t>35.</w:t>
      </w:r>
      <w:r w:rsidRPr="00785CB3">
        <w:tab/>
        <w:t xml:space="preserve">Rivnay, J. </w:t>
      </w:r>
      <w:r w:rsidRPr="00785CB3">
        <w:rPr>
          <w:i/>
          <w:iCs/>
        </w:rPr>
        <w:t>et al.</w:t>
      </w:r>
      <w:r w:rsidRPr="00785CB3">
        <w:t xml:space="preserve"> High-performance transistors for bioelectronics through tuning of channel thickness. </w:t>
      </w:r>
      <w:r w:rsidRPr="00785CB3">
        <w:rPr>
          <w:i/>
          <w:iCs/>
        </w:rPr>
        <w:t>Sci. Adv.</w:t>
      </w:r>
      <w:r w:rsidRPr="00785CB3">
        <w:t xml:space="preserve"> </w:t>
      </w:r>
      <w:r w:rsidRPr="00785CB3">
        <w:rPr>
          <w:b/>
          <w:bCs/>
        </w:rPr>
        <w:t>1</w:t>
      </w:r>
      <w:r w:rsidRPr="00785CB3">
        <w:t>, e1400251 (2015).</w:t>
      </w:r>
    </w:p>
    <w:p w14:paraId="512E4CAF" w14:textId="3610B453" w:rsidR="00081AE2" w:rsidRPr="00450F8D" w:rsidRDefault="00652C2F" w:rsidP="00510FAA">
      <w:pPr>
        <w:spacing w:after="160" w:line="278" w:lineRule="auto"/>
      </w:pPr>
      <w:r>
        <w:fldChar w:fldCharType="end"/>
      </w:r>
    </w:p>
    <w:sectPr w:rsidR="00081AE2" w:rsidRPr="00450F8D" w:rsidSect="00F43A20">
      <w:pgSz w:w="12240" w:h="15840" w:code="1"/>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84231E"/>
    <w:multiLevelType w:val="multilevel"/>
    <w:tmpl w:val="E8F21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8A1C96"/>
    <w:multiLevelType w:val="multilevel"/>
    <w:tmpl w:val="BE2C4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3F58E0"/>
    <w:multiLevelType w:val="multilevel"/>
    <w:tmpl w:val="8912E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B1D188F"/>
    <w:multiLevelType w:val="multilevel"/>
    <w:tmpl w:val="A4CA8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6835979"/>
    <w:multiLevelType w:val="multilevel"/>
    <w:tmpl w:val="859C2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77A58EB"/>
    <w:multiLevelType w:val="multilevel"/>
    <w:tmpl w:val="CDB07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91D1CF0"/>
    <w:multiLevelType w:val="multilevel"/>
    <w:tmpl w:val="CB82F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9615C7F"/>
    <w:multiLevelType w:val="multilevel"/>
    <w:tmpl w:val="5E1844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96C7B23"/>
    <w:multiLevelType w:val="multilevel"/>
    <w:tmpl w:val="5D1EC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C6463E5"/>
    <w:multiLevelType w:val="multilevel"/>
    <w:tmpl w:val="44168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D711411"/>
    <w:multiLevelType w:val="hybridMultilevel"/>
    <w:tmpl w:val="F7AAC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E216F50"/>
    <w:multiLevelType w:val="multilevel"/>
    <w:tmpl w:val="34D686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0FA1AD4"/>
    <w:multiLevelType w:val="multilevel"/>
    <w:tmpl w:val="B7A49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3921E2C"/>
    <w:multiLevelType w:val="multilevel"/>
    <w:tmpl w:val="76DC4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48229D8"/>
    <w:multiLevelType w:val="multilevel"/>
    <w:tmpl w:val="F9943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B1D171A"/>
    <w:multiLevelType w:val="multilevel"/>
    <w:tmpl w:val="F6769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FFA1AF7"/>
    <w:multiLevelType w:val="multilevel"/>
    <w:tmpl w:val="73E22FF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2F31A68"/>
    <w:multiLevelType w:val="multilevel"/>
    <w:tmpl w:val="5AAE2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4D13B2D"/>
    <w:multiLevelType w:val="multilevel"/>
    <w:tmpl w:val="F806A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5760739"/>
    <w:multiLevelType w:val="multilevel"/>
    <w:tmpl w:val="8AD8E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E5422A0"/>
    <w:multiLevelType w:val="multilevel"/>
    <w:tmpl w:val="36B29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F4726F3"/>
    <w:multiLevelType w:val="multilevel"/>
    <w:tmpl w:val="CB3A1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4FA3FB0"/>
    <w:multiLevelType w:val="multilevel"/>
    <w:tmpl w:val="FD5C5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5887F6B"/>
    <w:multiLevelType w:val="multilevel"/>
    <w:tmpl w:val="F6581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5EC7478"/>
    <w:multiLevelType w:val="multilevel"/>
    <w:tmpl w:val="73E22FF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8C11141"/>
    <w:multiLevelType w:val="multilevel"/>
    <w:tmpl w:val="45BEF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D384EE0"/>
    <w:multiLevelType w:val="multilevel"/>
    <w:tmpl w:val="567E81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532037299">
    <w:abstractNumId w:val="19"/>
  </w:num>
  <w:num w:numId="2" w16cid:durableId="1051734370">
    <w:abstractNumId w:val="10"/>
  </w:num>
  <w:num w:numId="3" w16cid:durableId="1172337383">
    <w:abstractNumId w:val="22"/>
  </w:num>
  <w:num w:numId="4" w16cid:durableId="994143823">
    <w:abstractNumId w:val="0"/>
  </w:num>
  <w:num w:numId="5" w16cid:durableId="1766026950">
    <w:abstractNumId w:val="9"/>
  </w:num>
  <w:num w:numId="6" w16cid:durableId="36248216">
    <w:abstractNumId w:val="25"/>
  </w:num>
  <w:num w:numId="7" w16cid:durableId="2007245653">
    <w:abstractNumId w:val="1"/>
  </w:num>
  <w:num w:numId="8" w16cid:durableId="1291285481">
    <w:abstractNumId w:val="4"/>
  </w:num>
  <w:num w:numId="9" w16cid:durableId="191115073">
    <w:abstractNumId w:val="11"/>
  </w:num>
  <w:num w:numId="10" w16cid:durableId="1193687858">
    <w:abstractNumId w:val="7"/>
  </w:num>
  <w:num w:numId="11" w16cid:durableId="1677688565">
    <w:abstractNumId w:val="16"/>
  </w:num>
  <w:num w:numId="12" w16cid:durableId="2004775290">
    <w:abstractNumId w:val="2"/>
  </w:num>
  <w:num w:numId="13" w16cid:durableId="1876886034">
    <w:abstractNumId w:val="24"/>
  </w:num>
  <w:num w:numId="14" w16cid:durableId="1402484547">
    <w:abstractNumId w:val="6"/>
  </w:num>
  <w:num w:numId="15" w16cid:durableId="1935240450">
    <w:abstractNumId w:val="21"/>
  </w:num>
  <w:num w:numId="16" w16cid:durableId="2059888364">
    <w:abstractNumId w:val="20"/>
  </w:num>
  <w:num w:numId="17" w16cid:durableId="152576378">
    <w:abstractNumId w:val="26"/>
  </w:num>
  <w:num w:numId="18" w16cid:durableId="724526029">
    <w:abstractNumId w:val="23"/>
  </w:num>
  <w:num w:numId="19" w16cid:durableId="525291912">
    <w:abstractNumId w:val="17"/>
  </w:num>
  <w:num w:numId="20" w16cid:durableId="108359765">
    <w:abstractNumId w:val="8"/>
  </w:num>
  <w:num w:numId="21" w16cid:durableId="1488477191">
    <w:abstractNumId w:val="14"/>
  </w:num>
  <w:num w:numId="22" w16cid:durableId="1992713203">
    <w:abstractNumId w:val="13"/>
  </w:num>
  <w:num w:numId="23" w16cid:durableId="2112697223">
    <w:abstractNumId w:val="15"/>
  </w:num>
  <w:num w:numId="24" w16cid:durableId="128591352">
    <w:abstractNumId w:val="3"/>
  </w:num>
  <w:num w:numId="25" w16cid:durableId="1575582358">
    <w:abstractNumId w:val="18"/>
  </w:num>
  <w:num w:numId="26" w16cid:durableId="1342004335">
    <w:abstractNumId w:val="12"/>
  </w:num>
  <w:num w:numId="27" w16cid:durableId="97807437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zW1NDc0sTCwMDUxtjRT0lEKTi0uzszPAykwsqgFAP5z6jUtAAAA"/>
  </w:docVars>
  <w:rsids>
    <w:rsidRoot w:val="00CC5435"/>
    <w:rsid w:val="00001242"/>
    <w:rsid w:val="00001442"/>
    <w:rsid w:val="00001921"/>
    <w:rsid w:val="00002E5E"/>
    <w:rsid w:val="000047E3"/>
    <w:rsid w:val="00005954"/>
    <w:rsid w:val="000107EC"/>
    <w:rsid w:val="00014726"/>
    <w:rsid w:val="000156A5"/>
    <w:rsid w:val="0001659F"/>
    <w:rsid w:val="0001721E"/>
    <w:rsid w:val="00022D4F"/>
    <w:rsid w:val="00023374"/>
    <w:rsid w:val="00023401"/>
    <w:rsid w:val="00023F7D"/>
    <w:rsid w:val="00024136"/>
    <w:rsid w:val="00025234"/>
    <w:rsid w:val="00026280"/>
    <w:rsid w:val="00027277"/>
    <w:rsid w:val="00030F99"/>
    <w:rsid w:val="00031D4F"/>
    <w:rsid w:val="00031E3B"/>
    <w:rsid w:val="00031FD1"/>
    <w:rsid w:val="000322AF"/>
    <w:rsid w:val="000364C4"/>
    <w:rsid w:val="00037FDF"/>
    <w:rsid w:val="00041B68"/>
    <w:rsid w:val="000430ED"/>
    <w:rsid w:val="000433CB"/>
    <w:rsid w:val="0004399C"/>
    <w:rsid w:val="0004424A"/>
    <w:rsid w:val="00044B3E"/>
    <w:rsid w:val="00045759"/>
    <w:rsid w:val="00045E23"/>
    <w:rsid w:val="00045EEE"/>
    <w:rsid w:val="00045FEE"/>
    <w:rsid w:val="0004646F"/>
    <w:rsid w:val="00046A01"/>
    <w:rsid w:val="00047001"/>
    <w:rsid w:val="00047A49"/>
    <w:rsid w:val="00050006"/>
    <w:rsid w:val="00050CF7"/>
    <w:rsid w:val="00051376"/>
    <w:rsid w:val="00051897"/>
    <w:rsid w:val="000523E2"/>
    <w:rsid w:val="00052CC0"/>
    <w:rsid w:val="00053CE7"/>
    <w:rsid w:val="000553E2"/>
    <w:rsid w:val="000565E5"/>
    <w:rsid w:val="0006057A"/>
    <w:rsid w:val="00061B4D"/>
    <w:rsid w:val="00064901"/>
    <w:rsid w:val="00065429"/>
    <w:rsid w:val="00067C89"/>
    <w:rsid w:val="00070A32"/>
    <w:rsid w:val="0007372B"/>
    <w:rsid w:val="0007768A"/>
    <w:rsid w:val="00077B0A"/>
    <w:rsid w:val="00081AE2"/>
    <w:rsid w:val="00082730"/>
    <w:rsid w:val="000828D7"/>
    <w:rsid w:val="00082C92"/>
    <w:rsid w:val="0008716B"/>
    <w:rsid w:val="00091575"/>
    <w:rsid w:val="00091D89"/>
    <w:rsid w:val="000928E6"/>
    <w:rsid w:val="00092905"/>
    <w:rsid w:val="00092AD9"/>
    <w:rsid w:val="000930A5"/>
    <w:rsid w:val="000937AE"/>
    <w:rsid w:val="00095103"/>
    <w:rsid w:val="00095487"/>
    <w:rsid w:val="00097E3F"/>
    <w:rsid w:val="000A2153"/>
    <w:rsid w:val="000A2DBC"/>
    <w:rsid w:val="000A3D6B"/>
    <w:rsid w:val="000A49E7"/>
    <w:rsid w:val="000A4BAE"/>
    <w:rsid w:val="000A4E6B"/>
    <w:rsid w:val="000A7672"/>
    <w:rsid w:val="000B0BEC"/>
    <w:rsid w:val="000B1939"/>
    <w:rsid w:val="000B2533"/>
    <w:rsid w:val="000B459E"/>
    <w:rsid w:val="000B5ED5"/>
    <w:rsid w:val="000B6301"/>
    <w:rsid w:val="000B7348"/>
    <w:rsid w:val="000B7865"/>
    <w:rsid w:val="000C06C0"/>
    <w:rsid w:val="000C0789"/>
    <w:rsid w:val="000C50B8"/>
    <w:rsid w:val="000C71A0"/>
    <w:rsid w:val="000C71CC"/>
    <w:rsid w:val="000C7256"/>
    <w:rsid w:val="000D009F"/>
    <w:rsid w:val="000D1F0D"/>
    <w:rsid w:val="000D38DD"/>
    <w:rsid w:val="000D55C8"/>
    <w:rsid w:val="000D6279"/>
    <w:rsid w:val="000D6B65"/>
    <w:rsid w:val="000D6EC5"/>
    <w:rsid w:val="000D7950"/>
    <w:rsid w:val="000D7A51"/>
    <w:rsid w:val="000D7AD0"/>
    <w:rsid w:val="000E0668"/>
    <w:rsid w:val="000E071C"/>
    <w:rsid w:val="000E0D37"/>
    <w:rsid w:val="000E1353"/>
    <w:rsid w:val="000E3847"/>
    <w:rsid w:val="000E4488"/>
    <w:rsid w:val="000E5263"/>
    <w:rsid w:val="000E60E7"/>
    <w:rsid w:val="000E6EC2"/>
    <w:rsid w:val="000E79FD"/>
    <w:rsid w:val="000F084A"/>
    <w:rsid w:val="000F4B56"/>
    <w:rsid w:val="000F523F"/>
    <w:rsid w:val="000F64A1"/>
    <w:rsid w:val="000F68FA"/>
    <w:rsid w:val="000F6F4C"/>
    <w:rsid w:val="000F78A8"/>
    <w:rsid w:val="00101D0F"/>
    <w:rsid w:val="00101EA1"/>
    <w:rsid w:val="001058E0"/>
    <w:rsid w:val="001059AF"/>
    <w:rsid w:val="00107D44"/>
    <w:rsid w:val="00107F69"/>
    <w:rsid w:val="0011412C"/>
    <w:rsid w:val="00114299"/>
    <w:rsid w:val="00115D10"/>
    <w:rsid w:val="00116905"/>
    <w:rsid w:val="00116F1D"/>
    <w:rsid w:val="001171AC"/>
    <w:rsid w:val="00117B86"/>
    <w:rsid w:val="00120CB1"/>
    <w:rsid w:val="001210A1"/>
    <w:rsid w:val="00122236"/>
    <w:rsid w:val="001229F8"/>
    <w:rsid w:val="00124A85"/>
    <w:rsid w:val="00125B0E"/>
    <w:rsid w:val="0012779F"/>
    <w:rsid w:val="00131D3F"/>
    <w:rsid w:val="001323B9"/>
    <w:rsid w:val="0013295D"/>
    <w:rsid w:val="00136163"/>
    <w:rsid w:val="0013697F"/>
    <w:rsid w:val="0013728E"/>
    <w:rsid w:val="00140D51"/>
    <w:rsid w:val="00142112"/>
    <w:rsid w:val="00144B80"/>
    <w:rsid w:val="00145ACB"/>
    <w:rsid w:val="00147174"/>
    <w:rsid w:val="001513FB"/>
    <w:rsid w:val="001521C9"/>
    <w:rsid w:val="00152EFA"/>
    <w:rsid w:val="00153C71"/>
    <w:rsid w:val="0015425B"/>
    <w:rsid w:val="00154AE4"/>
    <w:rsid w:val="00155F9A"/>
    <w:rsid w:val="00157E16"/>
    <w:rsid w:val="0016018E"/>
    <w:rsid w:val="001613AA"/>
    <w:rsid w:val="00164B7A"/>
    <w:rsid w:val="00165891"/>
    <w:rsid w:val="00165B4F"/>
    <w:rsid w:val="001660FE"/>
    <w:rsid w:val="00166B66"/>
    <w:rsid w:val="00166E02"/>
    <w:rsid w:val="001672B1"/>
    <w:rsid w:val="001778D1"/>
    <w:rsid w:val="00180890"/>
    <w:rsid w:val="001821B2"/>
    <w:rsid w:val="00182E3E"/>
    <w:rsid w:val="001831FC"/>
    <w:rsid w:val="00185A5A"/>
    <w:rsid w:val="00186916"/>
    <w:rsid w:val="00186AEB"/>
    <w:rsid w:val="00187519"/>
    <w:rsid w:val="00193D00"/>
    <w:rsid w:val="00195F5E"/>
    <w:rsid w:val="00195FAB"/>
    <w:rsid w:val="00196230"/>
    <w:rsid w:val="00197C97"/>
    <w:rsid w:val="001A025A"/>
    <w:rsid w:val="001A030D"/>
    <w:rsid w:val="001A35A0"/>
    <w:rsid w:val="001A47F7"/>
    <w:rsid w:val="001B0221"/>
    <w:rsid w:val="001B14CC"/>
    <w:rsid w:val="001B3184"/>
    <w:rsid w:val="001B390F"/>
    <w:rsid w:val="001B3DEC"/>
    <w:rsid w:val="001B4081"/>
    <w:rsid w:val="001B418D"/>
    <w:rsid w:val="001B7343"/>
    <w:rsid w:val="001C1AAA"/>
    <w:rsid w:val="001C2D33"/>
    <w:rsid w:val="001C36B5"/>
    <w:rsid w:val="001C3B47"/>
    <w:rsid w:val="001C4B30"/>
    <w:rsid w:val="001D0446"/>
    <w:rsid w:val="001D25F3"/>
    <w:rsid w:val="001D2B80"/>
    <w:rsid w:val="001D5CF6"/>
    <w:rsid w:val="001D65A4"/>
    <w:rsid w:val="001D6630"/>
    <w:rsid w:val="001D753C"/>
    <w:rsid w:val="001E6FAE"/>
    <w:rsid w:val="001F0202"/>
    <w:rsid w:val="001F094E"/>
    <w:rsid w:val="001F1E6E"/>
    <w:rsid w:val="001F2510"/>
    <w:rsid w:val="001F289D"/>
    <w:rsid w:val="001F2F9D"/>
    <w:rsid w:val="001F6075"/>
    <w:rsid w:val="001F6D69"/>
    <w:rsid w:val="001F7200"/>
    <w:rsid w:val="001F766E"/>
    <w:rsid w:val="00200D86"/>
    <w:rsid w:val="0020119A"/>
    <w:rsid w:val="00201506"/>
    <w:rsid w:val="00201CA9"/>
    <w:rsid w:val="002033BB"/>
    <w:rsid w:val="002035AC"/>
    <w:rsid w:val="00203D11"/>
    <w:rsid w:val="0020482E"/>
    <w:rsid w:val="002075FD"/>
    <w:rsid w:val="00207F9E"/>
    <w:rsid w:val="00212253"/>
    <w:rsid w:val="0021372C"/>
    <w:rsid w:val="002138BD"/>
    <w:rsid w:val="002146E5"/>
    <w:rsid w:val="0021518D"/>
    <w:rsid w:val="00215CF0"/>
    <w:rsid w:val="00216419"/>
    <w:rsid w:val="00216840"/>
    <w:rsid w:val="00217FB0"/>
    <w:rsid w:val="00220B25"/>
    <w:rsid w:val="00221296"/>
    <w:rsid w:val="002215D9"/>
    <w:rsid w:val="00221A64"/>
    <w:rsid w:val="00221B74"/>
    <w:rsid w:val="00221EE1"/>
    <w:rsid w:val="0022291D"/>
    <w:rsid w:val="00226AD5"/>
    <w:rsid w:val="00226F9D"/>
    <w:rsid w:val="002275B1"/>
    <w:rsid w:val="00227653"/>
    <w:rsid w:val="002276EB"/>
    <w:rsid w:val="00227AE9"/>
    <w:rsid w:val="00230DE8"/>
    <w:rsid w:val="00232A33"/>
    <w:rsid w:val="0023324C"/>
    <w:rsid w:val="0023481A"/>
    <w:rsid w:val="00235A1E"/>
    <w:rsid w:val="0023664F"/>
    <w:rsid w:val="00240244"/>
    <w:rsid w:val="00241427"/>
    <w:rsid w:val="00241655"/>
    <w:rsid w:val="00241F3E"/>
    <w:rsid w:val="00241F90"/>
    <w:rsid w:val="00242128"/>
    <w:rsid w:val="0024238E"/>
    <w:rsid w:val="002443AB"/>
    <w:rsid w:val="00247551"/>
    <w:rsid w:val="00247DB8"/>
    <w:rsid w:val="00247E54"/>
    <w:rsid w:val="00251377"/>
    <w:rsid w:val="00251EC4"/>
    <w:rsid w:val="002540AA"/>
    <w:rsid w:val="0025491D"/>
    <w:rsid w:val="00257863"/>
    <w:rsid w:val="00257BE0"/>
    <w:rsid w:val="00260C71"/>
    <w:rsid w:val="00263A40"/>
    <w:rsid w:val="00263E6E"/>
    <w:rsid w:val="00265745"/>
    <w:rsid w:val="00270ACA"/>
    <w:rsid w:val="00271396"/>
    <w:rsid w:val="00271D7D"/>
    <w:rsid w:val="00272AFE"/>
    <w:rsid w:val="0027417D"/>
    <w:rsid w:val="00274895"/>
    <w:rsid w:val="0027617A"/>
    <w:rsid w:val="0027796E"/>
    <w:rsid w:val="00280E7B"/>
    <w:rsid w:val="002822A8"/>
    <w:rsid w:val="0028352E"/>
    <w:rsid w:val="00287080"/>
    <w:rsid w:val="0028722E"/>
    <w:rsid w:val="002903AE"/>
    <w:rsid w:val="002908D9"/>
    <w:rsid w:val="00292E5D"/>
    <w:rsid w:val="00294047"/>
    <w:rsid w:val="0029488E"/>
    <w:rsid w:val="002967C4"/>
    <w:rsid w:val="00296F5D"/>
    <w:rsid w:val="002A1E86"/>
    <w:rsid w:val="002A289C"/>
    <w:rsid w:val="002A30B5"/>
    <w:rsid w:val="002A3AB5"/>
    <w:rsid w:val="002A7199"/>
    <w:rsid w:val="002A7E45"/>
    <w:rsid w:val="002B0492"/>
    <w:rsid w:val="002B066F"/>
    <w:rsid w:val="002B0A2B"/>
    <w:rsid w:val="002B0EEA"/>
    <w:rsid w:val="002B2D9F"/>
    <w:rsid w:val="002B310D"/>
    <w:rsid w:val="002B3192"/>
    <w:rsid w:val="002B452B"/>
    <w:rsid w:val="002B587C"/>
    <w:rsid w:val="002B5A73"/>
    <w:rsid w:val="002B6892"/>
    <w:rsid w:val="002B6E46"/>
    <w:rsid w:val="002B7667"/>
    <w:rsid w:val="002C0CF4"/>
    <w:rsid w:val="002C1927"/>
    <w:rsid w:val="002C3185"/>
    <w:rsid w:val="002C5E96"/>
    <w:rsid w:val="002D14EA"/>
    <w:rsid w:val="002D19DA"/>
    <w:rsid w:val="002D2355"/>
    <w:rsid w:val="002D436A"/>
    <w:rsid w:val="002D4796"/>
    <w:rsid w:val="002D622B"/>
    <w:rsid w:val="002D69FC"/>
    <w:rsid w:val="002D6B2F"/>
    <w:rsid w:val="002D6C85"/>
    <w:rsid w:val="002D6DED"/>
    <w:rsid w:val="002E09AD"/>
    <w:rsid w:val="002E1AC1"/>
    <w:rsid w:val="002E2F4E"/>
    <w:rsid w:val="002E335F"/>
    <w:rsid w:val="002E3DA5"/>
    <w:rsid w:val="002E75C1"/>
    <w:rsid w:val="002F126C"/>
    <w:rsid w:val="002F1E1D"/>
    <w:rsid w:val="002F32AF"/>
    <w:rsid w:val="002F377A"/>
    <w:rsid w:val="002F444E"/>
    <w:rsid w:val="002F4C93"/>
    <w:rsid w:val="002F4FAA"/>
    <w:rsid w:val="002F554B"/>
    <w:rsid w:val="002F5FE3"/>
    <w:rsid w:val="002F6209"/>
    <w:rsid w:val="002F65E1"/>
    <w:rsid w:val="003015AB"/>
    <w:rsid w:val="003016E1"/>
    <w:rsid w:val="003045C7"/>
    <w:rsid w:val="0030523F"/>
    <w:rsid w:val="00305958"/>
    <w:rsid w:val="003113A3"/>
    <w:rsid w:val="003137EF"/>
    <w:rsid w:val="0031390F"/>
    <w:rsid w:val="003144AC"/>
    <w:rsid w:val="00314543"/>
    <w:rsid w:val="00314B3D"/>
    <w:rsid w:val="00314F21"/>
    <w:rsid w:val="00315584"/>
    <w:rsid w:val="00315A9E"/>
    <w:rsid w:val="00315E45"/>
    <w:rsid w:val="0031614C"/>
    <w:rsid w:val="00320BD3"/>
    <w:rsid w:val="00321026"/>
    <w:rsid w:val="00321DBE"/>
    <w:rsid w:val="0032432F"/>
    <w:rsid w:val="00324334"/>
    <w:rsid w:val="00324473"/>
    <w:rsid w:val="00324A36"/>
    <w:rsid w:val="003250E4"/>
    <w:rsid w:val="0032549F"/>
    <w:rsid w:val="00325A50"/>
    <w:rsid w:val="00325EDF"/>
    <w:rsid w:val="0032635A"/>
    <w:rsid w:val="00326E97"/>
    <w:rsid w:val="003302B0"/>
    <w:rsid w:val="003303E1"/>
    <w:rsid w:val="0033319C"/>
    <w:rsid w:val="00335216"/>
    <w:rsid w:val="0033618A"/>
    <w:rsid w:val="00340958"/>
    <w:rsid w:val="00341197"/>
    <w:rsid w:val="003411F9"/>
    <w:rsid w:val="0034149A"/>
    <w:rsid w:val="00343AA0"/>
    <w:rsid w:val="00343F61"/>
    <w:rsid w:val="00344B58"/>
    <w:rsid w:val="00345CB0"/>
    <w:rsid w:val="0034655B"/>
    <w:rsid w:val="00350677"/>
    <w:rsid w:val="00351392"/>
    <w:rsid w:val="00351FE7"/>
    <w:rsid w:val="00353DDC"/>
    <w:rsid w:val="00353E6E"/>
    <w:rsid w:val="00354B27"/>
    <w:rsid w:val="00355FD4"/>
    <w:rsid w:val="00356A28"/>
    <w:rsid w:val="00357731"/>
    <w:rsid w:val="00357751"/>
    <w:rsid w:val="00357FCF"/>
    <w:rsid w:val="003600A0"/>
    <w:rsid w:val="003621E0"/>
    <w:rsid w:val="003625A9"/>
    <w:rsid w:val="003644A4"/>
    <w:rsid w:val="003665BF"/>
    <w:rsid w:val="003700CB"/>
    <w:rsid w:val="00371BC3"/>
    <w:rsid w:val="00372616"/>
    <w:rsid w:val="0037313A"/>
    <w:rsid w:val="00374EE7"/>
    <w:rsid w:val="00375469"/>
    <w:rsid w:val="00380D6B"/>
    <w:rsid w:val="00381CFE"/>
    <w:rsid w:val="003837A4"/>
    <w:rsid w:val="00385244"/>
    <w:rsid w:val="003856B2"/>
    <w:rsid w:val="003867FC"/>
    <w:rsid w:val="00386B27"/>
    <w:rsid w:val="00387AD4"/>
    <w:rsid w:val="0039014B"/>
    <w:rsid w:val="00391AB7"/>
    <w:rsid w:val="003936B9"/>
    <w:rsid w:val="003946E6"/>
    <w:rsid w:val="003947F4"/>
    <w:rsid w:val="00394981"/>
    <w:rsid w:val="00394D1C"/>
    <w:rsid w:val="003961F7"/>
    <w:rsid w:val="003A0EEE"/>
    <w:rsid w:val="003A2452"/>
    <w:rsid w:val="003A2DEA"/>
    <w:rsid w:val="003A2E6B"/>
    <w:rsid w:val="003A5F00"/>
    <w:rsid w:val="003A6076"/>
    <w:rsid w:val="003A73C2"/>
    <w:rsid w:val="003A797B"/>
    <w:rsid w:val="003B039B"/>
    <w:rsid w:val="003B0E30"/>
    <w:rsid w:val="003B19F5"/>
    <w:rsid w:val="003B1AC7"/>
    <w:rsid w:val="003B3801"/>
    <w:rsid w:val="003B3D16"/>
    <w:rsid w:val="003C1661"/>
    <w:rsid w:val="003C5D40"/>
    <w:rsid w:val="003D0F49"/>
    <w:rsid w:val="003D2C65"/>
    <w:rsid w:val="003D38E4"/>
    <w:rsid w:val="003D3D1D"/>
    <w:rsid w:val="003D5467"/>
    <w:rsid w:val="003D5CC8"/>
    <w:rsid w:val="003D661D"/>
    <w:rsid w:val="003E094F"/>
    <w:rsid w:val="003E17EA"/>
    <w:rsid w:val="003E2C7D"/>
    <w:rsid w:val="003E3D95"/>
    <w:rsid w:val="003E3E76"/>
    <w:rsid w:val="003E47B2"/>
    <w:rsid w:val="003E61BC"/>
    <w:rsid w:val="003E7DA1"/>
    <w:rsid w:val="003F128B"/>
    <w:rsid w:val="003F2B7E"/>
    <w:rsid w:val="003F2D99"/>
    <w:rsid w:val="003F32A0"/>
    <w:rsid w:val="003F58C3"/>
    <w:rsid w:val="003F7C08"/>
    <w:rsid w:val="003F7EAC"/>
    <w:rsid w:val="00401A09"/>
    <w:rsid w:val="00401DDF"/>
    <w:rsid w:val="00403636"/>
    <w:rsid w:val="00406B9C"/>
    <w:rsid w:val="00407862"/>
    <w:rsid w:val="00412C06"/>
    <w:rsid w:val="0041640E"/>
    <w:rsid w:val="0041737E"/>
    <w:rsid w:val="00420339"/>
    <w:rsid w:val="004229E7"/>
    <w:rsid w:val="00425DF0"/>
    <w:rsid w:val="00427D2A"/>
    <w:rsid w:val="00430F2D"/>
    <w:rsid w:val="00431DEA"/>
    <w:rsid w:val="00432743"/>
    <w:rsid w:val="00432FFF"/>
    <w:rsid w:val="00434618"/>
    <w:rsid w:val="00435D72"/>
    <w:rsid w:val="00435F09"/>
    <w:rsid w:val="00437C6D"/>
    <w:rsid w:val="00437CEB"/>
    <w:rsid w:val="00440244"/>
    <w:rsid w:val="004403B5"/>
    <w:rsid w:val="00441410"/>
    <w:rsid w:val="004423B2"/>
    <w:rsid w:val="00442990"/>
    <w:rsid w:val="00445A21"/>
    <w:rsid w:val="00446478"/>
    <w:rsid w:val="00447C9D"/>
    <w:rsid w:val="00450F8D"/>
    <w:rsid w:val="0045101E"/>
    <w:rsid w:val="00453DDA"/>
    <w:rsid w:val="00454D83"/>
    <w:rsid w:val="00455D2B"/>
    <w:rsid w:val="004562BD"/>
    <w:rsid w:val="00456B5C"/>
    <w:rsid w:val="00462B5A"/>
    <w:rsid w:val="004655BE"/>
    <w:rsid w:val="00470212"/>
    <w:rsid w:val="004732A2"/>
    <w:rsid w:val="004770FC"/>
    <w:rsid w:val="00477E0B"/>
    <w:rsid w:val="004800CE"/>
    <w:rsid w:val="00480263"/>
    <w:rsid w:val="00481462"/>
    <w:rsid w:val="00482E25"/>
    <w:rsid w:val="00483E0B"/>
    <w:rsid w:val="0048401B"/>
    <w:rsid w:val="0048438E"/>
    <w:rsid w:val="00485325"/>
    <w:rsid w:val="00486168"/>
    <w:rsid w:val="00486515"/>
    <w:rsid w:val="004902FC"/>
    <w:rsid w:val="00491E02"/>
    <w:rsid w:val="004934AF"/>
    <w:rsid w:val="00494538"/>
    <w:rsid w:val="00494B70"/>
    <w:rsid w:val="00496A20"/>
    <w:rsid w:val="004A0A09"/>
    <w:rsid w:val="004A21F3"/>
    <w:rsid w:val="004A469F"/>
    <w:rsid w:val="004A700F"/>
    <w:rsid w:val="004B08EC"/>
    <w:rsid w:val="004B1D54"/>
    <w:rsid w:val="004B568B"/>
    <w:rsid w:val="004B6C24"/>
    <w:rsid w:val="004B6EFC"/>
    <w:rsid w:val="004B7364"/>
    <w:rsid w:val="004B7425"/>
    <w:rsid w:val="004B7D27"/>
    <w:rsid w:val="004C15D1"/>
    <w:rsid w:val="004C175C"/>
    <w:rsid w:val="004C33C3"/>
    <w:rsid w:val="004C4436"/>
    <w:rsid w:val="004D0048"/>
    <w:rsid w:val="004D11E9"/>
    <w:rsid w:val="004D2569"/>
    <w:rsid w:val="004D3304"/>
    <w:rsid w:val="004D4C32"/>
    <w:rsid w:val="004D56D1"/>
    <w:rsid w:val="004E21C7"/>
    <w:rsid w:val="004E2513"/>
    <w:rsid w:val="004E367C"/>
    <w:rsid w:val="004E3E0D"/>
    <w:rsid w:val="004E469E"/>
    <w:rsid w:val="004E665F"/>
    <w:rsid w:val="004F03B7"/>
    <w:rsid w:val="004F06E4"/>
    <w:rsid w:val="004F1201"/>
    <w:rsid w:val="004F251B"/>
    <w:rsid w:val="004F33F2"/>
    <w:rsid w:val="004F428B"/>
    <w:rsid w:val="004F5116"/>
    <w:rsid w:val="004F5FA5"/>
    <w:rsid w:val="004F7713"/>
    <w:rsid w:val="005000FD"/>
    <w:rsid w:val="00504D76"/>
    <w:rsid w:val="00505193"/>
    <w:rsid w:val="00507E85"/>
    <w:rsid w:val="0051046F"/>
    <w:rsid w:val="00510F26"/>
    <w:rsid w:val="00510FAA"/>
    <w:rsid w:val="005136AF"/>
    <w:rsid w:val="005138AE"/>
    <w:rsid w:val="00513BC9"/>
    <w:rsid w:val="00515115"/>
    <w:rsid w:val="00516470"/>
    <w:rsid w:val="00516982"/>
    <w:rsid w:val="00517A09"/>
    <w:rsid w:val="00520610"/>
    <w:rsid w:val="00521123"/>
    <w:rsid w:val="0052233D"/>
    <w:rsid w:val="00522657"/>
    <w:rsid w:val="00522786"/>
    <w:rsid w:val="00523638"/>
    <w:rsid w:val="00525164"/>
    <w:rsid w:val="00525322"/>
    <w:rsid w:val="0052595B"/>
    <w:rsid w:val="00525C05"/>
    <w:rsid w:val="00526533"/>
    <w:rsid w:val="00526E1B"/>
    <w:rsid w:val="00527E9D"/>
    <w:rsid w:val="0053016F"/>
    <w:rsid w:val="005315AC"/>
    <w:rsid w:val="0053235A"/>
    <w:rsid w:val="00532959"/>
    <w:rsid w:val="00533A96"/>
    <w:rsid w:val="00533FD0"/>
    <w:rsid w:val="0053499F"/>
    <w:rsid w:val="005349BB"/>
    <w:rsid w:val="005358CB"/>
    <w:rsid w:val="00535D36"/>
    <w:rsid w:val="005365F1"/>
    <w:rsid w:val="00540B76"/>
    <w:rsid w:val="0054123E"/>
    <w:rsid w:val="00542644"/>
    <w:rsid w:val="00543740"/>
    <w:rsid w:val="00544788"/>
    <w:rsid w:val="00544A03"/>
    <w:rsid w:val="00545534"/>
    <w:rsid w:val="00546DB9"/>
    <w:rsid w:val="00550657"/>
    <w:rsid w:val="00551D9B"/>
    <w:rsid w:val="0055236D"/>
    <w:rsid w:val="00552712"/>
    <w:rsid w:val="00552C07"/>
    <w:rsid w:val="00553971"/>
    <w:rsid w:val="0055432F"/>
    <w:rsid w:val="00554FF7"/>
    <w:rsid w:val="0055510E"/>
    <w:rsid w:val="00555172"/>
    <w:rsid w:val="00556BDB"/>
    <w:rsid w:val="005575D4"/>
    <w:rsid w:val="0056052B"/>
    <w:rsid w:val="00561561"/>
    <w:rsid w:val="005626D0"/>
    <w:rsid w:val="005629D5"/>
    <w:rsid w:val="005639AD"/>
    <w:rsid w:val="00564441"/>
    <w:rsid w:val="005645C5"/>
    <w:rsid w:val="0057149E"/>
    <w:rsid w:val="005725F5"/>
    <w:rsid w:val="005739DD"/>
    <w:rsid w:val="00575F9B"/>
    <w:rsid w:val="00577F6D"/>
    <w:rsid w:val="0058115C"/>
    <w:rsid w:val="00582359"/>
    <w:rsid w:val="0058274E"/>
    <w:rsid w:val="00586AF9"/>
    <w:rsid w:val="00587242"/>
    <w:rsid w:val="005877F2"/>
    <w:rsid w:val="00587D90"/>
    <w:rsid w:val="00591AE5"/>
    <w:rsid w:val="00593A63"/>
    <w:rsid w:val="005943FC"/>
    <w:rsid w:val="00596AE0"/>
    <w:rsid w:val="00596B3F"/>
    <w:rsid w:val="005A0D46"/>
    <w:rsid w:val="005A0FAC"/>
    <w:rsid w:val="005A10A6"/>
    <w:rsid w:val="005A4736"/>
    <w:rsid w:val="005A6619"/>
    <w:rsid w:val="005A7F6D"/>
    <w:rsid w:val="005B2478"/>
    <w:rsid w:val="005B359A"/>
    <w:rsid w:val="005B3C50"/>
    <w:rsid w:val="005B4481"/>
    <w:rsid w:val="005B591B"/>
    <w:rsid w:val="005B6951"/>
    <w:rsid w:val="005C0F1C"/>
    <w:rsid w:val="005C3728"/>
    <w:rsid w:val="005C4177"/>
    <w:rsid w:val="005C69F5"/>
    <w:rsid w:val="005C7A99"/>
    <w:rsid w:val="005D043B"/>
    <w:rsid w:val="005D12B5"/>
    <w:rsid w:val="005D2465"/>
    <w:rsid w:val="005D4C69"/>
    <w:rsid w:val="005D5C2E"/>
    <w:rsid w:val="005D7386"/>
    <w:rsid w:val="005D79D7"/>
    <w:rsid w:val="005E0A66"/>
    <w:rsid w:val="005E10AA"/>
    <w:rsid w:val="005E2380"/>
    <w:rsid w:val="005E3978"/>
    <w:rsid w:val="005E3D65"/>
    <w:rsid w:val="005E651F"/>
    <w:rsid w:val="005E7B99"/>
    <w:rsid w:val="005F18D5"/>
    <w:rsid w:val="005F23C7"/>
    <w:rsid w:val="005F2822"/>
    <w:rsid w:val="005F426C"/>
    <w:rsid w:val="005F4E9B"/>
    <w:rsid w:val="005F68E2"/>
    <w:rsid w:val="005F73EF"/>
    <w:rsid w:val="005F74E5"/>
    <w:rsid w:val="006002F8"/>
    <w:rsid w:val="006004D3"/>
    <w:rsid w:val="006036F8"/>
    <w:rsid w:val="006049F5"/>
    <w:rsid w:val="00607C49"/>
    <w:rsid w:val="00607F10"/>
    <w:rsid w:val="0061128E"/>
    <w:rsid w:val="00611852"/>
    <w:rsid w:val="00613374"/>
    <w:rsid w:val="00615170"/>
    <w:rsid w:val="00615399"/>
    <w:rsid w:val="00615504"/>
    <w:rsid w:val="00616337"/>
    <w:rsid w:val="0061660D"/>
    <w:rsid w:val="00616F3F"/>
    <w:rsid w:val="0062079E"/>
    <w:rsid w:val="00620A05"/>
    <w:rsid w:val="00620A42"/>
    <w:rsid w:val="00620E4D"/>
    <w:rsid w:val="00621353"/>
    <w:rsid w:val="0062236C"/>
    <w:rsid w:val="00623F26"/>
    <w:rsid w:val="006262C2"/>
    <w:rsid w:val="00627135"/>
    <w:rsid w:val="00632348"/>
    <w:rsid w:val="00635780"/>
    <w:rsid w:val="00635EB1"/>
    <w:rsid w:val="00637775"/>
    <w:rsid w:val="00641D96"/>
    <w:rsid w:val="0064305D"/>
    <w:rsid w:val="00643306"/>
    <w:rsid w:val="00643AEE"/>
    <w:rsid w:val="00645A34"/>
    <w:rsid w:val="00645C53"/>
    <w:rsid w:val="00646247"/>
    <w:rsid w:val="00646A29"/>
    <w:rsid w:val="00647130"/>
    <w:rsid w:val="00647A3C"/>
    <w:rsid w:val="006510B7"/>
    <w:rsid w:val="00652C2F"/>
    <w:rsid w:val="00653630"/>
    <w:rsid w:val="00653B46"/>
    <w:rsid w:val="006540A7"/>
    <w:rsid w:val="006551CE"/>
    <w:rsid w:val="006558D3"/>
    <w:rsid w:val="00661A3F"/>
    <w:rsid w:val="006658AB"/>
    <w:rsid w:val="00666031"/>
    <w:rsid w:val="0066659C"/>
    <w:rsid w:val="00666995"/>
    <w:rsid w:val="00670920"/>
    <w:rsid w:val="0067166D"/>
    <w:rsid w:val="006716E9"/>
    <w:rsid w:val="0067172D"/>
    <w:rsid w:val="00671E96"/>
    <w:rsid w:val="00673B71"/>
    <w:rsid w:val="00673BFF"/>
    <w:rsid w:val="0067414B"/>
    <w:rsid w:val="006756F3"/>
    <w:rsid w:val="00675FDB"/>
    <w:rsid w:val="00676BA4"/>
    <w:rsid w:val="00676F5B"/>
    <w:rsid w:val="00680529"/>
    <w:rsid w:val="00681ACC"/>
    <w:rsid w:val="006847D2"/>
    <w:rsid w:val="006856CB"/>
    <w:rsid w:val="00690813"/>
    <w:rsid w:val="0069255E"/>
    <w:rsid w:val="0069257C"/>
    <w:rsid w:val="00695E9A"/>
    <w:rsid w:val="006A0110"/>
    <w:rsid w:val="006A10AC"/>
    <w:rsid w:val="006A4F84"/>
    <w:rsid w:val="006A527E"/>
    <w:rsid w:val="006A5E24"/>
    <w:rsid w:val="006A69C5"/>
    <w:rsid w:val="006A7FFC"/>
    <w:rsid w:val="006B445B"/>
    <w:rsid w:val="006B5507"/>
    <w:rsid w:val="006B5CFE"/>
    <w:rsid w:val="006B6C19"/>
    <w:rsid w:val="006C03E6"/>
    <w:rsid w:val="006C0732"/>
    <w:rsid w:val="006C2485"/>
    <w:rsid w:val="006C3956"/>
    <w:rsid w:val="006C4D23"/>
    <w:rsid w:val="006C557E"/>
    <w:rsid w:val="006C6266"/>
    <w:rsid w:val="006D18E0"/>
    <w:rsid w:val="006D259C"/>
    <w:rsid w:val="006D4336"/>
    <w:rsid w:val="006D5717"/>
    <w:rsid w:val="006D60F7"/>
    <w:rsid w:val="006D6175"/>
    <w:rsid w:val="006D62B3"/>
    <w:rsid w:val="006D7432"/>
    <w:rsid w:val="006D7B2A"/>
    <w:rsid w:val="006D7E40"/>
    <w:rsid w:val="006E0682"/>
    <w:rsid w:val="006E1931"/>
    <w:rsid w:val="006E1B91"/>
    <w:rsid w:val="006E2811"/>
    <w:rsid w:val="006E3368"/>
    <w:rsid w:val="006E41FF"/>
    <w:rsid w:val="006E4D89"/>
    <w:rsid w:val="006E5222"/>
    <w:rsid w:val="006E7424"/>
    <w:rsid w:val="006F0B37"/>
    <w:rsid w:val="006F0CC6"/>
    <w:rsid w:val="006F36DB"/>
    <w:rsid w:val="006F3CA8"/>
    <w:rsid w:val="006F5EE4"/>
    <w:rsid w:val="006F62C1"/>
    <w:rsid w:val="006F6B60"/>
    <w:rsid w:val="006F6DED"/>
    <w:rsid w:val="00702712"/>
    <w:rsid w:val="00702D7C"/>
    <w:rsid w:val="0070504C"/>
    <w:rsid w:val="00707043"/>
    <w:rsid w:val="007072AE"/>
    <w:rsid w:val="0070748E"/>
    <w:rsid w:val="00710AA0"/>
    <w:rsid w:val="00712D65"/>
    <w:rsid w:val="00716989"/>
    <w:rsid w:val="00717EEC"/>
    <w:rsid w:val="00720A47"/>
    <w:rsid w:val="00721E3B"/>
    <w:rsid w:val="00722D28"/>
    <w:rsid w:val="00722FF1"/>
    <w:rsid w:val="00723007"/>
    <w:rsid w:val="007249A1"/>
    <w:rsid w:val="00725694"/>
    <w:rsid w:val="0072754E"/>
    <w:rsid w:val="0073218C"/>
    <w:rsid w:val="0073288D"/>
    <w:rsid w:val="00732E38"/>
    <w:rsid w:val="00734089"/>
    <w:rsid w:val="00734320"/>
    <w:rsid w:val="00734E6A"/>
    <w:rsid w:val="0073508A"/>
    <w:rsid w:val="00735850"/>
    <w:rsid w:val="0073679B"/>
    <w:rsid w:val="007367B0"/>
    <w:rsid w:val="00737FFE"/>
    <w:rsid w:val="00743672"/>
    <w:rsid w:val="00745E1E"/>
    <w:rsid w:val="007468C6"/>
    <w:rsid w:val="00746DD2"/>
    <w:rsid w:val="00751E65"/>
    <w:rsid w:val="00752732"/>
    <w:rsid w:val="007528D2"/>
    <w:rsid w:val="00755063"/>
    <w:rsid w:val="00755BC5"/>
    <w:rsid w:val="00756801"/>
    <w:rsid w:val="00760A9E"/>
    <w:rsid w:val="00762064"/>
    <w:rsid w:val="00762291"/>
    <w:rsid w:val="007631F6"/>
    <w:rsid w:val="007643DE"/>
    <w:rsid w:val="007654E5"/>
    <w:rsid w:val="007671B4"/>
    <w:rsid w:val="007676E2"/>
    <w:rsid w:val="00767B4E"/>
    <w:rsid w:val="00770DE7"/>
    <w:rsid w:val="00771505"/>
    <w:rsid w:val="007715EF"/>
    <w:rsid w:val="00771ADA"/>
    <w:rsid w:val="00775D3B"/>
    <w:rsid w:val="00777430"/>
    <w:rsid w:val="00777C7E"/>
    <w:rsid w:val="0078023B"/>
    <w:rsid w:val="007816D8"/>
    <w:rsid w:val="00782AFE"/>
    <w:rsid w:val="00782C15"/>
    <w:rsid w:val="00783026"/>
    <w:rsid w:val="007835C0"/>
    <w:rsid w:val="00784D49"/>
    <w:rsid w:val="00785215"/>
    <w:rsid w:val="00785438"/>
    <w:rsid w:val="00785B1A"/>
    <w:rsid w:val="00785CB3"/>
    <w:rsid w:val="00786CC0"/>
    <w:rsid w:val="007870CC"/>
    <w:rsid w:val="0079061B"/>
    <w:rsid w:val="00791AFA"/>
    <w:rsid w:val="00793091"/>
    <w:rsid w:val="0079394A"/>
    <w:rsid w:val="0079399B"/>
    <w:rsid w:val="00793C6F"/>
    <w:rsid w:val="00794384"/>
    <w:rsid w:val="00794DB0"/>
    <w:rsid w:val="00795425"/>
    <w:rsid w:val="00795C1D"/>
    <w:rsid w:val="0079614C"/>
    <w:rsid w:val="0079658F"/>
    <w:rsid w:val="0079730D"/>
    <w:rsid w:val="007A2669"/>
    <w:rsid w:val="007A362E"/>
    <w:rsid w:val="007A61F7"/>
    <w:rsid w:val="007A6D9A"/>
    <w:rsid w:val="007B004E"/>
    <w:rsid w:val="007B03C8"/>
    <w:rsid w:val="007B0F4D"/>
    <w:rsid w:val="007B1D6E"/>
    <w:rsid w:val="007B4CF1"/>
    <w:rsid w:val="007B5A61"/>
    <w:rsid w:val="007B5ECC"/>
    <w:rsid w:val="007B752C"/>
    <w:rsid w:val="007C054A"/>
    <w:rsid w:val="007C0C6E"/>
    <w:rsid w:val="007C3251"/>
    <w:rsid w:val="007C3709"/>
    <w:rsid w:val="007C41D1"/>
    <w:rsid w:val="007C583A"/>
    <w:rsid w:val="007C6172"/>
    <w:rsid w:val="007C7114"/>
    <w:rsid w:val="007D2AEB"/>
    <w:rsid w:val="007D4CE3"/>
    <w:rsid w:val="007D5472"/>
    <w:rsid w:val="007D77D7"/>
    <w:rsid w:val="007E034A"/>
    <w:rsid w:val="007E0BCB"/>
    <w:rsid w:val="007E376F"/>
    <w:rsid w:val="007E47D5"/>
    <w:rsid w:val="007E73B8"/>
    <w:rsid w:val="007F15F5"/>
    <w:rsid w:val="007F28A0"/>
    <w:rsid w:val="007F2934"/>
    <w:rsid w:val="007F29FF"/>
    <w:rsid w:val="007F374F"/>
    <w:rsid w:val="007F3CF8"/>
    <w:rsid w:val="007F4878"/>
    <w:rsid w:val="007F53E4"/>
    <w:rsid w:val="007F70F1"/>
    <w:rsid w:val="007F7A5B"/>
    <w:rsid w:val="007F7F2A"/>
    <w:rsid w:val="00802518"/>
    <w:rsid w:val="00803098"/>
    <w:rsid w:val="008048BE"/>
    <w:rsid w:val="00804B04"/>
    <w:rsid w:val="00805B83"/>
    <w:rsid w:val="00806841"/>
    <w:rsid w:val="008069F6"/>
    <w:rsid w:val="00806FBA"/>
    <w:rsid w:val="00811872"/>
    <w:rsid w:val="008120A6"/>
    <w:rsid w:val="00812277"/>
    <w:rsid w:val="00812BAE"/>
    <w:rsid w:val="00812EDC"/>
    <w:rsid w:val="00813C5C"/>
    <w:rsid w:val="00813E9E"/>
    <w:rsid w:val="00816F60"/>
    <w:rsid w:val="0081718C"/>
    <w:rsid w:val="00820FEB"/>
    <w:rsid w:val="0082285F"/>
    <w:rsid w:val="00823AD0"/>
    <w:rsid w:val="00825A7C"/>
    <w:rsid w:val="00826A17"/>
    <w:rsid w:val="00826E58"/>
    <w:rsid w:val="00826F0B"/>
    <w:rsid w:val="008273D7"/>
    <w:rsid w:val="00827B2F"/>
    <w:rsid w:val="00833322"/>
    <w:rsid w:val="00833692"/>
    <w:rsid w:val="008378C4"/>
    <w:rsid w:val="008415E9"/>
    <w:rsid w:val="00842988"/>
    <w:rsid w:val="0084381E"/>
    <w:rsid w:val="00843C05"/>
    <w:rsid w:val="00844D5D"/>
    <w:rsid w:val="00844D99"/>
    <w:rsid w:val="00852F9D"/>
    <w:rsid w:val="0085347F"/>
    <w:rsid w:val="00853ADC"/>
    <w:rsid w:val="008562C0"/>
    <w:rsid w:val="00856808"/>
    <w:rsid w:val="00856DB3"/>
    <w:rsid w:val="00863ABA"/>
    <w:rsid w:val="00864B97"/>
    <w:rsid w:val="00865A55"/>
    <w:rsid w:val="00867226"/>
    <w:rsid w:val="008721FA"/>
    <w:rsid w:val="00872855"/>
    <w:rsid w:val="0087398F"/>
    <w:rsid w:val="00873ACD"/>
    <w:rsid w:val="00875485"/>
    <w:rsid w:val="0087788B"/>
    <w:rsid w:val="008824C2"/>
    <w:rsid w:val="008828EA"/>
    <w:rsid w:val="008843B8"/>
    <w:rsid w:val="00885571"/>
    <w:rsid w:val="00885B40"/>
    <w:rsid w:val="00886F3D"/>
    <w:rsid w:val="00887EE5"/>
    <w:rsid w:val="00890204"/>
    <w:rsid w:val="0089147B"/>
    <w:rsid w:val="00891D92"/>
    <w:rsid w:val="008968BD"/>
    <w:rsid w:val="00896A0C"/>
    <w:rsid w:val="00896B23"/>
    <w:rsid w:val="0089774D"/>
    <w:rsid w:val="008A00A7"/>
    <w:rsid w:val="008A1428"/>
    <w:rsid w:val="008A1D1A"/>
    <w:rsid w:val="008A2924"/>
    <w:rsid w:val="008A2B80"/>
    <w:rsid w:val="008A38FE"/>
    <w:rsid w:val="008A6065"/>
    <w:rsid w:val="008A7B15"/>
    <w:rsid w:val="008B075D"/>
    <w:rsid w:val="008B1DC8"/>
    <w:rsid w:val="008B20C3"/>
    <w:rsid w:val="008B22E6"/>
    <w:rsid w:val="008B34C8"/>
    <w:rsid w:val="008B35C3"/>
    <w:rsid w:val="008B40A6"/>
    <w:rsid w:val="008B43BB"/>
    <w:rsid w:val="008B68EF"/>
    <w:rsid w:val="008B73B7"/>
    <w:rsid w:val="008B7661"/>
    <w:rsid w:val="008B79C8"/>
    <w:rsid w:val="008C07CF"/>
    <w:rsid w:val="008C1AD4"/>
    <w:rsid w:val="008C239E"/>
    <w:rsid w:val="008C324C"/>
    <w:rsid w:val="008C4507"/>
    <w:rsid w:val="008C458A"/>
    <w:rsid w:val="008C69D8"/>
    <w:rsid w:val="008C6FA1"/>
    <w:rsid w:val="008D021D"/>
    <w:rsid w:val="008D0BE8"/>
    <w:rsid w:val="008D3878"/>
    <w:rsid w:val="008D5A1E"/>
    <w:rsid w:val="008D6FF5"/>
    <w:rsid w:val="008D7845"/>
    <w:rsid w:val="008D7C5A"/>
    <w:rsid w:val="008E063C"/>
    <w:rsid w:val="008E0F92"/>
    <w:rsid w:val="008E1AFE"/>
    <w:rsid w:val="008E255F"/>
    <w:rsid w:val="008E2B61"/>
    <w:rsid w:val="008E3004"/>
    <w:rsid w:val="008E3306"/>
    <w:rsid w:val="008E4C1C"/>
    <w:rsid w:val="008E7620"/>
    <w:rsid w:val="008F04F0"/>
    <w:rsid w:val="008F2560"/>
    <w:rsid w:val="008F28B6"/>
    <w:rsid w:val="008F3337"/>
    <w:rsid w:val="008F6A9E"/>
    <w:rsid w:val="008F77AE"/>
    <w:rsid w:val="00900271"/>
    <w:rsid w:val="00902476"/>
    <w:rsid w:val="00903569"/>
    <w:rsid w:val="0090378A"/>
    <w:rsid w:val="009054B7"/>
    <w:rsid w:val="00906CD7"/>
    <w:rsid w:val="0090727F"/>
    <w:rsid w:val="00907645"/>
    <w:rsid w:val="00907C37"/>
    <w:rsid w:val="009107CC"/>
    <w:rsid w:val="00911579"/>
    <w:rsid w:val="009116BB"/>
    <w:rsid w:val="00913E70"/>
    <w:rsid w:val="009145BE"/>
    <w:rsid w:val="0091469B"/>
    <w:rsid w:val="00915E60"/>
    <w:rsid w:val="00920632"/>
    <w:rsid w:val="00922982"/>
    <w:rsid w:val="0092310B"/>
    <w:rsid w:val="00923453"/>
    <w:rsid w:val="00927508"/>
    <w:rsid w:val="00927768"/>
    <w:rsid w:val="00931D64"/>
    <w:rsid w:val="0093289F"/>
    <w:rsid w:val="009337FD"/>
    <w:rsid w:val="00933DAF"/>
    <w:rsid w:val="00933E27"/>
    <w:rsid w:val="009343BC"/>
    <w:rsid w:val="00936BC5"/>
    <w:rsid w:val="009423A9"/>
    <w:rsid w:val="009447DC"/>
    <w:rsid w:val="00945A02"/>
    <w:rsid w:val="009462EB"/>
    <w:rsid w:val="00947021"/>
    <w:rsid w:val="00947556"/>
    <w:rsid w:val="00950CEA"/>
    <w:rsid w:val="00951D9D"/>
    <w:rsid w:val="00951FFF"/>
    <w:rsid w:val="00954FAC"/>
    <w:rsid w:val="009558B0"/>
    <w:rsid w:val="00955934"/>
    <w:rsid w:val="00956B2D"/>
    <w:rsid w:val="009572E2"/>
    <w:rsid w:val="00957D04"/>
    <w:rsid w:val="0096061D"/>
    <w:rsid w:val="0096101B"/>
    <w:rsid w:val="009637B6"/>
    <w:rsid w:val="00965DA4"/>
    <w:rsid w:val="00966108"/>
    <w:rsid w:val="00966B44"/>
    <w:rsid w:val="00966CEE"/>
    <w:rsid w:val="0096700E"/>
    <w:rsid w:val="009679CB"/>
    <w:rsid w:val="00970382"/>
    <w:rsid w:val="00970C8B"/>
    <w:rsid w:val="009803A3"/>
    <w:rsid w:val="0098304B"/>
    <w:rsid w:val="00983087"/>
    <w:rsid w:val="009845D2"/>
    <w:rsid w:val="009852DE"/>
    <w:rsid w:val="00985C26"/>
    <w:rsid w:val="0098625E"/>
    <w:rsid w:val="009910C9"/>
    <w:rsid w:val="00991578"/>
    <w:rsid w:val="00992479"/>
    <w:rsid w:val="00994205"/>
    <w:rsid w:val="00994334"/>
    <w:rsid w:val="00994C0B"/>
    <w:rsid w:val="00994DDF"/>
    <w:rsid w:val="009974E8"/>
    <w:rsid w:val="009A2C03"/>
    <w:rsid w:val="009A4FD0"/>
    <w:rsid w:val="009A6746"/>
    <w:rsid w:val="009A6872"/>
    <w:rsid w:val="009B2451"/>
    <w:rsid w:val="009B3112"/>
    <w:rsid w:val="009B386A"/>
    <w:rsid w:val="009B3D3D"/>
    <w:rsid w:val="009B4BFD"/>
    <w:rsid w:val="009B4FA5"/>
    <w:rsid w:val="009B59F4"/>
    <w:rsid w:val="009B6ACD"/>
    <w:rsid w:val="009C0DD9"/>
    <w:rsid w:val="009C1691"/>
    <w:rsid w:val="009C2CA8"/>
    <w:rsid w:val="009C4043"/>
    <w:rsid w:val="009C5091"/>
    <w:rsid w:val="009C5842"/>
    <w:rsid w:val="009C6325"/>
    <w:rsid w:val="009C6529"/>
    <w:rsid w:val="009C66C6"/>
    <w:rsid w:val="009D203A"/>
    <w:rsid w:val="009D4134"/>
    <w:rsid w:val="009D42EC"/>
    <w:rsid w:val="009D7BA2"/>
    <w:rsid w:val="009E0356"/>
    <w:rsid w:val="009E0A74"/>
    <w:rsid w:val="009E23E5"/>
    <w:rsid w:val="009E286B"/>
    <w:rsid w:val="009E30BB"/>
    <w:rsid w:val="009E376E"/>
    <w:rsid w:val="009E38F7"/>
    <w:rsid w:val="009E39A3"/>
    <w:rsid w:val="009E3D2F"/>
    <w:rsid w:val="009E3F85"/>
    <w:rsid w:val="009E56EE"/>
    <w:rsid w:val="009E69B9"/>
    <w:rsid w:val="009E70EF"/>
    <w:rsid w:val="009F0A2E"/>
    <w:rsid w:val="009F15F4"/>
    <w:rsid w:val="009F177C"/>
    <w:rsid w:val="009F1C9D"/>
    <w:rsid w:val="009F29EF"/>
    <w:rsid w:val="009F777F"/>
    <w:rsid w:val="00A005BF"/>
    <w:rsid w:val="00A00C79"/>
    <w:rsid w:val="00A0139C"/>
    <w:rsid w:val="00A0196C"/>
    <w:rsid w:val="00A0534B"/>
    <w:rsid w:val="00A10596"/>
    <w:rsid w:val="00A1299B"/>
    <w:rsid w:val="00A12AD6"/>
    <w:rsid w:val="00A15063"/>
    <w:rsid w:val="00A16DB6"/>
    <w:rsid w:val="00A17069"/>
    <w:rsid w:val="00A21226"/>
    <w:rsid w:val="00A21727"/>
    <w:rsid w:val="00A21888"/>
    <w:rsid w:val="00A22FC4"/>
    <w:rsid w:val="00A252A7"/>
    <w:rsid w:val="00A2716C"/>
    <w:rsid w:val="00A271E5"/>
    <w:rsid w:val="00A326EF"/>
    <w:rsid w:val="00A33244"/>
    <w:rsid w:val="00A353DC"/>
    <w:rsid w:val="00A355DF"/>
    <w:rsid w:val="00A357D7"/>
    <w:rsid w:val="00A41B32"/>
    <w:rsid w:val="00A4255E"/>
    <w:rsid w:val="00A4273E"/>
    <w:rsid w:val="00A43759"/>
    <w:rsid w:val="00A441B4"/>
    <w:rsid w:val="00A44484"/>
    <w:rsid w:val="00A445B2"/>
    <w:rsid w:val="00A46795"/>
    <w:rsid w:val="00A47ECB"/>
    <w:rsid w:val="00A50156"/>
    <w:rsid w:val="00A5269B"/>
    <w:rsid w:val="00A54353"/>
    <w:rsid w:val="00A60A33"/>
    <w:rsid w:val="00A6191D"/>
    <w:rsid w:val="00A62E2B"/>
    <w:rsid w:val="00A63ECF"/>
    <w:rsid w:val="00A644EF"/>
    <w:rsid w:val="00A670F5"/>
    <w:rsid w:val="00A71F5D"/>
    <w:rsid w:val="00A73B8C"/>
    <w:rsid w:val="00A740A7"/>
    <w:rsid w:val="00A7603E"/>
    <w:rsid w:val="00A76056"/>
    <w:rsid w:val="00A7617F"/>
    <w:rsid w:val="00A83E30"/>
    <w:rsid w:val="00A86737"/>
    <w:rsid w:val="00A86A32"/>
    <w:rsid w:val="00A87D1E"/>
    <w:rsid w:val="00A92A9F"/>
    <w:rsid w:val="00A94912"/>
    <w:rsid w:val="00A94A0B"/>
    <w:rsid w:val="00A95E98"/>
    <w:rsid w:val="00A969C3"/>
    <w:rsid w:val="00A96E50"/>
    <w:rsid w:val="00A97300"/>
    <w:rsid w:val="00A9786A"/>
    <w:rsid w:val="00A97C32"/>
    <w:rsid w:val="00AA02F4"/>
    <w:rsid w:val="00AA0EFF"/>
    <w:rsid w:val="00AA2F91"/>
    <w:rsid w:val="00AA495D"/>
    <w:rsid w:val="00AB04C5"/>
    <w:rsid w:val="00AB50C9"/>
    <w:rsid w:val="00AB673F"/>
    <w:rsid w:val="00AB6B79"/>
    <w:rsid w:val="00AB6DB5"/>
    <w:rsid w:val="00AC0411"/>
    <w:rsid w:val="00AC0496"/>
    <w:rsid w:val="00AC25E5"/>
    <w:rsid w:val="00AC4151"/>
    <w:rsid w:val="00AC4313"/>
    <w:rsid w:val="00AC6ED9"/>
    <w:rsid w:val="00AD0266"/>
    <w:rsid w:val="00AD3596"/>
    <w:rsid w:val="00AD509D"/>
    <w:rsid w:val="00AD6606"/>
    <w:rsid w:val="00AD7488"/>
    <w:rsid w:val="00AD7D11"/>
    <w:rsid w:val="00AE04A4"/>
    <w:rsid w:val="00AE226A"/>
    <w:rsid w:val="00AE4797"/>
    <w:rsid w:val="00AE6EA9"/>
    <w:rsid w:val="00AF1282"/>
    <w:rsid w:val="00AF42A7"/>
    <w:rsid w:val="00AF5B8A"/>
    <w:rsid w:val="00AF5D1B"/>
    <w:rsid w:val="00AF70CE"/>
    <w:rsid w:val="00B01D77"/>
    <w:rsid w:val="00B02819"/>
    <w:rsid w:val="00B06000"/>
    <w:rsid w:val="00B07351"/>
    <w:rsid w:val="00B07E8C"/>
    <w:rsid w:val="00B115A7"/>
    <w:rsid w:val="00B1223A"/>
    <w:rsid w:val="00B12942"/>
    <w:rsid w:val="00B15119"/>
    <w:rsid w:val="00B16888"/>
    <w:rsid w:val="00B16BA4"/>
    <w:rsid w:val="00B20104"/>
    <w:rsid w:val="00B216E1"/>
    <w:rsid w:val="00B21A86"/>
    <w:rsid w:val="00B237A8"/>
    <w:rsid w:val="00B2436A"/>
    <w:rsid w:val="00B24AA6"/>
    <w:rsid w:val="00B25875"/>
    <w:rsid w:val="00B31786"/>
    <w:rsid w:val="00B32737"/>
    <w:rsid w:val="00B33EBC"/>
    <w:rsid w:val="00B35D6C"/>
    <w:rsid w:val="00B36A1C"/>
    <w:rsid w:val="00B36E5B"/>
    <w:rsid w:val="00B37229"/>
    <w:rsid w:val="00B40040"/>
    <w:rsid w:val="00B416D4"/>
    <w:rsid w:val="00B41C56"/>
    <w:rsid w:val="00B465CA"/>
    <w:rsid w:val="00B46642"/>
    <w:rsid w:val="00B469DA"/>
    <w:rsid w:val="00B47214"/>
    <w:rsid w:val="00B5029B"/>
    <w:rsid w:val="00B5033C"/>
    <w:rsid w:val="00B50702"/>
    <w:rsid w:val="00B50B60"/>
    <w:rsid w:val="00B50BC0"/>
    <w:rsid w:val="00B514C4"/>
    <w:rsid w:val="00B522EA"/>
    <w:rsid w:val="00B5392F"/>
    <w:rsid w:val="00B54590"/>
    <w:rsid w:val="00B54C56"/>
    <w:rsid w:val="00B55237"/>
    <w:rsid w:val="00B562E3"/>
    <w:rsid w:val="00B60C3E"/>
    <w:rsid w:val="00B6231C"/>
    <w:rsid w:val="00B6242E"/>
    <w:rsid w:val="00B6655D"/>
    <w:rsid w:val="00B70120"/>
    <w:rsid w:val="00B7109A"/>
    <w:rsid w:val="00B735B0"/>
    <w:rsid w:val="00B7363C"/>
    <w:rsid w:val="00B74142"/>
    <w:rsid w:val="00B74D0B"/>
    <w:rsid w:val="00B75CAC"/>
    <w:rsid w:val="00B76EEE"/>
    <w:rsid w:val="00B806EF"/>
    <w:rsid w:val="00B80C68"/>
    <w:rsid w:val="00B8122B"/>
    <w:rsid w:val="00B827EB"/>
    <w:rsid w:val="00B83BC2"/>
    <w:rsid w:val="00B84174"/>
    <w:rsid w:val="00B8440E"/>
    <w:rsid w:val="00B84FFC"/>
    <w:rsid w:val="00B85A39"/>
    <w:rsid w:val="00B85C5B"/>
    <w:rsid w:val="00B8774A"/>
    <w:rsid w:val="00B94993"/>
    <w:rsid w:val="00B97DB6"/>
    <w:rsid w:val="00BA0B62"/>
    <w:rsid w:val="00BA1518"/>
    <w:rsid w:val="00BA163B"/>
    <w:rsid w:val="00BA2280"/>
    <w:rsid w:val="00BA50CD"/>
    <w:rsid w:val="00BA5677"/>
    <w:rsid w:val="00BA5D64"/>
    <w:rsid w:val="00BA6AA4"/>
    <w:rsid w:val="00BA768E"/>
    <w:rsid w:val="00BB0297"/>
    <w:rsid w:val="00BB141F"/>
    <w:rsid w:val="00BB3600"/>
    <w:rsid w:val="00BC13B8"/>
    <w:rsid w:val="00BC2005"/>
    <w:rsid w:val="00BC2250"/>
    <w:rsid w:val="00BC2404"/>
    <w:rsid w:val="00BC35BE"/>
    <w:rsid w:val="00BD0AB5"/>
    <w:rsid w:val="00BD1132"/>
    <w:rsid w:val="00BD24F5"/>
    <w:rsid w:val="00BD28F4"/>
    <w:rsid w:val="00BD3908"/>
    <w:rsid w:val="00BD438E"/>
    <w:rsid w:val="00BD477C"/>
    <w:rsid w:val="00BD54A4"/>
    <w:rsid w:val="00BD55CE"/>
    <w:rsid w:val="00BD5AC5"/>
    <w:rsid w:val="00BD60E8"/>
    <w:rsid w:val="00BD6381"/>
    <w:rsid w:val="00BD69D7"/>
    <w:rsid w:val="00BD7E50"/>
    <w:rsid w:val="00BE0075"/>
    <w:rsid w:val="00BE0898"/>
    <w:rsid w:val="00BE2499"/>
    <w:rsid w:val="00BE2D51"/>
    <w:rsid w:val="00BE43B8"/>
    <w:rsid w:val="00BE58A2"/>
    <w:rsid w:val="00BF1119"/>
    <w:rsid w:val="00BF18C4"/>
    <w:rsid w:val="00BF37EC"/>
    <w:rsid w:val="00BF3FB0"/>
    <w:rsid w:val="00BF42C4"/>
    <w:rsid w:val="00BF5402"/>
    <w:rsid w:val="00BF586B"/>
    <w:rsid w:val="00BF5CD0"/>
    <w:rsid w:val="00BF6C85"/>
    <w:rsid w:val="00BF6ED3"/>
    <w:rsid w:val="00C005AE"/>
    <w:rsid w:val="00C01CAB"/>
    <w:rsid w:val="00C02246"/>
    <w:rsid w:val="00C02FF9"/>
    <w:rsid w:val="00C033F8"/>
    <w:rsid w:val="00C03F14"/>
    <w:rsid w:val="00C04FAD"/>
    <w:rsid w:val="00C10645"/>
    <w:rsid w:val="00C11668"/>
    <w:rsid w:val="00C11A98"/>
    <w:rsid w:val="00C13878"/>
    <w:rsid w:val="00C13EF9"/>
    <w:rsid w:val="00C168E5"/>
    <w:rsid w:val="00C20611"/>
    <w:rsid w:val="00C20A05"/>
    <w:rsid w:val="00C21D0C"/>
    <w:rsid w:val="00C24B5A"/>
    <w:rsid w:val="00C25352"/>
    <w:rsid w:val="00C25CFA"/>
    <w:rsid w:val="00C25E6E"/>
    <w:rsid w:val="00C3318C"/>
    <w:rsid w:val="00C33A21"/>
    <w:rsid w:val="00C4101E"/>
    <w:rsid w:val="00C41D00"/>
    <w:rsid w:val="00C4272F"/>
    <w:rsid w:val="00C440BB"/>
    <w:rsid w:val="00C444A4"/>
    <w:rsid w:val="00C45B3D"/>
    <w:rsid w:val="00C46A79"/>
    <w:rsid w:val="00C46A9B"/>
    <w:rsid w:val="00C46F66"/>
    <w:rsid w:val="00C5200B"/>
    <w:rsid w:val="00C5391F"/>
    <w:rsid w:val="00C53D42"/>
    <w:rsid w:val="00C55F6D"/>
    <w:rsid w:val="00C56254"/>
    <w:rsid w:val="00C5722B"/>
    <w:rsid w:val="00C60551"/>
    <w:rsid w:val="00C618A7"/>
    <w:rsid w:val="00C6243B"/>
    <w:rsid w:val="00C64632"/>
    <w:rsid w:val="00C64AC2"/>
    <w:rsid w:val="00C668AD"/>
    <w:rsid w:val="00C66B53"/>
    <w:rsid w:val="00C66B8A"/>
    <w:rsid w:val="00C66BC9"/>
    <w:rsid w:val="00C66DE2"/>
    <w:rsid w:val="00C67CF0"/>
    <w:rsid w:val="00C71485"/>
    <w:rsid w:val="00C717E7"/>
    <w:rsid w:val="00C7185A"/>
    <w:rsid w:val="00C73710"/>
    <w:rsid w:val="00C740F3"/>
    <w:rsid w:val="00C770D7"/>
    <w:rsid w:val="00C82010"/>
    <w:rsid w:val="00C83924"/>
    <w:rsid w:val="00C846B1"/>
    <w:rsid w:val="00C849A3"/>
    <w:rsid w:val="00C86750"/>
    <w:rsid w:val="00C86B1D"/>
    <w:rsid w:val="00C86BFD"/>
    <w:rsid w:val="00C92607"/>
    <w:rsid w:val="00C95D6D"/>
    <w:rsid w:val="00C963AE"/>
    <w:rsid w:val="00C96D17"/>
    <w:rsid w:val="00C97F56"/>
    <w:rsid w:val="00CA35B0"/>
    <w:rsid w:val="00CA3982"/>
    <w:rsid w:val="00CA669E"/>
    <w:rsid w:val="00CA6A4F"/>
    <w:rsid w:val="00CA76E8"/>
    <w:rsid w:val="00CB11CE"/>
    <w:rsid w:val="00CB1D28"/>
    <w:rsid w:val="00CB2B55"/>
    <w:rsid w:val="00CB3CDF"/>
    <w:rsid w:val="00CB500E"/>
    <w:rsid w:val="00CB5AE8"/>
    <w:rsid w:val="00CB6C38"/>
    <w:rsid w:val="00CB75C8"/>
    <w:rsid w:val="00CC13D6"/>
    <w:rsid w:val="00CC207D"/>
    <w:rsid w:val="00CC46EF"/>
    <w:rsid w:val="00CC5435"/>
    <w:rsid w:val="00CC5893"/>
    <w:rsid w:val="00CC6630"/>
    <w:rsid w:val="00CC6809"/>
    <w:rsid w:val="00CD14E4"/>
    <w:rsid w:val="00CD1E92"/>
    <w:rsid w:val="00CD225C"/>
    <w:rsid w:val="00CD32EA"/>
    <w:rsid w:val="00CD5890"/>
    <w:rsid w:val="00CD660F"/>
    <w:rsid w:val="00CD6850"/>
    <w:rsid w:val="00CD787F"/>
    <w:rsid w:val="00CE3354"/>
    <w:rsid w:val="00CE3435"/>
    <w:rsid w:val="00CE54B9"/>
    <w:rsid w:val="00CE59A8"/>
    <w:rsid w:val="00CE6970"/>
    <w:rsid w:val="00CE7F71"/>
    <w:rsid w:val="00CF187D"/>
    <w:rsid w:val="00CF3D13"/>
    <w:rsid w:val="00CF5B8E"/>
    <w:rsid w:val="00D027F0"/>
    <w:rsid w:val="00D039DC"/>
    <w:rsid w:val="00D05576"/>
    <w:rsid w:val="00D0683B"/>
    <w:rsid w:val="00D11161"/>
    <w:rsid w:val="00D11285"/>
    <w:rsid w:val="00D1165E"/>
    <w:rsid w:val="00D13A5D"/>
    <w:rsid w:val="00D1538C"/>
    <w:rsid w:val="00D16AF9"/>
    <w:rsid w:val="00D2060A"/>
    <w:rsid w:val="00D207BF"/>
    <w:rsid w:val="00D21AE3"/>
    <w:rsid w:val="00D21DB1"/>
    <w:rsid w:val="00D2366A"/>
    <w:rsid w:val="00D2467A"/>
    <w:rsid w:val="00D27AFC"/>
    <w:rsid w:val="00D27F5F"/>
    <w:rsid w:val="00D3077B"/>
    <w:rsid w:val="00D341A6"/>
    <w:rsid w:val="00D34B5C"/>
    <w:rsid w:val="00D34B78"/>
    <w:rsid w:val="00D35A58"/>
    <w:rsid w:val="00D3601E"/>
    <w:rsid w:val="00D36BB6"/>
    <w:rsid w:val="00D40B87"/>
    <w:rsid w:val="00D41441"/>
    <w:rsid w:val="00D45A58"/>
    <w:rsid w:val="00D46FAB"/>
    <w:rsid w:val="00D51273"/>
    <w:rsid w:val="00D520A2"/>
    <w:rsid w:val="00D520F3"/>
    <w:rsid w:val="00D524DE"/>
    <w:rsid w:val="00D52DF6"/>
    <w:rsid w:val="00D5403D"/>
    <w:rsid w:val="00D54EBA"/>
    <w:rsid w:val="00D55603"/>
    <w:rsid w:val="00D57530"/>
    <w:rsid w:val="00D57BFD"/>
    <w:rsid w:val="00D60AEA"/>
    <w:rsid w:val="00D615AE"/>
    <w:rsid w:val="00D61712"/>
    <w:rsid w:val="00D6179F"/>
    <w:rsid w:val="00D61B97"/>
    <w:rsid w:val="00D61D1B"/>
    <w:rsid w:val="00D62AD7"/>
    <w:rsid w:val="00D6411D"/>
    <w:rsid w:val="00D64227"/>
    <w:rsid w:val="00D64B2F"/>
    <w:rsid w:val="00D64CBB"/>
    <w:rsid w:val="00D666F4"/>
    <w:rsid w:val="00D66F31"/>
    <w:rsid w:val="00D70157"/>
    <w:rsid w:val="00D706BE"/>
    <w:rsid w:val="00D70BA6"/>
    <w:rsid w:val="00D74120"/>
    <w:rsid w:val="00D7438E"/>
    <w:rsid w:val="00D74F75"/>
    <w:rsid w:val="00D75110"/>
    <w:rsid w:val="00D770A5"/>
    <w:rsid w:val="00D8476D"/>
    <w:rsid w:val="00D86921"/>
    <w:rsid w:val="00D87408"/>
    <w:rsid w:val="00D8785A"/>
    <w:rsid w:val="00D906C9"/>
    <w:rsid w:val="00D94C6E"/>
    <w:rsid w:val="00D952A1"/>
    <w:rsid w:val="00D97FD7"/>
    <w:rsid w:val="00DA0C43"/>
    <w:rsid w:val="00DA198B"/>
    <w:rsid w:val="00DA2060"/>
    <w:rsid w:val="00DA693E"/>
    <w:rsid w:val="00DA6D12"/>
    <w:rsid w:val="00DA730C"/>
    <w:rsid w:val="00DA75CF"/>
    <w:rsid w:val="00DA7F07"/>
    <w:rsid w:val="00DB06AE"/>
    <w:rsid w:val="00DB0922"/>
    <w:rsid w:val="00DB12A4"/>
    <w:rsid w:val="00DB1DEF"/>
    <w:rsid w:val="00DB6489"/>
    <w:rsid w:val="00DB6F68"/>
    <w:rsid w:val="00DB7B73"/>
    <w:rsid w:val="00DB7E9C"/>
    <w:rsid w:val="00DC1173"/>
    <w:rsid w:val="00DC5A1F"/>
    <w:rsid w:val="00DC5AA9"/>
    <w:rsid w:val="00DC6183"/>
    <w:rsid w:val="00DD300A"/>
    <w:rsid w:val="00DD3117"/>
    <w:rsid w:val="00DD4BFE"/>
    <w:rsid w:val="00DD59EC"/>
    <w:rsid w:val="00DD5E71"/>
    <w:rsid w:val="00DD6389"/>
    <w:rsid w:val="00DD6D84"/>
    <w:rsid w:val="00DD7433"/>
    <w:rsid w:val="00DE2B10"/>
    <w:rsid w:val="00DE4553"/>
    <w:rsid w:val="00DE4E64"/>
    <w:rsid w:val="00DE5610"/>
    <w:rsid w:val="00DF01A7"/>
    <w:rsid w:val="00DF0F9F"/>
    <w:rsid w:val="00DF478A"/>
    <w:rsid w:val="00DF5F3A"/>
    <w:rsid w:val="00DF689F"/>
    <w:rsid w:val="00DF7756"/>
    <w:rsid w:val="00E00656"/>
    <w:rsid w:val="00E006EF"/>
    <w:rsid w:val="00E0190B"/>
    <w:rsid w:val="00E029D1"/>
    <w:rsid w:val="00E04BA1"/>
    <w:rsid w:val="00E04DB4"/>
    <w:rsid w:val="00E06137"/>
    <w:rsid w:val="00E0614B"/>
    <w:rsid w:val="00E06B1D"/>
    <w:rsid w:val="00E06E7F"/>
    <w:rsid w:val="00E07C46"/>
    <w:rsid w:val="00E100EF"/>
    <w:rsid w:val="00E10F6D"/>
    <w:rsid w:val="00E11383"/>
    <w:rsid w:val="00E1170B"/>
    <w:rsid w:val="00E1288D"/>
    <w:rsid w:val="00E13411"/>
    <w:rsid w:val="00E13BD2"/>
    <w:rsid w:val="00E13CD1"/>
    <w:rsid w:val="00E14E56"/>
    <w:rsid w:val="00E15239"/>
    <w:rsid w:val="00E17509"/>
    <w:rsid w:val="00E17813"/>
    <w:rsid w:val="00E20447"/>
    <w:rsid w:val="00E212D1"/>
    <w:rsid w:val="00E24714"/>
    <w:rsid w:val="00E262E3"/>
    <w:rsid w:val="00E26BC7"/>
    <w:rsid w:val="00E2772D"/>
    <w:rsid w:val="00E27EE2"/>
    <w:rsid w:val="00E3085A"/>
    <w:rsid w:val="00E30DF1"/>
    <w:rsid w:val="00E30F33"/>
    <w:rsid w:val="00E31D9A"/>
    <w:rsid w:val="00E32E47"/>
    <w:rsid w:val="00E338E1"/>
    <w:rsid w:val="00E34013"/>
    <w:rsid w:val="00E362BB"/>
    <w:rsid w:val="00E370DE"/>
    <w:rsid w:val="00E4367F"/>
    <w:rsid w:val="00E439C2"/>
    <w:rsid w:val="00E44642"/>
    <w:rsid w:val="00E51CCC"/>
    <w:rsid w:val="00E52F10"/>
    <w:rsid w:val="00E53612"/>
    <w:rsid w:val="00E53642"/>
    <w:rsid w:val="00E537B5"/>
    <w:rsid w:val="00E53A6E"/>
    <w:rsid w:val="00E54EF3"/>
    <w:rsid w:val="00E55293"/>
    <w:rsid w:val="00E575A1"/>
    <w:rsid w:val="00E5770F"/>
    <w:rsid w:val="00E57FED"/>
    <w:rsid w:val="00E60032"/>
    <w:rsid w:val="00E6097F"/>
    <w:rsid w:val="00E60D94"/>
    <w:rsid w:val="00E6182F"/>
    <w:rsid w:val="00E64E3C"/>
    <w:rsid w:val="00E70F28"/>
    <w:rsid w:val="00E71C64"/>
    <w:rsid w:val="00E73AD7"/>
    <w:rsid w:val="00E770C6"/>
    <w:rsid w:val="00E80928"/>
    <w:rsid w:val="00E80EFC"/>
    <w:rsid w:val="00E81148"/>
    <w:rsid w:val="00E811BA"/>
    <w:rsid w:val="00E82A14"/>
    <w:rsid w:val="00E853A7"/>
    <w:rsid w:val="00E877F2"/>
    <w:rsid w:val="00E87DA6"/>
    <w:rsid w:val="00E90BC5"/>
    <w:rsid w:val="00E9184D"/>
    <w:rsid w:val="00E93819"/>
    <w:rsid w:val="00E952D3"/>
    <w:rsid w:val="00E9721F"/>
    <w:rsid w:val="00E97EBD"/>
    <w:rsid w:val="00EA4C0B"/>
    <w:rsid w:val="00EA5E98"/>
    <w:rsid w:val="00EA6C57"/>
    <w:rsid w:val="00EA7FF6"/>
    <w:rsid w:val="00EB0030"/>
    <w:rsid w:val="00EB048A"/>
    <w:rsid w:val="00EB1A7D"/>
    <w:rsid w:val="00EB1A82"/>
    <w:rsid w:val="00EB2DE8"/>
    <w:rsid w:val="00EB4576"/>
    <w:rsid w:val="00EB595B"/>
    <w:rsid w:val="00EB5F28"/>
    <w:rsid w:val="00EB60E5"/>
    <w:rsid w:val="00EB6992"/>
    <w:rsid w:val="00EC026A"/>
    <w:rsid w:val="00EC0976"/>
    <w:rsid w:val="00EC0E5D"/>
    <w:rsid w:val="00EC3E22"/>
    <w:rsid w:val="00EC4392"/>
    <w:rsid w:val="00EC63A1"/>
    <w:rsid w:val="00EC667D"/>
    <w:rsid w:val="00EC6AEB"/>
    <w:rsid w:val="00ED2D9F"/>
    <w:rsid w:val="00ED2E18"/>
    <w:rsid w:val="00ED368C"/>
    <w:rsid w:val="00ED3984"/>
    <w:rsid w:val="00ED5097"/>
    <w:rsid w:val="00ED61FE"/>
    <w:rsid w:val="00EE0412"/>
    <w:rsid w:val="00EE0B52"/>
    <w:rsid w:val="00EE2753"/>
    <w:rsid w:val="00EE5216"/>
    <w:rsid w:val="00EE5544"/>
    <w:rsid w:val="00EE6E1F"/>
    <w:rsid w:val="00EF06A2"/>
    <w:rsid w:val="00EF10C6"/>
    <w:rsid w:val="00EF132E"/>
    <w:rsid w:val="00EF42B3"/>
    <w:rsid w:val="00EF4F67"/>
    <w:rsid w:val="00EF541A"/>
    <w:rsid w:val="00EF587B"/>
    <w:rsid w:val="00F007EB"/>
    <w:rsid w:val="00F03AC3"/>
    <w:rsid w:val="00F04C20"/>
    <w:rsid w:val="00F0656E"/>
    <w:rsid w:val="00F06FB2"/>
    <w:rsid w:val="00F113DE"/>
    <w:rsid w:val="00F1343D"/>
    <w:rsid w:val="00F135F3"/>
    <w:rsid w:val="00F14625"/>
    <w:rsid w:val="00F155CC"/>
    <w:rsid w:val="00F15F1D"/>
    <w:rsid w:val="00F170C8"/>
    <w:rsid w:val="00F172A1"/>
    <w:rsid w:val="00F20CD9"/>
    <w:rsid w:val="00F20F23"/>
    <w:rsid w:val="00F22096"/>
    <w:rsid w:val="00F234D6"/>
    <w:rsid w:val="00F23A48"/>
    <w:rsid w:val="00F25892"/>
    <w:rsid w:val="00F2597D"/>
    <w:rsid w:val="00F274DF"/>
    <w:rsid w:val="00F301D0"/>
    <w:rsid w:val="00F32326"/>
    <w:rsid w:val="00F3468C"/>
    <w:rsid w:val="00F34B5E"/>
    <w:rsid w:val="00F365C2"/>
    <w:rsid w:val="00F3667C"/>
    <w:rsid w:val="00F36781"/>
    <w:rsid w:val="00F372F1"/>
    <w:rsid w:val="00F37554"/>
    <w:rsid w:val="00F40BD0"/>
    <w:rsid w:val="00F425A3"/>
    <w:rsid w:val="00F4395B"/>
    <w:rsid w:val="00F43A20"/>
    <w:rsid w:val="00F43E10"/>
    <w:rsid w:val="00F44F33"/>
    <w:rsid w:val="00F46B14"/>
    <w:rsid w:val="00F46DCD"/>
    <w:rsid w:val="00F47BB3"/>
    <w:rsid w:val="00F505C8"/>
    <w:rsid w:val="00F50B6C"/>
    <w:rsid w:val="00F5108A"/>
    <w:rsid w:val="00F51B03"/>
    <w:rsid w:val="00F51BD4"/>
    <w:rsid w:val="00F52CC0"/>
    <w:rsid w:val="00F5301D"/>
    <w:rsid w:val="00F53B40"/>
    <w:rsid w:val="00F56FFB"/>
    <w:rsid w:val="00F57AC8"/>
    <w:rsid w:val="00F60860"/>
    <w:rsid w:val="00F6142A"/>
    <w:rsid w:val="00F624EA"/>
    <w:rsid w:val="00F626DE"/>
    <w:rsid w:val="00F626E8"/>
    <w:rsid w:val="00F62F2A"/>
    <w:rsid w:val="00F632D8"/>
    <w:rsid w:val="00F668A1"/>
    <w:rsid w:val="00F668DD"/>
    <w:rsid w:val="00F67691"/>
    <w:rsid w:val="00F71F00"/>
    <w:rsid w:val="00F73F7F"/>
    <w:rsid w:val="00F73FD9"/>
    <w:rsid w:val="00F74049"/>
    <w:rsid w:val="00F75C16"/>
    <w:rsid w:val="00F774F2"/>
    <w:rsid w:val="00F77530"/>
    <w:rsid w:val="00F776AB"/>
    <w:rsid w:val="00F8215D"/>
    <w:rsid w:val="00F82C2A"/>
    <w:rsid w:val="00F830BD"/>
    <w:rsid w:val="00F839EC"/>
    <w:rsid w:val="00F83ED3"/>
    <w:rsid w:val="00F84828"/>
    <w:rsid w:val="00F85137"/>
    <w:rsid w:val="00F87CB0"/>
    <w:rsid w:val="00F91338"/>
    <w:rsid w:val="00F93425"/>
    <w:rsid w:val="00F93AA6"/>
    <w:rsid w:val="00FA06BD"/>
    <w:rsid w:val="00FA118A"/>
    <w:rsid w:val="00FA13F9"/>
    <w:rsid w:val="00FA1B8A"/>
    <w:rsid w:val="00FA3BA8"/>
    <w:rsid w:val="00FA4591"/>
    <w:rsid w:val="00FA50AC"/>
    <w:rsid w:val="00FA60C3"/>
    <w:rsid w:val="00FA6CA1"/>
    <w:rsid w:val="00FB0E5C"/>
    <w:rsid w:val="00FB272E"/>
    <w:rsid w:val="00FB36FD"/>
    <w:rsid w:val="00FB4982"/>
    <w:rsid w:val="00FB5282"/>
    <w:rsid w:val="00FB5B63"/>
    <w:rsid w:val="00FC4562"/>
    <w:rsid w:val="00FC469A"/>
    <w:rsid w:val="00FC46E5"/>
    <w:rsid w:val="00FC6A96"/>
    <w:rsid w:val="00FC6E10"/>
    <w:rsid w:val="00FC7F47"/>
    <w:rsid w:val="00FD0303"/>
    <w:rsid w:val="00FD0440"/>
    <w:rsid w:val="00FD1928"/>
    <w:rsid w:val="00FD4302"/>
    <w:rsid w:val="00FD6414"/>
    <w:rsid w:val="00FD6C7A"/>
    <w:rsid w:val="00FD7042"/>
    <w:rsid w:val="00FD7BB4"/>
    <w:rsid w:val="00FE10EF"/>
    <w:rsid w:val="00FE2D48"/>
    <w:rsid w:val="00FE3F99"/>
    <w:rsid w:val="00FE48E0"/>
    <w:rsid w:val="00FE6AE2"/>
    <w:rsid w:val="00FE6CE5"/>
    <w:rsid w:val="00FE78A5"/>
    <w:rsid w:val="00FF0FB5"/>
    <w:rsid w:val="00FF1DF0"/>
    <w:rsid w:val="00FF21D7"/>
    <w:rsid w:val="00FF3710"/>
    <w:rsid w:val="00FF41F1"/>
    <w:rsid w:val="00FF4421"/>
    <w:rsid w:val="00FF663C"/>
    <w:rsid w:val="0E151C7C"/>
    <w:rsid w:val="1582E0C3"/>
    <w:rsid w:val="1BBFEDFA"/>
    <w:rsid w:val="20604A46"/>
    <w:rsid w:val="2230696B"/>
    <w:rsid w:val="2C30EADB"/>
    <w:rsid w:val="2CBFC323"/>
    <w:rsid w:val="307D71B3"/>
    <w:rsid w:val="30BF6FC1"/>
    <w:rsid w:val="32DA1FF4"/>
    <w:rsid w:val="35A77C7C"/>
    <w:rsid w:val="3E86182C"/>
    <w:rsid w:val="484D970E"/>
    <w:rsid w:val="4A783ED6"/>
    <w:rsid w:val="5440C5EF"/>
    <w:rsid w:val="5BEB5139"/>
    <w:rsid w:val="6A540DBE"/>
    <w:rsid w:val="6F598E67"/>
    <w:rsid w:val="7A90624E"/>
    <w:rsid w:val="7ABD4CD4"/>
    <w:rsid w:val="7EC6080F"/>
    <w:rsid w:val="7F55503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8133B19"/>
  <w15:chartTrackingRefBased/>
  <w15:docId w15:val="{9DCACF4A-8724-41C4-A379-804D378AB9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13B8"/>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CC543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C543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CC543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CC543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C543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C5435"/>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C5435"/>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C5435"/>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C5435"/>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C543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C543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CC543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CC543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C543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C543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C543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C543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C5435"/>
    <w:rPr>
      <w:rFonts w:eastAsiaTheme="majorEastAsia" w:cstheme="majorBidi"/>
      <w:color w:val="272727" w:themeColor="text1" w:themeTint="D8"/>
    </w:rPr>
  </w:style>
  <w:style w:type="paragraph" w:styleId="Title">
    <w:name w:val="Title"/>
    <w:basedOn w:val="Normal"/>
    <w:next w:val="Normal"/>
    <w:link w:val="TitleChar"/>
    <w:uiPriority w:val="10"/>
    <w:qFormat/>
    <w:rsid w:val="00CC5435"/>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C543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C543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C543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C5435"/>
    <w:pPr>
      <w:spacing w:before="160"/>
      <w:jc w:val="center"/>
    </w:pPr>
    <w:rPr>
      <w:i/>
      <w:iCs/>
      <w:color w:val="404040" w:themeColor="text1" w:themeTint="BF"/>
    </w:rPr>
  </w:style>
  <w:style w:type="character" w:customStyle="1" w:styleId="QuoteChar">
    <w:name w:val="Quote Char"/>
    <w:basedOn w:val="DefaultParagraphFont"/>
    <w:link w:val="Quote"/>
    <w:uiPriority w:val="29"/>
    <w:rsid w:val="00CC5435"/>
    <w:rPr>
      <w:i/>
      <w:iCs/>
      <w:color w:val="404040" w:themeColor="text1" w:themeTint="BF"/>
    </w:rPr>
  </w:style>
  <w:style w:type="paragraph" w:styleId="ListParagraph">
    <w:name w:val="List Paragraph"/>
    <w:basedOn w:val="Normal"/>
    <w:uiPriority w:val="34"/>
    <w:qFormat/>
    <w:rsid w:val="00CC5435"/>
    <w:pPr>
      <w:ind w:left="720"/>
      <w:contextualSpacing/>
    </w:pPr>
  </w:style>
  <w:style w:type="character" w:styleId="IntenseEmphasis">
    <w:name w:val="Intense Emphasis"/>
    <w:basedOn w:val="DefaultParagraphFont"/>
    <w:uiPriority w:val="21"/>
    <w:qFormat/>
    <w:rsid w:val="00CC5435"/>
    <w:rPr>
      <w:i/>
      <w:iCs/>
      <w:color w:val="0F4761" w:themeColor="accent1" w:themeShade="BF"/>
    </w:rPr>
  </w:style>
  <w:style w:type="paragraph" w:styleId="IntenseQuote">
    <w:name w:val="Intense Quote"/>
    <w:basedOn w:val="Normal"/>
    <w:next w:val="Normal"/>
    <w:link w:val="IntenseQuoteChar"/>
    <w:uiPriority w:val="30"/>
    <w:qFormat/>
    <w:rsid w:val="00CC543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C5435"/>
    <w:rPr>
      <w:i/>
      <w:iCs/>
      <w:color w:val="0F4761" w:themeColor="accent1" w:themeShade="BF"/>
    </w:rPr>
  </w:style>
  <w:style w:type="character" w:styleId="IntenseReference">
    <w:name w:val="Intense Reference"/>
    <w:basedOn w:val="DefaultParagraphFont"/>
    <w:uiPriority w:val="32"/>
    <w:qFormat/>
    <w:rsid w:val="00CC5435"/>
    <w:rPr>
      <w:b/>
      <w:bCs/>
      <w:smallCaps/>
      <w:color w:val="0F4761" w:themeColor="accent1" w:themeShade="BF"/>
      <w:spacing w:val="5"/>
    </w:rPr>
  </w:style>
  <w:style w:type="paragraph" w:styleId="NormalWeb">
    <w:name w:val="Normal (Web)"/>
    <w:basedOn w:val="Normal"/>
    <w:uiPriority w:val="99"/>
    <w:unhideWhenUsed/>
    <w:rsid w:val="00FD0303"/>
    <w:pPr>
      <w:spacing w:before="100" w:beforeAutospacing="1" w:after="100" w:afterAutospacing="1"/>
    </w:pPr>
  </w:style>
  <w:style w:type="character" w:styleId="Strong">
    <w:name w:val="Strong"/>
    <w:basedOn w:val="DefaultParagraphFont"/>
    <w:uiPriority w:val="22"/>
    <w:qFormat/>
    <w:rsid w:val="00FD0303"/>
    <w:rPr>
      <w:b/>
      <w:bCs/>
    </w:rPr>
  </w:style>
  <w:style w:type="character" w:customStyle="1" w:styleId="katex-mathml">
    <w:name w:val="katex-mathml"/>
    <w:basedOn w:val="DefaultParagraphFont"/>
    <w:rsid w:val="00F36781"/>
  </w:style>
  <w:style w:type="character" w:customStyle="1" w:styleId="mord">
    <w:name w:val="mord"/>
    <w:basedOn w:val="DefaultParagraphFont"/>
    <w:rsid w:val="00F36781"/>
  </w:style>
  <w:style w:type="character" w:customStyle="1" w:styleId="mopen">
    <w:name w:val="mopen"/>
    <w:basedOn w:val="DefaultParagraphFont"/>
    <w:rsid w:val="00F36781"/>
  </w:style>
  <w:style w:type="character" w:customStyle="1" w:styleId="mclose">
    <w:name w:val="mclose"/>
    <w:basedOn w:val="DefaultParagraphFont"/>
    <w:rsid w:val="00F36781"/>
  </w:style>
  <w:style w:type="character" w:customStyle="1" w:styleId="mrel">
    <w:name w:val="mrel"/>
    <w:basedOn w:val="DefaultParagraphFont"/>
    <w:rsid w:val="00F36781"/>
  </w:style>
  <w:style w:type="character" w:customStyle="1" w:styleId="vlist-s">
    <w:name w:val="vlist-s"/>
    <w:basedOn w:val="DefaultParagraphFont"/>
    <w:rsid w:val="00F36781"/>
  </w:style>
  <w:style w:type="character" w:customStyle="1" w:styleId="mbin">
    <w:name w:val="mbin"/>
    <w:basedOn w:val="DefaultParagraphFont"/>
    <w:rsid w:val="00F36781"/>
  </w:style>
  <w:style w:type="character" w:styleId="PlaceholderText">
    <w:name w:val="Placeholder Text"/>
    <w:basedOn w:val="DefaultParagraphFont"/>
    <w:uiPriority w:val="99"/>
    <w:semiHidden/>
    <w:rsid w:val="003B039B"/>
    <w:rPr>
      <w:color w:val="666666"/>
    </w:rPr>
  </w:style>
  <w:style w:type="character" w:customStyle="1" w:styleId="delimsizing">
    <w:name w:val="delimsizing"/>
    <w:basedOn w:val="DefaultParagraphFont"/>
    <w:rsid w:val="00B46642"/>
  </w:style>
  <w:style w:type="character" w:customStyle="1" w:styleId="mtight">
    <w:name w:val="mtight"/>
    <w:basedOn w:val="DefaultParagraphFont"/>
    <w:rsid w:val="00B46642"/>
  </w:style>
  <w:style w:type="character" w:customStyle="1" w:styleId="mpunct">
    <w:name w:val="mpunct"/>
    <w:basedOn w:val="DefaultParagraphFont"/>
    <w:rsid w:val="00927508"/>
  </w:style>
  <w:style w:type="character" w:customStyle="1" w:styleId="mop">
    <w:name w:val="mop"/>
    <w:basedOn w:val="DefaultParagraphFont"/>
    <w:rsid w:val="00927508"/>
  </w:style>
  <w:style w:type="character" w:styleId="CommentReference">
    <w:name w:val="annotation reference"/>
    <w:basedOn w:val="DefaultParagraphFont"/>
    <w:uiPriority w:val="99"/>
    <w:semiHidden/>
    <w:unhideWhenUsed/>
    <w:rsid w:val="006D7B2A"/>
    <w:rPr>
      <w:sz w:val="16"/>
      <w:szCs w:val="16"/>
    </w:rPr>
  </w:style>
  <w:style w:type="paragraph" w:styleId="CommentText">
    <w:name w:val="annotation text"/>
    <w:basedOn w:val="Normal"/>
    <w:link w:val="CommentTextChar"/>
    <w:uiPriority w:val="99"/>
    <w:unhideWhenUsed/>
    <w:rsid w:val="006D7B2A"/>
    <w:rPr>
      <w:sz w:val="20"/>
      <w:szCs w:val="20"/>
    </w:rPr>
  </w:style>
  <w:style w:type="character" w:customStyle="1" w:styleId="CommentTextChar">
    <w:name w:val="Comment Text Char"/>
    <w:basedOn w:val="DefaultParagraphFont"/>
    <w:link w:val="CommentText"/>
    <w:uiPriority w:val="99"/>
    <w:rsid w:val="006D7B2A"/>
    <w:rPr>
      <w:rFonts w:ascii="Times New Roman" w:eastAsia="Times New Roman" w:hAnsi="Times New Roman"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6D7B2A"/>
    <w:rPr>
      <w:b/>
      <w:bCs/>
    </w:rPr>
  </w:style>
  <w:style w:type="character" w:customStyle="1" w:styleId="CommentSubjectChar">
    <w:name w:val="Comment Subject Char"/>
    <w:basedOn w:val="CommentTextChar"/>
    <w:link w:val="CommentSubject"/>
    <w:uiPriority w:val="99"/>
    <w:semiHidden/>
    <w:rsid w:val="006D7B2A"/>
    <w:rPr>
      <w:rFonts w:ascii="Times New Roman" w:eastAsia="Times New Roman" w:hAnsi="Times New Roman" w:cs="Times New Roman"/>
      <w:b/>
      <w:bCs/>
      <w:kern w:val="0"/>
      <w:sz w:val="20"/>
      <w:szCs w:val="20"/>
      <w14:ligatures w14:val="none"/>
    </w:rPr>
  </w:style>
  <w:style w:type="character" w:styleId="Hyperlink">
    <w:name w:val="Hyperlink"/>
    <w:basedOn w:val="DefaultParagraphFont"/>
    <w:uiPriority w:val="99"/>
    <w:unhideWhenUsed/>
    <w:rsid w:val="006D7B2A"/>
    <w:rPr>
      <w:color w:val="467886" w:themeColor="hyperlink"/>
      <w:u w:val="single"/>
    </w:rPr>
  </w:style>
  <w:style w:type="character" w:styleId="UnresolvedMention">
    <w:name w:val="Unresolved Mention"/>
    <w:basedOn w:val="DefaultParagraphFont"/>
    <w:uiPriority w:val="99"/>
    <w:semiHidden/>
    <w:unhideWhenUsed/>
    <w:rsid w:val="006D7B2A"/>
    <w:rPr>
      <w:color w:val="605E5C"/>
      <w:shd w:val="clear" w:color="auto" w:fill="E1DFDD"/>
    </w:rPr>
  </w:style>
  <w:style w:type="paragraph" w:styleId="Revision">
    <w:name w:val="Revision"/>
    <w:hidden/>
    <w:uiPriority w:val="99"/>
    <w:semiHidden/>
    <w:rsid w:val="00E853A7"/>
    <w:pPr>
      <w:spacing w:after="0" w:line="240" w:lineRule="auto"/>
    </w:pPr>
    <w:rPr>
      <w:rFonts w:ascii="Times New Roman" w:eastAsia="Times New Roman" w:hAnsi="Times New Roman" w:cs="Times New Roman"/>
      <w:kern w:val="0"/>
      <w14:ligatures w14:val="none"/>
    </w:rPr>
  </w:style>
  <w:style w:type="character" w:customStyle="1" w:styleId="katex">
    <w:name w:val="katex"/>
    <w:basedOn w:val="DefaultParagraphFont"/>
    <w:rsid w:val="007E73B8"/>
  </w:style>
  <w:style w:type="character" w:customStyle="1" w:styleId="whitespace-nowrap">
    <w:name w:val="whitespace-nowrap"/>
    <w:basedOn w:val="DefaultParagraphFont"/>
    <w:rsid w:val="005F18D5"/>
  </w:style>
  <w:style w:type="character" w:customStyle="1" w:styleId="relative">
    <w:name w:val="relative"/>
    <w:basedOn w:val="DefaultParagraphFont"/>
    <w:rsid w:val="005F18D5"/>
  </w:style>
  <w:style w:type="paragraph" w:styleId="Bibliography">
    <w:name w:val="Bibliography"/>
    <w:basedOn w:val="Normal"/>
    <w:next w:val="Normal"/>
    <w:uiPriority w:val="37"/>
    <w:unhideWhenUsed/>
    <w:rsid w:val="00652C2F"/>
    <w:pPr>
      <w:tabs>
        <w:tab w:val="left" w:pos="264"/>
      </w:tabs>
      <w:spacing w:line="480" w:lineRule="auto"/>
      <w:ind w:left="264" w:hanging="26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2051051">
      <w:bodyDiv w:val="1"/>
      <w:marLeft w:val="0"/>
      <w:marRight w:val="0"/>
      <w:marTop w:val="0"/>
      <w:marBottom w:val="0"/>
      <w:divBdr>
        <w:top w:val="none" w:sz="0" w:space="0" w:color="auto"/>
        <w:left w:val="none" w:sz="0" w:space="0" w:color="auto"/>
        <w:bottom w:val="none" w:sz="0" w:space="0" w:color="auto"/>
        <w:right w:val="none" w:sz="0" w:space="0" w:color="auto"/>
      </w:divBdr>
    </w:div>
    <w:div w:id="53359300">
      <w:bodyDiv w:val="1"/>
      <w:marLeft w:val="0"/>
      <w:marRight w:val="0"/>
      <w:marTop w:val="0"/>
      <w:marBottom w:val="0"/>
      <w:divBdr>
        <w:top w:val="none" w:sz="0" w:space="0" w:color="auto"/>
        <w:left w:val="none" w:sz="0" w:space="0" w:color="auto"/>
        <w:bottom w:val="none" w:sz="0" w:space="0" w:color="auto"/>
        <w:right w:val="none" w:sz="0" w:space="0" w:color="auto"/>
      </w:divBdr>
    </w:div>
    <w:div w:id="78524389">
      <w:bodyDiv w:val="1"/>
      <w:marLeft w:val="0"/>
      <w:marRight w:val="0"/>
      <w:marTop w:val="0"/>
      <w:marBottom w:val="0"/>
      <w:divBdr>
        <w:top w:val="none" w:sz="0" w:space="0" w:color="auto"/>
        <w:left w:val="none" w:sz="0" w:space="0" w:color="auto"/>
        <w:bottom w:val="none" w:sz="0" w:space="0" w:color="auto"/>
        <w:right w:val="none" w:sz="0" w:space="0" w:color="auto"/>
      </w:divBdr>
      <w:divsChild>
        <w:div w:id="106433839">
          <w:marLeft w:val="0"/>
          <w:marRight w:val="0"/>
          <w:marTop w:val="0"/>
          <w:marBottom w:val="0"/>
          <w:divBdr>
            <w:top w:val="single" w:sz="2" w:space="0" w:color="auto"/>
            <w:left w:val="single" w:sz="2" w:space="4" w:color="auto"/>
            <w:bottom w:val="single" w:sz="2" w:space="0" w:color="auto"/>
            <w:right w:val="single" w:sz="2" w:space="4" w:color="auto"/>
          </w:divBdr>
        </w:div>
        <w:div w:id="679740649">
          <w:marLeft w:val="0"/>
          <w:marRight w:val="0"/>
          <w:marTop w:val="0"/>
          <w:marBottom w:val="0"/>
          <w:divBdr>
            <w:top w:val="single" w:sz="2" w:space="0" w:color="auto"/>
            <w:left w:val="single" w:sz="2" w:space="4" w:color="auto"/>
            <w:bottom w:val="single" w:sz="2" w:space="0" w:color="auto"/>
            <w:right w:val="single" w:sz="2" w:space="4" w:color="auto"/>
          </w:divBdr>
        </w:div>
        <w:div w:id="1366249167">
          <w:marLeft w:val="0"/>
          <w:marRight w:val="0"/>
          <w:marTop w:val="0"/>
          <w:marBottom w:val="0"/>
          <w:divBdr>
            <w:top w:val="single" w:sz="2" w:space="0" w:color="auto"/>
            <w:left w:val="single" w:sz="2" w:space="4" w:color="auto"/>
            <w:bottom w:val="single" w:sz="2" w:space="0" w:color="auto"/>
            <w:right w:val="single" w:sz="2" w:space="4" w:color="auto"/>
          </w:divBdr>
        </w:div>
      </w:divsChild>
    </w:div>
    <w:div w:id="131559422">
      <w:bodyDiv w:val="1"/>
      <w:marLeft w:val="0"/>
      <w:marRight w:val="0"/>
      <w:marTop w:val="0"/>
      <w:marBottom w:val="0"/>
      <w:divBdr>
        <w:top w:val="none" w:sz="0" w:space="0" w:color="auto"/>
        <w:left w:val="none" w:sz="0" w:space="0" w:color="auto"/>
        <w:bottom w:val="none" w:sz="0" w:space="0" w:color="auto"/>
        <w:right w:val="none" w:sz="0" w:space="0" w:color="auto"/>
      </w:divBdr>
    </w:div>
    <w:div w:id="138814829">
      <w:bodyDiv w:val="1"/>
      <w:marLeft w:val="0"/>
      <w:marRight w:val="0"/>
      <w:marTop w:val="0"/>
      <w:marBottom w:val="0"/>
      <w:divBdr>
        <w:top w:val="none" w:sz="0" w:space="0" w:color="auto"/>
        <w:left w:val="none" w:sz="0" w:space="0" w:color="auto"/>
        <w:bottom w:val="none" w:sz="0" w:space="0" w:color="auto"/>
        <w:right w:val="none" w:sz="0" w:space="0" w:color="auto"/>
      </w:divBdr>
    </w:div>
    <w:div w:id="398602936">
      <w:bodyDiv w:val="1"/>
      <w:marLeft w:val="0"/>
      <w:marRight w:val="0"/>
      <w:marTop w:val="0"/>
      <w:marBottom w:val="0"/>
      <w:divBdr>
        <w:top w:val="none" w:sz="0" w:space="0" w:color="auto"/>
        <w:left w:val="none" w:sz="0" w:space="0" w:color="auto"/>
        <w:bottom w:val="none" w:sz="0" w:space="0" w:color="auto"/>
        <w:right w:val="none" w:sz="0" w:space="0" w:color="auto"/>
      </w:divBdr>
    </w:div>
    <w:div w:id="436753043">
      <w:bodyDiv w:val="1"/>
      <w:marLeft w:val="0"/>
      <w:marRight w:val="0"/>
      <w:marTop w:val="0"/>
      <w:marBottom w:val="0"/>
      <w:divBdr>
        <w:top w:val="none" w:sz="0" w:space="0" w:color="auto"/>
        <w:left w:val="none" w:sz="0" w:space="0" w:color="auto"/>
        <w:bottom w:val="none" w:sz="0" w:space="0" w:color="auto"/>
        <w:right w:val="none" w:sz="0" w:space="0" w:color="auto"/>
      </w:divBdr>
    </w:div>
    <w:div w:id="456872578">
      <w:bodyDiv w:val="1"/>
      <w:marLeft w:val="0"/>
      <w:marRight w:val="0"/>
      <w:marTop w:val="0"/>
      <w:marBottom w:val="0"/>
      <w:divBdr>
        <w:top w:val="none" w:sz="0" w:space="0" w:color="auto"/>
        <w:left w:val="none" w:sz="0" w:space="0" w:color="auto"/>
        <w:bottom w:val="none" w:sz="0" w:space="0" w:color="auto"/>
        <w:right w:val="none" w:sz="0" w:space="0" w:color="auto"/>
      </w:divBdr>
    </w:div>
    <w:div w:id="472869913">
      <w:bodyDiv w:val="1"/>
      <w:marLeft w:val="0"/>
      <w:marRight w:val="0"/>
      <w:marTop w:val="0"/>
      <w:marBottom w:val="0"/>
      <w:divBdr>
        <w:top w:val="none" w:sz="0" w:space="0" w:color="auto"/>
        <w:left w:val="none" w:sz="0" w:space="0" w:color="auto"/>
        <w:bottom w:val="none" w:sz="0" w:space="0" w:color="auto"/>
        <w:right w:val="none" w:sz="0" w:space="0" w:color="auto"/>
      </w:divBdr>
    </w:div>
    <w:div w:id="510333821">
      <w:bodyDiv w:val="1"/>
      <w:marLeft w:val="0"/>
      <w:marRight w:val="0"/>
      <w:marTop w:val="0"/>
      <w:marBottom w:val="0"/>
      <w:divBdr>
        <w:top w:val="none" w:sz="0" w:space="0" w:color="auto"/>
        <w:left w:val="none" w:sz="0" w:space="0" w:color="auto"/>
        <w:bottom w:val="none" w:sz="0" w:space="0" w:color="auto"/>
        <w:right w:val="none" w:sz="0" w:space="0" w:color="auto"/>
      </w:divBdr>
    </w:div>
    <w:div w:id="545988820">
      <w:bodyDiv w:val="1"/>
      <w:marLeft w:val="0"/>
      <w:marRight w:val="0"/>
      <w:marTop w:val="0"/>
      <w:marBottom w:val="0"/>
      <w:divBdr>
        <w:top w:val="none" w:sz="0" w:space="0" w:color="auto"/>
        <w:left w:val="none" w:sz="0" w:space="0" w:color="auto"/>
        <w:bottom w:val="none" w:sz="0" w:space="0" w:color="auto"/>
        <w:right w:val="none" w:sz="0" w:space="0" w:color="auto"/>
      </w:divBdr>
    </w:div>
    <w:div w:id="618030843">
      <w:bodyDiv w:val="1"/>
      <w:marLeft w:val="0"/>
      <w:marRight w:val="0"/>
      <w:marTop w:val="0"/>
      <w:marBottom w:val="0"/>
      <w:divBdr>
        <w:top w:val="none" w:sz="0" w:space="0" w:color="auto"/>
        <w:left w:val="none" w:sz="0" w:space="0" w:color="auto"/>
        <w:bottom w:val="none" w:sz="0" w:space="0" w:color="auto"/>
        <w:right w:val="none" w:sz="0" w:space="0" w:color="auto"/>
      </w:divBdr>
    </w:div>
    <w:div w:id="620646313">
      <w:bodyDiv w:val="1"/>
      <w:marLeft w:val="0"/>
      <w:marRight w:val="0"/>
      <w:marTop w:val="0"/>
      <w:marBottom w:val="0"/>
      <w:divBdr>
        <w:top w:val="none" w:sz="0" w:space="0" w:color="auto"/>
        <w:left w:val="none" w:sz="0" w:space="0" w:color="auto"/>
        <w:bottom w:val="none" w:sz="0" w:space="0" w:color="auto"/>
        <w:right w:val="none" w:sz="0" w:space="0" w:color="auto"/>
      </w:divBdr>
    </w:div>
    <w:div w:id="790057200">
      <w:bodyDiv w:val="1"/>
      <w:marLeft w:val="0"/>
      <w:marRight w:val="0"/>
      <w:marTop w:val="0"/>
      <w:marBottom w:val="0"/>
      <w:divBdr>
        <w:top w:val="none" w:sz="0" w:space="0" w:color="auto"/>
        <w:left w:val="none" w:sz="0" w:space="0" w:color="auto"/>
        <w:bottom w:val="none" w:sz="0" w:space="0" w:color="auto"/>
        <w:right w:val="none" w:sz="0" w:space="0" w:color="auto"/>
      </w:divBdr>
    </w:div>
    <w:div w:id="802892603">
      <w:bodyDiv w:val="1"/>
      <w:marLeft w:val="0"/>
      <w:marRight w:val="0"/>
      <w:marTop w:val="0"/>
      <w:marBottom w:val="0"/>
      <w:divBdr>
        <w:top w:val="none" w:sz="0" w:space="0" w:color="auto"/>
        <w:left w:val="none" w:sz="0" w:space="0" w:color="auto"/>
        <w:bottom w:val="none" w:sz="0" w:space="0" w:color="auto"/>
        <w:right w:val="none" w:sz="0" w:space="0" w:color="auto"/>
      </w:divBdr>
    </w:div>
    <w:div w:id="806241737">
      <w:bodyDiv w:val="1"/>
      <w:marLeft w:val="0"/>
      <w:marRight w:val="0"/>
      <w:marTop w:val="0"/>
      <w:marBottom w:val="0"/>
      <w:divBdr>
        <w:top w:val="none" w:sz="0" w:space="0" w:color="auto"/>
        <w:left w:val="none" w:sz="0" w:space="0" w:color="auto"/>
        <w:bottom w:val="none" w:sz="0" w:space="0" w:color="auto"/>
        <w:right w:val="none" w:sz="0" w:space="0" w:color="auto"/>
      </w:divBdr>
    </w:div>
    <w:div w:id="808597592">
      <w:bodyDiv w:val="1"/>
      <w:marLeft w:val="0"/>
      <w:marRight w:val="0"/>
      <w:marTop w:val="0"/>
      <w:marBottom w:val="0"/>
      <w:divBdr>
        <w:top w:val="none" w:sz="0" w:space="0" w:color="auto"/>
        <w:left w:val="none" w:sz="0" w:space="0" w:color="auto"/>
        <w:bottom w:val="none" w:sz="0" w:space="0" w:color="auto"/>
        <w:right w:val="none" w:sz="0" w:space="0" w:color="auto"/>
      </w:divBdr>
    </w:div>
    <w:div w:id="840122066">
      <w:bodyDiv w:val="1"/>
      <w:marLeft w:val="0"/>
      <w:marRight w:val="0"/>
      <w:marTop w:val="0"/>
      <w:marBottom w:val="0"/>
      <w:divBdr>
        <w:top w:val="none" w:sz="0" w:space="0" w:color="auto"/>
        <w:left w:val="none" w:sz="0" w:space="0" w:color="auto"/>
        <w:bottom w:val="none" w:sz="0" w:space="0" w:color="auto"/>
        <w:right w:val="none" w:sz="0" w:space="0" w:color="auto"/>
      </w:divBdr>
    </w:div>
    <w:div w:id="1003388092">
      <w:bodyDiv w:val="1"/>
      <w:marLeft w:val="0"/>
      <w:marRight w:val="0"/>
      <w:marTop w:val="0"/>
      <w:marBottom w:val="0"/>
      <w:divBdr>
        <w:top w:val="none" w:sz="0" w:space="0" w:color="auto"/>
        <w:left w:val="none" w:sz="0" w:space="0" w:color="auto"/>
        <w:bottom w:val="none" w:sz="0" w:space="0" w:color="auto"/>
        <w:right w:val="none" w:sz="0" w:space="0" w:color="auto"/>
      </w:divBdr>
    </w:div>
    <w:div w:id="1036076882">
      <w:bodyDiv w:val="1"/>
      <w:marLeft w:val="0"/>
      <w:marRight w:val="0"/>
      <w:marTop w:val="0"/>
      <w:marBottom w:val="0"/>
      <w:divBdr>
        <w:top w:val="none" w:sz="0" w:space="0" w:color="auto"/>
        <w:left w:val="none" w:sz="0" w:space="0" w:color="auto"/>
        <w:bottom w:val="none" w:sz="0" w:space="0" w:color="auto"/>
        <w:right w:val="none" w:sz="0" w:space="0" w:color="auto"/>
      </w:divBdr>
    </w:div>
    <w:div w:id="1212841467">
      <w:bodyDiv w:val="1"/>
      <w:marLeft w:val="0"/>
      <w:marRight w:val="0"/>
      <w:marTop w:val="0"/>
      <w:marBottom w:val="0"/>
      <w:divBdr>
        <w:top w:val="none" w:sz="0" w:space="0" w:color="auto"/>
        <w:left w:val="none" w:sz="0" w:space="0" w:color="auto"/>
        <w:bottom w:val="none" w:sz="0" w:space="0" w:color="auto"/>
        <w:right w:val="none" w:sz="0" w:space="0" w:color="auto"/>
      </w:divBdr>
    </w:div>
    <w:div w:id="1218709049">
      <w:bodyDiv w:val="1"/>
      <w:marLeft w:val="0"/>
      <w:marRight w:val="0"/>
      <w:marTop w:val="0"/>
      <w:marBottom w:val="0"/>
      <w:divBdr>
        <w:top w:val="none" w:sz="0" w:space="0" w:color="auto"/>
        <w:left w:val="none" w:sz="0" w:space="0" w:color="auto"/>
        <w:bottom w:val="none" w:sz="0" w:space="0" w:color="auto"/>
        <w:right w:val="none" w:sz="0" w:space="0" w:color="auto"/>
      </w:divBdr>
    </w:div>
    <w:div w:id="1257440902">
      <w:bodyDiv w:val="1"/>
      <w:marLeft w:val="0"/>
      <w:marRight w:val="0"/>
      <w:marTop w:val="0"/>
      <w:marBottom w:val="0"/>
      <w:divBdr>
        <w:top w:val="none" w:sz="0" w:space="0" w:color="auto"/>
        <w:left w:val="none" w:sz="0" w:space="0" w:color="auto"/>
        <w:bottom w:val="none" w:sz="0" w:space="0" w:color="auto"/>
        <w:right w:val="none" w:sz="0" w:space="0" w:color="auto"/>
      </w:divBdr>
    </w:div>
    <w:div w:id="1418557715">
      <w:bodyDiv w:val="1"/>
      <w:marLeft w:val="0"/>
      <w:marRight w:val="0"/>
      <w:marTop w:val="0"/>
      <w:marBottom w:val="0"/>
      <w:divBdr>
        <w:top w:val="none" w:sz="0" w:space="0" w:color="auto"/>
        <w:left w:val="none" w:sz="0" w:space="0" w:color="auto"/>
        <w:bottom w:val="none" w:sz="0" w:space="0" w:color="auto"/>
        <w:right w:val="none" w:sz="0" w:space="0" w:color="auto"/>
      </w:divBdr>
    </w:div>
    <w:div w:id="1439637760">
      <w:bodyDiv w:val="1"/>
      <w:marLeft w:val="0"/>
      <w:marRight w:val="0"/>
      <w:marTop w:val="0"/>
      <w:marBottom w:val="0"/>
      <w:divBdr>
        <w:top w:val="none" w:sz="0" w:space="0" w:color="auto"/>
        <w:left w:val="none" w:sz="0" w:space="0" w:color="auto"/>
        <w:bottom w:val="none" w:sz="0" w:space="0" w:color="auto"/>
        <w:right w:val="none" w:sz="0" w:space="0" w:color="auto"/>
      </w:divBdr>
    </w:div>
    <w:div w:id="1477575844">
      <w:bodyDiv w:val="1"/>
      <w:marLeft w:val="0"/>
      <w:marRight w:val="0"/>
      <w:marTop w:val="0"/>
      <w:marBottom w:val="0"/>
      <w:divBdr>
        <w:top w:val="none" w:sz="0" w:space="0" w:color="auto"/>
        <w:left w:val="none" w:sz="0" w:space="0" w:color="auto"/>
        <w:bottom w:val="none" w:sz="0" w:space="0" w:color="auto"/>
        <w:right w:val="none" w:sz="0" w:space="0" w:color="auto"/>
      </w:divBdr>
    </w:div>
    <w:div w:id="1479112523">
      <w:bodyDiv w:val="1"/>
      <w:marLeft w:val="0"/>
      <w:marRight w:val="0"/>
      <w:marTop w:val="0"/>
      <w:marBottom w:val="0"/>
      <w:divBdr>
        <w:top w:val="none" w:sz="0" w:space="0" w:color="auto"/>
        <w:left w:val="none" w:sz="0" w:space="0" w:color="auto"/>
        <w:bottom w:val="none" w:sz="0" w:space="0" w:color="auto"/>
        <w:right w:val="none" w:sz="0" w:space="0" w:color="auto"/>
      </w:divBdr>
    </w:div>
    <w:div w:id="1568687481">
      <w:bodyDiv w:val="1"/>
      <w:marLeft w:val="0"/>
      <w:marRight w:val="0"/>
      <w:marTop w:val="0"/>
      <w:marBottom w:val="0"/>
      <w:divBdr>
        <w:top w:val="none" w:sz="0" w:space="0" w:color="auto"/>
        <w:left w:val="none" w:sz="0" w:space="0" w:color="auto"/>
        <w:bottom w:val="none" w:sz="0" w:space="0" w:color="auto"/>
        <w:right w:val="none" w:sz="0" w:space="0" w:color="auto"/>
      </w:divBdr>
    </w:div>
    <w:div w:id="1573080540">
      <w:bodyDiv w:val="1"/>
      <w:marLeft w:val="0"/>
      <w:marRight w:val="0"/>
      <w:marTop w:val="0"/>
      <w:marBottom w:val="0"/>
      <w:divBdr>
        <w:top w:val="none" w:sz="0" w:space="0" w:color="auto"/>
        <w:left w:val="none" w:sz="0" w:space="0" w:color="auto"/>
        <w:bottom w:val="none" w:sz="0" w:space="0" w:color="auto"/>
        <w:right w:val="none" w:sz="0" w:space="0" w:color="auto"/>
      </w:divBdr>
    </w:div>
    <w:div w:id="1608536141">
      <w:bodyDiv w:val="1"/>
      <w:marLeft w:val="0"/>
      <w:marRight w:val="0"/>
      <w:marTop w:val="0"/>
      <w:marBottom w:val="0"/>
      <w:divBdr>
        <w:top w:val="none" w:sz="0" w:space="0" w:color="auto"/>
        <w:left w:val="none" w:sz="0" w:space="0" w:color="auto"/>
        <w:bottom w:val="none" w:sz="0" w:space="0" w:color="auto"/>
        <w:right w:val="none" w:sz="0" w:space="0" w:color="auto"/>
      </w:divBdr>
    </w:div>
    <w:div w:id="1732386115">
      <w:bodyDiv w:val="1"/>
      <w:marLeft w:val="0"/>
      <w:marRight w:val="0"/>
      <w:marTop w:val="0"/>
      <w:marBottom w:val="0"/>
      <w:divBdr>
        <w:top w:val="none" w:sz="0" w:space="0" w:color="auto"/>
        <w:left w:val="none" w:sz="0" w:space="0" w:color="auto"/>
        <w:bottom w:val="none" w:sz="0" w:space="0" w:color="auto"/>
        <w:right w:val="none" w:sz="0" w:space="0" w:color="auto"/>
      </w:divBdr>
    </w:div>
    <w:div w:id="1748502152">
      <w:bodyDiv w:val="1"/>
      <w:marLeft w:val="0"/>
      <w:marRight w:val="0"/>
      <w:marTop w:val="0"/>
      <w:marBottom w:val="0"/>
      <w:divBdr>
        <w:top w:val="none" w:sz="0" w:space="0" w:color="auto"/>
        <w:left w:val="none" w:sz="0" w:space="0" w:color="auto"/>
        <w:bottom w:val="none" w:sz="0" w:space="0" w:color="auto"/>
        <w:right w:val="none" w:sz="0" w:space="0" w:color="auto"/>
      </w:divBdr>
    </w:div>
    <w:div w:id="1847742244">
      <w:bodyDiv w:val="1"/>
      <w:marLeft w:val="0"/>
      <w:marRight w:val="0"/>
      <w:marTop w:val="0"/>
      <w:marBottom w:val="0"/>
      <w:divBdr>
        <w:top w:val="none" w:sz="0" w:space="0" w:color="auto"/>
        <w:left w:val="none" w:sz="0" w:space="0" w:color="auto"/>
        <w:bottom w:val="none" w:sz="0" w:space="0" w:color="auto"/>
        <w:right w:val="none" w:sz="0" w:space="0" w:color="auto"/>
      </w:divBdr>
    </w:div>
    <w:div w:id="1870296736">
      <w:bodyDiv w:val="1"/>
      <w:marLeft w:val="0"/>
      <w:marRight w:val="0"/>
      <w:marTop w:val="0"/>
      <w:marBottom w:val="0"/>
      <w:divBdr>
        <w:top w:val="none" w:sz="0" w:space="0" w:color="auto"/>
        <w:left w:val="none" w:sz="0" w:space="0" w:color="auto"/>
        <w:bottom w:val="none" w:sz="0" w:space="0" w:color="auto"/>
        <w:right w:val="none" w:sz="0" w:space="0" w:color="auto"/>
      </w:divBdr>
    </w:div>
    <w:div w:id="1942562584">
      <w:bodyDiv w:val="1"/>
      <w:marLeft w:val="0"/>
      <w:marRight w:val="0"/>
      <w:marTop w:val="0"/>
      <w:marBottom w:val="0"/>
      <w:divBdr>
        <w:top w:val="none" w:sz="0" w:space="0" w:color="auto"/>
        <w:left w:val="none" w:sz="0" w:space="0" w:color="auto"/>
        <w:bottom w:val="none" w:sz="0" w:space="0" w:color="auto"/>
        <w:right w:val="none" w:sz="0" w:space="0" w:color="auto"/>
      </w:divBdr>
    </w:div>
    <w:div w:id="2008093831">
      <w:bodyDiv w:val="1"/>
      <w:marLeft w:val="0"/>
      <w:marRight w:val="0"/>
      <w:marTop w:val="0"/>
      <w:marBottom w:val="0"/>
      <w:divBdr>
        <w:top w:val="none" w:sz="0" w:space="0" w:color="auto"/>
        <w:left w:val="none" w:sz="0" w:space="0" w:color="auto"/>
        <w:bottom w:val="none" w:sz="0" w:space="0" w:color="auto"/>
        <w:right w:val="none" w:sz="0" w:space="0" w:color="auto"/>
      </w:divBdr>
    </w:div>
    <w:div w:id="2060090703">
      <w:bodyDiv w:val="1"/>
      <w:marLeft w:val="0"/>
      <w:marRight w:val="0"/>
      <w:marTop w:val="0"/>
      <w:marBottom w:val="0"/>
      <w:divBdr>
        <w:top w:val="none" w:sz="0" w:space="0" w:color="auto"/>
        <w:left w:val="none" w:sz="0" w:space="0" w:color="auto"/>
        <w:bottom w:val="none" w:sz="0" w:space="0" w:color="auto"/>
        <w:right w:val="none" w:sz="0" w:space="0" w:color="auto"/>
      </w:divBdr>
    </w:div>
    <w:div w:id="2097509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1" Type="http://schemas.openxmlformats.org/officeDocument/2006/relationships/oleObject" Target="embeddings/oleObject4.bin"/><Relationship Id="rId42" Type="http://schemas.openxmlformats.org/officeDocument/2006/relationships/oleObject" Target="embeddings/oleObject12.bin"/><Relationship Id="rId47" Type="http://schemas.openxmlformats.org/officeDocument/2006/relationships/image" Target="media/image28.emf"/><Relationship Id="rId63" Type="http://schemas.openxmlformats.org/officeDocument/2006/relationships/oleObject" Target="embeddings/oleObject22.bin"/><Relationship Id="rId68" Type="http://schemas.openxmlformats.org/officeDocument/2006/relationships/image" Target="media/image41.emf"/><Relationship Id="rId84" Type="http://schemas.openxmlformats.org/officeDocument/2006/relationships/image" Target="media/image52.png"/><Relationship Id="rId89" Type="http://schemas.openxmlformats.org/officeDocument/2006/relationships/theme" Target="theme/theme1.xml"/><Relationship Id="rId16" Type="http://schemas.openxmlformats.org/officeDocument/2006/relationships/image" Target="media/image10.emf"/><Relationship Id="rId11" Type="http://schemas.openxmlformats.org/officeDocument/2006/relationships/image" Target="media/image6.png"/><Relationship Id="rId32" Type="http://schemas.openxmlformats.org/officeDocument/2006/relationships/image" Target="media/image19.emf"/><Relationship Id="rId37" Type="http://schemas.openxmlformats.org/officeDocument/2006/relationships/image" Target="media/image22.png"/><Relationship Id="rId53" Type="http://schemas.openxmlformats.org/officeDocument/2006/relationships/image" Target="media/image31.emf"/><Relationship Id="rId58" Type="http://schemas.openxmlformats.org/officeDocument/2006/relationships/oleObject" Target="embeddings/oleObject20.bin"/><Relationship Id="rId74" Type="http://schemas.openxmlformats.org/officeDocument/2006/relationships/image" Target="media/image45.emf"/><Relationship Id="rId79" Type="http://schemas.openxmlformats.org/officeDocument/2006/relationships/oleObject" Target="embeddings/oleObject26.bin"/><Relationship Id="rId5" Type="http://schemas.openxmlformats.org/officeDocument/2006/relationships/hyperlink" Target="mailto:huanyu.cheng@psu.edu" TargetMode="External"/><Relationship Id="rId14" Type="http://schemas.openxmlformats.org/officeDocument/2006/relationships/image" Target="media/image9.emf"/><Relationship Id="rId22" Type="http://schemas.openxmlformats.org/officeDocument/2006/relationships/image" Target="media/image13.emf"/><Relationship Id="rId27" Type="http://schemas.openxmlformats.org/officeDocument/2006/relationships/oleObject" Target="embeddings/oleObject7.bin"/><Relationship Id="rId30" Type="http://schemas.openxmlformats.org/officeDocument/2006/relationships/image" Target="media/image18.emf"/><Relationship Id="rId35" Type="http://schemas.openxmlformats.org/officeDocument/2006/relationships/oleObject" Target="embeddings/oleObject10.bin"/><Relationship Id="rId43" Type="http://schemas.openxmlformats.org/officeDocument/2006/relationships/image" Target="media/image26.emf"/><Relationship Id="rId48" Type="http://schemas.openxmlformats.org/officeDocument/2006/relationships/oleObject" Target="embeddings/oleObject15.bin"/><Relationship Id="rId56" Type="http://schemas.openxmlformats.org/officeDocument/2006/relationships/oleObject" Target="embeddings/oleObject19.bin"/><Relationship Id="rId64" Type="http://schemas.openxmlformats.org/officeDocument/2006/relationships/image" Target="media/image37.emf"/><Relationship Id="rId69" Type="http://schemas.openxmlformats.org/officeDocument/2006/relationships/oleObject" Target="embeddings/oleObject23.bin"/><Relationship Id="rId77" Type="http://schemas.openxmlformats.org/officeDocument/2006/relationships/image" Target="media/image47.png"/><Relationship Id="rId8" Type="http://schemas.openxmlformats.org/officeDocument/2006/relationships/image" Target="media/image3.png"/><Relationship Id="rId51" Type="http://schemas.openxmlformats.org/officeDocument/2006/relationships/image" Target="media/image30.emf"/><Relationship Id="rId72" Type="http://schemas.openxmlformats.org/officeDocument/2006/relationships/image" Target="media/image43.png"/><Relationship Id="rId80" Type="http://schemas.openxmlformats.org/officeDocument/2006/relationships/image" Target="media/image49.emf"/><Relationship Id="rId85" Type="http://schemas.openxmlformats.org/officeDocument/2006/relationships/image" Target="media/image53.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oleObject" Target="embeddings/oleObject9.bin"/><Relationship Id="rId38" Type="http://schemas.openxmlformats.org/officeDocument/2006/relationships/image" Target="media/image23.emf"/><Relationship Id="rId46" Type="http://schemas.openxmlformats.org/officeDocument/2006/relationships/oleObject" Target="embeddings/oleObject14.bin"/><Relationship Id="rId59" Type="http://schemas.openxmlformats.org/officeDocument/2006/relationships/image" Target="media/image34.emf"/><Relationship Id="rId67" Type="http://schemas.openxmlformats.org/officeDocument/2006/relationships/image" Target="media/image40.emf"/><Relationship Id="rId20" Type="http://schemas.openxmlformats.org/officeDocument/2006/relationships/image" Target="media/image12.emf"/><Relationship Id="rId41" Type="http://schemas.openxmlformats.org/officeDocument/2006/relationships/image" Target="media/image25.emf"/><Relationship Id="rId54" Type="http://schemas.openxmlformats.org/officeDocument/2006/relationships/oleObject" Target="embeddings/oleObject18.bin"/><Relationship Id="rId62" Type="http://schemas.openxmlformats.org/officeDocument/2006/relationships/image" Target="media/image36.emf"/><Relationship Id="rId70" Type="http://schemas.openxmlformats.org/officeDocument/2006/relationships/image" Target="media/image42.emf"/><Relationship Id="rId75" Type="http://schemas.openxmlformats.org/officeDocument/2006/relationships/oleObject" Target="embeddings/oleObject25.bin"/><Relationship Id="rId83" Type="http://schemas.openxmlformats.org/officeDocument/2006/relationships/image" Target="media/image51.png"/><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image" Target="media/image16.emf"/><Relationship Id="rId36" Type="http://schemas.openxmlformats.org/officeDocument/2006/relationships/image" Target="media/image21.png"/><Relationship Id="rId49" Type="http://schemas.openxmlformats.org/officeDocument/2006/relationships/image" Target="media/image29.emf"/><Relationship Id="rId57" Type="http://schemas.openxmlformats.org/officeDocument/2006/relationships/image" Target="media/image33.emf"/><Relationship Id="rId10" Type="http://schemas.openxmlformats.org/officeDocument/2006/relationships/image" Target="media/image5.png"/><Relationship Id="rId31" Type="http://schemas.openxmlformats.org/officeDocument/2006/relationships/oleObject" Target="embeddings/oleObject8.bin"/><Relationship Id="rId44" Type="http://schemas.openxmlformats.org/officeDocument/2006/relationships/oleObject" Target="embeddings/oleObject13.bin"/><Relationship Id="rId52" Type="http://schemas.openxmlformats.org/officeDocument/2006/relationships/oleObject" Target="embeddings/oleObject17.bin"/><Relationship Id="rId60" Type="http://schemas.openxmlformats.org/officeDocument/2006/relationships/oleObject" Target="embeddings/oleObject21.bin"/><Relationship Id="rId65" Type="http://schemas.openxmlformats.org/officeDocument/2006/relationships/image" Target="media/image38.emf"/><Relationship Id="rId73" Type="http://schemas.openxmlformats.org/officeDocument/2006/relationships/image" Target="media/image44.png"/><Relationship Id="rId78" Type="http://schemas.openxmlformats.org/officeDocument/2006/relationships/image" Target="media/image48.emf"/><Relationship Id="rId81" Type="http://schemas.openxmlformats.org/officeDocument/2006/relationships/oleObject" Target="embeddings/oleObject27.bin"/><Relationship Id="rId86" Type="http://schemas.openxmlformats.org/officeDocument/2006/relationships/image" Target="media/image54.emf"/><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1.emf"/><Relationship Id="rId39" Type="http://schemas.openxmlformats.org/officeDocument/2006/relationships/oleObject" Target="embeddings/oleObject11.bin"/><Relationship Id="rId34" Type="http://schemas.openxmlformats.org/officeDocument/2006/relationships/image" Target="media/image20.emf"/><Relationship Id="rId50" Type="http://schemas.openxmlformats.org/officeDocument/2006/relationships/oleObject" Target="embeddings/oleObject16.bin"/><Relationship Id="rId55" Type="http://schemas.openxmlformats.org/officeDocument/2006/relationships/image" Target="media/image32.emf"/><Relationship Id="rId76" Type="http://schemas.openxmlformats.org/officeDocument/2006/relationships/image" Target="media/image46.png"/><Relationship Id="rId7" Type="http://schemas.openxmlformats.org/officeDocument/2006/relationships/image" Target="media/image2.png"/><Relationship Id="rId71" Type="http://schemas.openxmlformats.org/officeDocument/2006/relationships/oleObject" Target="embeddings/oleObject24.bin"/><Relationship Id="rId2" Type="http://schemas.openxmlformats.org/officeDocument/2006/relationships/styles" Target="styles.xml"/><Relationship Id="rId29" Type="http://schemas.openxmlformats.org/officeDocument/2006/relationships/image" Target="media/image17.emf"/><Relationship Id="rId24" Type="http://schemas.openxmlformats.org/officeDocument/2006/relationships/image" Target="media/image14.emf"/><Relationship Id="rId40" Type="http://schemas.openxmlformats.org/officeDocument/2006/relationships/image" Target="media/image24.png"/><Relationship Id="rId45" Type="http://schemas.openxmlformats.org/officeDocument/2006/relationships/image" Target="media/image27.emf"/><Relationship Id="rId66" Type="http://schemas.openxmlformats.org/officeDocument/2006/relationships/image" Target="media/image39.emf"/><Relationship Id="rId87" Type="http://schemas.openxmlformats.org/officeDocument/2006/relationships/oleObject" Target="embeddings/oleObject28.bin"/><Relationship Id="rId61" Type="http://schemas.openxmlformats.org/officeDocument/2006/relationships/image" Target="media/image35.png"/><Relationship Id="rId82" Type="http://schemas.openxmlformats.org/officeDocument/2006/relationships/image" Target="media/image50.png"/><Relationship Id="rId19" Type="http://schemas.openxmlformats.org/officeDocument/2006/relationships/oleObject" Target="embeddings/oleObject3.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Metadata/LabelInfo.xml><?xml version="1.0" encoding="utf-8"?>
<clbl:labelList xmlns:clbl="http://schemas.microsoft.com/office/2020/mipLabelMetadata">
  <clbl:label id="{7cf48d45-3ddb-4389-a9c1-c115526eb52e}" enabled="0" method="" siteId="{7cf48d45-3ddb-4389-a9c1-c115526eb52e}" removed="1"/>
</clbl:labelList>
</file>

<file path=docProps/app.xml><?xml version="1.0" encoding="utf-8"?>
<Properties xmlns="http://schemas.openxmlformats.org/officeDocument/2006/extended-properties" xmlns:vt="http://schemas.openxmlformats.org/officeDocument/2006/docPropsVTypes">
  <Template>Normal</Template>
  <TotalTime>323</TotalTime>
  <Pages>112</Pages>
  <Words>29074</Words>
  <Characters>165723</Characters>
  <Application>Microsoft Office Word</Application>
  <DocSecurity>0</DocSecurity>
  <Lines>1381</Lines>
  <Paragraphs>388</Paragraphs>
  <ScaleCrop>false</ScaleCrop>
  <Company/>
  <LinksUpToDate>false</LinksUpToDate>
  <CharactersWithSpaces>194409</CharactersWithSpaces>
  <SharedDoc>false</SharedDoc>
  <HLinks>
    <vt:vector size="6" baseType="variant">
      <vt:variant>
        <vt:i4>4390949</vt:i4>
      </vt:variant>
      <vt:variant>
        <vt:i4>0</vt:i4>
      </vt:variant>
      <vt:variant>
        <vt:i4>0</vt:i4>
      </vt:variant>
      <vt:variant>
        <vt:i4>5</vt:i4>
      </vt:variant>
      <vt:variant>
        <vt:lpwstr>mailto:huanyu.cheng@psu.edu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Dutta, Ankan</dc:creator>
  <cp:keywords/>
  <dc:description/>
  <cp:lastModifiedBy>Dutta, Ankan</cp:lastModifiedBy>
  <cp:revision>1272</cp:revision>
  <dcterms:created xsi:type="dcterms:W3CDTF">2024-11-10T05:24:00Z</dcterms:created>
  <dcterms:modified xsi:type="dcterms:W3CDTF">2025-01-14T19:51:00Z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documentId_3716</vt:lpwstr>
  </property>
  <property fmtid="{D5CDD505-2E9C-101B-9397-08002B2CF9AE}" pid="3" name="grammarly_documentContext">
    <vt:lpwstr>{"goals":[],"domain":"general","emotions":[],"dialect":"american"}</vt:lpwstr>
  </property>
  <property fmtid="{D5CDD505-2E9C-101B-9397-08002B2CF9AE}" pid="4" name="ZOTERO_PREF_1">
    <vt:lpwstr>&lt;data data-version="3" zotero-version="6.0.36"&gt;&lt;session id="TkJWJ5NK"/&gt;&lt;style id="http://www.zotero.org/styles/nature" hasBibliography="1" bibliographyStyleHasBeenSet="1"/&gt;&lt;prefs&gt;&lt;pref name="fieldType" value="Field"/&gt;&lt;pref name="automaticJournalAbbreviati</vt:lpwstr>
  </property>
  <property fmtid="{D5CDD505-2E9C-101B-9397-08002B2CF9AE}" pid="5" name="ZOTERO_PREF_2">
    <vt:lpwstr>ons" value="true"/&gt;&lt;/prefs&gt;&lt;/data&gt;</vt:lpwstr>
  </property>
</Properties>
</file>