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AdvOT5bd620f6 . B" w:cs="Times New Roman"/>
          <w:color w:val="auto"/>
          <w:kern w:val="0"/>
          <w:sz w:val="20"/>
          <w:szCs w:val="20"/>
          <w:lang w:val="en-US" w:eastAsia="zh-CN" w:bidi="ar"/>
        </w:rPr>
        <w:t>T</w:t>
      </w:r>
      <w:r>
        <w:rPr>
          <w:rFonts w:hint="eastAsia" w:eastAsia="AdvOT5bd620f6 . B" w:cs="Times New Roman"/>
          <w:color w:val="auto"/>
          <w:kern w:val="0"/>
          <w:sz w:val="20"/>
          <w:szCs w:val="20"/>
          <w:lang w:val="en-US" w:eastAsia="zh-CN" w:bidi="ar"/>
        </w:rPr>
        <w:t>able</w:t>
      </w:r>
      <w:r>
        <w:rPr>
          <w:rFonts w:hint="default" w:ascii="Times New Roman" w:hAnsi="Times New Roman" w:eastAsia="AdvOT5bd620f6 . B" w:cs="Times New Roman"/>
          <w:color w:val="auto"/>
          <w:kern w:val="0"/>
          <w:sz w:val="20"/>
          <w:szCs w:val="20"/>
          <w:lang w:val="en-US" w:eastAsia="zh-CN" w:bidi="ar"/>
        </w:rPr>
        <w:t xml:space="preserve"> 1  </w:t>
      </w:r>
      <w:r>
        <w:rPr>
          <w:rFonts w:hint="default" w:ascii="Times New Roman" w:hAnsi="Times New Roman" w:eastAsia="AdvOTecfccdcf_I" w:cs="Times New Roman"/>
          <w:color w:val="auto"/>
          <w:kern w:val="0"/>
          <w:sz w:val="20"/>
          <w:szCs w:val="20"/>
          <w:lang w:val="en-US" w:eastAsia="zh-CN" w:bidi="ar"/>
        </w:rPr>
        <w:t>Demographic and clinical characteristics of subjects at baseline</w:t>
      </w:r>
    </w:p>
    <w:tbl>
      <w:tblPr>
        <w:tblStyle w:val="2"/>
        <w:tblW w:w="4918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1"/>
        <w:gridCol w:w="1642"/>
        <w:gridCol w:w="1604"/>
        <w:gridCol w:w="1555"/>
        <w:gridCol w:w="870"/>
        <w:gridCol w:w="70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  <w:jc w:val="center"/>
        </w:trPr>
        <w:tc>
          <w:tcPr>
            <w:tcW w:w="1096" w:type="pct"/>
            <w:vMerge w:val="restart"/>
            <w:tcBorders>
              <w:bottom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Variables</w:t>
            </w:r>
          </w:p>
        </w:tc>
        <w:tc>
          <w:tcPr>
            <w:tcW w:w="1004" w:type="pct"/>
            <w:vMerge w:val="restart"/>
            <w:tcBorders>
              <w:bottom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HC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 xml:space="preserve"> (n = 51)</w:t>
            </w:r>
          </w:p>
        </w:tc>
        <w:tc>
          <w:tcPr>
            <w:tcW w:w="981" w:type="pct"/>
            <w:vMerge w:val="restart"/>
            <w:tcBorders>
              <w:bottom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pPD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 xml:space="preserve"> (n = 83)</w:t>
            </w:r>
          </w:p>
        </w:tc>
        <w:tc>
          <w:tcPr>
            <w:tcW w:w="951" w:type="pct"/>
            <w:vMerge w:val="restart"/>
            <w:tcBorders>
              <w:bottom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dnPD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 xml:space="preserve"> (n =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)</w:t>
            </w:r>
          </w:p>
        </w:tc>
        <w:tc>
          <w:tcPr>
            <w:tcW w:w="532" w:type="pct"/>
            <w:vMerge w:val="restart"/>
            <w:tcBorders>
              <w:bottom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Statistic</w:t>
            </w:r>
          </w:p>
        </w:tc>
        <w:tc>
          <w:tcPr>
            <w:tcW w:w="433" w:type="pct"/>
            <w:vMerge w:val="restart"/>
            <w:tcBorders>
              <w:bottom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eastAsia="宋体" w:cs="Times New Roman"/>
                <w:b w:val="0"/>
                <w:i/>
                <w:color w:val="auto"/>
                <w:sz w:val="18"/>
                <w:szCs w:val="18"/>
                <w:u w:val="none"/>
                <w:lang w:val="en-US" w:eastAsia="zh-CN"/>
              </w:rPr>
              <w:t>*</w:t>
            </w:r>
            <w:r>
              <w:rPr>
                <w:rFonts w:hint="default" w:ascii="Times New Roman" w:hAnsi="Times New Roman" w:eastAsia="Times New Roman" w:cs="Times New Roman"/>
                <w:b w:val="0"/>
                <w:i/>
                <w:color w:val="auto"/>
                <w:sz w:val="18"/>
                <w:szCs w:val="18"/>
                <w:u w:val="none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  <w:jc w:val="center"/>
        </w:trPr>
        <w:tc>
          <w:tcPr>
            <w:tcW w:w="1096" w:type="pct"/>
            <w:vMerge w:val="continue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81" w:type="pct"/>
            <w:vMerge w:val="continue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51" w:type="pct"/>
            <w:vMerge w:val="continue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32" w:type="pct"/>
            <w:vMerge w:val="continue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33" w:type="pct"/>
            <w:vMerge w:val="continue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96" w:type="pct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 xml:space="preserve">Male 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Sex, n(%)</w:t>
            </w:r>
          </w:p>
        </w:tc>
        <w:tc>
          <w:tcPr>
            <w:tcW w:w="1004" w:type="pct"/>
            <w:tcBorders>
              <w:top w:val="single" w:color="auto" w:sz="12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30 (58.82)</w:t>
            </w:r>
          </w:p>
        </w:tc>
        <w:tc>
          <w:tcPr>
            <w:tcW w:w="981" w:type="pct"/>
            <w:tcBorders>
              <w:top w:val="single" w:color="auto" w:sz="12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41 (49.40)</w:t>
            </w:r>
          </w:p>
        </w:tc>
        <w:tc>
          <w:tcPr>
            <w:tcW w:w="951" w:type="pct"/>
            <w:tcBorders>
              <w:top w:val="single" w:color="auto" w:sz="12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color w:val="auto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125 (61.8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)</w:t>
            </w:r>
          </w:p>
        </w:tc>
        <w:tc>
          <w:tcPr>
            <w:tcW w:w="532" w:type="pct"/>
            <w:tcBorders>
              <w:top w:val="single" w:color="auto" w:sz="12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color w:val="auto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χ²=3.78</w:t>
            </w:r>
          </w:p>
        </w:tc>
        <w:tc>
          <w:tcPr>
            <w:tcW w:w="433" w:type="pct"/>
            <w:tcBorders>
              <w:top w:val="single" w:color="auto" w:sz="12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0.1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69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Age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(y)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, Mean ± SD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61.98 ± 9.71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62.60 ± 7.23</w:t>
            </w:r>
          </w:p>
        </w:tc>
        <w:tc>
          <w:tcPr>
            <w:tcW w:w="95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62.12 ± 9.57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F=0.10</w:t>
            </w:r>
          </w:p>
        </w:tc>
        <w:tc>
          <w:tcPr>
            <w:tcW w:w="43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Education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(y)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, Mean ± SD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16.00±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26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17.00 ± 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6,25</w:t>
            </w:r>
          </w:p>
        </w:tc>
        <w:tc>
          <w:tcPr>
            <w:tcW w:w="95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69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±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5.87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F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=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0.16</w:t>
            </w:r>
          </w:p>
        </w:tc>
        <w:tc>
          <w:tcPr>
            <w:tcW w:w="43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0.262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UPSIT, M (Q₁, Q₃)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.50 (3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.00,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.00)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(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.00,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38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.00)</w:t>
            </w:r>
          </w:p>
        </w:tc>
        <w:tc>
          <w:tcPr>
            <w:tcW w:w="95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(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.00,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.00)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χ²=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#</w:t>
            </w:r>
          </w:p>
        </w:tc>
        <w:tc>
          <w:tcPr>
            <w:tcW w:w="43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&lt;.001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RBDSQ, M (Q₁, Q₃)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(1.00,3.00)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(2.00,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.00)</w:t>
            </w:r>
          </w:p>
        </w:tc>
        <w:tc>
          <w:tcPr>
            <w:tcW w:w="95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9.12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(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.00,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18.00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)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χ²=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#</w:t>
            </w:r>
          </w:p>
        </w:tc>
        <w:tc>
          <w:tcPr>
            <w:tcW w:w="43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&lt;.001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ESS, Mean ± SD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6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.21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± 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3.73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±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4.36</w:t>
            </w:r>
          </w:p>
        </w:tc>
        <w:tc>
          <w:tcPr>
            <w:tcW w:w="95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68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± 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3.97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F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=0.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45</w:t>
            </w:r>
          </w:p>
        </w:tc>
        <w:tc>
          <w:tcPr>
            <w:tcW w:w="43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0.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SCOPA AUT, M (Q₁, Q₃)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-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73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(4.00,1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)</w:t>
            </w:r>
          </w:p>
        </w:tc>
        <w:tc>
          <w:tcPr>
            <w:tcW w:w="95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(6.00,1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.00)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χ²=1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#</w:t>
            </w:r>
          </w:p>
        </w:tc>
        <w:tc>
          <w:tcPr>
            <w:tcW w:w="43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0.0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MoCA, Mean ± SD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28.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73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± 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3.18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2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82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± 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3.89</w:t>
            </w:r>
          </w:p>
        </w:tc>
        <w:tc>
          <w:tcPr>
            <w:tcW w:w="95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25.76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± 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3.71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F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=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0.81</w:t>
            </w:r>
          </w:p>
        </w:tc>
        <w:tc>
          <w:tcPr>
            <w:tcW w:w="43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0.0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65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STAI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M (Q₁, Q₃)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(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.00,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.00)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(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.00,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37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.00)</w:t>
            </w:r>
          </w:p>
        </w:tc>
        <w:tc>
          <w:tcPr>
            <w:tcW w:w="95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(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,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41.00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)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χ²=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12.62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#</w:t>
            </w:r>
          </w:p>
        </w:tc>
        <w:tc>
          <w:tcPr>
            <w:tcW w:w="43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0.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172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GDS , M (Q₁, Q₃)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2.27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(0,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.00)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82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(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.00,6.00)</w:t>
            </w:r>
          </w:p>
        </w:tc>
        <w:tc>
          <w:tcPr>
            <w:tcW w:w="95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4.36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 (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.00,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.00)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χ²=0.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#</w:t>
            </w:r>
          </w:p>
        </w:tc>
        <w:tc>
          <w:tcPr>
            <w:tcW w:w="43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0.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821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UPDRS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III, M (Q₁, Q₃)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-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10.00(3.00,14.00)</w:t>
            </w:r>
          </w:p>
        </w:tc>
        <w:tc>
          <w:tcPr>
            <w:tcW w:w="95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 (2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.00,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6.00)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χ²=18.46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#</w:t>
            </w:r>
          </w:p>
        </w:tc>
        <w:tc>
          <w:tcPr>
            <w:tcW w:w="43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&lt;.001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CSF</w:t>
            </w:r>
            <w:r>
              <w:rPr>
                <w:rFonts w:hint="eastAsia" w:eastAsia="宋体" w:cs="Times New Roman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α-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syn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pg/ml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)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, Mean ± SD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1522.00 ± 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296.34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1421.40± 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309.86</w:t>
            </w:r>
          </w:p>
        </w:tc>
        <w:tc>
          <w:tcPr>
            <w:tcW w:w="95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1373.90 ± 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341.25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F=0.95</w:t>
            </w:r>
          </w:p>
        </w:tc>
        <w:tc>
          <w:tcPr>
            <w:tcW w:w="43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0.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372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bookmarkStart w:id="0" w:name="OLE_LINK23" w:colFirst="1" w:colLast="2"/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CSF</w:t>
            </w:r>
            <w:r>
              <w:rPr>
                <w:rFonts w:hint="eastAsia" w:eastAsia="宋体" w:cs="Times New Roman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-Tau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pg/ml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)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, Mean ± SD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166.85 ±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27.98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177.30 ± 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29.51</w:t>
            </w:r>
          </w:p>
        </w:tc>
        <w:tc>
          <w:tcPr>
            <w:tcW w:w="95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151.80 ± 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24.81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F=0.72</w:t>
            </w:r>
          </w:p>
        </w:tc>
        <w:tc>
          <w:tcPr>
            <w:tcW w:w="43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0.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233</w:t>
            </w:r>
          </w:p>
        </w:tc>
      </w:tr>
      <w:bookmarkEnd w:id="0"/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CSF</w:t>
            </w:r>
            <w:r>
              <w:rPr>
                <w:rFonts w:hint="eastAsia" w:eastAsia="宋体" w:cs="Times New Roman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-Tau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pg/ml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)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, Mean ± SD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15.26 ± 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4.81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14.77 ±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4.28</w:t>
            </w:r>
          </w:p>
        </w:tc>
        <w:tc>
          <w:tcPr>
            <w:tcW w:w="95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 xml:space="preserve">13.17 ± 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3.96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F=0.37</w:t>
            </w:r>
          </w:p>
        </w:tc>
        <w:tc>
          <w:tcPr>
            <w:tcW w:w="43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0.</w:t>
            </w:r>
            <w:r>
              <w:rPr>
                <w:rFonts w:hint="eastAsia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265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GBA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, n(%)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-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26 (33.77)</w:t>
            </w:r>
          </w:p>
        </w:tc>
        <w:tc>
          <w:tcPr>
            <w:tcW w:w="95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18 (9.63)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χ²=35.55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#</w:t>
            </w:r>
          </w:p>
        </w:tc>
        <w:tc>
          <w:tcPr>
            <w:tcW w:w="43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&lt;.001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36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LRRK2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, n(%)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-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38 (49.35)</w:t>
            </w:r>
          </w:p>
        </w:tc>
        <w:tc>
          <w:tcPr>
            <w:tcW w:w="95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26 (13.90)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χ²=56.67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#</w:t>
            </w:r>
          </w:p>
        </w:tc>
        <w:tc>
          <w:tcPr>
            <w:tcW w:w="43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&lt;.001</w:t>
            </w:r>
          </w:p>
        </w:tc>
      </w:tr>
    </w:tbl>
    <w:p>
      <w:pPr>
        <w:spacing w:line="240" w:lineRule="auto"/>
        <w:ind w:firstLine="180" w:firstLineChars="100"/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</w:rPr>
      </w:pPr>
      <w:r>
        <w:rPr>
          <w:rFonts w:hint="default" w:ascii="Times New Roman" w:hAnsi="Times New Roman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 xml:space="preserve">Note: </w:t>
      </w:r>
      <w: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</w:rPr>
        <w:t xml:space="preserve"> F: ANOVA, </w:t>
      </w:r>
      <w:r>
        <w:rPr>
          <w:rFonts w:hint="default" w:ascii="Times New Roman" w:hAnsi="Times New Roman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>#</w:t>
      </w:r>
      <w: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</w:rPr>
        <w:t>: Kruskal-waills test, χ²: Chi-square test,  SD: standard deviation, M: Median, Q₁: 1st Quartile, Q₃: 3</w:t>
      </w:r>
      <w:r>
        <w:rPr>
          <w:rFonts w:hint="eastAsia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>rd</w:t>
      </w:r>
      <w: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</w:rPr>
        <w:t xml:space="preserve"> Quartile</w:t>
      </w:r>
      <w:r>
        <w:rPr>
          <w:rFonts w:hint="default" w:ascii="Times New Roman" w:hAnsi="Times New Roman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>.</w:t>
      </w:r>
      <w:r>
        <w:rPr>
          <w:rFonts w:hint="eastAsia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>*</w:t>
      </w:r>
      <w:r>
        <w:rPr>
          <w:rFonts w:hint="default" w:ascii="Times New Roman" w:hAnsi="Times New Roman" w:eastAsia="Times New Roman" w:cs="Times New Roman"/>
          <w:b w:val="0"/>
          <w:i/>
          <w:iCs/>
          <w:color w:val="auto"/>
          <w:sz w:val="18"/>
          <w:szCs w:val="18"/>
          <w:u w:val="none"/>
          <w:lang w:val="en-US" w:eastAsia="zh-CN"/>
        </w:rPr>
        <w:t>P</w:t>
      </w:r>
      <w: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 xml:space="preserve"> were adjusted for multiple comparisons using the Bonferroni correction.Statistically significant </w:t>
      </w:r>
      <w:r>
        <w:rPr>
          <w:rFonts w:hint="default" w:ascii="Times New Roman" w:hAnsi="Times New Roman" w:eastAsia="Times New Roman" w:cs="Times New Roman"/>
          <w:b w:val="0"/>
          <w:i/>
          <w:iCs/>
          <w:color w:val="auto"/>
          <w:sz w:val="18"/>
          <w:szCs w:val="18"/>
          <w:u w:val="none"/>
          <w:lang w:val="en-US" w:eastAsia="zh-CN"/>
        </w:rPr>
        <w:t>P</w:t>
      </w:r>
      <w: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 xml:space="preserve"> &lt; 0.05. </w:t>
      </w:r>
    </w:p>
    <w:p>
      <w:pPr>
        <w:spacing w:line="240" w:lineRule="auto"/>
        <w:ind w:firstLine="180" w:firstLineChars="100"/>
        <w:rPr>
          <w:rFonts w:hint="eastAsia" w:ascii="Times New Roman" w:hAnsi="Times New Roman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</w:pPr>
      <w: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>Abbreviations: HC, healthy control; pPD, prodromal Parkinson’s disease; dnPD, de novo Parkinson’s disease;UPSIT(University of Pennsylvania Smell Identification Test);RBDSQ, Rapid Eye Movement Sleep Behavior Disorder Questionnaire;ESS,Epworth sleepiness scale;</w:t>
      </w:r>
      <w: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</w:rPr>
        <w:t>SCOP</w:t>
      </w:r>
      <w: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 xml:space="preserve">A-AUT,autonomic symptoms in Parkinson's disease;MoCA, Montreal Cognitive Assessment; </w:t>
      </w:r>
      <w: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</w:rPr>
        <w:t>STAI</w:t>
      </w:r>
      <w: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 xml:space="preserve">, </w:t>
      </w:r>
      <w: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</w:rPr>
        <w:t>State-trait anxiety inve</w:t>
      </w:r>
      <w: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 xml:space="preserve">ntory;GDS,the Geriatric Depression Scale;UPDRS III, Unified Parkinson’s Disease Rating Scale, Part III; </w:t>
      </w:r>
      <w:r>
        <w:rPr>
          <w:rFonts w:ascii="Times New Roman" w:hAnsi="Times New Roman" w:eastAsia="Times New Roman" w:cs="Times New Roman"/>
          <w:color w:val="auto"/>
          <w:sz w:val="18"/>
          <w:szCs w:val="18"/>
        </w:rPr>
        <w:t>CSF: cerebrospinal fluid; α-syn: alpha-synuclein; p-tau: tau phosphorylated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ind w:left="720" w:leftChars="0" w:hanging="720" w:hangingChars="300"/>
        <w:jc w:val="both"/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br w:type="page"/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dvOT5bd620f6 . 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ecfccdcf_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  <w:docVar w:name="KY_MEDREF_DOCUID" w:val="{70202E59-C45F-49E7-A83F-1D0061DE88E1}"/>
    <w:docVar w:name="KY_MEDREF_VERSION" w:val="3"/>
  </w:docVars>
  <w:rsids>
    <w:rsidRoot w:val="00000000"/>
    <w:rsid w:val="0E1F4740"/>
    <w:rsid w:val="3D7C19AD"/>
    <w:rsid w:val="4AA227DE"/>
    <w:rsid w:val="53375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Segoe UI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2023-03-20T02:22:00Z</dcterms:created>
  <dc:creator>Amei</dc:creator>
  <cp:lastModifiedBy>amei</cp:lastModifiedBy>
  <dcterms:modified xsi:type="dcterms:W3CDTF">2025-04-05T03:44:15Z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6A6687B04384472B80EF1D4A6CF18A4F</vt:lpwstr>
  </property>
</Properties>
</file>