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b w:val="0"/>
          <w:i w:val="0"/>
          <w:color w:val="auto"/>
          <w:sz w:val="21"/>
          <w:szCs w:val="21"/>
          <w:u w:val="none"/>
        </w:rPr>
      </w:pPr>
      <w:r>
        <w:rPr>
          <w:rFonts w:hint="eastAsia" w:ascii="Times New Roman" w:hAnsi="Times New Roman" w:eastAsia="宋体" w:cs="Times New Roman"/>
          <w:b w:val="0"/>
          <w:i w:val="0"/>
          <w:color w:val="auto"/>
          <w:sz w:val="21"/>
          <w:szCs w:val="21"/>
          <w:u w:val="none"/>
          <w:lang w:val="en-US" w:eastAsia="zh-CN"/>
        </w:rPr>
        <w:t xml:space="preserve">Table </w:t>
      </w:r>
      <w:r>
        <w:rPr>
          <w:rFonts w:hint="eastAsia" w:eastAsia="宋体" w:cs="Times New Roman"/>
          <w:b w:val="0"/>
          <w:i w:val="0"/>
          <w:color w:val="auto"/>
          <w:sz w:val="21"/>
          <w:szCs w:val="21"/>
          <w:u w:val="none"/>
          <w:lang w:val="en-US" w:eastAsia="zh-CN"/>
        </w:rPr>
        <w:t xml:space="preserve">2 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21"/>
          <w:szCs w:val="21"/>
          <w:u w:val="none"/>
        </w:rPr>
        <w:t xml:space="preserve">Baseline variables </w:t>
      </w:r>
      <w:r>
        <w:rPr>
          <w:rFonts w:hint="eastAsia" w:ascii="Times New Roman" w:hAnsi="Times New Roman" w:eastAsia="宋体" w:cs="Times New Roman"/>
          <w:b w:val="0"/>
          <w:i w:val="0"/>
          <w:color w:val="auto"/>
          <w:sz w:val="21"/>
          <w:szCs w:val="21"/>
          <w:u w:val="none"/>
          <w:lang w:val="en-US" w:eastAsia="zh-CN"/>
        </w:rPr>
        <w:t>in pPD cohort of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21"/>
          <w:szCs w:val="21"/>
          <w:u w:val="none"/>
        </w:rPr>
        <w:t xml:space="preserve"> PD </w:t>
      </w:r>
      <w:r>
        <w:rPr>
          <w:rFonts w:hint="eastAsia" w:ascii="Times New Roman" w:hAnsi="Times New Roman" w:eastAsia="宋体" w:cs="Times New Roman"/>
          <w:b w:val="0"/>
          <w:i w:val="0"/>
          <w:color w:val="auto"/>
          <w:sz w:val="21"/>
          <w:szCs w:val="21"/>
          <w:u w:val="none"/>
          <w:lang w:val="en-US" w:eastAsia="zh-CN"/>
        </w:rPr>
        <w:t>convverters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21"/>
          <w:szCs w:val="21"/>
          <w:u w:val="none"/>
        </w:rPr>
        <w:t xml:space="preserve"> and nonconverters</w:t>
      </w:r>
    </w:p>
    <w:tbl>
      <w:tblPr>
        <w:tblStyle w:val="3"/>
        <w:tblpPr w:leftFromText="180" w:rightFromText="180" w:vertAnchor="text" w:horzAnchor="page" w:tblpX="1899" w:tblpY="496"/>
        <w:tblOverlap w:val="never"/>
        <w:tblW w:w="448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556"/>
        <w:gridCol w:w="1667"/>
        <w:gridCol w:w="1393"/>
        <w:gridCol w:w="13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1024" w:type="pct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Risk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markers</w:t>
            </w:r>
          </w:p>
        </w:tc>
        <w:tc>
          <w:tcPr>
            <w:tcW w:w="1045" w:type="pct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Total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= 83)</w:t>
            </w:r>
          </w:p>
        </w:tc>
        <w:tc>
          <w:tcPr>
            <w:tcW w:w="1119" w:type="pct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PD nonconverters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= 73)</w:t>
            </w:r>
          </w:p>
        </w:tc>
        <w:tc>
          <w:tcPr>
            <w:tcW w:w="935" w:type="pct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PD converters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 = 10)</w:t>
            </w:r>
          </w:p>
        </w:tc>
        <w:tc>
          <w:tcPr>
            <w:tcW w:w="875" w:type="pct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/>
                <w:iCs/>
                <w:color w:val="auto"/>
                <w:sz w:val="18"/>
                <w:szCs w:val="18"/>
                <w:u w:val="none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1024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19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5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75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Age, Mean ± SD</w:t>
            </w:r>
          </w:p>
        </w:tc>
        <w:tc>
          <w:tcPr>
            <w:tcW w:w="104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62.60 ± 7.23</w:t>
            </w:r>
          </w:p>
        </w:tc>
        <w:tc>
          <w:tcPr>
            <w:tcW w:w="111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62.86 ± 7.32</w:t>
            </w:r>
          </w:p>
        </w:tc>
        <w:tc>
          <w:tcPr>
            <w:tcW w:w="93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60.70 ± 6.52</w:t>
            </w:r>
          </w:p>
        </w:tc>
        <w:tc>
          <w:tcPr>
            <w:tcW w:w="87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0.378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Sex, 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male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(%)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41 (49.40)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34 (46.58)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7 (70.00)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RBD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35(42.17%)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30(41.10%)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5(50%)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Depression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15(18.07%)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13(17.81%)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2(20%)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Anxiety 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23(27.71%)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19(26.03%)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4(40%)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Cognitive deficit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16(19.28%)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14(19.18%)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2(20%)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dysolfactory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54(65.06%)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47(64.38%)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7(70%)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Constipation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17(20.48%)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15(20.55%)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2(20%)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0.734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 xml:space="preserve">GBA 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26 (33.77)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24 (34.78)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2 (25.00)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0.874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2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LRRK2</w:t>
            </w:r>
          </w:p>
        </w:tc>
        <w:tc>
          <w:tcPr>
            <w:tcW w:w="104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39 (50.65)</w:t>
            </w:r>
          </w:p>
        </w:tc>
        <w:tc>
          <w:tcPr>
            <w:tcW w:w="111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34 (49.28)</w:t>
            </w:r>
          </w:p>
        </w:tc>
        <w:tc>
          <w:tcPr>
            <w:tcW w:w="93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  <w:lang w:val="en-US" w:eastAsia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5 (62.50)</w:t>
            </w:r>
          </w:p>
        </w:tc>
        <w:tc>
          <w:tcPr>
            <w:tcW w:w="87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18"/>
                <w:szCs w:val="18"/>
                <w:u w:val="none"/>
              </w:rPr>
              <w:t>0.738</w:t>
            </w:r>
          </w:p>
        </w:tc>
      </w:tr>
    </w:tbl>
    <w:p>
      <w:pP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</w:pPr>
    </w:p>
    <w:p>
      <w:pP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Pearson Chi-square was used to compare the difference in baseline variables between cases with a PD converter at follow-up (N= 10) or without a new PD converter (N=73)</w:t>
      </w:r>
      <w:r>
        <w:rPr>
          <w:rFonts w:hint="eastAsia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.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 xml:space="preserve">For categorical variables, the reported statistic is </w:t>
      </w:r>
      <w:r>
        <w:rPr>
          <w:rFonts w:hint="eastAsia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N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(percentage), for numeric variables it is m</w:t>
      </w:r>
      <w:r>
        <w:rPr>
          <w:rFonts w:hint="eastAsia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ea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n (</w:t>
      </w:r>
      <w:r>
        <w:rPr>
          <w:rFonts w:hint="eastAsia" w:ascii="Times New Roman" w:hAnsi="Times New Roman" w:eastAsia="宋体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s</w:t>
      </w:r>
      <w:r>
        <w:rPr>
          <w:rFonts w:hint="eastAsia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>tandard deviation</w:t>
      </w:r>
      <w:r>
        <w:rPr>
          <w:rFonts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</w:rPr>
        <w:t xml:space="preserve">). Categorical variables were compared using Fisher’s exact test unless otherwise noted. Numeric variables were compared using the Mann-Whitney U test. </w:t>
      </w:r>
      <w: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  <w:t>Statistically significant P &lt; 0.05.</w:t>
      </w:r>
    </w:p>
    <w:p>
      <w:pPr>
        <w:rPr>
          <w:rFonts w:hint="default" w:ascii="Times New Roman" w:hAnsi="Times New Roman" w:eastAsia="Times New Roman" w:cs="Times New Roman"/>
          <w:b w:val="0"/>
          <w:i w:val="0"/>
          <w:color w:val="auto"/>
          <w:sz w:val="18"/>
          <w:szCs w:val="18"/>
          <w:u w:val="none"/>
          <w:lang w:val="en-US" w:eastAsia="zh-CN"/>
        </w:rPr>
      </w:pPr>
    </w:p>
    <w:p>
      <w:pPr>
        <w:rPr>
          <w:lang w:val="en-US" w:eastAsia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Y2UxYzRmZWM2NGUwZjIzZGE5ZmYxZGExZGYyODQifQ=="/>
    <w:docVar w:name="KY_MEDREF_DOCUID" w:val="{DD1AF0F5-61B3-4D31-B5D8-C54E3CFD6C77}"/>
    <w:docVar w:name="KY_MEDREF_VERSION" w:val="3"/>
  </w:docVars>
  <w:rsids>
    <w:rsidRoot w:val="00000000"/>
    <w:rsid w:val="053E0EA6"/>
    <w:rsid w:val="0E1F4740"/>
    <w:rsid w:val="1ECF76A9"/>
    <w:rsid w:val="2F9F157F"/>
    <w:rsid w:val="6A30773E"/>
    <w:rsid w:val="6A33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character" w:styleId="5">
    <w:name w:val="page number"/>
    <w:basedOn w:val="4"/>
    <w:semiHidden/>
    <w:unhideWhenUsed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2023-03-20T02:22:00Z</dcterms:created>
  <dc:creator>Amei</dc:creator>
  <cp:lastModifiedBy>amei</cp:lastModifiedBy>
  <dcterms:modified xsi:type="dcterms:W3CDTF">2025-04-05T03:45:29Z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6A6687B04384472B80EF1D4A6CF18A4F</vt:lpwstr>
  </property>
</Properties>
</file>