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26E60B" w14:textId="77777777" w:rsidR="00CF1A01" w:rsidRDefault="00CF1A01" w:rsidP="00CF1A01">
      <w:pPr>
        <w:spacing w:line="240" w:lineRule="auto"/>
        <w:rPr>
          <w:b/>
          <w:bCs/>
          <w:sz w:val="28"/>
          <w:szCs w:val="28"/>
        </w:rPr>
      </w:pPr>
      <w:bookmarkStart w:id="0" w:name="_Hlk151985407"/>
      <w:r w:rsidRPr="007C35F2">
        <w:rPr>
          <w:b/>
          <w:bCs/>
          <w:sz w:val="28"/>
          <w:szCs w:val="28"/>
        </w:rPr>
        <w:t xml:space="preserve">Mass spectrometry-based thermostability profiling of virus-derived MHC peptide complexes </w:t>
      </w:r>
      <w:proofErr w:type="gramStart"/>
      <w:r w:rsidRPr="007C35F2">
        <w:rPr>
          <w:b/>
          <w:bCs/>
          <w:sz w:val="28"/>
          <w:szCs w:val="28"/>
        </w:rPr>
        <w:t>serves</w:t>
      </w:r>
      <w:proofErr w:type="gramEnd"/>
      <w:r w:rsidRPr="007C35F2">
        <w:rPr>
          <w:b/>
          <w:bCs/>
          <w:sz w:val="28"/>
          <w:szCs w:val="28"/>
        </w:rPr>
        <w:t xml:space="preserve"> as an effective predictor of immunogenicity</w:t>
      </w:r>
    </w:p>
    <w:p w14:paraId="2953F509" w14:textId="77777777" w:rsidR="00CF1A01" w:rsidRDefault="00CF1A01" w:rsidP="00CF1A01">
      <w:pPr>
        <w:spacing w:line="240" w:lineRule="auto"/>
      </w:pPr>
    </w:p>
    <w:p w14:paraId="14EC273A" w14:textId="77777777" w:rsidR="00CF1A01" w:rsidRPr="001805F7" w:rsidRDefault="00CF1A01" w:rsidP="00CF1A01">
      <w:pPr>
        <w:spacing w:line="240" w:lineRule="auto"/>
      </w:pPr>
      <w:r w:rsidRPr="001805F7">
        <w:t>Mohammad Shahbazy</w:t>
      </w:r>
      <w:r>
        <w:t xml:space="preserve"> </w:t>
      </w:r>
      <w:r w:rsidRPr="001F1562">
        <w:rPr>
          <w:vertAlign w:val="superscript"/>
        </w:rPr>
        <w:t>1,2</w:t>
      </w:r>
      <w:r>
        <w:rPr>
          <w:vertAlign w:val="superscript"/>
        </w:rPr>
        <w:t>,3</w:t>
      </w:r>
      <w:r w:rsidRPr="001805F7">
        <w:t>, Sri H. Ramarathinam</w:t>
      </w:r>
      <w:r>
        <w:t xml:space="preserve"> </w:t>
      </w:r>
      <w:r w:rsidRPr="001F1562">
        <w:rPr>
          <w:vertAlign w:val="superscript"/>
        </w:rPr>
        <w:t>1,2</w:t>
      </w:r>
      <w:r>
        <w:t xml:space="preserve">, </w:t>
      </w:r>
      <w:r w:rsidRPr="0022175F">
        <w:t>David C</w:t>
      </w:r>
      <w:r>
        <w:t>.</w:t>
      </w:r>
      <w:r w:rsidRPr="0022175F">
        <w:t xml:space="preserve"> </w:t>
      </w:r>
      <w:proofErr w:type="spellStart"/>
      <w:r w:rsidRPr="0022175F">
        <w:t>Tscharke</w:t>
      </w:r>
      <w:proofErr w:type="spellEnd"/>
      <w:r>
        <w:t xml:space="preserve"> </w:t>
      </w:r>
      <w:r>
        <w:rPr>
          <w:vertAlign w:val="superscript"/>
        </w:rPr>
        <w:t>4</w:t>
      </w:r>
      <w:r w:rsidRPr="00E65CEB">
        <w:t>,</w:t>
      </w:r>
      <w:r>
        <w:t xml:space="preserve"> </w:t>
      </w:r>
      <w:r w:rsidRPr="009E05A8">
        <w:t xml:space="preserve">Chen Li </w:t>
      </w:r>
      <w:r w:rsidRPr="009E05A8">
        <w:rPr>
          <w:vertAlign w:val="superscript"/>
        </w:rPr>
        <w:t>1,2</w:t>
      </w:r>
      <w:r w:rsidRPr="009E05A8">
        <w:t xml:space="preserve">, </w:t>
      </w:r>
      <w:r w:rsidRPr="00A76A60">
        <w:t xml:space="preserve">Pouya </w:t>
      </w:r>
      <w:r w:rsidRPr="001805F7">
        <w:t>Faridi</w:t>
      </w:r>
      <w:r>
        <w:t xml:space="preserve"> </w:t>
      </w:r>
      <w:r>
        <w:rPr>
          <w:vertAlign w:val="superscript"/>
        </w:rPr>
        <w:t>5,6</w:t>
      </w:r>
      <w:r w:rsidRPr="001805F7">
        <w:t>, Nathan P. Croft</w:t>
      </w:r>
      <w:r>
        <w:t xml:space="preserve"> </w:t>
      </w:r>
      <w:r w:rsidRPr="001F1562">
        <w:rPr>
          <w:vertAlign w:val="superscript"/>
        </w:rPr>
        <w:t>1,</w:t>
      </w:r>
      <w:proofErr w:type="gramStart"/>
      <w:r w:rsidRPr="001F1562">
        <w:rPr>
          <w:vertAlign w:val="superscript"/>
        </w:rPr>
        <w:t>2</w:t>
      </w:r>
      <w:r>
        <w:rPr>
          <w:vertAlign w:val="superscript"/>
        </w:rPr>
        <w:t>,</w:t>
      </w:r>
      <w:r w:rsidRPr="001805F7">
        <w:t>*</w:t>
      </w:r>
      <w:proofErr w:type="gramEnd"/>
      <w:r w:rsidRPr="001805F7">
        <w:t>, Anthony W. Purcell</w:t>
      </w:r>
      <w:r>
        <w:t xml:space="preserve"> </w:t>
      </w:r>
      <w:r w:rsidRPr="001F1562">
        <w:rPr>
          <w:vertAlign w:val="superscript"/>
        </w:rPr>
        <w:t>1,2</w:t>
      </w:r>
      <w:r>
        <w:rPr>
          <w:vertAlign w:val="superscript"/>
        </w:rPr>
        <w:t>,</w:t>
      </w:r>
      <w:r w:rsidRPr="001805F7">
        <w:t>*</w:t>
      </w:r>
    </w:p>
    <w:p w14:paraId="42A99517" w14:textId="77777777" w:rsidR="00CF1A01" w:rsidRPr="00F42113" w:rsidRDefault="00CF1A01" w:rsidP="00CF1A01">
      <w:pPr>
        <w:spacing w:before="0" w:after="0" w:line="240" w:lineRule="auto"/>
        <w:rPr>
          <w:i/>
          <w:iCs/>
          <w:sz w:val="20"/>
          <w:szCs w:val="20"/>
        </w:rPr>
      </w:pPr>
      <w:r w:rsidRPr="0063326D">
        <w:rPr>
          <w:i/>
          <w:iCs/>
          <w:sz w:val="20"/>
          <w:szCs w:val="20"/>
          <w:vertAlign w:val="superscript"/>
        </w:rPr>
        <w:t>1</w:t>
      </w:r>
      <w:r w:rsidRPr="00F42113">
        <w:rPr>
          <w:sz w:val="20"/>
          <w:szCs w:val="20"/>
          <w:vertAlign w:val="superscript"/>
        </w:rPr>
        <w:t xml:space="preserve"> </w:t>
      </w:r>
      <w:r w:rsidRPr="00F42113">
        <w:rPr>
          <w:i/>
          <w:iCs/>
          <w:sz w:val="20"/>
          <w:szCs w:val="20"/>
        </w:rPr>
        <w:t>Infection and Immunity Program, Biomedicine Discovery Institute, Monash University, Melbourne, VIC 3800, Australia</w:t>
      </w:r>
    </w:p>
    <w:p w14:paraId="7EC975F5" w14:textId="77777777" w:rsidR="00CF1A01" w:rsidRDefault="00CF1A01" w:rsidP="00CF1A01">
      <w:pPr>
        <w:spacing w:before="0" w:after="0" w:line="240" w:lineRule="auto"/>
        <w:rPr>
          <w:i/>
          <w:iCs/>
          <w:sz w:val="20"/>
          <w:szCs w:val="20"/>
        </w:rPr>
      </w:pPr>
      <w:r w:rsidRPr="0063326D">
        <w:rPr>
          <w:i/>
          <w:iCs/>
          <w:sz w:val="20"/>
          <w:szCs w:val="20"/>
          <w:vertAlign w:val="superscript"/>
        </w:rPr>
        <w:t>2</w:t>
      </w:r>
      <w:r>
        <w:rPr>
          <w:i/>
          <w:iCs/>
          <w:sz w:val="20"/>
          <w:szCs w:val="20"/>
          <w:vertAlign w:val="superscript"/>
        </w:rPr>
        <w:t xml:space="preserve"> </w:t>
      </w:r>
      <w:r w:rsidRPr="00F42113">
        <w:rPr>
          <w:i/>
          <w:iCs/>
          <w:sz w:val="20"/>
          <w:szCs w:val="20"/>
        </w:rPr>
        <w:t>Department of Biochemistry and Molecular Biology, School of Biomedical Sciences, Monash University, Melbourne, VIC 3800, Australia</w:t>
      </w:r>
    </w:p>
    <w:p w14:paraId="11BF39B5" w14:textId="77777777" w:rsidR="00CF1A01" w:rsidRPr="0063326D" w:rsidRDefault="00CF1A01" w:rsidP="00CF1A01">
      <w:pPr>
        <w:spacing w:before="0" w:after="0" w:line="240" w:lineRule="auto"/>
        <w:jc w:val="left"/>
        <w:rPr>
          <w:sz w:val="20"/>
          <w:szCs w:val="20"/>
        </w:rPr>
      </w:pPr>
      <w:r w:rsidRPr="0063326D">
        <w:rPr>
          <w:i/>
          <w:iCs/>
          <w:sz w:val="20"/>
          <w:szCs w:val="20"/>
          <w:vertAlign w:val="superscript"/>
        </w:rPr>
        <w:t>3</w:t>
      </w:r>
      <w:r w:rsidRPr="0063326D">
        <w:rPr>
          <w:i/>
          <w:iCs/>
          <w:sz w:val="20"/>
          <w:szCs w:val="20"/>
        </w:rPr>
        <w:t xml:space="preserve"> </w:t>
      </w:r>
      <w:r w:rsidRPr="0063326D">
        <w:rPr>
          <w:rFonts w:cstheme="minorHAnsi"/>
          <w:i/>
          <w:iCs/>
          <w:sz w:val="20"/>
          <w:szCs w:val="20"/>
        </w:rPr>
        <w:t xml:space="preserve">Department of Immunobiology, Yale School of Medicine, </w:t>
      </w:r>
      <w:r>
        <w:rPr>
          <w:rFonts w:cstheme="minorHAnsi"/>
          <w:i/>
          <w:iCs/>
          <w:sz w:val="20"/>
          <w:szCs w:val="20"/>
        </w:rPr>
        <w:t xml:space="preserve">Yale University, </w:t>
      </w:r>
      <w:r w:rsidRPr="0063326D">
        <w:rPr>
          <w:rFonts w:cstheme="minorHAnsi"/>
          <w:i/>
          <w:iCs/>
          <w:sz w:val="20"/>
          <w:szCs w:val="20"/>
        </w:rPr>
        <w:t>New Haven, CT, United States</w:t>
      </w:r>
    </w:p>
    <w:p w14:paraId="70159869" w14:textId="77777777" w:rsidR="00CF1A01" w:rsidRPr="00F42113" w:rsidRDefault="00CF1A01" w:rsidP="00CF1A01">
      <w:pPr>
        <w:spacing w:before="0" w:after="0" w:line="240" w:lineRule="auto"/>
        <w:rPr>
          <w:i/>
          <w:iCs/>
          <w:sz w:val="20"/>
          <w:szCs w:val="20"/>
        </w:rPr>
      </w:pPr>
      <w:r>
        <w:rPr>
          <w:sz w:val="20"/>
          <w:szCs w:val="20"/>
          <w:vertAlign w:val="superscript"/>
        </w:rPr>
        <w:t>4</w:t>
      </w:r>
      <w:r w:rsidRPr="00F42113">
        <w:rPr>
          <w:i/>
          <w:iCs/>
          <w:sz w:val="20"/>
          <w:szCs w:val="20"/>
          <w:vertAlign w:val="superscript"/>
        </w:rPr>
        <w:t xml:space="preserve"> </w:t>
      </w:r>
      <w:r w:rsidRPr="00F42113">
        <w:rPr>
          <w:i/>
          <w:iCs/>
          <w:sz w:val="20"/>
          <w:szCs w:val="20"/>
        </w:rPr>
        <w:t>John Curtin School of Medical Research, Australian National University, Canberra, ACT, Australia</w:t>
      </w:r>
    </w:p>
    <w:p w14:paraId="0784F52D" w14:textId="77777777" w:rsidR="00CF1A01" w:rsidRPr="00F42113" w:rsidRDefault="00CF1A01" w:rsidP="00CF1A01">
      <w:pPr>
        <w:spacing w:before="0" w:after="0" w:line="240" w:lineRule="auto"/>
        <w:rPr>
          <w:i/>
          <w:iCs/>
          <w:sz w:val="20"/>
          <w:szCs w:val="20"/>
        </w:rPr>
      </w:pPr>
      <w:r>
        <w:rPr>
          <w:i/>
          <w:iCs/>
          <w:sz w:val="20"/>
          <w:szCs w:val="20"/>
          <w:vertAlign w:val="superscript"/>
        </w:rPr>
        <w:t>5</w:t>
      </w:r>
      <w:r w:rsidRPr="00F42113">
        <w:rPr>
          <w:i/>
          <w:iCs/>
          <w:sz w:val="20"/>
          <w:szCs w:val="20"/>
          <w:vertAlign w:val="superscript"/>
        </w:rPr>
        <w:t xml:space="preserve"> </w:t>
      </w:r>
      <w:r w:rsidRPr="00F42113">
        <w:rPr>
          <w:i/>
          <w:iCs/>
          <w:sz w:val="20"/>
          <w:szCs w:val="20"/>
        </w:rPr>
        <w:t>Centre for Cancer Research, Hudson Institute of Medical Research, Clayton, VIC 3168, Australia</w:t>
      </w:r>
    </w:p>
    <w:p w14:paraId="12BE6ABC" w14:textId="77777777" w:rsidR="00CF1A01" w:rsidRPr="00F42113" w:rsidRDefault="00CF1A01" w:rsidP="00CF1A01">
      <w:pPr>
        <w:spacing w:before="0" w:after="0" w:line="240" w:lineRule="auto"/>
        <w:rPr>
          <w:i/>
          <w:iCs/>
          <w:sz w:val="20"/>
          <w:szCs w:val="20"/>
        </w:rPr>
      </w:pPr>
      <w:r>
        <w:rPr>
          <w:i/>
          <w:iCs/>
          <w:sz w:val="20"/>
          <w:szCs w:val="20"/>
          <w:vertAlign w:val="superscript"/>
        </w:rPr>
        <w:t>6</w:t>
      </w:r>
      <w:r w:rsidRPr="00F42113">
        <w:rPr>
          <w:i/>
          <w:iCs/>
          <w:sz w:val="20"/>
          <w:szCs w:val="20"/>
        </w:rPr>
        <w:t xml:space="preserve"> Monash Proteomics and Metabolomics Platform, Department of Medicine, School of Clinical Sciences, Monash University, Clayton, VIC 3800, Australia</w:t>
      </w:r>
    </w:p>
    <w:p w14:paraId="2E11684B" w14:textId="77777777" w:rsidR="00CF1A01" w:rsidRDefault="00CF1A01" w:rsidP="00CF1A01">
      <w:pPr>
        <w:spacing w:before="0" w:after="0" w:line="240" w:lineRule="auto"/>
        <w:rPr>
          <w:i/>
          <w:iCs/>
        </w:rPr>
      </w:pPr>
    </w:p>
    <w:p w14:paraId="6CDACF59" w14:textId="77777777" w:rsidR="00CF1A01" w:rsidRDefault="00CF1A01" w:rsidP="00CF1A01">
      <w:pPr>
        <w:spacing w:before="0" w:after="0" w:line="240" w:lineRule="auto"/>
        <w:rPr>
          <w:i/>
          <w:iCs/>
        </w:rPr>
      </w:pPr>
    </w:p>
    <w:p w14:paraId="21517BD3" w14:textId="77777777" w:rsidR="00CF1A01" w:rsidRPr="00042EF8" w:rsidRDefault="00CF1A01" w:rsidP="00CF1A01">
      <w:pPr>
        <w:spacing w:line="240" w:lineRule="auto"/>
        <w:jc w:val="left"/>
        <w:rPr>
          <w:strike/>
        </w:rPr>
      </w:pPr>
      <w:r>
        <w:t xml:space="preserve">* Corresponding authors. </w:t>
      </w:r>
      <w:r w:rsidRPr="00A205D9">
        <w:t>Email addresses:</w:t>
      </w:r>
      <w:r>
        <w:t xml:space="preserve"> </w:t>
      </w:r>
      <w:hyperlink r:id="rId7" w:history="1">
        <w:r w:rsidRPr="00B81116">
          <w:rPr>
            <w:rStyle w:val="Hyperlink"/>
          </w:rPr>
          <w:t>anthony.purcell@monash.edu</w:t>
        </w:r>
      </w:hyperlink>
      <w:r>
        <w:t xml:space="preserve"> </w:t>
      </w:r>
      <w:r w:rsidRPr="00A205D9">
        <w:t>(A</w:t>
      </w:r>
      <w:r>
        <w:t>.</w:t>
      </w:r>
      <w:r w:rsidRPr="00A205D9">
        <w:t>W</w:t>
      </w:r>
      <w:r>
        <w:t>.</w:t>
      </w:r>
      <w:r w:rsidRPr="00A205D9">
        <w:t>P</w:t>
      </w:r>
      <w:r>
        <w:t>.</w:t>
      </w:r>
      <w:r w:rsidRPr="00A205D9">
        <w:t>)</w:t>
      </w:r>
      <w:r>
        <w:t xml:space="preserve">; </w:t>
      </w:r>
      <w:hyperlink r:id="rId8" w:history="1">
        <w:r w:rsidRPr="00614D5A">
          <w:rPr>
            <w:rStyle w:val="Hyperlink"/>
          </w:rPr>
          <w:t>nathan.croft@monash.edu</w:t>
        </w:r>
      </w:hyperlink>
      <w:r>
        <w:t xml:space="preserve"> </w:t>
      </w:r>
      <w:r w:rsidRPr="00A205D9">
        <w:t>(N</w:t>
      </w:r>
      <w:r>
        <w:t>.</w:t>
      </w:r>
      <w:r w:rsidRPr="00A205D9">
        <w:t>P</w:t>
      </w:r>
      <w:r>
        <w:t>.</w:t>
      </w:r>
      <w:r w:rsidRPr="00A205D9">
        <w:t>C</w:t>
      </w:r>
      <w:r>
        <w:t>.</w:t>
      </w:r>
      <w:r w:rsidRPr="00A205D9">
        <w:t>)</w:t>
      </w:r>
      <w:r>
        <w:t>.</w:t>
      </w:r>
    </w:p>
    <w:bookmarkEnd w:id="0"/>
    <w:p w14:paraId="672D4162" w14:textId="77777777" w:rsidR="00DA7C38" w:rsidRDefault="00DA7C38" w:rsidP="00710BA1">
      <w:pPr>
        <w:pStyle w:val="Default"/>
        <w:rPr>
          <w:b/>
          <w:bCs/>
          <w:sz w:val="28"/>
          <w:szCs w:val="28"/>
        </w:rPr>
      </w:pPr>
    </w:p>
    <w:p w14:paraId="2B8EE59E" w14:textId="4E322EC2" w:rsidR="00710BA1" w:rsidRDefault="00710BA1" w:rsidP="00710BA1">
      <w:pPr>
        <w:pStyle w:val="Default"/>
        <w:rPr>
          <w:b/>
          <w:bCs/>
          <w:sz w:val="28"/>
          <w:szCs w:val="28"/>
        </w:rPr>
      </w:pPr>
      <w:r>
        <w:rPr>
          <w:b/>
          <w:bCs/>
          <w:sz w:val="28"/>
          <w:szCs w:val="28"/>
        </w:rPr>
        <w:t xml:space="preserve">Supplemental Data </w:t>
      </w:r>
    </w:p>
    <w:p w14:paraId="240B98D8" w14:textId="77777777" w:rsidR="00477F54" w:rsidRDefault="00477F54" w:rsidP="00477F54">
      <w:pPr>
        <w:rPr>
          <w:lang w:eastAsia="en-AU"/>
        </w:rPr>
      </w:pPr>
      <w:r w:rsidRPr="00D10E11">
        <w:rPr>
          <w:lang w:eastAsia="en-AU"/>
        </w:rPr>
        <w:t>Please find the supplementary materials</w:t>
      </w:r>
      <w:r>
        <w:rPr>
          <w:lang w:eastAsia="en-AU"/>
        </w:rPr>
        <w:t>,</w:t>
      </w:r>
      <w:r w:rsidRPr="00D10E11">
        <w:rPr>
          <w:lang w:eastAsia="en-AU"/>
        </w:rPr>
        <w:t xml:space="preserve"> including table sheets (calculated T</w:t>
      </w:r>
      <w:r w:rsidRPr="002D2102">
        <w:rPr>
          <w:vertAlign w:val="subscript"/>
          <w:lang w:eastAsia="en-AU"/>
        </w:rPr>
        <w:t>m</w:t>
      </w:r>
      <w:r w:rsidRPr="00D10E11">
        <w:rPr>
          <w:lang w:eastAsia="en-AU"/>
        </w:rPr>
        <w:t xml:space="preserve"> values, predicted binding affinities, etc.) and thermostability (denaturation profiles) for the VACV peptides. </w:t>
      </w:r>
    </w:p>
    <w:p w14:paraId="7350ED94" w14:textId="77777777" w:rsidR="00710BA1" w:rsidRPr="00D10E11" w:rsidRDefault="00710BA1" w:rsidP="00710BA1">
      <w:pPr>
        <w:pStyle w:val="Heading2"/>
        <w:rPr>
          <w:b w:val="0"/>
          <w:bCs/>
          <w:i/>
          <w:iCs/>
          <w:sz w:val="28"/>
          <w:szCs w:val="28"/>
          <w:lang w:eastAsia="en-AU"/>
        </w:rPr>
      </w:pPr>
      <w:r w:rsidRPr="00D10E11">
        <w:rPr>
          <w:b w:val="0"/>
          <w:bCs/>
          <w:i/>
          <w:iCs/>
          <w:sz w:val="28"/>
          <w:szCs w:val="28"/>
          <w:lang w:eastAsia="en-AU"/>
        </w:rPr>
        <w:t>Supplementary Material</w:t>
      </w:r>
    </w:p>
    <w:p w14:paraId="6C7B16B4" w14:textId="461935BC" w:rsidR="00FD4748" w:rsidRPr="00FD4748" w:rsidRDefault="00FD4748" w:rsidP="00FD4748">
      <w:pPr>
        <w:pStyle w:val="Default"/>
        <w:numPr>
          <w:ilvl w:val="0"/>
          <w:numId w:val="3"/>
        </w:numPr>
        <w:jc w:val="both"/>
        <w:rPr>
          <w:sz w:val="22"/>
          <w:szCs w:val="22"/>
        </w:rPr>
      </w:pPr>
      <w:r>
        <w:rPr>
          <w:rFonts w:ascii="Times New Roman" w:hAnsi="Times New Roman" w:cs="Times New Roman"/>
          <w:sz w:val="22"/>
          <w:szCs w:val="22"/>
        </w:rPr>
        <w:t>S</w:t>
      </w:r>
      <w:r w:rsidR="0075780B">
        <w:rPr>
          <w:rFonts w:ascii="Times New Roman" w:hAnsi="Times New Roman" w:cs="Times New Roman"/>
          <w:sz w:val="22"/>
          <w:szCs w:val="22"/>
        </w:rPr>
        <w:t>1</w:t>
      </w:r>
      <w:r>
        <w:rPr>
          <w:rFonts w:ascii="Times New Roman" w:hAnsi="Times New Roman" w:cs="Times New Roman"/>
          <w:sz w:val="22"/>
          <w:szCs w:val="22"/>
        </w:rPr>
        <w:t xml:space="preserve">: DDA database search results (from </w:t>
      </w:r>
      <w:proofErr w:type="spellStart"/>
      <w:r>
        <w:rPr>
          <w:rFonts w:ascii="Times New Roman" w:hAnsi="Times New Roman" w:cs="Times New Roman"/>
          <w:sz w:val="22"/>
          <w:szCs w:val="22"/>
        </w:rPr>
        <w:t>MSFragger</w:t>
      </w:r>
      <w:proofErr w:type="spellEnd"/>
      <w:r>
        <w:rPr>
          <w:rFonts w:ascii="Times New Roman" w:hAnsi="Times New Roman" w:cs="Times New Roman"/>
          <w:sz w:val="22"/>
          <w:szCs w:val="22"/>
        </w:rPr>
        <w:t xml:space="preserve"> search engine) from DC2.4 cells and VACV synthetic peptides: </w:t>
      </w:r>
    </w:p>
    <w:p w14:paraId="3A1A2124" w14:textId="410538AC" w:rsidR="00FD4748" w:rsidRPr="00FD4748" w:rsidRDefault="00FD4748" w:rsidP="00FD4748">
      <w:pPr>
        <w:pStyle w:val="Default"/>
        <w:ind w:left="720"/>
        <w:jc w:val="both"/>
        <w:rPr>
          <w:rFonts w:asciiTheme="majorBidi" w:hAnsiTheme="majorBidi" w:cstheme="majorBidi"/>
          <w:sz w:val="22"/>
          <w:szCs w:val="22"/>
        </w:rPr>
      </w:pPr>
      <w:r w:rsidRPr="00FD4748">
        <w:rPr>
          <w:rFonts w:asciiTheme="majorBidi" w:hAnsiTheme="majorBidi" w:cstheme="majorBidi"/>
          <w:sz w:val="22"/>
          <w:szCs w:val="22"/>
        </w:rPr>
        <w:t>S</w:t>
      </w:r>
      <w:r w:rsidR="0075780B">
        <w:rPr>
          <w:rFonts w:asciiTheme="majorBidi" w:hAnsiTheme="majorBidi" w:cstheme="majorBidi"/>
          <w:sz w:val="22"/>
          <w:szCs w:val="22"/>
        </w:rPr>
        <w:t>1</w:t>
      </w:r>
      <w:r w:rsidRPr="00FD4748">
        <w:rPr>
          <w:rFonts w:asciiTheme="majorBidi" w:hAnsiTheme="majorBidi" w:cstheme="majorBidi"/>
          <w:sz w:val="22"/>
          <w:szCs w:val="22"/>
        </w:rPr>
        <w:t>_DBsearch_MSFragger_MSBooster_DC24_VACV.xlsx</w:t>
      </w:r>
    </w:p>
    <w:p w14:paraId="6F2EABA0" w14:textId="77777777" w:rsidR="00FD4748" w:rsidRPr="00FD4748" w:rsidRDefault="00FD4748" w:rsidP="00FD4748">
      <w:pPr>
        <w:pStyle w:val="Default"/>
        <w:ind w:left="720"/>
        <w:jc w:val="both"/>
        <w:rPr>
          <w:sz w:val="22"/>
          <w:szCs w:val="22"/>
        </w:rPr>
      </w:pPr>
    </w:p>
    <w:p w14:paraId="49EB83B5" w14:textId="61C88B8A" w:rsidR="003131AB" w:rsidRPr="003131AB" w:rsidRDefault="000852C9" w:rsidP="003131AB">
      <w:pPr>
        <w:pStyle w:val="Default"/>
        <w:numPr>
          <w:ilvl w:val="0"/>
          <w:numId w:val="3"/>
        </w:numPr>
        <w:jc w:val="both"/>
        <w:rPr>
          <w:sz w:val="22"/>
          <w:szCs w:val="22"/>
        </w:rPr>
      </w:pPr>
      <w:r>
        <w:rPr>
          <w:rFonts w:ascii="Times New Roman" w:hAnsi="Times New Roman" w:cs="Times New Roman"/>
          <w:sz w:val="22"/>
          <w:szCs w:val="22"/>
        </w:rPr>
        <w:t>S</w:t>
      </w:r>
      <w:r w:rsidR="0075780B">
        <w:rPr>
          <w:rFonts w:ascii="Times New Roman" w:hAnsi="Times New Roman" w:cs="Times New Roman"/>
          <w:sz w:val="22"/>
          <w:szCs w:val="22"/>
        </w:rPr>
        <w:t>2</w:t>
      </w:r>
      <w:r>
        <w:rPr>
          <w:rFonts w:ascii="Times New Roman" w:hAnsi="Times New Roman" w:cs="Times New Roman"/>
          <w:sz w:val="22"/>
          <w:szCs w:val="22"/>
        </w:rPr>
        <w:t>: Spectral library generated from DC2.4 cells and VACV synthetic peptides by DDA</w:t>
      </w:r>
      <w:r w:rsidR="003131AB">
        <w:rPr>
          <w:rFonts w:ascii="Times New Roman" w:hAnsi="Times New Roman" w:cs="Times New Roman"/>
          <w:sz w:val="22"/>
          <w:szCs w:val="22"/>
        </w:rPr>
        <w:t xml:space="preserve"> </w:t>
      </w:r>
      <w:r>
        <w:rPr>
          <w:rFonts w:ascii="Times New Roman" w:hAnsi="Times New Roman" w:cs="Times New Roman"/>
          <w:sz w:val="22"/>
          <w:szCs w:val="22"/>
        </w:rPr>
        <w:t xml:space="preserve">database search using </w:t>
      </w:r>
      <w:proofErr w:type="spellStart"/>
      <w:r>
        <w:rPr>
          <w:rFonts w:ascii="Times New Roman" w:hAnsi="Times New Roman" w:cs="Times New Roman"/>
          <w:sz w:val="22"/>
          <w:szCs w:val="22"/>
        </w:rPr>
        <w:t>MSFragger</w:t>
      </w:r>
      <w:proofErr w:type="spellEnd"/>
      <w:r>
        <w:rPr>
          <w:rFonts w:ascii="Times New Roman" w:hAnsi="Times New Roman" w:cs="Times New Roman"/>
          <w:sz w:val="22"/>
          <w:szCs w:val="22"/>
        </w:rPr>
        <w:t xml:space="preserve">: </w:t>
      </w:r>
    </w:p>
    <w:p w14:paraId="6B288355" w14:textId="7E8C0FD3" w:rsidR="000852C9" w:rsidRDefault="000852C9" w:rsidP="003131AB">
      <w:pPr>
        <w:pStyle w:val="Default"/>
        <w:ind w:left="720"/>
        <w:jc w:val="both"/>
        <w:rPr>
          <w:sz w:val="22"/>
          <w:szCs w:val="22"/>
        </w:rPr>
      </w:pPr>
      <w:r>
        <w:rPr>
          <w:rFonts w:ascii="Times New Roman" w:hAnsi="Times New Roman" w:cs="Times New Roman"/>
          <w:sz w:val="22"/>
          <w:szCs w:val="22"/>
        </w:rPr>
        <w:t>S</w:t>
      </w:r>
      <w:r w:rsidR="0075780B">
        <w:rPr>
          <w:rFonts w:ascii="Times New Roman" w:hAnsi="Times New Roman" w:cs="Times New Roman"/>
          <w:sz w:val="22"/>
          <w:szCs w:val="22"/>
        </w:rPr>
        <w:t>2</w:t>
      </w:r>
      <w:r>
        <w:rPr>
          <w:rFonts w:ascii="Times New Roman" w:hAnsi="Times New Roman" w:cs="Times New Roman"/>
          <w:sz w:val="22"/>
          <w:szCs w:val="22"/>
        </w:rPr>
        <w:t xml:space="preserve">_SpectralLibrary_MSFragger_DC24_VACV.xlsx </w:t>
      </w:r>
    </w:p>
    <w:p w14:paraId="0C4336CA" w14:textId="77777777" w:rsidR="000852C9" w:rsidRDefault="000852C9" w:rsidP="000852C9">
      <w:pPr>
        <w:pStyle w:val="Default"/>
        <w:rPr>
          <w:rFonts w:ascii="Times New Roman" w:hAnsi="Times New Roman" w:cs="Times New Roman"/>
          <w:sz w:val="22"/>
          <w:szCs w:val="22"/>
        </w:rPr>
      </w:pPr>
    </w:p>
    <w:p w14:paraId="09998DDF" w14:textId="0E5D6AD3" w:rsidR="000852C9" w:rsidRDefault="000852C9" w:rsidP="003131AB">
      <w:pPr>
        <w:pStyle w:val="Default"/>
        <w:numPr>
          <w:ilvl w:val="0"/>
          <w:numId w:val="3"/>
        </w:numPr>
        <w:jc w:val="both"/>
        <w:rPr>
          <w:sz w:val="22"/>
          <w:szCs w:val="22"/>
        </w:rPr>
      </w:pPr>
      <w:r>
        <w:rPr>
          <w:rFonts w:ascii="Times New Roman" w:hAnsi="Times New Roman" w:cs="Times New Roman"/>
          <w:sz w:val="22"/>
          <w:szCs w:val="22"/>
        </w:rPr>
        <w:t>S</w:t>
      </w:r>
      <w:r w:rsidR="0075780B">
        <w:rPr>
          <w:rFonts w:ascii="Times New Roman" w:hAnsi="Times New Roman" w:cs="Times New Roman"/>
          <w:sz w:val="22"/>
          <w:szCs w:val="22"/>
        </w:rPr>
        <w:t>3</w:t>
      </w:r>
      <w:r>
        <w:rPr>
          <w:rFonts w:ascii="Times New Roman" w:hAnsi="Times New Roman" w:cs="Times New Roman"/>
          <w:sz w:val="22"/>
          <w:szCs w:val="22"/>
        </w:rPr>
        <w:t xml:space="preserve">: Results outlined from SWATH-DIA thermostability data processing by Skyline (data acquired from small-scale IP of DC2.4 cells pulsed with VACV peptides): </w:t>
      </w:r>
    </w:p>
    <w:p w14:paraId="62E4571C" w14:textId="6167F960" w:rsidR="000852C9" w:rsidRDefault="000852C9" w:rsidP="000852C9">
      <w:pPr>
        <w:pStyle w:val="Default"/>
        <w:ind w:left="720"/>
        <w:rPr>
          <w:sz w:val="22"/>
          <w:szCs w:val="22"/>
        </w:rPr>
      </w:pPr>
      <w:r>
        <w:rPr>
          <w:rFonts w:ascii="Times New Roman" w:hAnsi="Times New Roman" w:cs="Times New Roman"/>
          <w:sz w:val="22"/>
          <w:szCs w:val="22"/>
        </w:rPr>
        <w:t>S</w:t>
      </w:r>
      <w:r w:rsidR="0075780B">
        <w:rPr>
          <w:rFonts w:ascii="Times New Roman" w:hAnsi="Times New Roman" w:cs="Times New Roman"/>
          <w:sz w:val="22"/>
          <w:szCs w:val="22"/>
        </w:rPr>
        <w:t>3</w:t>
      </w:r>
      <w:r>
        <w:rPr>
          <w:rFonts w:ascii="Times New Roman" w:hAnsi="Times New Roman" w:cs="Times New Roman"/>
          <w:sz w:val="22"/>
          <w:szCs w:val="22"/>
        </w:rPr>
        <w:t xml:space="preserve">_Skyline_ZenoSWATH_SL-MSFrgg_DC24_VACV_rawoutput.xlsx </w:t>
      </w:r>
    </w:p>
    <w:p w14:paraId="6CEEC8BA" w14:textId="77777777" w:rsidR="000852C9" w:rsidRDefault="000852C9" w:rsidP="000852C9">
      <w:pPr>
        <w:pStyle w:val="Default"/>
        <w:rPr>
          <w:rFonts w:ascii="Times New Roman" w:hAnsi="Times New Roman" w:cs="Times New Roman"/>
          <w:sz w:val="22"/>
          <w:szCs w:val="22"/>
        </w:rPr>
      </w:pPr>
    </w:p>
    <w:p w14:paraId="1F977591" w14:textId="077A3C78" w:rsidR="000852C9" w:rsidRDefault="000852C9" w:rsidP="003131AB">
      <w:pPr>
        <w:pStyle w:val="Default"/>
        <w:numPr>
          <w:ilvl w:val="0"/>
          <w:numId w:val="3"/>
        </w:numPr>
        <w:jc w:val="both"/>
        <w:rPr>
          <w:sz w:val="22"/>
          <w:szCs w:val="22"/>
        </w:rPr>
      </w:pPr>
      <w:r>
        <w:rPr>
          <w:rFonts w:ascii="Times New Roman" w:hAnsi="Times New Roman" w:cs="Times New Roman"/>
          <w:sz w:val="22"/>
          <w:szCs w:val="22"/>
        </w:rPr>
        <w:t>S</w:t>
      </w:r>
      <w:r w:rsidR="0075780B">
        <w:rPr>
          <w:rFonts w:ascii="Times New Roman" w:hAnsi="Times New Roman" w:cs="Times New Roman"/>
          <w:sz w:val="22"/>
          <w:szCs w:val="22"/>
        </w:rPr>
        <w:t>4</w:t>
      </w:r>
      <w:r>
        <w:rPr>
          <w:rFonts w:ascii="Times New Roman" w:hAnsi="Times New Roman" w:cs="Times New Roman"/>
          <w:sz w:val="22"/>
          <w:szCs w:val="22"/>
        </w:rPr>
        <w:t xml:space="preserve">: Results outlined from SWATH-DIA thermostability data processing by DIA-NN (data acquired from small-scale IP of DC2.4 cells pulsed with VACV peptides): </w:t>
      </w:r>
    </w:p>
    <w:p w14:paraId="10860808" w14:textId="65AAA53E" w:rsidR="000852C9" w:rsidRDefault="000852C9" w:rsidP="000852C9">
      <w:pPr>
        <w:pStyle w:val="Default"/>
        <w:ind w:left="720"/>
        <w:rPr>
          <w:sz w:val="22"/>
          <w:szCs w:val="22"/>
        </w:rPr>
      </w:pPr>
      <w:r>
        <w:rPr>
          <w:rFonts w:ascii="Times New Roman" w:hAnsi="Times New Roman" w:cs="Times New Roman"/>
          <w:sz w:val="22"/>
          <w:szCs w:val="22"/>
        </w:rPr>
        <w:t>S</w:t>
      </w:r>
      <w:r w:rsidR="0075780B">
        <w:rPr>
          <w:rFonts w:ascii="Times New Roman" w:hAnsi="Times New Roman" w:cs="Times New Roman"/>
          <w:sz w:val="22"/>
          <w:szCs w:val="22"/>
        </w:rPr>
        <w:t>4</w:t>
      </w:r>
      <w:r>
        <w:rPr>
          <w:rFonts w:ascii="Times New Roman" w:hAnsi="Times New Roman" w:cs="Times New Roman"/>
          <w:sz w:val="22"/>
          <w:szCs w:val="22"/>
        </w:rPr>
        <w:t xml:space="preserve">_DIA-NN_ZenoSWATH_SL-MSFrgg_DC24_VACV_rawoutput.xlsx </w:t>
      </w:r>
    </w:p>
    <w:p w14:paraId="00EED1E8" w14:textId="77777777" w:rsidR="000852C9" w:rsidRDefault="000852C9" w:rsidP="000852C9">
      <w:pPr>
        <w:pStyle w:val="Default"/>
        <w:rPr>
          <w:rFonts w:ascii="Times New Roman" w:hAnsi="Times New Roman" w:cs="Times New Roman"/>
          <w:sz w:val="22"/>
          <w:szCs w:val="22"/>
        </w:rPr>
      </w:pPr>
    </w:p>
    <w:p w14:paraId="64F77131" w14:textId="27894898" w:rsidR="000852C9" w:rsidRDefault="000852C9" w:rsidP="003131AB">
      <w:pPr>
        <w:pStyle w:val="Default"/>
        <w:numPr>
          <w:ilvl w:val="0"/>
          <w:numId w:val="3"/>
        </w:numPr>
        <w:jc w:val="both"/>
        <w:rPr>
          <w:sz w:val="22"/>
          <w:szCs w:val="22"/>
        </w:rPr>
      </w:pPr>
      <w:r>
        <w:rPr>
          <w:rFonts w:ascii="Times New Roman" w:hAnsi="Times New Roman" w:cs="Times New Roman"/>
          <w:sz w:val="22"/>
          <w:szCs w:val="22"/>
        </w:rPr>
        <w:t>S</w:t>
      </w:r>
      <w:r w:rsidR="0075780B">
        <w:rPr>
          <w:rFonts w:ascii="Times New Roman" w:hAnsi="Times New Roman" w:cs="Times New Roman"/>
          <w:sz w:val="22"/>
          <w:szCs w:val="22"/>
        </w:rPr>
        <w:t>4</w:t>
      </w:r>
      <w:r>
        <w:rPr>
          <w:rFonts w:ascii="Times New Roman" w:hAnsi="Times New Roman" w:cs="Times New Roman"/>
          <w:sz w:val="22"/>
          <w:szCs w:val="22"/>
        </w:rPr>
        <w:t>: Results derived from thermostability profiling to calculate T</w:t>
      </w:r>
      <w:r w:rsidRPr="002D2102">
        <w:rPr>
          <w:rFonts w:ascii="Times New Roman" w:hAnsi="Times New Roman" w:cs="Times New Roman"/>
          <w:sz w:val="22"/>
          <w:szCs w:val="22"/>
          <w:vertAlign w:val="subscript"/>
        </w:rPr>
        <w:t>m</w:t>
      </w:r>
      <w:r>
        <w:rPr>
          <w:rFonts w:ascii="Times New Roman" w:hAnsi="Times New Roman" w:cs="Times New Roman"/>
          <w:sz w:val="22"/>
          <w:szCs w:val="22"/>
        </w:rPr>
        <w:t xml:space="preserve"> values by SWATH-DIA data analysis alongside predicted binding affinities by NetMHCpan4.1 for the thermostability-profiled endogenous H-2D</w:t>
      </w:r>
      <w:r>
        <w:rPr>
          <w:rFonts w:ascii="Times New Roman" w:hAnsi="Times New Roman" w:cs="Times New Roman"/>
          <w:sz w:val="14"/>
          <w:szCs w:val="14"/>
        </w:rPr>
        <w:t>b</w:t>
      </w:r>
      <w:r>
        <w:rPr>
          <w:rFonts w:ascii="Times New Roman" w:hAnsi="Times New Roman" w:cs="Times New Roman"/>
          <w:sz w:val="22"/>
          <w:szCs w:val="22"/>
        </w:rPr>
        <w:t>/</w:t>
      </w:r>
      <w:proofErr w:type="spellStart"/>
      <w:r>
        <w:rPr>
          <w:rFonts w:ascii="Times New Roman" w:hAnsi="Times New Roman" w:cs="Times New Roman"/>
          <w:sz w:val="22"/>
          <w:szCs w:val="22"/>
        </w:rPr>
        <w:t>K</w:t>
      </w:r>
      <w:r>
        <w:rPr>
          <w:rFonts w:ascii="Times New Roman" w:hAnsi="Times New Roman" w:cs="Times New Roman"/>
          <w:sz w:val="14"/>
          <w:szCs w:val="14"/>
        </w:rPr>
        <w:t>b</w:t>
      </w:r>
      <w:proofErr w:type="spellEnd"/>
      <w:r>
        <w:rPr>
          <w:rFonts w:ascii="Times New Roman" w:hAnsi="Times New Roman" w:cs="Times New Roman"/>
          <w:sz w:val="14"/>
          <w:szCs w:val="14"/>
        </w:rPr>
        <w:t xml:space="preserve"> </w:t>
      </w:r>
      <w:r>
        <w:rPr>
          <w:rFonts w:ascii="Times New Roman" w:hAnsi="Times New Roman" w:cs="Times New Roman"/>
          <w:sz w:val="22"/>
          <w:szCs w:val="22"/>
        </w:rPr>
        <w:t xml:space="preserve">and VACV peptides: </w:t>
      </w:r>
    </w:p>
    <w:p w14:paraId="03BE62AF" w14:textId="6A82959C" w:rsidR="000852C9" w:rsidRDefault="000852C9" w:rsidP="000852C9">
      <w:pPr>
        <w:pStyle w:val="Default"/>
        <w:ind w:left="720"/>
        <w:rPr>
          <w:rFonts w:asciiTheme="majorBidi" w:hAnsiTheme="majorBidi" w:cstheme="majorBidi"/>
          <w:sz w:val="22"/>
          <w:szCs w:val="22"/>
        </w:rPr>
      </w:pPr>
      <w:r w:rsidRPr="00FD4748">
        <w:rPr>
          <w:rFonts w:asciiTheme="majorBidi" w:hAnsiTheme="majorBidi" w:cstheme="majorBidi"/>
          <w:sz w:val="22"/>
          <w:szCs w:val="22"/>
        </w:rPr>
        <w:t>S</w:t>
      </w:r>
      <w:r w:rsidR="0075780B">
        <w:rPr>
          <w:rFonts w:asciiTheme="majorBidi" w:hAnsiTheme="majorBidi" w:cstheme="majorBidi"/>
          <w:sz w:val="22"/>
          <w:szCs w:val="22"/>
        </w:rPr>
        <w:t>4</w:t>
      </w:r>
      <w:r w:rsidRPr="00FD4748">
        <w:rPr>
          <w:rFonts w:asciiTheme="majorBidi" w:hAnsiTheme="majorBidi" w:cstheme="majorBidi"/>
          <w:sz w:val="22"/>
          <w:szCs w:val="22"/>
        </w:rPr>
        <w:t xml:space="preserve">_H2DbKb_VACV_Tm_BA_ZenoSWATHdata_NetMHCpan.xlsx </w:t>
      </w:r>
    </w:p>
    <w:p w14:paraId="2EB2840C" w14:textId="77777777" w:rsidR="0075780B" w:rsidRPr="00FD4748" w:rsidRDefault="0075780B" w:rsidP="000852C9">
      <w:pPr>
        <w:pStyle w:val="Default"/>
        <w:ind w:left="720"/>
        <w:rPr>
          <w:rFonts w:asciiTheme="majorBidi" w:hAnsiTheme="majorBidi" w:cstheme="majorBidi"/>
          <w:sz w:val="22"/>
          <w:szCs w:val="22"/>
        </w:rPr>
      </w:pPr>
    </w:p>
    <w:p w14:paraId="21779737" w14:textId="5029452E" w:rsidR="00FD4748" w:rsidRDefault="000852C9" w:rsidP="0075780B">
      <w:pPr>
        <w:pStyle w:val="Default"/>
        <w:numPr>
          <w:ilvl w:val="0"/>
          <w:numId w:val="3"/>
        </w:numPr>
        <w:jc w:val="both"/>
        <w:rPr>
          <w:rFonts w:ascii="Times New Roman" w:hAnsi="Times New Roman" w:cs="Times New Roman"/>
          <w:sz w:val="22"/>
          <w:szCs w:val="22"/>
        </w:rPr>
      </w:pPr>
      <w:r>
        <w:rPr>
          <w:rFonts w:ascii="Times New Roman" w:hAnsi="Times New Roman" w:cs="Times New Roman"/>
          <w:sz w:val="22"/>
          <w:szCs w:val="22"/>
        </w:rPr>
        <w:t>S</w:t>
      </w:r>
      <w:r w:rsidR="0075780B">
        <w:rPr>
          <w:rFonts w:ascii="Times New Roman" w:hAnsi="Times New Roman" w:cs="Times New Roman"/>
          <w:sz w:val="22"/>
          <w:szCs w:val="22"/>
        </w:rPr>
        <w:t>6</w:t>
      </w:r>
      <w:r>
        <w:rPr>
          <w:rFonts w:ascii="Times New Roman" w:hAnsi="Times New Roman" w:cs="Times New Roman"/>
          <w:sz w:val="22"/>
          <w:szCs w:val="22"/>
        </w:rPr>
        <w:t>: Results derived from thermostability profiling to calculate T</w:t>
      </w:r>
      <w:r w:rsidRPr="002D2102">
        <w:rPr>
          <w:rFonts w:ascii="Times New Roman" w:hAnsi="Times New Roman" w:cs="Times New Roman"/>
          <w:sz w:val="22"/>
          <w:szCs w:val="22"/>
          <w:vertAlign w:val="subscript"/>
        </w:rPr>
        <w:t>m</w:t>
      </w:r>
      <w:r>
        <w:rPr>
          <w:rFonts w:ascii="Times New Roman" w:hAnsi="Times New Roman" w:cs="Times New Roman"/>
          <w:sz w:val="22"/>
          <w:szCs w:val="22"/>
        </w:rPr>
        <w:t xml:space="preserve"> values by SWATH-DIA and MRM</w:t>
      </w:r>
      <w:r>
        <w:rPr>
          <w:rFonts w:ascii="Times New Roman" w:hAnsi="Times New Roman" w:cs="Times New Roman"/>
          <w:sz w:val="14"/>
          <w:szCs w:val="14"/>
        </w:rPr>
        <w:t xml:space="preserve">HR </w:t>
      </w:r>
      <w:r>
        <w:rPr>
          <w:rFonts w:ascii="Times New Roman" w:hAnsi="Times New Roman" w:cs="Times New Roman"/>
          <w:sz w:val="22"/>
          <w:szCs w:val="22"/>
        </w:rPr>
        <w:t>assays alongside other used features for ML mode</w:t>
      </w:r>
      <w:r w:rsidR="002D2102">
        <w:rPr>
          <w:rFonts w:ascii="Times New Roman" w:hAnsi="Times New Roman" w:cs="Times New Roman"/>
          <w:sz w:val="22"/>
          <w:szCs w:val="22"/>
        </w:rPr>
        <w:t>l</w:t>
      </w:r>
      <w:r>
        <w:rPr>
          <w:rFonts w:ascii="Times New Roman" w:hAnsi="Times New Roman" w:cs="Times New Roman"/>
          <w:sz w:val="22"/>
          <w:szCs w:val="22"/>
        </w:rPr>
        <w:t>ling, e.g., experimental binding affinities (IC</w:t>
      </w:r>
      <w:r>
        <w:rPr>
          <w:rFonts w:ascii="Times New Roman" w:hAnsi="Times New Roman" w:cs="Times New Roman"/>
          <w:sz w:val="14"/>
          <w:szCs w:val="14"/>
        </w:rPr>
        <w:t>50</w:t>
      </w:r>
      <w:r>
        <w:rPr>
          <w:rFonts w:ascii="Times New Roman" w:hAnsi="Times New Roman" w:cs="Times New Roman"/>
          <w:sz w:val="22"/>
          <w:szCs w:val="22"/>
        </w:rPr>
        <w:t>), immunogenicity profiles/category, and measured CD8</w:t>
      </w:r>
      <w:r>
        <w:rPr>
          <w:rFonts w:ascii="Times New Roman" w:hAnsi="Times New Roman" w:cs="Times New Roman"/>
          <w:sz w:val="14"/>
          <w:szCs w:val="14"/>
        </w:rPr>
        <w:t xml:space="preserve">+ </w:t>
      </w:r>
      <w:r>
        <w:rPr>
          <w:rFonts w:ascii="Times New Roman" w:hAnsi="Times New Roman" w:cs="Times New Roman"/>
          <w:sz w:val="22"/>
          <w:szCs w:val="22"/>
        </w:rPr>
        <w:t>T cell responses, for</w:t>
      </w:r>
      <w:r w:rsidR="00FD4748">
        <w:rPr>
          <w:rFonts w:ascii="Times New Roman" w:hAnsi="Times New Roman" w:cs="Times New Roman"/>
          <w:sz w:val="22"/>
          <w:szCs w:val="22"/>
        </w:rPr>
        <w:t xml:space="preserve"> </w:t>
      </w:r>
      <w:r>
        <w:rPr>
          <w:rFonts w:ascii="Times New Roman" w:hAnsi="Times New Roman" w:cs="Times New Roman"/>
          <w:sz w:val="22"/>
          <w:szCs w:val="22"/>
        </w:rPr>
        <w:lastRenderedPageBreak/>
        <w:t>the</w:t>
      </w:r>
      <w:r w:rsidR="00FD4748">
        <w:rPr>
          <w:rFonts w:ascii="Times New Roman" w:hAnsi="Times New Roman" w:cs="Times New Roman"/>
          <w:sz w:val="22"/>
          <w:szCs w:val="22"/>
        </w:rPr>
        <w:t xml:space="preserve"> </w:t>
      </w:r>
      <w:r>
        <w:rPr>
          <w:rFonts w:ascii="Times New Roman" w:hAnsi="Times New Roman" w:cs="Times New Roman"/>
          <w:sz w:val="22"/>
          <w:szCs w:val="22"/>
        </w:rPr>
        <w:t xml:space="preserve">thermostability-profiled VACV peptides: </w:t>
      </w:r>
      <w:r w:rsidR="00FD4748">
        <w:rPr>
          <w:rFonts w:ascii="Times New Roman" w:hAnsi="Times New Roman" w:cs="Times New Roman"/>
          <w:sz w:val="22"/>
          <w:szCs w:val="22"/>
        </w:rPr>
        <w:t>S</w:t>
      </w:r>
      <w:r w:rsidR="0075780B">
        <w:rPr>
          <w:rFonts w:ascii="Times New Roman" w:hAnsi="Times New Roman" w:cs="Times New Roman"/>
          <w:sz w:val="22"/>
          <w:szCs w:val="22"/>
        </w:rPr>
        <w:t>6</w:t>
      </w:r>
      <w:r w:rsidR="00FD4748">
        <w:rPr>
          <w:rFonts w:ascii="Times New Roman" w:hAnsi="Times New Roman" w:cs="Times New Roman"/>
          <w:sz w:val="22"/>
          <w:szCs w:val="22"/>
        </w:rPr>
        <w:t xml:space="preserve">_VACV_Tm_BA_ZenoSWATH&amp;MRMhr.xlsx </w:t>
      </w:r>
    </w:p>
    <w:p w14:paraId="5ED39143" w14:textId="0948C75B" w:rsidR="000852C9" w:rsidRPr="00FD4748" w:rsidRDefault="000852C9" w:rsidP="00FD4748">
      <w:pPr>
        <w:pStyle w:val="Default"/>
        <w:ind w:left="720"/>
        <w:jc w:val="both"/>
        <w:rPr>
          <w:sz w:val="22"/>
          <w:szCs w:val="22"/>
        </w:rPr>
      </w:pPr>
    </w:p>
    <w:p w14:paraId="5AD932B1" w14:textId="4198BA2B" w:rsidR="00FD4748" w:rsidRDefault="00FD4748" w:rsidP="00FD4748">
      <w:pPr>
        <w:pStyle w:val="Default"/>
        <w:numPr>
          <w:ilvl w:val="0"/>
          <w:numId w:val="3"/>
        </w:numPr>
        <w:jc w:val="both"/>
        <w:rPr>
          <w:sz w:val="22"/>
          <w:szCs w:val="22"/>
        </w:rPr>
      </w:pPr>
      <w:r>
        <w:rPr>
          <w:rFonts w:ascii="Times New Roman" w:hAnsi="Times New Roman" w:cs="Times New Roman"/>
          <w:sz w:val="22"/>
          <w:szCs w:val="22"/>
        </w:rPr>
        <w:t>S</w:t>
      </w:r>
      <w:r w:rsidR="0075780B">
        <w:rPr>
          <w:rFonts w:ascii="Times New Roman" w:hAnsi="Times New Roman" w:cs="Times New Roman"/>
          <w:sz w:val="22"/>
          <w:szCs w:val="22"/>
        </w:rPr>
        <w:t>7</w:t>
      </w:r>
      <w:r>
        <w:rPr>
          <w:rFonts w:ascii="Times New Roman" w:hAnsi="Times New Roman" w:cs="Times New Roman"/>
          <w:sz w:val="22"/>
          <w:szCs w:val="22"/>
        </w:rPr>
        <w:t>: Results outlined from MRM</w:t>
      </w:r>
      <w:r w:rsidRPr="00FD4748">
        <w:rPr>
          <w:rFonts w:ascii="Times New Roman" w:hAnsi="Times New Roman" w:cs="Times New Roman"/>
          <w:sz w:val="22"/>
          <w:szCs w:val="22"/>
          <w:vertAlign w:val="superscript"/>
        </w:rPr>
        <w:t>HR</w:t>
      </w:r>
      <w:r>
        <w:rPr>
          <w:rFonts w:ascii="Times New Roman" w:hAnsi="Times New Roman" w:cs="Times New Roman"/>
          <w:sz w:val="22"/>
          <w:szCs w:val="22"/>
        </w:rPr>
        <w:t xml:space="preserve"> thermostability data processing by Skyline (data acquired from small-scale IP of DC2.4 cells pulsed with VACV peptides): </w:t>
      </w:r>
    </w:p>
    <w:p w14:paraId="4814A3B5" w14:textId="569B883F" w:rsidR="00FD4748" w:rsidRDefault="00DA7C38" w:rsidP="00FD4748">
      <w:pPr>
        <w:pStyle w:val="Default"/>
        <w:ind w:left="720"/>
        <w:jc w:val="both"/>
        <w:rPr>
          <w:sz w:val="22"/>
          <w:szCs w:val="22"/>
        </w:rPr>
      </w:pPr>
      <w:r w:rsidRPr="00DA7C38">
        <w:rPr>
          <w:rFonts w:ascii="Times New Roman" w:hAnsi="Times New Roman" w:cs="Times New Roman"/>
          <w:sz w:val="22"/>
          <w:szCs w:val="22"/>
        </w:rPr>
        <w:t>S</w:t>
      </w:r>
      <w:r w:rsidR="0075780B">
        <w:rPr>
          <w:rFonts w:ascii="Times New Roman" w:hAnsi="Times New Roman" w:cs="Times New Roman"/>
          <w:sz w:val="22"/>
          <w:szCs w:val="22"/>
        </w:rPr>
        <w:t>7</w:t>
      </w:r>
      <w:r w:rsidRPr="00DA7C38">
        <w:rPr>
          <w:rFonts w:ascii="Times New Roman" w:hAnsi="Times New Roman" w:cs="Times New Roman"/>
          <w:sz w:val="22"/>
          <w:szCs w:val="22"/>
        </w:rPr>
        <w:t>_Skyline_MRMHR_SearchResults_VACV_rawreport.xlsx</w:t>
      </w:r>
    </w:p>
    <w:p w14:paraId="5E9E4D1C" w14:textId="77777777" w:rsidR="000852C9" w:rsidRDefault="000852C9" w:rsidP="000852C9">
      <w:pPr>
        <w:pStyle w:val="Default"/>
        <w:rPr>
          <w:rFonts w:ascii="Times New Roman" w:hAnsi="Times New Roman" w:cs="Times New Roman"/>
          <w:b/>
          <w:bCs/>
          <w:i/>
          <w:iCs/>
          <w:sz w:val="22"/>
          <w:szCs w:val="22"/>
        </w:rPr>
      </w:pPr>
    </w:p>
    <w:p w14:paraId="7A011664" w14:textId="77777777" w:rsidR="000852C9" w:rsidRDefault="000852C9" w:rsidP="000852C9">
      <w:pPr>
        <w:pStyle w:val="Default"/>
        <w:rPr>
          <w:sz w:val="22"/>
          <w:szCs w:val="22"/>
        </w:rPr>
      </w:pPr>
      <w:r>
        <w:rPr>
          <w:rFonts w:ascii="Times New Roman" w:hAnsi="Times New Roman" w:cs="Times New Roman"/>
          <w:b/>
          <w:bCs/>
          <w:i/>
          <w:iCs/>
          <w:sz w:val="22"/>
          <w:szCs w:val="22"/>
        </w:rPr>
        <w:t xml:space="preserve">Database: </w:t>
      </w:r>
      <w:r>
        <w:rPr>
          <w:rFonts w:ascii="Times New Roman" w:hAnsi="Times New Roman" w:cs="Times New Roman"/>
          <w:sz w:val="22"/>
          <w:szCs w:val="22"/>
        </w:rPr>
        <w:t xml:space="preserve">DBuniprot-reviewed_Mus-musculus_Mouse_VACV-WR_iRTs_19102022.fasta </w:t>
      </w:r>
    </w:p>
    <w:p w14:paraId="16C4F7C3" w14:textId="77777777" w:rsidR="000852C9" w:rsidRPr="00D10E11" w:rsidRDefault="000852C9" w:rsidP="000852C9">
      <w:pPr>
        <w:rPr>
          <w:lang w:eastAsia="en-AU"/>
        </w:rPr>
      </w:pPr>
      <w:r>
        <w:rPr>
          <w:szCs w:val="22"/>
        </w:rPr>
        <w:t>A combined database of the mouse (Mus musculus; UP000000589) and vaccinia virus strain Western Reserve (VACV-WR; UP000000344) proteomes (</w:t>
      </w:r>
      <w:proofErr w:type="spellStart"/>
      <w:r>
        <w:rPr>
          <w:szCs w:val="22"/>
        </w:rPr>
        <w:t>UniProtKB</w:t>
      </w:r>
      <w:proofErr w:type="spellEnd"/>
      <w:r>
        <w:rPr>
          <w:szCs w:val="22"/>
        </w:rPr>
        <w:t>/</w:t>
      </w:r>
      <w:proofErr w:type="spellStart"/>
      <w:r>
        <w:rPr>
          <w:szCs w:val="22"/>
        </w:rPr>
        <w:t>SwissProt</w:t>
      </w:r>
      <w:proofErr w:type="spellEnd"/>
      <w:r>
        <w:rPr>
          <w:szCs w:val="22"/>
        </w:rPr>
        <w:t xml:space="preserve"> v.19102022; 17,560 entries).</w:t>
      </w:r>
    </w:p>
    <w:p w14:paraId="1D61AA04" w14:textId="0E1115D4" w:rsidR="00477F54" w:rsidRPr="00F02ABF" w:rsidRDefault="00B66EAC" w:rsidP="00477F54">
      <w:pPr>
        <w:rPr>
          <w:b/>
          <w:bCs/>
          <w:i/>
          <w:iCs/>
          <w:lang w:eastAsia="en-AU"/>
        </w:rPr>
      </w:pPr>
      <w:r w:rsidRPr="00F02ABF">
        <w:rPr>
          <w:b/>
          <w:bCs/>
          <w:i/>
          <w:iCs/>
          <w:lang w:eastAsia="en-AU"/>
        </w:rPr>
        <w:t xml:space="preserve">Datasets availability: </w:t>
      </w:r>
    </w:p>
    <w:p w14:paraId="407F288D" w14:textId="69438E73" w:rsidR="00F02ABF" w:rsidRDefault="00F02ABF" w:rsidP="00477F54">
      <w:pPr>
        <w:rPr>
          <w:lang w:eastAsia="en-AU"/>
        </w:rPr>
      </w:pPr>
      <w:r>
        <w:t xml:space="preserve">For DDA data acquired from the DC2.4 dendritic cell line and synthetic VACV by DDA LC-MS/MS (n = 27), the accession code is </w:t>
      </w:r>
      <w:r w:rsidRPr="002C38B1">
        <w:t>PXD057866</w:t>
      </w:r>
      <w:r>
        <w:t xml:space="preserve"> (Username: </w:t>
      </w:r>
      <w:hyperlink r:id="rId9" w:history="1">
        <w:r w:rsidRPr="00801AE1">
          <w:rPr>
            <w:rStyle w:val="Hyperlink"/>
          </w:rPr>
          <w:t>reviewer_pxd057866@ebi.ac.uk</w:t>
        </w:r>
      </w:hyperlink>
      <w:r>
        <w:t xml:space="preserve"> - Password: </w:t>
      </w:r>
      <w:proofErr w:type="spellStart"/>
      <w:r>
        <w:t>kYZxYytIptVf</w:t>
      </w:r>
      <w:proofErr w:type="spellEnd"/>
      <w:r>
        <w:t>). DC2.4 cells pulsed by VACV peptides Zeno SWATH-DIA LC-MS/MS (n = 30) and LC-MRM</w:t>
      </w:r>
      <w:r w:rsidRPr="001D6F94">
        <w:rPr>
          <w:vertAlign w:val="superscript"/>
        </w:rPr>
        <w:t>HR</w:t>
      </w:r>
      <w:r>
        <w:t xml:space="preserve"> (n = 30) data were deposited under the dataset identifier </w:t>
      </w:r>
      <w:r w:rsidRPr="00E769A8">
        <w:t>PXD057919</w:t>
      </w:r>
      <w:r>
        <w:t xml:space="preserve"> (Username: </w:t>
      </w:r>
      <w:hyperlink r:id="rId10" w:history="1">
        <w:r w:rsidRPr="00801AE1">
          <w:rPr>
            <w:rStyle w:val="Hyperlink"/>
          </w:rPr>
          <w:t>reviewer_pxd057919@ebi.ac.uk</w:t>
        </w:r>
      </w:hyperlink>
      <w:r>
        <w:t xml:space="preserve"> - Password: wBb44QKOBrA0) </w:t>
      </w:r>
      <w:r w:rsidRPr="001D6F94">
        <w:t>and</w:t>
      </w:r>
      <w:r>
        <w:t xml:space="preserve"> </w:t>
      </w:r>
      <w:r w:rsidRPr="00197330">
        <w:t>PXD058188</w:t>
      </w:r>
      <w:r>
        <w:t xml:space="preserve"> (Username: </w:t>
      </w:r>
      <w:hyperlink r:id="rId11" w:history="1">
        <w:r w:rsidRPr="00801AE1">
          <w:rPr>
            <w:rStyle w:val="Hyperlink"/>
          </w:rPr>
          <w:t>reviewer_pxd058188@ebi.ac.uk</w:t>
        </w:r>
      </w:hyperlink>
      <w:r>
        <w:t xml:space="preserve"> - Password: EKCLoDDnM01e)</w:t>
      </w:r>
      <w:r w:rsidRPr="001D6F94">
        <w:t>,</w:t>
      </w:r>
      <w:r>
        <w:rPr>
          <w:color w:val="FF0000"/>
        </w:rPr>
        <w:t xml:space="preserve"> </w:t>
      </w:r>
      <w:r w:rsidRPr="001D6F94">
        <w:t>respectively.</w:t>
      </w:r>
      <w:r>
        <w:t xml:space="preserve"> All search and results summaries were deposited (also provided as Supplementary Data) with the corresponding datasets.</w:t>
      </w:r>
    </w:p>
    <w:p w14:paraId="6803E4E9" w14:textId="77777777" w:rsidR="00B66EAC" w:rsidRDefault="00B66EAC" w:rsidP="00477F54">
      <w:pPr>
        <w:rPr>
          <w:lang w:eastAsia="en-AU"/>
        </w:rPr>
      </w:pPr>
    </w:p>
    <w:p w14:paraId="6C5D9C88" w14:textId="0CAED84D" w:rsidR="004B2E2A" w:rsidRDefault="000A73CC" w:rsidP="00477F54">
      <w:pPr>
        <w:rPr>
          <w:lang w:eastAsia="en-AU"/>
        </w:rPr>
      </w:pPr>
      <w:r w:rsidRPr="00D10E11">
        <w:rPr>
          <w:bCs/>
          <w:i/>
          <w:iCs/>
          <w:sz w:val="28"/>
          <w:szCs w:val="28"/>
          <w:lang w:eastAsia="en-AU"/>
        </w:rPr>
        <w:t>Supplementary</w:t>
      </w:r>
      <w:r>
        <w:rPr>
          <w:bCs/>
          <w:i/>
          <w:iCs/>
          <w:sz w:val="28"/>
          <w:szCs w:val="28"/>
          <w:lang w:eastAsia="en-AU"/>
        </w:rPr>
        <w:t xml:space="preserve"> Results</w:t>
      </w:r>
    </w:p>
    <w:p w14:paraId="342A264E" w14:textId="5530C6C0" w:rsidR="000A73CC" w:rsidRDefault="000A73CC" w:rsidP="00477F54">
      <w:pPr>
        <w:rPr>
          <w:lang w:eastAsia="en-AU"/>
        </w:rPr>
      </w:pPr>
      <w:r w:rsidRPr="000A73CC">
        <w:rPr>
          <w:lang w:eastAsia="en-AU"/>
        </w:rPr>
        <w:t>Regular immunopeptidomics data analyses were performed to examine the sequenced peptides, confirm their sequence motifs, and exclude contaminant sequences from the spectral library (</w:t>
      </w:r>
      <w:r w:rsidRPr="000A73CC">
        <w:rPr>
          <w:color w:val="0070C0"/>
          <w:lang w:eastAsia="en-AU"/>
        </w:rPr>
        <w:t>Figure S1 – Supplemental Data</w:t>
      </w:r>
      <w:r w:rsidRPr="000A73CC">
        <w:rPr>
          <w:lang w:eastAsia="en-AU"/>
        </w:rPr>
        <w:t>). This spectral library, containing the endogenous murine peptides and the VACV peptides, was utili</w:t>
      </w:r>
      <w:r w:rsidR="002D2102">
        <w:rPr>
          <w:lang w:eastAsia="en-AU"/>
        </w:rPr>
        <w:t>s</w:t>
      </w:r>
      <w:r w:rsidRPr="000A73CC">
        <w:rPr>
          <w:lang w:eastAsia="en-AU"/>
        </w:rPr>
        <w:t xml:space="preserve">ed to match the peptides sequenced by DIA data in each temperature treatment to monitor the thermostability of </w:t>
      </w:r>
      <w:proofErr w:type="spellStart"/>
      <w:r w:rsidRPr="000A73CC">
        <w:rPr>
          <w:lang w:eastAsia="en-AU"/>
        </w:rPr>
        <w:t>pMHC</w:t>
      </w:r>
      <w:proofErr w:type="spellEnd"/>
      <w:r w:rsidRPr="000A73CC">
        <w:rPr>
          <w:lang w:eastAsia="en-AU"/>
        </w:rPr>
        <w:t xml:space="preserve"> complexes. Thus, the spectral library of 10,056 H-2Db and H-2Kb endogenous peptide binders (expressed on DC2.4 dendritic mouse cells) as well as 119 VACV exogenous MHCI peptides with confident spectra (out of 122 VACV synthetic peptides). This means this MS-immunopeptidomics identification workflow yielded a 97.5% recovery, and three peptides were missed due to low-quality spectra.</w:t>
      </w:r>
    </w:p>
    <w:p w14:paraId="4012BFA0" w14:textId="4524F93C" w:rsidR="00B25970" w:rsidRDefault="00B25970" w:rsidP="005A7475">
      <w:r w:rsidRPr="00D10E11">
        <w:t xml:space="preserve">The </w:t>
      </w:r>
      <w:proofErr w:type="spellStart"/>
      <w:r w:rsidRPr="00D10E11">
        <w:t>GibbsCluster</w:t>
      </w:r>
      <w:proofErr w:type="spellEnd"/>
      <w:r w:rsidRPr="00D10E11">
        <w:t xml:space="preserve"> (ver. 2.0) tool was used for cluster analysis of immunopeptides eluted from the DC2.4 cell line. Through the calculated KLD scores, the optimal number of allelic-based clusters was determined (n = 2; </w:t>
      </w:r>
      <w:r w:rsidRPr="00D10E11">
        <w:rPr>
          <w:color w:val="0070C0"/>
        </w:rPr>
        <w:t>Figure S1A – Supplemental Data</w:t>
      </w:r>
      <w:r w:rsidRPr="00D10E11">
        <w:t>). The generated sequence motifs corresponding to these two clusters were evaluated and demonstrated the presence of the H-2D</w:t>
      </w:r>
      <w:r w:rsidRPr="00D10E11">
        <w:rPr>
          <w:vertAlign w:val="superscript"/>
        </w:rPr>
        <w:t>b</w:t>
      </w:r>
      <w:r w:rsidRPr="00D10E11">
        <w:t xml:space="preserve"> and -2K</w:t>
      </w:r>
      <w:r w:rsidRPr="00D10E11">
        <w:rPr>
          <w:vertAlign w:val="superscript"/>
        </w:rPr>
        <w:t>b</w:t>
      </w:r>
      <w:r w:rsidRPr="00D10E11">
        <w:t xml:space="preserve"> MHCI peptide ligands in accordance with the expected sequence logo in the literature (</w:t>
      </w:r>
      <w:r w:rsidRPr="00D10E11">
        <w:rPr>
          <w:color w:val="0070C0"/>
        </w:rPr>
        <w:t>Figure S1B-C – Supplemental Data</w:t>
      </w:r>
      <w:r w:rsidRPr="00D10E11">
        <w:t>).</w:t>
      </w:r>
      <w:r w:rsidR="005A7475">
        <w:t xml:space="preserve"> </w:t>
      </w:r>
      <w:r w:rsidRPr="00D10E11">
        <w:t>The length distribution of the identified peptides in the DDA spectral repertoire shows the main proportion of MHCI peptide data (sequence length of 8-to-14-mer) isolated using antibodies immunoaffinity purification where most H-2D</w:t>
      </w:r>
      <w:r w:rsidRPr="00D10E11">
        <w:rPr>
          <w:vertAlign w:val="superscript"/>
        </w:rPr>
        <w:t>b</w:t>
      </w:r>
      <w:r w:rsidRPr="00D10E11">
        <w:t xml:space="preserve"> and H-2K</w:t>
      </w:r>
      <w:r w:rsidRPr="00D10E11">
        <w:rPr>
          <w:vertAlign w:val="superscript"/>
        </w:rPr>
        <w:t>b</w:t>
      </w:r>
      <w:r w:rsidRPr="00D10E11">
        <w:t xml:space="preserve"> peptide ligands are 9-mer and 8-mer, </w:t>
      </w:r>
      <w:r w:rsidRPr="00D10E11">
        <w:lastRenderedPageBreak/>
        <w:t>respectively (</w:t>
      </w:r>
      <w:r w:rsidRPr="00D10E11">
        <w:rPr>
          <w:color w:val="0070C0"/>
        </w:rPr>
        <w:t>Figure S1D – Supplemental Data</w:t>
      </w:r>
      <w:r w:rsidRPr="00D10E11">
        <w:t>). We utili</w:t>
      </w:r>
      <w:r w:rsidR="002D2102">
        <w:t>s</w:t>
      </w:r>
      <w:r w:rsidRPr="00D10E11">
        <w:t>ed NetMHCpan-4.1 to predict the binding of peptides to the two H-2</w:t>
      </w:r>
      <w:r w:rsidRPr="00D10E11">
        <w:rPr>
          <w:vertAlign w:val="superscript"/>
        </w:rPr>
        <w:t>b</w:t>
      </w:r>
      <w:r w:rsidRPr="00D10E11">
        <w:t xml:space="preserve"> MHC alleles, which indicated roughly equal numbers of H-2D</w:t>
      </w:r>
      <w:r w:rsidRPr="00D10E11">
        <w:rPr>
          <w:vertAlign w:val="superscript"/>
        </w:rPr>
        <w:t>b</w:t>
      </w:r>
      <w:r w:rsidRPr="00D10E11">
        <w:t xml:space="preserve"> (5,181 IDs, 52.28%) and H-2K</w:t>
      </w:r>
      <w:r w:rsidRPr="00D10E11">
        <w:rPr>
          <w:vertAlign w:val="superscript"/>
        </w:rPr>
        <w:t>b</w:t>
      </w:r>
      <w:r w:rsidRPr="00D10E11">
        <w:t xml:space="preserve"> (4,729 IDs, 47.42%) MHCI ligands in the generated spectral library (</w:t>
      </w:r>
      <w:r w:rsidRPr="00D10E11">
        <w:rPr>
          <w:color w:val="0070C0"/>
        </w:rPr>
        <w:t>Figure S1D – Supplemental Data</w:t>
      </w:r>
      <w:r w:rsidRPr="00D10E11">
        <w:t>). The binding prediction analysis showed that the proportion of EL% rank-based classified binders of H-2D</w:t>
      </w:r>
      <w:r w:rsidRPr="00D10E11">
        <w:rPr>
          <w:vertAlign w:val="superscript"/>
        </w:rPr>
        <w:t>b</w:t>
      </w:r>
      <w:r w:rsidRPr="00D10E11">
        <w:t xml:space="preserve"> (3,913 strong and 1,192 weak binders) and H-2K</w:t>
      </w:r>
      <w:r w:rsidRPr="00D10E11">
        <w:rPr>
          <w:vertAlign w:val="superscript"/>
        </w:rPr>
        <w:t>b</w:t>
      </w:r>
      <w:r w:rsidRPr="00D10E11">
        <w:t xml:space="preserve"> (3,478 strong and 1,671 weak binders) alleles as the identified MHC ligands with a similar portion of peptide ligands as the weak binders for both alleles (</w:t>
      </w:r>
      <w:r w:rsidRPr="00D10E11">
        <w:rPr>
          <w:color w:val="0070C0"/>
        </w:rPr>
        <w:t>Figure S5F – Supplemental Data</w:t>
      </w:r>
      <w:r w:rsidRPr="00D10E11">
        <w:t xml:space="preserve">). Based on the previous study results for MHC-specific binding of VACV peptides </w:t>
      </w:r>
      <w:r w:rsidRPr="00D10E11">
        <w:fldChar w:fldCharType="begin"/>
      </w:r>
      <w:r w:rsidR="0026317D">
        <w:instrText xml:space="preserve"> ADDIN EN.CITE &lt;EndNote&gt;&lt;Cite&gt;&lt;Author&gt;Croft&lt;/Author&gt;&lt;Year&gt;2019&lt;/Year&gt;&lt;RecNum&gt;22&lt;/RecNum&gt;&lt;DisplayText&gt;&lt;style face="superscript"&gt;1&lt;/style&gt;&lt;/DisplayText&gt;&lt;record&gt;&lt;rec-number&gt;22&lt;/rec-number&gt;&lt;foreign-keys&gt;&lt;key app="EN" db-id="wfewewtfnfedpsed0znpf9daztt0xd20tt2x" timestamp="1558835490"&gt;22&lt;/key&gt;&lt;/foreign-keys&gt;&lt;ref-type name="Journal Article"&gt;17&lt;/ref-type&gt;&lt;contributors&gt;&lt;authors&gt;&lt;author&gt;Croft, Nathan P.&lt;/author&gt;&lt;author&gt;Smith, Stewart A.&lt;/author&gt;&lt;author&gt;Pickering, Jana&lt;/author&gt;&lt;author&gt;Sidney, John&lt;/author&gt;&lt;author&gt;Peters, Bjoern&lt;/author&gt;&lt;author&gt;Faridi, Pouya&lt;/author&gt;&lt;author&gt;Witney, Matthew J.&lt;/author&gt;&lt;author&gt;Sebastian, Prince&lt;/author&gt;&lt;author&gt;Flesch, Inge E. A.&lt;/author&gt;&lt;author&gt;Heading, Sally L.&lt;/author&gt;&lt;author&gt;Sette, Alessandro&lt;/author&gt;&lt;author&gt;La Gruta, Nicole L.&lt;/author&gt;&lt;author&gt;Purcell, Anthony W.&lt;/author&gt;&lt;author&gt;Tscharke, David C.&lt;/author&gt;&lt;/authors&gt;&lt;/contributors&gt;&lt;titles&gt;&lt;title&gt;Most viral peptides displayed by class I MHC on infected cells are immunogenic&lt;/title&gt;&lt;secondary-title&gt;Proceedings of the National Academy of Sciences&lt;/secondary-title&gt;&lt;/titles&gt;&lt;periodical&gt;&lt;full-title&gt;Proceedings of the National Academy of Sciences&lt;/full-title&gt;&lt;/periodical&gt;&lt;pages&gt;3112&lt;/pages&gt;&lt;volume&gt;116&lt;/volume&gt;&lt;number&gt;8&lt;/number&gt;&lt;dates&gt;&lt;year&gt;2019&lt;/year&gt;&lt;/dates&gt;&lt;urls&gt;&lt;related-urls&gt;&lt;url&gt;http://www.pnas.org/content/116/8/3112.abstract&lt;/url&gt;&lt;/related-urls&gt;&lt;/urls&gt;&lt;electronic-resource-num&gt;10.1073/pnas.1815239116&lt;/electronic-resource-num&gt;&lt;/record&gt;&lt;/Cite&gt;&lt;/EndNote&gt;</w:instrText>
      </w:r>
      <w:r w:rsidRPr="00D10E11">
        <w:fldChar w:fldCharType="separate"/>
      </w:r>
      <w:r w:rsidR="0026317D" w:rsidRPr="0026317D">
        <w:rPr>
          <w:noProof/>
          <w:vertAlign w:val="superscript"/>
        </w:rPr>
        <w:t>1</w:t>
      </w:r>
      <w:r w:rsidRPr="00D10E11">
        <w:fldChar w:fldCharType="end"/>
      </w:r>
      <w:r w:rsidRPr="00D10E11">
        <w:t>, this set of identified peptides includes 66 H-2D</w:t>
      </w:r>
      <w:r w:rsidRPr="00D10E11">
        <w:rPr>
          <w:vertAlign w:val="superscript"/>
        </w:rPr>
        <w:t>b</w:t>
      </w:r>
      <w:r w:rsidRPr="00D10E11">
        <w:t xml:space="preserve"> and 53 H-2K</w:t>
      </w:r>
      <w:r w:rsidRPr="00D10E11">
        <w:rPr>
          <w:vertAlign w:val="superscript"/>
        </w:rPr>
        <w:t>b</w:t>
      </w:r>
      <w:r w:rsidRPr="00D10E11">
        <w:t xml:space="preserve"> viral ligands (</w:t>
      </w:r>
      <w:r w:rsidRPr="00D10E11">
        <w:rPr>
          <w:color w:val="0070C0"/>
        </w:rPr>
        <w:t>Figure S1G</w:t>
      </w:r>
      <w:r>
        <w:rPr>
          <w:color w:val="0070C0"/>
        </w:rPr>
        <w:t>-</w:t>
      </w:r>
      <w:r w:rsidRPr="00D10E11">
        <w:rPr>
          <w:color w:val="0070C0"/>
        </w:rPr>
        <w:t>H – Supplemental Data</w:t>
      </w:r>
      <w:r w:rsidRPr="00D10E11">
        <w:t>).</w:t>
      </w:r>
    </w:p>
    <w:p w14:paraId="2A4E34B8" w14:textId="77777777" w:rsidR="00B25970" w:rsidRPr="00D10E11" w:rsidRDefault="00B25970" w:rsidP="00477F54">
      <w:pPr>
        <w:rPr>
          <w:lang w:eastAsia="en-AU"/>
        </w:rPr>
      </w:pPr>
    </w:p>
    <w:tbl>
      <w:tblPr>
        <w:tblStyle w:val="TableGrid"/>
        <w:tblW w:w="1057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76"/>
      </w:tblGrid>
      <w:tr w:rsidR="00477F54" w:rsidRPr="00D10E11" w14:paraId="3692734D" w14:textId="77777777" w:rsidTr="004B7C8B">
        <w:trPr>
          <w:jc w:val="center"/>
        </w:trPr>
        <w:tc>
          <w:tcPr>
            <w:tcW w:w="10576" w:type="dxa"/>
          </w:tcPr>
          <w:p w14:paraId="154942C0" w14:textId="77777777" w:rsidR="00477F54" w:rsidRPr="00D10E11" w:rsidRDefault="00477F54" w:rsidP="004B7C8B">
            <w:pPr>
              <w:spacing w:before="0" w:line="240" w:lineRule="auto"/>
              <w:jc w:val="center"/>
            </w:pPr>
            <w:r w:rsidRPr="00D10E11">
              <w:rPr>
                <w:noProof/>
              </w:rPr>
              <w:drawing>
                <wp:inline distT="0" distB="0" distL="0" distR="0" wp14:anchorId="508EB806" wp14:editId="740754B8">
                  <wp:extent cx="6468745" cy="6214110"/>
                  <wp:effectExtent l="0" t="0" r="0" b="0"/>
                  <wp:docPr id="668" name="Picture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35433" cy="6278173"/>
                          </a:xfrm>
                          <a:prstGeom prst="rect">
                            <a:avLst/>
                          </a:prstGeom>
                          <a:noFill/>
                        </pic:spPr>
                      </pic:pic>
                    </a:graphicData>
                  </a:graphic>
                </wp:inline>
              </w:drawing>
            </w:r>
          </w:p>
        </w:tc>
      </w:tr>
      <w:tr w:rsidR="00477F54" w:rsidRPr="00D10E11" w14:paraId="566F414D" w14:textId="77777777" w:rsidTr="004B7C8B">
        <w:trPr>
          <w:jc w:val="center"/>
        </w:trPr>
        <w:tc>
          <w:tcPr>
            <w:tcW w:w="10576" w:type="dxa"/>
          </w:tcPr>
          <w:p w14:paraId="2B5E299D" w14:textId="0F02C20F" w:rsidR="00477F54" w:rsidRPr="00D10E11" w:rsidRDefault="00477F54" w:rsidP="004B7C8B">
            <w:pPr>
              <w:spacing w:before="0" w:line="240" w:lineRule="auto"/>
              <w:rPr>
                <w:szCs w:val="20"/>
              </w:rPr>
            </w:pPr>
            <w:r w:rsidRPr="00D10E11">
              <w:rPr>
                <w:b/>
                <w:bCs/>
                <w:szCs w:val="20"/>
              </w:rPr>
              <w:lastRenderedPageBreak/>
              <w:t>Figure S1. Analysis of the H-2</w:t>
            </w:r>
            <w:r w:rsidRPr="00D10E11">
              <w:rPr>
                <w:b/>
                <w:bCs/>
                <w:szCs w:val="20"/>
                <w:vertAlign w:val="superscript"/>
              </w:rPr>
              <w:t>b</w:t>
            </w:r>
            <w:r w:rsidRPr="00D10E11">
              <w:rPr>
                <w:b/>
                <w:bCs/>
                <w:szCs w:val="20"/>
              </w:rPr>
              <w:t xml:space="preserve"> and VACV MHCI peptide repertoire identified by the MS-immunopeptidomics discovery workflow to generate a spectral library from the DDA dataset.</w:t>
            </w:r>
            <w:r w:rsidRPr="00D10E11">
              <w:rPr>
                <w:szCs w:val="20"/>
              </w:rPr>
              <w:t xml:space="preserve"> Cluster analysis of immunopeptidomes (H-2D</w:t>
            </w:r>
            <w:r w:rsidRPr="00D10E11">
              <w:rPr>
                <w:szCs w:val="20"/>
                <w:vertAlign w:val="superscript"/>
              </w:rPr>
              <w:t>b</w:t>
            </w:r>
            <w:r w:rsidRPr="00D10E11">
              <w:rPr>
                <w:szCs w:val="20"/>
              </w:rPr>
              <w:t>/-2K</w:t>
            </w:r>
            <w:r w:rsidRPr="00D10E11">
              <w:rPr>
                <w:szCs w:val="20"/>
                <w:vertAlign w:val="superscript"/>
              </w:rPr>
              <w:t>b</w:t>
            </w:r>
            <w:r w:rsidRPr="00D10E11">
              <w:rPr>
                <w:szCs w:val="20"/>
              </w:rPr>
              <w:t xml:space="preserve"> MHCI peptides) eluted from the DC2.4 cell line by </w:t>
            </w:r>
            <w:proofErr w:type="spellStart"/>
            <w:r w:rsidRPr="00D10E11">
              <w:rPr>
                <w:szCs w:val="20"/>
              </w:rPr>
              <w:t>GibbsCluster</w:t>
            </w:r>
            <w:proofErr w:type="spellEnd"/>
            <w:r w:rsidRPr="00D10E11">
              <w:rPr>
                <w:szCs w:val="20"/>
              </w:rPr>
              <w:t xml:space="preserve"> (ver. 2.0) tool. </w:t>
            </w:r>
            <w:r w:rsidRPr="00D10E11">
              <w:rPr>
                <w:b/>
                <w:bCs/>
                <w:szCs w:val="20"/>
              </w:rPr>
              <w:t>(A)</w:t>
            </w:r>
            <w:r w:rsidRPr="00D10E11">
              <w:rPr>
                <w:szCs w:val="20"/>
              </w:rPr>
              <w:t xml:space="preserve"> The calculated KLD scores identify the optimal number of allelic-based clusters (n = 2). </w:t>
            </w:r>
            <w:r w:rsidRPr="00D10E11">
              <w:rPr>
                <w:b/>
                <w:bCs/>
                <w:szCs w:val="20"/>
              </w:rPr>
              <w:t>(B)-(C)</w:t>
            </w:r>
            <w:r w:rsidRPr="00D10E11">
              <w:rPr>
                <w:szCs w:val="20"/>
              </w:rPr>
              <w:t xml:space="preserve"> The generated sequence motifs from the </w:t>
            </w:r>
            <w:proofErr w:type="spellStart"/>
            <w:r w:rsidRPr="00D10E11">
              <w:rPr>
                <w:szCs w:val="20"/>
              </w:rPr>
              <w:t>GibbsCluster</w:t>
            </w:r>
            <w:proofErr w:type="spellEnd"/>
            <w:r w:rsidRPr="00D10E11">
              <w:rPr>
                <w:szCs w:val="20"/>
              </w:rPr>
              <w:t xml:space="preserve"> were assessed to approve the presence of the specific MHCI peptide ligands (H-2D</w:t>
            </w:r>
            <w:r w:rsidRPr="00D10E11">
              <w:rPr>
                <w:szCs w:val="20"/>
                <w:vertAlign w:val="superscript"/>
              </w:rPr>
              <w:t>b</w:t>
            </w:r>
            <w:r w:rsidRPr="00D10E11">
              <w:rPr>
                <w:szCs w:val="20"/>
              </w:rPr>
              <w:t xml:space="preserve"> and H-2K</w:t>
            </w:r>
            <w:r w:rsidRPr="00D10E11">
              <w:rPr>
                <w:szCs w:val="20"/>
                <w:vertAlign w:val="superscript"/>
              </w:rPr>
              <w:t>b</w:t>
            </w:r>
            <w:r w:rsidRPr="00D10E11">
              <w:rPr>
                <w:szCs w:val="20"/>
              </w:rPr>
              <w:t xml:space="preserve"> binders) in accordance with the expected sequence logo in the literature. </w:t>
            </w:r>
            <w:r w:rsidRPr="00D10E11">
              <w:rPr>
                <w:b/>
                <w:bCs/>
                <w:szCs w:val="20"/>
              </w:rPr>
              <w:t>(D-E)</w:t>
            </w:r>
            <w:r w:rsidRPr="00D10E11">
              <w:rPr>
                <w:szCs w:val="20"/>
              </w:rPr>
              <w:t xml:space="preserve"> The spectral library contains 10,056 MHCI-restricted peptide ligands eluted from DC2.4 cells containing H-2D</w:t>
            </w:r>
            <w:r w:rsidRPr="00D10E11">
              <w:rPr>
                <w:szCs w:val="20"/>
                <w:vertAlign w:val="superscript"/>
              </w:rPr>
              <w:t>b</w:t>
            </w:r>
            <w:r w:rsidRPr="00D10E11">
              <w:rPr>
                <w:szCs w:val="20"/>
              </w:rPr>
              <w:t xml:space="preserve"> and H-2K</w:t>
            </w:r>
            <w:r w:rsidRPr="00D10E11">
              <w:rPr>
                <w:szCs w:val="20"/>
                <w:vertAlign w:val="superscript"/>
              </w:rPr>
              <w:t>b</w:t>
            </w:r>
            <w:r w:rsidRPr="00D10E11">
              <w:rPr>
                <w:szCs w:val="20"/>
              </w:rPr>
              <w:t xml:space="preserve"> binders. </w:t>
            </w:r>
            <w:r w:rsidRPr="00D10E11">
              <w:rPr>
                <w:b/>
                <w:bCs/>
                <w:szCs w:val="20"/>
              </w:rPr>
              <w:t>(D)</w:t>
            </w:r>
            <w:r w:rsidRPr="00D10E11">
              <w:rPr>
                <w:szCs w:val="20"/>
              </w:rPr>
              <w:t xml:space="preserve"> Length distribution of the identified peptides in the DDA spectral repertoire shows the main proportion of MHCI peptide ligands (sequence length of 8-to-14-mer) data isolated using the Y-3 and 28-14-8S antibodies. Most peptides are 9-mer and 8-mer in length for H-2D</w:t>
            </w:r>
            <w:r w:rsidRPr="00D10E11">
              <w:rPr>
                <w:szCs w:val="20"/>
                <w:vertAlign w:val="superscript"/>
              </w:rPr>
              <w:t>b</w:t>
            </w:r>
            <w:r w:rsidRPr="00D10E11">
              <w:rPr>
                <w:szCs w:val="20"/>
              </w:rPr>
              <w:t xml:space="preserve"> and H-2K</w:t>
            </w:r>
            <w:r w:rsidRPr="00D10E11">
              <w:rPr>
                <w:szCs w:val="20"/>
                <w:vertAlign w:val="superscript"/>
              </w:rPr>
              <w:t>b</w:t>
            </w:r>
            <w:r w:rsidRPr="00D10E11">
              <w:rPr>
                <w:szCs w:val="20"/>
              </w:rPr>
              <w:t xml:space="preserve"> alleles, respectively. </w:t>
            </w:r>
            <w:r w:rsidRPr="00D10E11">
              <w:rPr>
                <w:b/>
                <w:bCs/>
                <w:szCs w:val="20"/>
              </w:rPr>
              <w:t>(E)</w:t>
            </w:r>
            <w:r w:rsidRPr="00D10E11">
              <w:rPr>
                <w:szCs w:val="20"/>
              </w:rPr>
              <w:t xml:space="preserve"> NetMHCpan-4.1 was utili</w:t>
            </w:r>
            <w:r w:rsidR="002D2102">
              <w:rPr>
                <w:szCs w:val="20"/>
              </w:rPr>
              <w:t>s</w:t>
            </w:r>
            <w:r w:rsidRPr="00D10E11">
              <w:rPr>
                <w:szCs w:val="20"/>
              </w:rPr>
              <w:t>ed to predict the binding likelihood of peptides to MHCI alleles with known sequences through the ANN model, confirming the main portion of the spectral library is the repertoire of H-2D</w:t>
            </w:r>
            <w:r w:rsidRPr="00D10E11">
              <w:rPr>
                <w:szCs w:val="20"/>
                <w:vertAlign w:val="superscript"/>
              </w:rPr>
              <w:t>b</w:t>
            </w:r>
            <w:r w:rsidRPr="00D10E11">
              <w:rPr>
                <w:szCs w:val="20"/>
              </w:rPr>
              <w:t xml:space="preserve"> ligands (52.28%) and H-2K</w:t>
            </w:r>
            <w:r w:rsidRPr="00D10E11">
              <w:rPr>
                <w:szCs w:val="20"/>
                <w:vertAlign w:val="superscript"/>
              </w:rPr>
              <w:t xml:space="preserve">b </w:t>
            </w:r>
            <w:r w:rsidRPr="00D10E11">
              <w:rPr>
                <w:szCs w:val="20"/>
              </w:rPr>
              <w:t xml:space="preserve">(47.42%). </w:t>
            </w:r>
            <w:r w:rsidRPr="00D10E11">
              <w:rPr>
                <w:b/>
                <w:bCs/>
                <w:szCs w:val="20"/>
              </w:rPr>
              <w:t>(F)</w:t>
            </w:r>
            <w:r w:rsidRPr="00D10E11">
              <w:rPr>
                <w:szCs w:val="20"/>
              </w:rPr>
              <w:t xml:space="preserve"> Assessment of the proportion of 1192 weak and 3913 strong binders of the H-2D</w:t>
            </w:r>
            <w:r w:rsidRPr="00D10E11">
              <w:rPr>
                <w:szCs w:val="20"/>
                <w:vertAlign w:val="superscript"/>
              </w:rPr>
              <w:t>b</w:t>
            </w:r>
            <w:r w:rsidRPr="00D10E11">
              <w:rPr>
                <w:szCs w:val="20"/>
              </w:rPr>
              <w:t xml:space="preserve"> allele compared with 1671 weak and 3478 strong ligands of the H-2K</w:t>
            </w:r>
            <w:r w:rsidRPr="00D10E11">
              <w:rPr>
                <w:szCs w:val="20"/>
                <w:vertAlign w:val="superscript"/>
              </w:rPr>
              <w:t>b</w:t>
            </w:r>
            <w:r w:rsidRPr="00D10E11">
              <w:rPr>
                <w:szCs w:val="20"/>
              </w:rPr>
              <w:t xml:space="preserve"> allotype. </w:t>
            </w:r>
            <w:r w:rsidRPr="00D10E11">
              <w:rPr>
                <w:b/>
                <w:bCs/>
                <w:szCs w:val="20"/>
              </w:rPr>
              <w:t>(G)</w:t>
            </w:r>
            <w:r w:rsidRPr="00D10E11">
              <w:rPr>
                <w:szCs w:val="20"/>
              </w:rPr>
              <w:t xml:space="preserve"> The proportion of VACV peptides (119 MHCI peptides out of 10,056 IDs) in the spectral library contains 66 H-2D</w:t>
            </w:r>
            <w:r w:rsidRPr="00D10E11">
              <w:rPr>
                <w:szCs w:val="20"/>
                <w:vertAlign w:val="superscript"/>
              </w:rPr>
              <w:t>b</w:t>
            </w:r>
            <w:r w:rsidRPr="00D10E11">
              <w:rPr>
                <w:szCs w:val="20"/>
              </w:rPr>
              <w:t xml:space="preserve"> (55.46%) and 53 H-2K</w:t>
            </w:r>
            <w:r w:rsidRPr="00D10E11">
              <w:rPr>
                <w:szCs w:val="20"/>
                <w:vertAlign w:val="superscript"/>
              </w:rPr>
              <w:t>b</w:t>
            </w:r>
            <w:r w:rsidRPr="00D10E11">
              <w:rPr>
                <w:szCs w:val="20"/>
              </w:rPr>
              <w:t xml:space="preserve"> (44.54%) binders. </w:t>
            </w:r>
            <w:r w:rsidRPr="00D10E11">
              <w:rPr>
                <w:b/>
                <w:bCs/>
                <w:szCs w:val="20"/>
              </w:rPr>
              <w:t>(H)</w:t>
            </w:r>
            <w:r w:rsidRPr="00D10E11">
              <w:rPr>
                <w:szCs w:val="20"/>
              </w:rPr>
              <w:t xml:space="preserve"> Length distribution for 119 identified VACV-derived MHCI peptides per allele ranging from 7- to 13-mer.      </w:t>
            </w:r>
          </w:p>
        </w:tc>
      </w:tr>
    </w:tbl>
    <w:p w14:paraId="05291BF1" w14:textId="77777777" w:rsidR="00477F54" w:rsidRDefault="00477F54" w:rsidP="00477F54">
      <w:pPr>
        <w:rPr>
          <w:lang w:eastAsia="en-AU"/>
        </w:rPr>
      </w:pPr>
    </w:p>
    <w:p w14:paraId="15218E6C" w14:textId="01AA7FC8" w:rsidR="00AE2CA3" w:rsidRDefault="00AE2CA3" w:rsidP="00AE2CA3">
      <w:r w:rsidRPr="00D10E11">
        <w:t xml:space="preserve">The impact of the temperature treatments on cell lysate was monitored by </w:t>
      </w:r>
      <w:r w:rsidR="002D2102">
        <w:t>analysing</w:t>
      </w:r>
      <w:r w:rsidRPr="00D10E11">
        <w:t xml:space="preserve"> the number of identified peptides across thermal treatments from 37</w:t>
      </w:r>
      <w:r>
        <w:t>℃</w:t>
      </w:r>
      <w:r w:rsidRPr="00D10E11">
        <w:t xml:space="preserve"> to 73</w:t>
      </w:r>
      <w:r>
        <w:t>℃</w:t>
      </w:r>
      <w:r w:rsidRPr="00D10E11">
        <w:t>, which shows the logical depletion trend throughout the data points (</w:t>
      </w:r>
      <w:r w:rsidRPr="00D10E11">
        <w:rPr>
          <w:color w:val="0070C0"/>
        </w:rPr>
        <w:t>Figure S</w:t>
      </w:r>
      <w:r>
        <w:rPr>
          <w:color w:val="0070C0"/>
        </w:rPr>
        <w:t>2A</w:t>
      </w:r>
      <w:r w:rsidRPr="00D10E11">
        <w:rPr>
          <w:color w:val="0070C0"/>
        </w:rPr>
        <w:t xml:space="preserve"> – Supplemental Data</w:t>
      </w:r>
      <w:r w:rsidRPr="00D10E11">
        <w:t>).</w:t>
      </w:r>
      <w:r>
        <w:t xml:space="preserve"> </w:t>
      </w:r>
      <w:r w:rsidR="002D2102">
        <w:t>To further analyse</w:t>
      </w:r>
      <w:r w:rsidRPr="00D10E11">
        <w:t xml:space="preserve"> the overall effect of thermal treatments across data points in the SWATH-MS data, we </w:t>
      </w:r>
      <w:r>
        <w:t>analy</w:t>
      </w:r>
      <w:r w:rsidR="002D2102">
        <w:t>s</w:t>
      </w:r>
      <w:r>
        <w:t>ed</w:t>
      </w:r>
      <w:r w:rsidRPr="00D10E11">
        <w:t xml:space="preserve"> the identified precursors integrated through extracted peak areas to demonstrate the visual differences in </w:t>
      </w:r>
      <w:proofErr w:type="gramStart"/>
      <w:r w:rsidRPr="00D10E11">
        <w:t>thermally-treated</w:t>
      </w:r>
      <w:proofErr w:type="gramEnd"/>
      <w:r w:rsidRPr="00D10E11">
        <w:t xml:space="preserve"> </w:t>
      </w:r>
      <w:proofErr w:type="spellStart"/>
      <w:r w:rsidRPr="00D10E11">
        <w:t>pMHC</w:t>
      </w:r>
      <w:proofErr w:type="spellEnd"/>
      <w:r w:rsidRPr="00D10E11">
        <w:t xml:space="preserve"> complexes. A heatmap of the normali</w:t>
      </w:r>
      <w:r w:rsidR="002D2102">
        <w:t>s</w:t>
      </w:r>
      <w:r w:rsidRPr="00D10E11">
        <w:t>ed peak areas of the precursors (fold-changes relative to the reference temperature 37℃) (</w:t>
      </w:r>
      <w:r w:rsidRPr="00D10E11">
        <w:rPr>
          <w:color w:val="0070C0"/>
        </w:rPr>
        <w:t>Figure S</w:t>
      </w:r>
      <w:r>
        <w:rPr>
          <w:color w:val="0070C0"/>
        </w:rPr>
        <w:t>2B</w:t>
      </w:r>
      <w:r w:rsidRPr="00D10E11">
        <w:rPr>
          <w:color w:val="0070C0"/>
        </w:rPr>
        <w:t xml:space="preserve"> – Supplemental Data</w:t>
      </w:r>
      <w:r w:rsidRPr="00D10E11">
        <w:t>) demonstrated that, generally, at either 57</w:t>
      </w:r>
      <w:r w:rsidRPr="00D10E11">
        <w:rPr>
          <w:rFonts w:cstheme="majorBidi"/>
        </w:rPr>
        <w:t>℃</w:t>
      </w:r>
      <w:r w:rsidRPr="00D10E11">
        <w:t xml:space="preserve"> or 61</w:t>
      </w:r>
      <w:r w:rsidRPr="00D10E11">
        <w:rPr>
          <w:rFonts w:cstheme="majorBidi"/>
        </w:rPr>
        <w:t>℃</w:t>
      </w:r>
      <w:r w:rsidRPr="00D10E11">
        <w:t xml:space="preserve">, the thermal incubation resulted in the complete dissociation of most </w:t>
      </w:r>
      <w:proofErr w:type="spellStart"/>
      <w:r w:rsidRPr="00D10E11">
        <w:t>pMHC</w:t>
      </w:r>
      <w:proofErr w:type="spellEnd"/>
      <w:r w:rsidRPr="00D10E11">
        <w:t xml:space="preserve"> complexes</w:t>
      </w:r>
      <w:r>
        <w:t xml:space="preserve">, showing </w:t>
      </w:r>
      <w:r w:rsidRPr="00D10E11">
        <w:t xml:space="preserve">a consistent dissociation of </w:t>
      </w:r>
      <w:proofErr w:type="spellStart"/>
      <w:r w:rsidRPr="00D10E11">
        <w:t>pMHC</w:t>
      </w:r>
      <w:proofErr w:type="spellEnd"/>
      <w:r w:rsidRPr="00D10E11">
        <w:t xml:space="preserve"> complexes and subsequent decreased peptide-specific quantities upon applying the thermal gradient. A summary of the identification results shows at least ~2,400 MHCI peptides (up to ~3,600 by merging Skyline- and DIA-NN-derived thermostability profiles) at FDR of 5% have the potential for thermostability profiling across the temperature gradient incorporating the programmed computational workflow</w:t>
      </w:r>
      <w:r>
        <w:t xml:space="preserve"> </w:t>
      </w:r>
      <w:r w:rsidRPr="00D10E11">
        <w:t>(</w:t>
      </w:r>
      <w:r w:rsidRPr="00D10E11">
        <w:rPr>
          <w:color w:val="0070C0"/>
        </w:rPr>
        <w:t>Figure S</w:t>
      </w:r>
      <w:r>
        <w:rPr>
          <w:color w:val="0070C0"/>
        </w:rPr>
        <w:t>2C</w:t>
      </w:r>
      <w:r w:rsidRPr="00D10E11">
        <w:rPr>
          <w:color w:val="0070C0"/>
        </w:rPr>
        <w:t xml:space="preserve"> – Supplemental Data</w:t>
      </w:r>
      <w:r w:rsidRPr="00D10E11">
        <w:t xml:space="preserve">). </w:t>
      </w:r>
    </w:p>
    <w:p w14:paraId="43617C9B" w14:textId="5C37E556" w:rsidR="000961E6" w:rsidRPr="00D10E11" w:rsidRDefault="000961E6" w:rsidP="000961E6">
      <w:r w:rsidRPr="00D10E11">
        <w:t xml:space="preserve">To highlight significant differences between </w:t>
      </w:r>
      <w:proofErr w:type="spellStart"/>
      <w:r w:rsidRPr="00D10E11">
        <w:t>pMHC</w:t>
      </w:r>
      <w:proofErr w:type="spellEnd"/>
      <w:r w:rsidRPr="00D10E11">
        <w:t xml:space="preserve"> complexes quantified at 57</w:t>
      </w:r>
      <w:r w:rsidRPr="00D10E11">
        <w:rPr>
          <w:rFonts w:cstheme="majorBidi"/>
        </w:rPr>
        <w:t>℃ compared to 37℃, we analy</w:t>
      </w:r>
      <w:r w:rsidR="002D2102">
        <w:rPr>
          <w:rFonts w:cstheme="majorBidi"/>
        </w:rPr>
        <w:t>s</w:t>
      </w:r>
      <w:r w:rsidRPr="00D10E11">
        <w:rPr>
          <w:rFonts w:cstheme="majorBidi"/>
        </w:rPr>
        <w:t>ed the quantities of the corresponding protein groups through a Volcano plot showing t-test derived p-values (-log</w:t>
      </w:r>
      <w:r w:rsidRPr="00D10E11">
        <w:rPr>
          <w:rFonts w:cstheme="majorBidi"/>
          <w:vertAlign w:val="subscript"/>
        </w:rPr>
        <w:t>10</w:t>
      </w:r>
      <w:r w:rsidRPr="00D10E11">
        <w:rPr>
          <w:rFonts w:cstheme="majorBidi"/>
        </w:rPr>
        <w:t>) versus fold change differences (log</w:t>
      </w:r>
      <w:r w:rsidRPr="00D10E11">
        <w:rPr>
          <w:rFonts w:cstheme="majorBidi"/>
          <w:vertAlign w:val="subscript"/>
        </w:rPr>
        <w:t>2</w:t>
      </w:r>
      <w:r w:rsidRPr="00D10E11">
        <w:rPr>
          <w:rFonts w:cstheme="majorBidi"/>
        </w:rPr>
        <w:t>) (</w:t>
      </w:r>
      <w:r w:rsidRPr="00D10E11">
        <w:rPr>
          <w:color w:val="0070C0"/>
        </w:rPr>
        <w:t xml:space="preserve">Figure </w:t>
      </w:r>
      <w:r>
        <w:rPr>
          <w:color w:val="0070C0"/>
        </w:rPr>
        <w:t>S</w:t>
      </w:r>
      <w:r w:rsidR="00500B04">
        <w:rPr>
          <w:color w:val="0070C0"/>
        </w:rPr>
        <w:t>2</w:t>
      </w:r>
      <w:r>
        <w:rPr>
          <w:color w:val="0070C0"/>
        </w:rPr>
        <w:t>D</w:t>
      </w:r>
      <w:r w:rsidRPr="00D10E11">
        <w:rPr>
          <w:rFonts w:cstheme="majorBidi"/>
        </w:rPr>
        <w:t>).</w:t>
      </w:r>
      <w:r w:rsidRPr="00D10E11">
        <w:t xml:space="preserve"> Although most of the protein groups (protein accessions corresponding with MHCI peptides) showed higher fold-change and signal intensities, </w:t>
      </w:r>
      <w:r w:rsidR="002D2102">
        <w:t>several</w:t>
      </w:r>
      <w:r w:rsidRPr="00D10E11">
        <w:t xml:space="preserve"> protein groups (this set may include degraded proteins that are not related to MHCI peptides) have higher background signals upon treatment with higher temperature (57℃). </w:t>
      </w:r>
      <w:r w:rsidRPr="00D10E11">
        <w:rPr>
          <w:rFonts w:cstheme="majorBidi"/>
        </w:rPr>
        <w:t>Since</w:t>
      </w:r>
      <w:r w:rsidRPr="00D10E11">
        <w:t xml:space="preserve"> most of the </w:t>
      </w:r>
      <w:proofErr w:type="spellStart"/>
      <w:r w:rsidRPr="00D10E11">
        <w:t>pMHC</w:t>
      </w:r>
      <w:proofErr w:type="spellEnd"/>
      <w:r w:rsidRPr="00D10E11">
        <w:t xml:space="preserve"> complexes were dissociated between 57</w:t>
      </w:r>
      <w:r w:rsidRPr="00D10E11">
        <w:rPr>
          <w:rFonts w:cstheme="majorBidi"/>
        </w:rPr>
        <w:t>℃</w:t>
      </w:r>
      <w:r w:rsidRPr="00D10E11">
        <w:t>-61</w:t>
      </w:r>
      <w:r w:rsidRPr="00D10E11">
        <w:rPr>
          <w:rFonts w:cstheme="majorBidi"/>
        </w:rPr>
        <w:t>℃,</w:t>
      </w:r>
      <w:r w:rsidRPr="00D10E11">
        <w:t xml:space="preserve"> we </w:t>
      </w:r>
      <w:r w:rsidR="00500B04">
        <w:t>analy</w:t>
      </w:r>
      <w:r w:rsidR="002D2102">
        <w:t>s</w:t>
      </w:r>
      <w:r w:rsidR="00500B04">
        <w:t>ed</w:t>
      </w:r>
      <w:r w:rsidRPr="00D10E11">
        <w:t xml:space="preserve"> intensities of the precursors identified through SWATH-MS data in 57</w:t>
      </w:r>
      <w:r w:rsidRPr="00D10E11">
        <w:rPr>
          <w:rFonts w:cstheme="majorBidi"/>
        </w:rPr>
        <w:t>℃</w:t>
      </w:r>
      <w:r w:rsidRPr="00D10E11">
        <w:t xml:space="preserve"> and 61</w:t>
      </w:r>
      <w:r w:rsidRPr="00D10E11">
        <w:rPr>
          <w:rFonts w:cstheme="majorBidi"/>
        </w:rPr>
        <w:t>℃ using Volcano analysis (based on Z-scores). We observed that most endogenous H-2</w:t>
      </w:r>
      <w:r w:rsidRPr="00D10E11">
        <w:rPr>
          <w:rFonts w:cstheme="majorBidi"/>
          <w:vertAlign w:val="superscript"/>
        </w:rPr>
        <w:t>b</w:t>
      </w:r>
      <w:r w:rsidRPr="00D10E11">
        <w:rPr>
          <w:rFonts w:cstheme="majorBidi"/>
        </w:rPr>
        <w:t xml:space="preserve"> and VACV peptides possess significantly higher precursor signals at 37℃ than higher temperatures. We assessed the significance of top-ten immunogenic VACV peptides (based on the work by Croft et al. </w:t>
      </w:r>
      <w:r w:rsidRPr="00D10E11">
        <w:rPr>
          <w:rFonts w:cstheme="majorBidi"/>
        </w:rPr>
        <w:fldChar w:fldCharType="begin"/>
      </w:r>
      <w:r w:rsidR="00AE2CA3">
        <w:rPr>
          <w:rFonts w:cstheme="majorBidi"/>
        </w:rPr>
        <w:instrText xml:space="preserve"> ADDIN EN.CITE &lt;EndNote&gt;&lt;Cite&gt;&lt;Author&gt;Croft&lt;/Author&gt;&lt;Year&gt;2019&lt;/Year&gt;&lt;RecNum&gt;22&lt;/RecNum&gt;&lt;DisplayText&gt;&lt;style face="superscript"&gt;1&lt;/style&gt;&lt;/DisplayText&gt;&lt;record&gt;&lt;rec-number&gt;22&lt;/rec-number&gt;&lt;foreign-keys&gt;&lt;key app="EN" db-id="wfewewtfnfedpsed0znpf9daztt0xd20tt2x" timestamp="1558835490"&gt;22&lt;/key&gt;&lt;/foreign-keys&gt;&lt;ref-type name="Journal Article"&gt;17&lt;/ref-type&gt;&lt;contributors&gt;&lt;authors&gt;&lt;author&gt;Croft, Nathan P.&lt;/author&gt;&lt;author&gt;Smith, Stewart A.&lt;/author&gt;&lt;author&gt;Pickering, Jana&lt;/author&gt;&lt;author&gt;Sidney, John&lt;/author&gt;&lt;author&gt;Peters, Bjoern&lt;/author&gt;&lt;author&gt;Faridi, Pouya&lt;/author&gt;&lt;author&gt;Witney, Matthew J.&lt;/author&gt;&lt;author&gt;Sebastian, Prince&lt;/author&gt;&lt;author&gt;Flesch, Inge E. A.&lt;/author&gt;&lt;author&gt;Heading, Sally L.&lt;/author&gt;&lt;author&gt;Sette, Alessandro&lt;/author&gt;&lt;author&gt;La Gruta, Nicole L.&lt;/author&gt;&lt;author&gt;Purcell, Anthony W.&lt;/author&gt;&lt;author&gt;Tscharke, David C.&lt;/author&gt;&lt;/authors&gt;&lt;/contributors&gt;&lt;titles&gt;&lt;title&gt;Most viral peptides displayed by class I MHC on infected cells are immunogenic&lt;/title&gt;&lt;secondary-title&gt;Proceedings of the National Academy of Sciences&lt;/secondary-title&gt;&lt;/titles&gt;&lt;periodical&gt;&lt;full-title&gt;Proceedings of the National Academy of Sciences&lt;/full-title&gt;&lt;/periodical&gt;&lt;pages&gt;3112&lt;/pages&gt;&lt;volume&gt;116&lt;/volume&gt;&lt;number&gt;8&lt;/number&gt;&lt;dates&gt;&lt;year&gt;2019&lt;/year&gt;&lt;/dates&gt;&lt;urls&gt;&lt;related-urls&gt;&lt;url&gt;http://www.pnas.org/content/116/8/3112.abstract&lt;/url&gt;&lt;/related-urls&gt;&lt;/urls&gt;&lt;electronic-resource-num&gt;10.1073/pnas.1815239116&lt;/electronic-resource-num&gt;&lt;/record&gt;&lt;/Cite&gt;&lt;/EndNote&gt;</w:instrText>
      </w:r>
      <w:r w:rsidRPr="00D10E11">
        <w:rPr>
          <w:rFonts w:cstheme="majorBidi"/>
        </w:rPr>
        <w:fldChar w:fldCharType="separate"/>
      </w:r>
      <w:r w:rsidR="00AE2CA3" w:rsidRPr="00AE2CA3">
        <w:rPr>
          <w:rFonts w:cstheme="majorBidi"/>
          <w:noProof/>
          <w:vertAlign w:val="superscript"/>
        </w:rPr>
        <w:t>1</w:t>
      </w:r>
      <w:r w:rsidRPr="00D10E11">
        <w:rPr>
          <w:rFonts w:cstheme="majorBidi"/>
        </w:rPr>
        <w:fldChar w:fldCharType="end"/>
      </w:r>
      <w:r w:rsidRPr="00D10E11">
        <w:rPr>
          <w:rFonts w:cstheme="majorBidi"/>
        </w:rPr>
        <w:t>), where all peptides except ITYRFYLINL (H-2K</w:t>
      </w:r>
      <w:r w:rsidRPr="00D10E11">
        <w:rPr>
          <w:rFonts w:cstheme="majorBidi"/>
          <w:vertAlign w:val="superscript"/>
        </w:rPr>
        <w:t>b</w:t>
      </w:r>
      <w:r w:rsidRPr="00D10E11">
        <w:rPr>
          <w:rFonts w:cstheme="majorBidi"/>
        </w:rPr>
        <w:t xml:space="preserve"> MHCI peptide) showed a higher MS signal at 37℃ (</w:t>
      </w:r>
      <w:r w:rsidRPr="00D10E11">
        <w:rPr>
          <w:rFonts w:cstheme="majorBidi"/>
          <w:color w:val="0070C0"/>
        </w:rPr>
        <w:t xml:space="preserve">Figure </w:t>
      </w:r>
      <w:r>
        <w:rPr>
          <w:rFonts w:cstheme="majorBidi"/>
          <w:color w:val="0070C0"/>
        </w:rPr>
        <w:t>S</w:t>
      </w:r>
      <w:r w:rsidR="00500B04">
        <w:rPr>
          <w:rFonts w:cstheme="majorBidi"/>
          <w:color w:val="0070C0"/>
        </w:rPr>
        <w:t>2</w:t>
      </w:r>
      <w:r>
        <w:rPr>
          <w:rFonts w:cstheme="majorBidi"/>
          <w:color w:val="0070C0"/>
        </w:rPr>
        <w:t>E-F</w:t>
      </w:r>
      <w:r w:rsidRPr="00D10E11">
        <w:rPr>
          <w:rFonts w:cstheme="majorBidi"/>
        </w:rPr>
        <w:t>).</w:t>
      </w:r>
    </w:p>
    <w:p w14:paraId="0DF62911" w14:textId="77777777" w:rsidR="000961E6" w:rsidRDefault="000961E6" w:rsidP="00477F54">
      <w:pPr>
        <w:rPr>
          <w:lang w:eastAsia="en-AU"/>
        </w:rPr>
      </w:pPr>
      <w:r w:rsidRPr="00D10E11">
        <w:t xml:space="preserve"> </w:t>
      </w:r>
    </w:p>
    <w:p w14:paraId="37923416" w14:textId="77777777" w:rsidR="000961E6" w:rsidRDefault="000961E6" w:rsidP="00477F54">
      <w:pPr>
        <w:rPr>
          <w:lang w:eastAsia="en-AU"/>
        </w:rPr>
      </w:pPr>
    </w:p>
    <w:p w14:paraId="7EE511B2" w14:textId="77777777" w:rsidR="00477F54" w:rsidRDefault="00477F54" w:rsidP="00477F54">
      <w:pPr>
        <w:rPr>
          <w:lang w:eastAsia="en-AU"/>
        </w:rPr>
      </w:pPr>
    </w:p>
    <w:tbl>
      <w:tblPr>
        <w:tblStyle w:val="TableGrid"/>
        <w:tblW w:w="1127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8"/>
      </w:tblGrid>
      <w:tr w:rsidR="00477F54" w14:paraId="49B7F4B5" w14:textId="77777777" w:rsidTr="007A25C8">
        <w:trPr>
          <w:jc w:val="center"/>
        </w:trPr>
        <w:tc>
          <w:tcPr>
            <w:tcW w:w="11272" w:type="dxa"/>
          </w:tcPr>
          <w:p w14:paraId="34E4D479" w14:textId="77777777" w:rsidR="00477F54" w:rsidRDefault="003131AB" w:rsidP="00477F54">
            <w:pPr>
              <w:spacing w:before="0" w:after="0" w:line="240" w:lineRule="auto"/>
              <w:rPr>
                <w:lang w:eastAsia="en-AU"/>
              </w:rPr>
            </w:pPr>
            <w:r>
              <w:rPr>
                <w:noProof/>
                <w:lang w:eastAsia="en-AU"/>
              </w:rPr>
              <w:drawing>
                <wp:inline distT="0" distB="0" distL="0" distR="0" wp14:anchorId="30694836" wp14:editId="57814C6D">
                  <wp:extent cx="7037070" cy="44005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39632" cy="4402152"/>
                          </a:xfrm>
                          <a:prstGeom prst="rect">
                            <a:avLst/>
                          </a:prstGeom>
                          <a:noFill/>
                        </pic:spPr>
                      </pic:pic>
                    </a:graphicData>
                  </a:graphic>
                </wp:inline>
              </w:drawing>
            </w:r>
          </w:p>
        </w:tc>
      </w:tr>
      <w:tr w:rsidR="00477F54" w14:paraId="01FAB5A3" w14:textId="77777777" w:rsidTr="007A25C8">
        <w:trPr>
          <w:jc w:val="center"/>
        </w:trPr>
        <w:tc>
          <w:tcPr>
            <w:tcW w:w="11272" w:type="dxa"/>
          </w:tcPr>
          <w:p w14:paraId="313399EC" w14:textId="405D52A3" w:rsidR="00477F54" w:rsidRPr="00477F54" w:rsidRDefault="00477F54" w:rsidP="00477F54">
            <w:pPr>
              <w:spacing w:before="0" w:after="0" w:line="240" w:lineRule="auto"/>
              <w:rPr>
                <w:b/>
                <w:bCs/>
                <w:lang w:eastAsia="en-AU"/>
              </w:rPr>
            </w:pPr>
            <w:r w:rsidRPr="00477F54">
              <w:rPr>
                <w:b/>
                <w:bCs/>
                <w:lang w:eastAsia="en-AU"/>
              </w:rPr>
              <w:t>Figure S</w:t>
            </w:r>
            <w:r>
              <w:rPr>
                <w:b/>
                <w:bCs/>
                <w:lang w:eastAsia="en-AU"/>
              </w:rPr>
              <w:t>2</w:t>
            </w:r>
            <w:r w:rsidRPr="00477F54">
              <w:rPr>
                <w:b/>
                <w:bCs/>
                <w:lang w:eastAsia="en-AU"/>
              </w:rPr>
              <w:t>. Data visuali</w:t>
            </w:r>
            <w:r w:rsidR="002D2102">
              <w:rPr>
                <w:b/>
                <w:bCs/>
                <w:lang w:eastAsia="en-AU"/>
              </w:rPr>
              <w:t>s</w:t>
            </w:r>
            <w:r w:rsidRPr="00477F54">
              <w:rPr>
                <w:b/>
                <w:bCs/>
                <w:lang w:eastAsia="en-AU"/>
              </w:rPr>
              <w:t xml:space="preserve">ation of the SWATH-MS thermostability data and an analysis of identification and the intensities of precursors across different temperatures. </w:t>
            </w:r>
          </w:p>
          <w:p w14:paraId="23A4C83B" w14:textId="2DB1FA6C" w:rsidR="00477F54" w:rsidRPr="003754EB" w:rsidRDefault="00477F54" w:rsidP="003754EB">
            <w:pPr>
              <w:spacing w:before="0" w:after="0" w:line="240" w:lineRule="auto"/>
              <w:rPr>
                <w:lang w:eastAsia="en-AU"/>
              </w:rPr>
            </w:pPr>
            <w:r w:rsidRPr="00477F54">
              <w:rPr>
                <w:b/>
                <w:bCs/>
                <w:lang w:eastAsia="en-AU"/>
              </w:rPr>
              <w:t xml:space="preserve"> (A)</w:t>
            </w:r>
            <w:r>
              <w:rPr>
                <w:lang w:eastAsia="en-AU"/>
              </w:rPr>
              <w:t xml:space="preserve"> The sum of precursor MS signals (log</w:t>
            </w:r>
            <w:r w:rsidRPr="00477F54">
              <w:rPr>
                <w:vertAlign w:val="subscript"/>
                <w:lang w:eastAsia="en-AU"/>
              </w:rPr>
              <w:t>10</w:t>
            </w:r>
            <w:r>
              <w:rPr>
                <w:lang w:eastAsia="en-AU"/>
              </w:rPr>
              <w:t xml:space="preserve">) demonstrates a decreasing trend across temperature treatments. </w:t>
            </w:r>
            <w:r w:rsidRPr="00477F54">
              <w:rPr>
                <w:b/>
                <w:bCs/>
                <w:lang w:eastAsia="en-AU"/>
              </w:rPr>
              <w:t>(B)</w:t>
            </w:r>
            <w:r w:rsidRPr="00477F54">
              <w:rPr>
                <w:lang w:eastAsia="en-AU"/>
              </w:rPr>
              <w:t xml:space="preserve"> A heatmap of the normali</w:t>
            </w:r>
            <w:r w:rsidR="002D2102">
              <w:rPr>
                <w:lang w:eastAsia="en-AU"/>
              </w:rPr>
              <w:t>s</w:t>
            </w:r>
            <w:r w:rsidRPr="00477F54">
              <w:rPr>
                <w:lang w:eastAsia="en-AU"/>
              </w:rPr>
              <w:t xml:space="preserve">ed peak area of the precursors after pre-processing for </w:t>
            </w:r>
            <w:proofErr w:type="spellStart"/>
            <w:r w:rsidRPr="00477F54">
              <w:rPr>
                <w:lang w:eastAsia="en-AU"/>
              </w:rPr>
              <w:t>pMHC</w:t>
            </w:r>
            <w:proofErr w:type="spellEnd"/>
            <w:r w:rsidRPr="00477F54">
              <w:rPr>
                <w:lang w:eastAsia="en-AU"/>
              </w:rPr>
              <w:t xml:space="preserve"> quantification over different temperatures.</w:t>
            </w:r>
            <w:r>
              <w:rPr>
                <w:lang w:eastAsia="en-AU"/>
              </w:rPr>
              <w:t xml:space="preserve"> </w:t>
            </w:r>
            <w:r w:rsidRPr="00477F54">
              <w:rPr>
                <w:b/>
                <w:bCs/>
                <w:lang w:eastAsia="en-AU"/>
              </w:rPr>
              <w:t>(C)</w:t>
            </w:r>
            <w:r>
              <w:rPr>
                <w:lang w:eastAsia="en-AU"/>
              </w:rPr>
              <w:t xml:space="preserve"> The identification results from SWATH-MS data (at both FDR cut-off of 5% and 1%) where at </w:t>
            </w:r>
            <w:r w:rsidR="00523A1F">
              <w:rPr>
                <w:lang w:eastAsia="en-AU"/>
              </w:rPr>
              <w:t>l</w:t>
            </w:r>
            <w:r>
              <w:rPr>
                <w:lang w:eastAsia="en-AU"/>
              </w:rPr>
              <w:t>east ~2,400 MHCI H-2D</w:t>
            </w:r>
            <w:r w:rsidRPr="00943CF2">
              <w:rPr>
                <w:vertAlign w:val="superscript"/>
                <w:lang w:eastAsia="en-AU"/>
              </w:rPr>
              <w:t>b</w:t>
            </w:r>
            <w:r>
              <w:rPr>
                <w:lang w:eastAsia="en-AU"/>
              </w:rPr>
              <w:t>/</w:t>
            </w:r>
            <w:proofErr w:type="spellStart"/>
            <w:r>
              <w:rPr>
                <w:lang w:eastAsia="en-AU"/>
              </w:rPr>
              <w:t>K</w:t>
            </w:r>
            <w:r w:rsidRPr="00943CF2">
              <w:rPr>
                <w:vertAlign w:val="superscript"/>
                <w:lang w:eastAsia="en-AU"/>
              </w:rPr>
              <w:t>b</w:t>
            </w:r>
            <w:proofErr w:type="spellEnd"/>
            <w:r>
              <w:rPr>
                <w:lang w:eastAsia="en-AU"/>
              </w:rPr>
              <w:t xml:space="preserve"> peptides (eluted from the DC2.4 cells) can be analy</w:t>
            </w:r>
            <w:r w:rsidR="002D2102">
              <w:rPr>
                <w:lang w:eastAsia="en-AU"/>
              </w:rPr>
              <w:t>s</w:t>
            </w:r>
            <w:r>
              <w:rPr>
                <w:lang w:eastAsia="en-AU"/>
              </w:rPr>
              <w:t>ed for thermostability profiling across the temperature gradient (for the data at 5%</w:t>
            </w:r>
            <w:r w:rsidR="00523A1F">
              <w:rPr>
                <w:lang w:eastAsia="en-AU"/>
              </w:rPr>
              <w:t xml:space="preserve"> </w:t>
            </w:r>
            <w:r>
              <w:rPr>
                <w:lang w:eastAsia="en-AU"/>
              </w:rPr>
              <w:t>FDR).</w:t>
            </w:r>
            <w:r w:rsidR="00A81E96">
              <w:rPr>
                <w:lang w:eastAsia="en-AU"/>
              </w:rPr>
              <w:t xml:space="preserve"> </w:t>
            </w:r>
            <w:r w:rsidR="00A81E96" w:rsidRPr="003754EB">
              <w:rPr>
                <w:b/>
                <w:bCs/>
                <w:lang w:eastAsia="en-AU"/>
              </w:rPr>
              <w:t>(D)</w:t>
            </w:r>
            <w:r w:rsidR="00A81E96">
              <w:rPr>
                <w:lang w:eastAsia="en-AU"/>
              </w:rPr>
              <w:t xml:space="preserve"> </w:t>
            </w:r>
            <w:r w:rsidR="003754EB" w:rsidRPr="00D10E11">
              <w:rPr>
                <w:szCs w:val="20"/>
              </w:rPr>
              <w:t xml:space="preserve">A Volcano plot shows significant differences between </w:t>
            </w:r>
            <w:proofErr w:type="spellStart"/>
            <w:r w:rsidR="003754EB" w:rsidRPr="00D10E11">
              <w:rPr>
                <w:szCs w:val="20"/>
              </w:rPr>
              <w:t>pMHC</w:t>
            </w:r>
            <w:proofErr w:type="spellEnd"/>
            <w:r w:rsidR="003754EB" w:rsidRPr="00D10E11">
              <w:rPr>
                <w:szCs w:val="20"/>
              </w:rPr>
              <w:t xml:space="preserve"> complexes quantified at 57℃ (compared to 37℃ as the reference temperature) through the quantities of the corresponding protein groups as t-test </w:t>
            </w:r>
            <w:r w:rsidR="003754EB" w:rsidRPr="00D10E11">
              <w:rPr>
                <w:i/>
                <w:iCs/>
                <w:szCs w:val="20"/>
              </w:rPr>
              <w:t>p</w:t>
            </w:r>
            <w:r w:rsidR="003754EB" w:rsidRPr="00D10E11">
              <w:rPr>
                <w:szCs w:val="20"/>
              </w:rPr>
              <w:t>-values versus fold change differences (log</w:t>
            </w:r>
            <w:r w:rsidR="003754EB" w:rsidRPr="00D10E11">
              <w:rPr>
                <w:szCs w:val="20"/>
                <w:vertAlign w:val="subscript"/>
              </w:rPr>
              <w:t>2</w:t>
            </w:r>
            <w:r w:rsidR="003754EB" w:rsidRPr="00D10E11">
              <w:rPr>
                <w:szCs w:val="20"/>
              </w:rPr>
              <w:t xml:space="preserve">). </w:t>
            </w:r>
            <w:r w:rsidR="003754EB" w:rsidRPr="00D10E11">
              <w:rPr>
                <w:i/>
                <w:iCs/>
                <w:szCs w:val="20"/>
              </w:rPr>
              <w:t>The Volcano plot was generated by the “</w:t>
            </w:r>
            <w:proofErr w:type="spellStart"/>
            <w:r w:rsidR="003754EB" w:rsidRPr="00D10E11">
              <w:rPr>
                <w:i/>
                <w:iCs/>
                <w:szCs w:val="20"/>
              </w:rPr>
              <w:t>ggVolcanoR</w:t>
            </w:r>
            <w:proofErr w:type="spellEnd"/>
            <w:r w:rsidR="003754EB" w:rsidRPr="00D10E11">
              <w:rPr>
                <w:i/>
                <w:iCs/>
                <w:szCs w:val="20"/>
              </w:rPr>
              <w:t xml:space="preserve">” Shiny App </w:t>
            </w:r>
            <w:r w:rsidR="003754EB" w:rsidRPr="00D10E11">
              <w:rPr>
                <w:i/>
                <w:iCs/>
                <w:szCs w:val="20"/>
              </w:rPr>
              <w:fldChar w:fldCharType="begin"/>
            </w:r>
            <w:r w:rsidR="003754EB">
              <w:rPr>
                <w:i/>
                <w:iCs/>
                <w:szCs w:val="20"/>
              </w:rPr>
              <w:instrText xml:space="preserve"> ADDIN EN.CITE &lt;EndNote&gt;&lt;Cite&gt;&lt;Author&gt;Mullan&lt;/Author&gt;&lt;Year&gt;2021&lt;/Year&gt;&lt;RecNum&gt;700&lt;/RecNum&gt;&lt;DisplayText&gt;&lt;style face="superscript"&gt;2&lt;/style&gt;&lt;/DisplayText&gt;&lt;record&gt;&lt;rec-number&gt;700&lt;/rec-number&gt;&lt;foreign-keys&gt;&lt;key app="EN" db-id="wfewewtfnfedpsed0znpf9daztt0xd20tt2x" timestamp="1677372936"&gt;700&lt;/key&gt;&lt;/foreign-keys&gt;&lt;ref-type name="Journal Article"&gt;17&lt;/ref-type&gt;&lt;contributors&gt;&lt;authors&gt;&lt;author&gt;Mullan, Kerry A.&lt;/author&gt;&lt;author&gt;Bramberger, Liesl M.&lt;/author&gt;&lt;author&gt;Munday, Prithvi Raj&lt;/author&gt;&lt;author&gt;Goncalves, Gabriel&lt;/author&gt;&lt;author&gt;Revote, Jerico&lt;/author&gt;&lt;author&gt;Mifsud, Nicole A.&lt;/author&gt;&lt;author&gt;Illing, Patricia T.&lt;/author&gt;&lt;author&gt;Anderson, Alison&lt;/author&gt;&lt;author&gt;Kwan, Patrick&lt;/author&gt;&lt;author&gt;Purcell, Anthony W.&lt;/author&gt;&lt;author&gt;Li, Chen&lt;/author&gt;&lt;/authors&gt;&lt;/contributors&gt;&lt;titles&gt;&lt;title&gt;ggVolcanoR: A Shiny app for customizable visualization of differential expression datasets&lt;/title&gt;&lt;secondary-title&gt;Computational and Structural Biotechnology Journal&lt;/secondary-title&gt;&lt;/titles&gt;&lt;periodical&gt;&lt;full-title&gt;Computational and Structural Biotechnology Journal&lt;/full-title&gt;&lt;/periodical&gt;&lt;pages&gt;5735-5740&lt;/pages&gt;&lt;volume&gt;19&lt;/volume&gt;&lt;keywords&gt;&lt;keyword&gt;Volcano plot&lt;/keyword&gt;&lt;keyword&gt;Correlation plot&lt;/keyword&gt;&lt;keyword&gt;Heatmap&lt;/keyword&gt;&lt;keyword&gt;Upset plot&lt;/keyword&gt;&lt;keyword&gt;Differential expression data&lt;/keyword&gt;&lt;keyword&gt;Transcriptomics&lt;/keyword&gt;&lt;keyword&gt;Proteomics&lt;/keyword&gt;&lt;keyword&gt;Data visualization&lt;/keyword&gt;&lt;/keywords&gt;&lt;dates&gt;&lt;year&gt;2021&lt;/year&gt;&lt;pub-dates&gt;&lt;date&gt;2021/01/01/&lt;/date&gt;&lt;/pub-dates&gt;&lt;/dates&gt;&lt;isbn&gt;2001-0370&lt;/isbn&gt;&lt;urls&gt;&lt;related-urls&gt;&lt;url&gt;https://www.sciencedirect.com/science/article/pii/S2001037021004426&lt;/url&gt;&lt;/related-urls&gt;&lt;/urls&gt;&lt;electronic-resource-num&gt;https://doi.org/10.1016/j.csbj.2021.10.020&lt;/electronic-resource-num&gt;&lt;/record&gt;&lt;/Cite&gt;&lt;/EndNote&gt;</w:instrText>
            </w:r>
            <w:r w:rsidR="003754EB" w:rsidRPr="00D10E11">
              <w:rPr>
                <w:i/>
                <w:iCs/>
                <w:szCs w:val="20"/>
              </w:rPr>
              <w:fldChar w:fldCharType="separate"/>
            </w:r>
            <w:r w:rsidR="003754EB" w:rsidRPr="003754EB">
              <w:rPr>
                <w:i/>
                <w:iCs/>
                <w:noProof/>
                <w:szCs w:val="20"/>
                <w:vertAlign w:val="superscript"/>
              </w:rPr>
              <w:t>2</w:t>
            </w:r>
            <w:r w:rsidR="003754EB" w:rsidRPr="00D10E11">
              <w:rPr>
                <w:i/>
                <w:iCs/>
                <w:szCs w:val="20"/>
              </w:rPr>
              <w:fldChar w:fldCharType="end"/>
            </w:r>
            <w:r w:rsidR="003754EB" w:rsidRPr="00D10E11">
              <w:rPr>
                <w:i/>
                <w:iCs/>
                <w:szCs w:val="20"/>
              </w:rPr>
              <w:t>.</w:t>
            </w:r>
            <w:r w:rsidR="003754EB">
              <w:rPr>
                <w:i/>
                <w:iCs/>
                <w:szCs w:val="20"/>
              </w:rPr>
              <w:t xml:space="preserve"> </w:t>
            </w:r>
            <w:r w:rsidR="003754EB" w:rsidRPr="003754EB">
              <w:rPr>
                <w:b/>
                <w:bCs/>
                <w:szCs w:val="20"/>
              </w:rPr>
              <w:t>(E-F)</w:t>
            </w:r>
            <w:r w:rsidR="003754EB" w:rsidRPr="003754EB">
              <w:rPr>
                <w:szCs w:val="20"/>
              </w:rPr>
              <w:t xml:space="preserve"> Volcano analysis at the precursor level to demonstrate significant differences in 57℃ and 61℃. The Volcano analysis (based on Z-scores) assessed intensities of the precursors identified in SWATH-MS data at </w:t>
            </w:r>
            <w:r w:rsidR="003754EB" w:rsidRPr="003754EB">
              <w:rPr>
                <w:b/>
                <w:bCs/>
                <w:szCs w:val="20"/>
              </w:rPr>
              <w:t>(E)</w:t>
            </w:r>
            <w:r w:rsidR="003754EB" w:rsidRPr="003754EB">
              <w:rPr>
                <w:szCs w:val="20"/>
              </w:rPr>
              <w:t xml:space="preserve"> 57℃ and </w:t>
            </w:r>
            <w:r w:rsidR="003754EB" w:rsidRPr="003754EB">
              <w:rPr>
                <w:b/>
                <w:bCs/>
                <w:szCs w:val="20"/>
              </w:rPr>
              <w:t>(F)</w:t>
            </w:r>
            <w:r w:rsidR="003754EB" w:rsidRPr="003754EB">
              <w:rPr>
                <w:szCs w:val="20"/>
              </w:rPr>
              <w:t xml:space="preserve"> 61℃ compared with 37℃ as the reference data point. This analysis showed that most H-2</w:t>
            </w:r>
            <w:r w:rsidR="003754EB" w:rsidRPr="009F121E">
              <w:rPr>
                <w:szCs w:val="20"/>
                <w:vertAlign w:val="superscript"/>
              </w:rPr>
              <w:t>b</w:t>
            </w:r>
            <w:r w:rsidR="003754EB" w:rsidRPr="003754EB">
              <w:rPr>
                <w:szCs w:val="20"/>
              </w:rPr>
              <w:t xml:space="preserve"> and VACV peptides have significantly higher precursor signals at 37℃ than either 57℃ or (especially) 61℃.</w:t>
            </w:r>
          </w:p>
          <w:p w14:paraId="03A23C94" w14:textId="77777777" w:rsidR="00CF6F32" w:rsidRDefault="00CF6F32" w:rsidP="00477F54">
            <w:pPr>
              <w:spacing w:before="0" w:after="0" w:line="240" w:lineRule="auto"/>
              <w:rPr>
                <w:lang w:eastAsia="en-AU"/>
              </w:rPr>
            </w:pPr>
          </w:p>
        </w:tc>
      </w:tr>
    </w:tbl>
    <w:p w14:paraId="0A16E6B7" w14:textId="77777777" w:rsidR="00477F54" w:rsidRDefault="00477F54" w:rsidP="00477F54">
      <w:pPr>
        <w:rPr>
          <w:lang w:eastAsia="en-AU"/>
        </w:rPr>
      </w:pPr>
    </w:p>
    <w:p w14:paraId="2B9DAC50" w14:textId="10A8B4EC" w:rsidR="00C447EA" w:rsidRDefault="00C447EA" w:rsidP="00477F54">
      <w:pPr>
        <w:rPr>
          <w:lang w:eastAsia="en-AU"/>
        </w:rPr>
      </w:pPr>
      <w:r>
        <w:t>We</w:t>
      </w:r>
      <w:r w:rsidRPr="00D10E11">
        <w:t xml:space="preserve"> implemented the hierarchical clustering analysis on </w:t>
      </w:r>
      <w:r w:rsidRPr="00C447EA">
        <w:t>1907 H-2b MHCI peptide</w:t>
      </w:r>
      <w:r w:rsidRPr="00D10E11">
        <w:t xml:space="preserve">-derived precursors. </w:t>
      </w:r>
      <w:r w:rsidRPr="00D10E11">
        <w:rPr>
          <w:rFonts w:cstheme="majorBidi"/>
        </w:rPr>
        <w:t>We assessed error bands per temperature-treated replicate by minimal and maximal Z-scores (whole-range scale) in each data point to confirm the categori</w:t>
      </w:r>
      <w:r w:rsidR="002D2102">
        <w:rPr>
          <w:rFonts w:cstheme="majorBidi"/>
        </w:rPr>
        <w:t>s</w:t>
      </w:r>
      <w:r w:rsidRPr="00D10E11">
        <w:rPr>
          <w:rFonts w:cstheme="majorBidi"/>
        </w:rPr>
        <w:t>ation of these profiles as non-, semi-, and (highly)-stable (</w:t>
      </w:r>
      <w:r w:rsidRPr="00D10E11">
        <w:rPr>
          <w:rFonts w:cstheme="majorBidi"/>
          <w:color w:val="0070C0"/>
        </w:rPr>
        <w:t xml:space="preserve">Figure </w:t>
      </w:r>
      <w:r>
        <w:rPr>
          <w:rFonts w:cstheme="majorBidi"/>
          <w:color w:val="0070C0"/>
        </w:rPr>
        <w:t xml:space="preserve">S3A </w:t>
      </w:r>
      <w:r w:rsidRPr="00D10E11">
        <w:rPr>
          <w:color w:val="0070C0"/>
        </w:rPr>
        <w:t>– Supplemental Data</w:t>
      </w:r>
      <w:r w:rsidRPr="00D10E11">
        <w:rPr>
          <w:rFonts w:cstheme="majorBidi"/>
        </w:rPr>
        <w:t>). We also evaluated the band errors based on 95% confidence intervals per replicate throughout the gradient to validate the bands statistically and compare the profiles more effectively (</w:t>
      </w:r>
      <w:r w:rsidRPr="00D10E11">
        <w:rPr>
          <w:rFonts w:cstheme="majorBidi"/>
          <w:color w:val="0070C0"/>
        </w:rPr>
        <w:t xml:space="preserve">Figure </w:t>
      </w:r>
      <w:r>
        <w:rPr>
          <w:rFonts w:cstheme="majorBidi"/>
          <w:color w:val="0070C0"/>
        </w:rPr>
        <w:t xml:space="preserve">S3B </w:t>
      </w:r>
      <w:r w:rsidRPr="00D10E11">
        <w:rPr>
          <w:color w:val="0070C0"/>
        </w:rPr>
        <w:t>– Supplemental Data</w:t>
      </w:r>
      <w:r w:rsidRPr="00D10E11">
        <w:rPr>
          <w:rFonts w:cstheme="majorBidi"/>
        </w:rPr>
        <w:t xml:space="preserve">). </w:t>
      </w:r>
    </w:p>
    <w:tbl>
      <w:tblPr>
        <w:tblStyle w:val="TableGrid"/>
        <w:tblW w:w="10916"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98"/>
      </w:tblGrid>
      <w:tr w:rsidR="00523A1F" w14:paraId="1A4005F8" w14:textId="77777777" w:rsidTr="00C447EA">
        <w:tc>
          <w:tcPr>
            <w:tcW w:w="10916" w:type="dxa"/>
          </w:tcPr>
          <w:p w14:paraId="5AE83B83" w14:textId="77777777" w:rsidR="00523A1F" w:rsidRDefault="00523A1F" w:rsidP="00C447EA">
            <w:pPr>
              <w:spacing w:before="0" w:after="0" w:line="240" w:lineRule="auto"/>
            </w:pPr>
            <w:r>
              <w:rPr>
                <w:noProof/>
              </w:rPr>
              <w:lastRenderedPageBreak/>
              <w:drawing>
                <wp:inline distT="0" distB="0" distL="0" distR="0" wp14:anchorId="1B75486F" wp14:editId="73DF45AF">
                  <wp:extent cx="6846570" cy="270601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876317" cy="2717770"/>
                          </a:xfrm>
                          <a:prstGeom prst="rect">
                            <a:avLst/>
                          </a:prstGeom>
                          <a:noFill/>
                        </pic:spPr>
                      </pic:pic>
                    </a:graphicData>
                  </a:graphic>
                </wp:inline>
              </w:drawing>
            </w:r>
          </w:p>
        </w:tc>
      </w:tr>
      <w:tr w:rsidR="00523A1F" w14:paraId="7E3F45FE" w14:textId="77777777" w:rsidTr="00C447EA">
        <w:tc>
          <w:tcPr>
            <w:tcW w:w="10916" w:type="dxa"/>
          </w:tcPr>
          <w:p w14:paraId="2531B025" w14:textId="77777777" w:rsidR="00523A1F" w:rsidRDefault="00523A1F" w:rsidP="00C447EA">
            <w:pPr>
              <w:spacing w:before="0" w:after="0" w:line="240" w:lineRule="auto"/>
            </w:pPr>
            <w:r w:rsidRPr="00C447EA">
              <w:rPr>
                <w:b/>
                <w:bCs/>
              </w:rPr>
              <w:t xml:space="preserve">Figure S3. </w:t>
            </w:r>
            <w:r w:rsidR="00943CF2">
              <w:rPr>
                <w:b/>
                <w:bCs/>
              </w:rPr>
              <w:t>Analysis of</w:t>
            </w:r>
            <w:r w:rsidR="00943CF2" w:rsidRPr="00943CF2">
              <w:rPr>
                <w:b/>
                <w:bCs/>
              </w:rPr>
              <w:t xml:space="preserve"> error bands </w:t>
            </w:r>
            <w:r w:rsidR="00F34AF0">
              <w:rPr>
                <w:b/>
                <w:bCs/>
              </w:rPr>
              <w:t>across the</w:t>
            </w:r>
            <w:r w:rsidR="00F34AF0" w:rsidRPr="00943CF2">
              <w:rPr>
                <w:b/>
                <w:bCs/>
              </w:rPr>
              <w:t xml:space="preserve"> temperature-treated replicate</w:t>
            </w:r>
            <w:r w:rsidR="00F34AF0">
              <w:rPr>
                <w:b/>
                <w:bCs/>
              </w:rPr>
              <w:t xml:space="preserve">s in the thermostability profiles </w:t>
            </w:r>
            <w:r w:rsidR="00943CF2">
              <w:rPr>
                <w:b/>
                <w:bCs/>
              </w:rPr>
              <w:t>derived from</w:t>
            </w:r>
            <w:r w:rsidR="00943CF2">
              <w:t xml:space="preserve"> </w:t>
            </w:r>
            <w:r w:rsidR="00943CF2" w:rsidRPr="00943CF2">
              <w:rPr>
                <w:b/>
                <w:bCs/>
              </w:rPr>
              <w:t xml:space="preserve">the hierarchical clustering analysis </w:t>
            </w:r>
            <w:r w:rsidR="00943CF2">
              <w:rPr>
                <w:b/>
                <w:bCs/>
              </w:rPr>
              <w:t>of</w:t>
            </w:r>
            <w:r w:rsidR="00943CF2" w:rsidRPr="00943CF2">
              <w:rPr>
                <w:b/>
                <w:bCs/>
              </w:rPr>
              <w:t xml:space="preserve"> 1907 H-2</w:t>
            </w:r>
            <w:r w:rsidR="00943CF2" w:rsidRPr="00943CF2">
              <w:rPr>
                <w:b/>
                <w:bCs/>
                <w:vertAlign w:val="superscript"/>
              </w:rPr>
              <w:t>b</w:t>
            </w:r>
            <w:r w:rsidR="00943CF2" w:rsidRPr="00943CF2">
              <w:rPr>
                <w:b/>
                <w:bCs/>
              </w:rPr>
              <w:t xml:space="preserve"> MHCI peptide-derived precursors</w:t>
            </w:r>
            <w:r w:rsidR="00943CF2">
              <w:rPr>
                <w:b/>
                <w:bCs/>
              </w:rPr>
              <w:t xml:space="preserve">. </w:t>
            </w:r>
            <w:r w:rsidRPr="00C447EA">
              <w:rPr>
                <w:b/>
                <w:bCs/>
              </w:rPr>
              <w:t>(A)</w:t>
            </w:r>
            <w:r w:rsidRPr="00523A1F">
              <w:t xml:space="preserve"> The error bands, per each temperature-treated replicate, by minimal and maximal Z-scores (whole-range scale) in each data point to compare the categories of these profiles as non-, semi-, and (highly)-stable. </w:t>
            </w:r>
            <w:r w:rsidRPr="00C447EA">
              <w:rPr>
                <w:b/>
                <w:bCs/>
              </w:rPr>
              <w:t>(B)</w:t>
            </w:r>
            <w:r w:rsidRPr="00523A1F">
              <w:t xml:space="preserve"> The band errors of the derived-stability profiles, based on 95% confidence intervals per replicate throughout the gradient, were used to compare the profiles statistically.</w:t>
            </w:r>
          </w:p>
        </w:tc>
      </w:tr>
    </w:tbl>
    <w:p w14:paraId="5C6D1736" w14:textId="77777777" w:rsidR="00523A1F" w:rsidRDefault="00523A1F" w:rsidP="00477F54"/>
    <w:p w14:paraId="602048DC" w14:textId="0C1CA246" w:rsidR="00477F54" w:rsidRDefault="00AE2CA3" w:rsidP="00477F54">
      <w:pPr>
        <w:rPr>
          <w:lang w:eastAsia="en-AU"/>
        </w:rPr>
      </w:pPr>
      <w:r>
        <w:t>We</w:t>
      </w:r>
      <w:r w:rsidRPr="00D10E11">
        <w:t xml:space="preserve"> implemented the hierarchical clustering analysis on 159 VACV peptide-derived singly- and doubly-charged precursors (corresponding to 119 unique VACV peptide sequences). We again observed three overall thermostability profiles for the VACV peptides in row-wise clusters. This assessment demonstrated the top-three clusters as non-stable, semi-stable, and (highly)-stable profiles (</w:t>
      </w:r>
      <w:r w:rsidRPr="00D10E11">
        <w:rPr>
          <w:color w:val="0070C0"/>
        </w:rPr>
        <w:t>Figure S</w:t>
      </w:r>
      <w:r w:rsidR="00243B97">
        <w:rPr>
          <w:color w:val="0070C0"/>
        </w:rPr>
        <w:t>4</w:t>
      </w:r>
      <w:r>
        <w:rPr>
          <w:color w:val="0070C0"/>
        </w:rPr>
        <w:t>A</w:t>
      </w:r>
      <w:r w:rsidRPr="00D10E11">
        <w:rPr>
          <w:color w:val="0070C0"/>
        </w:rPr>
        <w:t xml:space="preserve"> – Supplemental Data</w:t>
      </w:r>
      <w:r w:rsidRPr="00D10E11">
        <w:t>). We analy</w:t>
      </w:r>
      <w:r w:rsidR="002D2102">
        <w:t>s</w:t>
      </w:r>
      <w:r w:rsidRPr="00D10E11">
        <w:t>ed these profiles through the error bands as whole-range scales and 95% confidence intervals (</w:t>
      </w:r>
      <w:r w:rsidRPr="00D10E11">
        <w:rPr>
          <w:color w:val="0070C0"/>
        </w:rPr>
        <w:t>Figure S</w:t>
      </w:r>
      <w:r w:rsidR="00243B97">
        <w:rPr>
          <w:color w:val="0070C0"/>
        </w:rPr>
        <w:t>4</w:t>
      </w:r>
      <w:r>
        <w:rPr>
          <w:color w:val="0070C0"/>
        </w:rPr>
        <w:t>B-C</w:t>
      </w:r>
      <w:r w:rsidRPr="00D10E11">
        <w:rPr>
          <w:color w:val="0070C0"/>
        </w:rPr>
        <w:t xml:space="preserve"> – Supplemental Data</w:t>
      </w:r>
      <w:r w:rsidRPr="00D10E11">
        <w:t>).</w:t>
      </w:r>
    </w:p>
    <w:p w14:paraId="5197FC62" w14:textId="77777777" w:rsidR="00CF6F32" w:rsidRPr="00CF6F32" w:rsidRDefault="00CF6F32" w:rsidP="00477F54">
      <w:pPr>
        <w:rPr>
          <w:b/>
          <w:bCs/>
          <w:lang w:eastAsia="en-AU"/>
        </w:rPr>
      </w:pPr>
    </w:p>
    <w:tbl>
      <w:tblPr>
        <w:tblStyle w:val="TableGrid"/>
        <w:tblW w:w="10787" w:type="dxa"/>
        <w:tblInd w:w="-7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87"/>
      </w:tblGrid>
      <w:tr w:rsidR="00E51822" w:rsidRPr="00D10E11" w14:paraId="54AA1827" w14:textId="77777777" w:rsidTr="004B7C8B">
        <w:tc>
          <w:tcPr>
            <w:tcW w:w="10787" w:type="dxa"/>
          </w:tcPr>
          <w:p w14:paraId="4EBA1AFC" w14:textId="77777777" w:rsidR="00E51822" w:rsidRPr="00D10E11" w:rsidRDefault="003131AB" w:rsidP="004B7C8B">
            <w:r w:rsidRPr="00D10E11">
              <w:rPr>
                <w:noProof/>
              </w:rPr>
              <w:lastRenderedPageBreak/>
              <w:drawing>
                <wp:inline distT="0" distB="0" distL="0" distR="0" wp14:anchorId="389825A7" wp14:editId="3FE959F9">
                  <wp:extent cx="6712286" cy="4767943"/>
                  <wp:effectExtent l="0" t="0" r="0" b="0"/>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26279" cy="4777883"/>
                          </a:xfrm>
                          <a:prstGeom prst="rect">
                            <a:avLst/>
                          </a:prstGeom>
                          <a:noFill/>
                        </pic:spPr>
                      </pic:pic>
                    </a:graphicData>
                  </a:graphic>
                </wp:inline>
              </w:drawing>
            </w:r>
          </w:p>
        </w:tc>
      </w:tr>
      <w:tr w:rsidR="00E51822" w:rsidRPr="00D10E11" w14:paraId="2DFE8842" w14:textId="77777777" w:rsidTr="004B7C8B">
        <w:tc>
          <w:tcPr>
            <w:tcW w:w="10787" w:type="dxa"/>
          </w:tcPr>
          <w:p w14:paraId="1C6D6B82" w14:textId="77777777" w:rsidR="00E51822" w:rsidRPr="00D10E11" w:rsidRDefault="00E51822" w:rsidP="004B7C8B">
            <w:pPr>
              <w:pStyle w:val="MyFigures"/>
            </w:pPr>
            <w:bookmarkStart w:id="1" w:name="_Toc146270769"/>
            <w:r w:rsidRPr="00D10E11">
              <w:t xml:space="preserve">Figure </w:t>
            </w:r>
            <w:r>
              <w:t>S</w:t>
            </w:r>
            <w:r w:rsidR="00E26266">
              <w:t>4</w:t>
            </w:r>
            <w:r w:rsidRPr="00D10E11">
              <w:t>. Hierarchical clustering analysis of the thermostability MS data of VACV MHCI peptides.</w:t>
            </w:r>
            <w:bookmarkEnd w:id="1"/>
            <w:r w:rsidRPr="00D10E11">
              <w:t xml:space="preserve"> </w:t>
            </w:r>
          </w:p>
          <w:p w14:paraId="2CC21DD0" w14:textId="1528A05D" w:rsidR="00E51822" w:rsidRPr="00D10E11" w:rsidRDefault="00E51822" w:rsidP="004B7C8B">
            <w:pPr>
              <w:spacing w:before="0" w:line="240" w:lineRule="auto"/>
            </w:pPr>
            <w:r w:rsidRPr="00D10E11">
              <w:rPr>
                <w:b/>
                <w:bCs/>
                <w:szCs w:val="20"/>
              </w:rPr>
              <w:t>(A)</w:t>
            </w:r>
            <w:r w:rsidRPr="00D10E11">
              <w:rPr>
                <w:szCs w:val="20"/>
              </w:rPr>
              <w:t xml:space="preserve"> The hierarchical clustering in both data directions (the precursors as the rows and the replicates as the columns) to visuali</w:t>
            </w:r>
            <w:r w:rsidR="002D2102">
              <w:rPr>
                <w:szCs w:val="20"/>
              </w:rPr>
              <w:t>s</w:t>
            </w:r>
            <w:r w:rsidRPr="00D10E11">
              <w:rPr>
                <w:szCs w:val="20"/>
              </w:rPr>
              <w:t>e the thermostability data of 119 VACV</w:t>
            </w:r>
            <w:r w:rsidRPr="00D10E11">
              <w:rPr>
                <w:szCs w:val="20"/>
                <w:vertAlign w:val="superscript"/>
              </w:rPr>
              <w:t xml:space="preserve"> </w:t>
            </w:r>
            <w:r w:rsidRPr="00D10E11">
              <w:rPr>
                <w:szCs w:val="20"/>
              </w:rPr>
              <w:t xml:space="preserve">MHCI peptides. This analysis shows the clear segregation of replicates in the column direction and the </w:t>
            </w:r>
            <w:r w:rsidR="00AD3511">
              <w:rPr>
                <w:szCs w:val="20"/>
              </w:rPr>
              <w:t>overall dedicated</w:t>
            </w:r>
            <w:r w:rsidRPr="00D10E11">
              <w:rPr>
                <w:szCs w:val="20"/>
              </w:rPr>
              <w:t xml:space="preserve"> thermostability profiles as non-, semi-, and (highly)-stable profiles corresponding with the top</w:t>
            </w:r>
            <w:r w:rsidR="002D2102">
              <w:rPr>
                <w:szCs w:val="20"/>
              </w:rPr>
              <w:t xml:space="preserve"> </w:t>
            </w:r>
            <w:r w:rsidRPr="00D10E11">
              <w:rPr>
                <w:szCs w:val="20"/>
              </w:rPr>
              <w:t xml:space="preserve">three clusters. </w:t>
            </w:r>
            <w:r w:rsidRPr="00D10E11">
              <w:rPr>
                <w:b/>
                <w:bCs/>
                <w:szCs w:val="20"/>
              </w:rPr>
              <w:t>(B)</w:t>
            </w:r>
            <w:r w:rsidRPr="00D10E11">
              <w:rPr>
                <w:szCs w:val="20"/>
              </w:rPr>
              <w:t xml:space="preserve"> The error bands per temperature-treated replicate by minimal and maximal Z-scores (whole-range scale) in each data point to compare the categories of these profiles as non-, semi-, and (highly)-stable. </w:t>
            </w:r>
            <w:r w:rsidRPr="00D10E11">
              <w:rPr>
                <w:b/>
                <w:bCs/>
                <w:szCs w:val="20"/>
              </w:rPr>
              <w:t>(C)</w:t>
            </w:r>
            <w:r w:rsidRPr="00D10E11">
              <w:rPr>
                <w:szCs w:val="20"/>
              </w:rPr>
              <w:t xml:space="preserve"> The band errors of the derived-stability profiles based on 95% confidence intervals per replicate throughout the gradient.</w:t>
            </w:r>
          </w:p>
        </w:tc>
      </w:tr>
    </w:tbl>
    <w:p w14:paraId="77A0D5A2" w14:textId="5A4FD518" w:rsidR="00DA4362" w:rsidRPr="00DA4362" w:rsidRDefault="0009562E" w:rsidP="00DA4362">
      <w:pPr>
        <w:rPr>
          <w:szCs w:val="22"/>
        </w:rPr>
      </w:pPr>
      <w:r w:rsidRPr="00DA4362">
        <w:rPr>
          <w:szCs w:val="22"/>
        </w:rPr>
        <w:t>The T</w:t>
      </w:r>
      <w:r w:rsidRPr="002D2102">
        <w:rPr>
          <w:szCs w:val="22"/>
          <w:vertAlign w:val="subscript"/>
        </w:rPr>
        <w:t>m</w:t>
      </w:r>
      <w:r w:rsidRPr="00DA4362">
        <w:rPr>
          <w:szCs w:val="22"/>
        </w:rPr>
        <w:t xml:space="preserve"> values for these two alleles show very similar distribution; therefore, we utili</w:t>
      </w:r>
      <w:r w:rsidR="002D2102">
        <w:rPr>
          <w:szCs w:val="22"/>
        </w:rPr>
        <w:t>s</w:t>
      </w:r>
      <w:r w:rsidRPr="00DA4362">
        <w:rPr>
          <w:szCs w:val="22"/>
        </w:rPr>
        <w:t>ed the F-test (which evaluates inter-allele and intra-allele variations of T</w:t>
      </w:r>
      <w:r w:rsidRPr="002D2102">
        <w:rPr>
          <w:szCs w:val="22"/>
          <w:vertAlign w:val="subscript"/>
        </w:rPr>
        <w:t>m</w:t>
      </w:r>
      <w:r w:rsidRPr="00DA4362">
        <w:rPr>
          <w:szCs w:val="22"/>
        </w:rPr>
        <w:t xml:space="preserve"> values) to assess the significance between their variances (p-value of 0.0017) as well as the significance in the t-test statistics with a p-value of 0.0386 (Figure 2B </w:t>
      </w:r>
      <w:r w:rsidRPr="00DA4362">
        <w:rPr>
          <w:rFonts w:cstheme="majorBidi"/>
          <w:color w:val="0070C0"/>
          <w:szCs w:val="22"/>
        </w:rPr>
        <w:t>Figure</w:t>
      </w:r>
      <w:r w:rsidRPr="00DA4362">
        <w:rPr>
          <w:rFonts w:cstheme="majorBidi"/>
          <w:szCs w:val="22"/>
        </w:rPr>
        <w:t xml:space="preserve"> </w:t>
      </w:r>
      <w:r w:rsidRPr="00DA4362">
        <w:rPr>
          <w:color w:val="0070C0"/>
          <w:szCs w:val="22"/>
        </w:rPr>
        <w:t>S5A – Supplemental Data</w:t>
      </w:r>
      <w:r w:rsidRPr="00DA4362">
        <w:rPr>
          <w:szCs w:val="22"/>
        </w:rPr>
        <w:t xml:space="preserve">). We initially profiled the thermostability for 98 of the pulsed VACV peptides using only the DIA-MS method. These peptides had a slightly higher median distribution </w:t>
      </w:r>
      <w:r w:rsidR="002D2102">
        <w:rPr>
          <w:szCs w:val="22"/>
        </w:rPr>
        <w:t>than</w:t>
      </w:r>
      <w:r w:rsidRPr="00DA4362">
        <w:rPr>
          <w:szCs w:val="22"/>
        </w:rPr>
        <w:t xml:space="preserve"> the endogenous repertoire, with a median of 48.06℃ (Figure 2D </w:t>
      </w:r>
      <w:r w:rsidRPr="00DA4362">
        <w:rPr>
          <w:rFonts w:cstheme="majorBidi"/>
          <w:color w:val="0070C0"/>
          <w:szCs w:val="22"/>
        </w:rPr>
        <w:t>Figure</w:t>
      </w:r>
      <w:r w:rsidRPr="00DA4362">
        <w:rPr>
          <w:rFonts w:cstheme="majorBidi"/>
          <w:szCs w:val="22"/>
        </w:rPr>
        <w:t xml:space="preserve"> </w:t>
      </w:r>
      <w:r w:rsidRPr="00DA4362">
        <w:rPr>
          <w:color w:val="0070C0"/>
          <w:szCs w:val="22"/>
        </w:rPr>
        <w:t>S5B – Supplemental Data</w:t>
      </w:r>
      <w:r w:rsidRPr="00DA4362">
        <w:rPr>
          <w:szCs w:val="22"/>
        </w:rPr>
        <w:t>). We compared the distribution of T</w:t>
      </w:r>
      <w:r w:rsidRPr="002D2102">
        <w:rPr>
          <w:szCs w:val="22"/>
          <w:vertAlign w:val="subscript"/>
        </w:rPr>
        <w:t>m</w:t>
      </w:r>
      <w:r w:rsidRPr="00DA4362">
        <w:rPr>
          <w:szCs w:val="22"/>
        </w:rPr>
        <w:t xml:space="preserve"> values of endogenous H-2b MHCI ligands and VACV peptides. This statistical analysis demonstrated a significant difference (by one-sample t-test, p-value &lt; 0.0001), and the difference between variances was significant (p-value &lt; 0.0001) (Figure 2D </w:t>
      </w:r>
      <w:r w:rsidRPr="00DA4362">
        <w:rPr>
          <w:rFonts w:cstheme="majorBidi"/>
          <w:color w:val="0070C0"/>
          <w:szCs w:val="22"/>
        </w:rPr>
        <w:t>Figure</w:t>
      </w:r>
      <w:r w:rsidRPr="00DA4362">
        <w:rPr>
          <w:rFonts w:cstheme="majorBidi"/>
          <w:szCs w:val="22"/>
        </w:rPr>
        <w:t xml:space="preserve"> </w:t>
      </w:r>
      <w:r w:rsidRPr="00DA4362">
        <w:rPr>
          <w:color w:val="0070C0"/>
          <w:szCs w:val="22"/>
        </w:rPr>
        <w:t>S5B – Supplemental Data</w:t>
      </w:r>
      <w:r w:rsidRPr="00DA4362">
        <w:rPr>
          <w:szCs w:val="22"/>
        </w:rPr>
        <w:t xml:space="preserve">). </w:t>
      </w:r>
      <w:r w:rsidR="00DA4362" w:rsidRPr="00DA4362">
        <w:rPr>
          <w:szCs w:val="22"/>
        </w:rPr>
        <w:t>The distribution of the calculated T</w:t>
      </w:r>
      <w:r w:rsidR="00DA4362" w:rsidRPr="002D2102">
        <w:rPr>
          <w:szCs w:val="22"/>
          <w:vertAlign w:val="subscript"/>
        </w:rPr>
        <w:t>m</w:t>
      </w:r>
      <w:r w:rsidR="00DA4362" w:rsidRPr="00DA4362">
        <w:rPr>
          <w:szCs w:val="22"/>
        </w:rPr>
        <w:t xml:space="preserve"> values was assessed for the commonly</w:t>
      </w:r>
      <w:r w:rsidR="002D2102">
        <w:rPr>
          <w:szCs w:val="22"/>
        </w:rPr>
        <w:t xml:space="preserve"> </w:t>
      </w:r>
      <w:r w:rsidR="00DA4362" w:rsidRPr="00DA4362">
        <w:rPr>
          <w:szCs w:val="22"/>
        </w:rPr>
        <w:t xml:space="preserve">profiled and unique peptides exclusively profiled by DIA and MRMHR thermostability </w:t>
      </w:r>
      <w:r w:rsidR="00DA4362" w:rsidRPr="00DA4362">
        <w:rPr>
          <w:szCs w:val="22"/>
        </w:rPr>
        <w:lastRenderedPageBreak/>
        <w:t>assays (</w:t>
      </w:r>
      <w:r w:rsidR="00DA4362" w:rsidRPr="00DA4362">
        <w:rPr>
          <w:rFonts w:cstheme="majorBidi"/>
          <w:color w:val="0070C0"/>
          <w:szCs w:val="22"/>
        </w:rPr>
        <w:t>Figure</w:t>
      </w:r>
      <w:r w:rsidR="00DA4362" w:rsidRPr="00DA4362">
        <w:rPr>
          <w:rFonts w:cstheme="majorBidi"/>
          <w:szCs w:val="22"/>
        </w:rPr>
        <w:t xml:space="preserve"> </w:t>
      </w:r>
      <w:r w:rsidR="00DA4362" w:rsidRPr="00DA4362">
        <w:rPr>
          <w:color w:val="0070C0"/>
          <w:szCs w:val="22"/>
        </w:rPr>
        <w:t>S5C – Supplemental Data</w:t>
      </w:r>
      <w:r w:rsidR="00DA4362" w:rsidRPr="00DA4362">
        <w:rPr>
          <w:szCs w:val="22"/>
        </w:rPr>
        <w:t>). This analysis shows a slight difference between the T</w:t>
      </w:r>
      <w:r w:rsidR="00DA4362" w:rsidRPr="002D2102">
        <w:rPr>
          <w:szCs w:val="22"/>
          <w:vertAlign w:val="subscript"/>
        </w:rPr>
        <w:t>m</w:t>
      </w:r>
      <w:r w:rsidR="00DA4362" w:rsidRPr="00DA4362">
        <w:rPr>
          <w:szCs w:val="22"/>
        </w:rPr>
        <w:t xml:space="preserve"> distribution for the VACV peptides profiled uniquely by DIA (9 IDs) and MRMHR (12 IDs) data. </w:t>
      </w:r>
    </w:p>
    <w:p w14:paraId="71B449B8" w14:textId="2672A339" w:rsidR="00DA4362" w:rsidRPr="00DA4362" w:rsidRDefault="00DA4362" w:rsidP="00DA4362">
      <w:pPr>
        <w:rPr>
          <w:szCs w:val="22"/>
        </w:rPr>
      </w:pPr>
      <w:r w:rsidRPr="00DA4362">
        <w:rPr>
          <w:szCs w:val="22"/>
        </w:rPr>
        <w:t>Croft et al. examined the distribution of T</w:t>
      </w:r>
      <w:r w:rsidRPr="002D2102">
        <w:rPr>
          <w:szCs w:val="22"/>
          <w:vertAlign w:val="subscript"/>
        </w:rPr>
        <w:t>m</w:t>
      </w:r>
      <w:r w:rsidRPr="00DA4362">
        <w:rPr>
          <w:szCs w:val="22"/>
        </w:rPr>
        <w:t xml:space="preserve"> values for these peptides against the immunogenicity class established by T cell assay (</w:t>
      </w:r>
      <w:r w:rsidRPr="00DA4362">
        <w:rPr>
          <w:rFonts w:cstheme="majorBidi"/>
          <w:color w:val="0070C0"/>
          <w:szCs w:val="22"/>
        </w:rPr>
        <w:t>Figure</w:t>
      </w:r>
      <w:r w:rsidRPr="00DA4362">
        <w:rPr>
          <w:rFonts w:cstheme="majorBidi"/>
          <w:szCs w:val="22"/>
        </w:rPr>
        <w:t xml:space="preserve"> </w:t>
      </w:r>
      <w:r w:rsidRPr="00DA4362">
        <w:rPr>
          <w:color w:val="0070C0"/>
          <w:szCs w:val="22"/>
        </w:rPr>
        <w:t>S5D – Supplemental Data</w:t>
      </w:r>
      <w:r w:rsidRPr="00DA4362">
        <w:rPr>
          <w:szCs w:val="22"/>
        </w:rPr>
        <w:t>), which reveals a consistent increase in the T</w:t>
      </w:r>
      <w:r w:rsidRPr="002D2102">
        <w:rPr>
          <w:szCs w:val="22"/>
          <w:vertAlign w:val="subscript"/>
        </w:rPr>
        <w:t>m</w:t>
      </w:r>
      <w:r w:rsidRPr="00DA4362">
        <w:rPr>
          <w:szCs w:val="22"/>
        </w:rPr>
        <w:t xml:space="preserve"> values with immunogenicity. The T</w:t>
      </w:r>
      <w:r w:rsidRPr="002D2102">
        <w:rPr>
          <w:szCs w:val="22"/>
          <w:vertAlign w:val="subscript"/>
        </w:rPr>
        <w:t>m</w:t>
      </w:r>
      <w:r w:rsidRPr="00DA4362">
        <w:rPr>
          <w:szCs w:val="22"/>
        </w:rPr>
        <w:t xml:space="preserve"> values of non-immunogenic VACV </w:t>
      </w:r>
      <w:proofErr w:type="spellStart"/>
      <w:r w:rsidRPr="00DA4362">
        <w:rPr>
          <w:szCs w:val="22"/>
        </w:rPr>
        <w:t>pMHCIs</w:t>
      </w:r>
      <w:proofErr w:type="spellEnd"/>
      <w:r w:rsidRPr="00DA4362">
        <w:rPr>
          <w:szCs w:val="22"/>
        </w:rPr>
        <w:t xml:space="preserve"> significantly differ from those in the major-immunogenic category. Significant differences were also found between T</w:t>
      </w:r>
      <w:r w:rsidRPr="002D2102">
        <w:rPr>
          <w:szCs w:val="22"/>
          <w:vertAlign w:val="subscript"/>
        </w:rPr>
        <w:t>m</w:t>
      </w:r>
      <w:r w:rsidRPr="00DA4362">
        <w:rPr>
          <w:szCs w:val="22"/>
        </w:rPr>
        <w:t xml:space="preserve"> values of minor- and major-immunogenic peptides (</w:t>
      </w:r>
      <w:r w:rsidRPr="00DA4362">
        <w:rPr>
          <w:rFonts w:cstheme="majorBidi"/>
          <w:color w:val="0070C0"/>
          <w:szCs w:val="22"/>
        </w:rPr>
        <w:t>Figure</w:t>
      </w:r>
      <w:r w:rsidRPr="00DA4362">
        <w:rPr>
          <w:rFonts w:cstheme="majorBidi"/>
          <w:szCs w:val="22"/>
        </w:rPr>
        <w:t xml:space="preserve"> </w:t>
      </w:r>
      <w:r w:rsidRPr="00DA4362">
        <w:rPr>
          <w:color w:val="0070C0"/>
          <w:szCs w:val="22"/>
        </w:rPr>
        <w:t>S5D – Supplemental Data</w:t>
      </w:r>
      <w:r w:rsidRPr="00DA4362">
        <w:rPr>
          <w:szCs w:val="22"/>
        </w:rPr>
        <w:t xml:space="preserve">). As a different representation, </w:t>
      </w:r>
      <w:r w:rsidRPr="00DA4362">
        <w:rPr>
          <w:rFonts w:cstheme="majorBidi"/>
          <w:color w:val="0070C0"/>
          <w:szCs w:val="22"/>
        </w:rPr>
        <w:t>Figure</w:t>
      </w:r>
      <w:r w:rsidRPr="00DA4362">
        <w:rPr>
          <w:rFonts w:cstheme="majorBidi"/>
          <w:szCs w:val="22"/>
        </w:rPr>
        <w:t xml:space="preserve"> </w:t>
      </w:r>
      <w:r w:rsidRPr="00DA4362">
        <w:rPr>
          <w:color w:val="0070C0"/>
          <w:szCs w:val="22"/>
        </w:rPr>
        <w:t xml:space="preserve">S5E (Supplemental Data) </w:t>
      </w:r>
      <w:r w:rsidRPr="00DA4362">
        <w:rPr>
          <w:szCs w:val="22"/>
        </w:rPr>
        <w:t>shows the distribution of calculated T</w:t>
      </w:r>
      <w:r w:rsidRPr="002D2102">
        <w:rPr>
          <w:szCs w:val="22"/>
          <w:vertAlign w:val="subscript"/>
        </w:rPr>
        <w:t>m</w:t>
      </w:r>
      <w:r w:rsidRPr="00DA4362">
        <w:rPr>
          <w:szCs w:val="22"/>
        </w:rPr>
        <w:t xml:space="preserve"> values for all 110 profiled VACV peptides, categori</w:t>
      </w:r>
      <w:r w:rsidR="002D2102">
        <w:rPr>
          <w:szCs w:val="22"/>
        </w:rPr>
        <w:t>s</w:t>
      </w:r>
      <w:r w:rsidRPr="00DA4362">
        <w:rPr>
          <w:szCs w:val="22"/>
        </w:rPr>
        <w:t>ed based on immunogenicity class, revealing a positive shift in the T</w:t>
      </w:r>
      <w:r w:rsidRPr="002D2102">
        <w:rPr>
          <w:szCs w:val="22"/>
          <w:vertAlign w:val="subscript"/>
        </w:rPr>
        <w:t>m</w:t>
      </w:r>
      <w:r w:rsidRPr="00DA4362">
        <w:rPr>
          <w:szCs w:val="22"/>
        </w:rPr>
        <w:t xml:space="preserve"> values for the major immunogenic peptides. </w:t>
      </w:r>
    </w:p>
    <w:tbl>
      <w:tblPr>
        <w:tblStyle w:val="TableGrid"/>
        <w:tblW w:w="0" w:type="auto"/>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42"/>
      </w:tblGrid>
      <w:tr w:rsidR="00DA4362" w14:paraId="2F6AF69B" w14:textId="77777777" w:rsidTr="00347EEA">
        <w:tc>
          <w:tcPr>
            <w:tcW w:w="9442" w:type="dxa"/>
          </w:tcPr>
          <w:p w14:paraId="7EFF9E5B" w14:textId="35DC257F" w:rsidR="00DA4362" w:rsidRDefault="00DA4362" w:rsidP="00347EEA">
            <w:pPr>
              <w:spacing w:before="0" w:after="0" w:line="240" w:lineRule="auto"/>
              <w:jc w:val="center"/>
            </w:pPr>
            <w:r>
              <w:rPr>
                <w:noProof/>
              </w:rPr>
              <w:drawing>
                <wp:inline distT="0" distB="0" distL="0" distR="0" wp14:anchorId="493AF5BF" wp14:editId="08470BFA">
                  <wp:extent cx="5283301" cy="40100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89107" cy="4014432"/>
                          </a:xfrm>
                          <a:prstGeom prst="rect">
                            <a:avLst/>
                          </a:prstGeom>
                          <a:noFill/>
                        </pic:spPr>
                      </pic:pic>
                    </a:graphicData>
                  </a:graphic>
                </wp:inline>
              </w:drawing>
            </w:r>
          </w:p>
        </w:tc>
      </w:tr>
      <w:tr w:rsidR="00DA4362" w14:paraId="0C3B0A73" w14:textId="77777777" w:rsidTr="00347EEA">
        <w:tc>
          <w:tcPr>
            <w:tcW w:w="9442" w:type="dxa"/>
          </w:tcPr>
          <w:p w14:paraId="65321C5E" w14:textId="5688EB63" w:rsidR="00DA4362" w:rsidRDefault="00DA4362" w:rsidP="00347EEA">
            <w:pPr>
              <w:spacing w:before="0" w:after="0" w:line="240" w:lineRule="auto"/>
              <w:rPr>
                <w:rFonts w:cstheme="minorHAnsi"/>
                <w:b/>
                <w:bCs/>
                <w:szCs w:val="20"/>
              </w:rPr>
            </w:pPr>
            <w:r w:rsidRPr="00DA4362">
              <w:rPr>
                <w:rFonts w:cstheme="minorHAnsi"/>
                <w:b/>
                <w:bCs/>
                <w:szCs w:val="20"/>
              </w:rPr>
              <w:t>Figure S</w:t>
            </w:r>
            <w:r>
              <w:rPr>
                <w:rFonts w:cstheme="minorHAnsi"/>
                <w:b/>
                <w:bCs/>
                <w:szCs w:val="20"/>
              </w:rPr>
              <w:t>5</w:t>
            </w:r>
            <w:r w:rsidRPr="00DA4362">
              <w:rPr>
                <w:rFonts w:cstheme="minorHAnsi"/>
                <w:b/>
                <w:bCs/>
                <w:szCs w:val="20"/>
              </w:rPr>
              <w:t xml:space="preserve">. </w:t>
            </w:r>
            <w:r w:rsidR="00347EEA" w:rsidRPr="00347EEA">
              <w:rPr>
                <w:rFonts w:cstheme="minorHAnsi"/>
                <w:b/>
                <w:bCs/>
                <w:szCs w:val="20"/>
              </w:rPr>
              <w:t>Analysis of MS-thermostability assay-derived thermostability profiles for H-2</w:t>
            </w:r>
            <w:r w:rsidR="00347EEA" w:rsidRPr="00347EEA">
              <w:rPr>
                <w:rFonts w:cstheme="minorHAnsi"/>
                <w:b/>
                <w:bCs/>
                <w:szCs w:val="20"/>
                <w:vertAlign w:val="superscript"/>
              </w:rPr>
              <w:t>b</w:t>
            </w:r>
            <w:r w:rsidR="00347EEA" w:rsidRPr="00347EEA">
              <w:rPr>
                <w:rFonts w:cstheme="minorHAnsi"/>
                <w:b/>
                <w:bCs/>
                <w:szCs w:val="20"/>
              </w:rPr>
              <w:t xml:space="preserve"> MHCI and VACV peptides, and association of T</w:t>
            </w:r>
            <w:r w:rsidR="00347EEA" w:rsidRPr="00347EEA">
              <w:rPr>
                <w:rFonts w:cstheme="minorHAnsi"/>
                <w:b/>
                <w:bCs/>
                <w:szCs w:val="20"/>
                <w:vertAlign w:val="subscript"/>
              </w:rPr>
              <w:t>m</w:t>
            </w:r>
            <w:r w:rsidR="00347EEA" w:rsidRPr="00347EEA">
              <w:rPr>
                <w:rFonts w:cstheme="minorHAnsi"/>
                <w:b/>
                <w:bCs/>
                <w:szCs w:val="20"/>
              </w:rPr>
              <w:t xml:space="preserve"> values with immunogenicity</w:t>
            </w:r>
            <w:r w:rsidR="00347EEA">
              <w:rPr>
                <w:rFonts w:cstheme="minorHAnsi"/>
                <w:b/>
                <w:bCs/>
                <w:szCs w:val="20"/>
              </w:rPr>
              <w:t xml:space="preserve"> degree</w:t>
            </w:r>
            <w:r w:rsidR="00347EEA" w:rsidRPr="00347EEA">
              <w:rPr>
                <w:rFonts w:cstheme="minorHAnsi"/>
                <w:b/>
                <w:bCs/>
                <w:szCs w:val="20"/>
              </w:rPr>
              <w:t xml:space="preserve"> for VACV-derived </w:t>
            </w:r>
            <w:proofErr w:type="spellStart"/>
            <w:r w:rsidR="00347EEA" w:rsidRPr="00347EEA">
              <w:rPr>
                <w:rFonts w:cstheme="minorHAnsi"/>
                <w:b/>
                <w:bCs/>
                <w:szCs w:val="20"/>
              </w:rPr>
              <w:t>pMHCs</w:t>
            </w:r>
            <w:proofErr w:type="spellEnd"/>
            <w:r w:rsidR="00347EEA" w:rsidRPr="00347EEA">
              <w:rPr>
                <w:rFonts w:cstheme="minorHAnsi"/>
                <w:b/>
                <w:bCs/>
                <w:szCs w:val="20"/>
              </w:rPr>
              <w:t xml:space="preserve">. </w:t>
            </w:r>
          </w:p>
          <w:p w14:paraId="3583615D" w14:textId="668FF2F9" w:rsidR="00DA4362" w:rsidRDefault="00DA4362" w:rsidP="00347EEA">
            <w:pPr>
              <w:spacing w:before="0" w:after="0" w:line="240" w:lineRule="auto"/>
            </w:pPr>
            <w:r w:rsidRPr="00B41CBC">
              <w:rPr>
                <w:rFonts w:cstheme="minorHAnsi"/>
                <w:b/>
                <w:bCs/>
                <w:szCs w:val="20"/>
              </w:rPr>
              <w:t>(</w:t>
            </w:r>
            <w:r>
              <w:rPr>
                <w:rFonts w:cstheme="minorHAnsi"/>
                <w:b/>
                <w:bCs/>
                <w:szCs w:val="20"/>
              </w:rPr>
              <w:t>A</w:t>
            </w:r>
            <w:r w:rsidRPr="00B41CBC">
              <w:rPr>
                <w:rFonts w:cstheme="minorHAnsi"/>
                <w:b/>
                <w:bCs/>
                <w:szCs w:val="20"/>
              </w:rPr>
              <w:t>)</w:t>
            </w:r>
            <w:r w:rsidRPr="00B41CBC">
              <w:rPr>
                <w:rFonts w:cstheme="minorHAnsi"/>
                <w:szCs w:val="20"/>
              </w:rPr>
              <w:t xml:space="preserve"> The comparison between the varia</w:t>
            </w:r>
            <w:r>
              <w:rPr>
                <w:rFonts w:cstheme="minorHAnsi"/>
                <w:szCs w:val="20"/>
              </w:rPr>
              <w:t>tion</w:t>
            </w:r>
            <w:r w:rsidRPr="00B41CBC">
              <w:rPr>
                <w:rFonts w:cstheme="minorHAnsi"/>
                <w:szCs w:val="20"/>
              </w:rPr>
              <w:t xml:space="preserve"> of the calculated T</w:t>
            </w:r>
            <w:r w:rsidRPr="00042EF8">
              <w:rPr>
                <w:rFonts w:cstheme="minorHAnsi"/>
                <w:szCs w:val="20"/>
                <w:vertAlign w:val="subscript"/>
              </w:rPr>
              <w:t>m</w:t>
            </w:r>
            <w:r w:rsidRPr="00B41CBC">
              <w:rPr>
                <w:rFonts w:cstheme="minorHAnsi"/>
                <w:szCs w:val="20"/>
              </w:rPr>
              <w:t xml:space="preserve"> values for H-2D</w:t>
            </w:r>
            <w:r w:rsidRPr="00B41CBC">
              <w:rPr>
                <w:rFonts w:cstheme="minorHAnsi"/>
                <w:szCs w:val="20"/>
                <w:vertAlign w:val="superscript"/>
              </w:rPr>
              <w:t>b</w:t>
            </w:r>
            <w:r w:rsidRPr="00B41CBC">
              <w:rPr>
                <w:rFonts w:cstheme="minorHAnsi"/>
                <w:szCs w:val="20"/>
              </w:rPr>
              <w:t xml:space="preserve"> and H-2K</w:t>
            </w:r>
            <w:r w:rsidRPr="00B41CBC">
              <w:rPr>
                <w:rFonts w:cstheme="minorHAnsi"/>
                <w:szCs w:val="20"/>
                <w:vertAlign w:val="superscript"/>
              </w:rPr>
              <w:t>b</w:t>
            </w:r>
            <w:r w:rsidRPr="00B41CBC">
              <w:rPr>
                <w:rFonts w:cstheme="minorHAnsi"/>
                <w:szCs w:val="20"/>
              </w:rPr>
              <w:t xml:space="preserve"> MHCI ligands</w:t>
            </w:r>
            <w:r>
              <w:rPr>
                <w:rFonts w:cstheme="minorHAnsi"/>
                <w:szCs w:val="20"/>
              </w:rPr>
              <w:t xml:space="preserve"> (</w:t>
            </w:r>
            <w:r w:rsidRPr="00B41CBC">
              <w:rPr>
                <w:rFonts w:cstheme="minorHAnsi"/>
                <w:szCs w:val="20"/>
              </w:rPr>
              <w:t>F-test</w:t>
            </w:r>
            <w:r>
              <w:rPr>
                <w:rFonts w:cstheme="minorHAnsi"/>
                <w:szCs w:val="20"/>
              </w:rPr>
              <w:t xml:space="preserve"> with </w:t>
            </w:r>
            <w:r w:rsidRPr="0001514F">
              <w:rPr>
                <w:rFonts w:cstheme="minorHAnsi"/>
                <w:i/>
                <w:iCs/>
                <w:szCs w:val="20"/>
              </w:rPr>
              <w:t>p</w:t>
            </w:r>
            <w:r w:rsidRPr="00B41CBC">
              <w:rPr>
                <w:rFonts w:cstheme="minorHAnsi"/>
                <w:szCs w:val="20"/>
              </w:rPr>
              <w:t>-value of 0.0017</w:t>
            </w:r>
            <w:r>
              <w:rPr>
                <w:rFonts w:cstheme="minorHAnsi"/>
                <w:szCs w:val="20"/>
              </w:rPr>
              <w:t xml:space="preserve"> and </w:t>
            </w:r>
            <w:r w:rsidRPr="00B41CBC">
              <w:rPr>
                <w:rFonts w:cstheme="minorHAnsi"/>
                <w:szCs w:val="20"/>
              </w:rPr>
              <w:t>t-test</w:t>
            </w:r>
            <w:r>
              <w:rPr>
                <w:rFonts w:cstheme="minorHAnsi"/>
                <w:szCs w:val="20"/>
              </w:rPr>
              <w:t xml:space="preserve"> with </w:t>
            </w:r>
            <w:r w:rsidRPr="0001514F">
              <w:rPr>
                <w:rFonts w:cstheme="minorHAnsi"/>
                <w:i/>
                <w:iCs/>
                <w:szCs w:val="20"/>
              </w:rPr>
              <w:t>p</w:t>
            </w:r>
            <w:r w:rsidRPr="00B41CBC">
              <w:rPr>
                <w:rFonts w:cstheme="minorHAnsi"/>
                <w:szCs w:val="20"/>
              </w:rPr>
              <w:t xml:space="preserve">-value of 0.0386). </w:t>
            </w:r>
            <w:r w:rsidRPr="00B41CBC">
              <w:rPr>
                <w:rFonts w:cstheme="minorHAnsi"/>
                <w:b/>
                <w:bCs/>
                <w:szCs w:val="20"/>
              </w:rPr>
              <w:t>(</w:t>
            </w:r>
            <w:r>
              <w:rPr>
                <w:rFonts w:cstheme="minorHAnsi"/>
                <w:b/>
                <w:bCs/>
                <w:szCs w:val="20"/>
              </w:rPr>
              <w:t>B</w:t>
            </w:r>
            <w:r w:rsidRPr="00B41CBC">
              <w:rPr>
                <w:rFonts w:cstheme="minorHAnsi"/>
                <w:b/>
                <w:bCs/>
                <w:szCs w:val="20"/>
              </w:rPr>
              <w:t>)</w:t>
            </w:r>
            <w:r w:rsidRPr="00B41CBC">
              <w:rPr>
                <w:rFonts w:cstheme="minorHAnsi"/>
                <w:szCs w:val="20"/>
              </w:rPr>
              <w:t xml:space="preserve"> </w:t>
            </w:r>
            <w:r>
              <w:rPr>
                <w:rFonts w:cstheme="minorHAnsi"/>
                <w:szCs w:val="20"/>
              </w:rPr>
              <w:t>Comparison of t</w:t>
            </w:r>
            <w:r w:rsidRPr="00B41CBC">
              <w:rPr>
                <w:rFonts w:cstheme="minorHAnsi"/>
                <w:szCs w:val="20"/>
              </w:rPr>
              <w:t>he distribution of T</w:t>
            </w:r>
            <w:r w:rsidRPr="00042EF8">
              <w:rPr>
                <w:rFonts w:cstheme="minorHAnsi"/>
                <w:szCs w:val="20"/>
                <w:vertAlign w:val="subscript"/>
              </w:rPr>
              <w:t>m</w:t>
            </w:r>
            <w:r w:rsidRPr="00B41CBC">
              <w:rPr>
                <w:rFonts w:cstheme="minorHAnsi"/>
                <w:szCs w:val="20"/>
              </w:rPr>
              <w:t xml:space="preserve"> values of endogenous H-2</w:t>
            </w:r>
            <w:r w:rsidRPr="00B41CBC">
              <w:rPr>
                <w:rFonts w:cstheme="minorHAnsi"/>
                <w:szCs w:val="20"/>
                <w:vertAlign w:val="superscript"/>
              </w:rPr>
              <w:t>b</w:t>
            </w:r>
            <w:r w:rsidRPr="00B41CBC">
              <w:rPr>
                <w:rFonts w:cstheme="minorHAnsi"/>
                <w:szCs w:val="20"/>
              </w:rPr>
              <w:t xml:space="preserve"> MHCI ligands and VACV peptides </w:t>
            </w:r>
            <w:r>
              <w:rPr>
                <w:rFonts w:cstheme="minorHAnsi"/>
                <w:szCs w:val="20"/>
              </w:rPr>
              <w:t>(</w:t>
            </w:r>
            <w:r w:rsidRPr="00B41CBC">
              <w:rPr>
                <w:rFonts w:cstheme="minorHAnsi"/>
                <w:szCs w:val="20"/>
              </w:rPr>
              <w:t xml:space="preserve">one-sample t-test </w:t>
            </w:r>
            <w:r>
              <w:rPr>
                <w:rFonts w:cstheme="minorHAnsi"/>
                <w:szCs w:val="20"/>
              </w:rPr>
              <w:t xml:space="preserve">and </w:t>
            </w:r>
            <w:r w:rsidRPr="00B41CBC">
              <w:rPr>
                <w:rFonts w:cstheme="minorHAnsi"/>
                <w:szCs w:val="20"/>
              </w:rPr>
              <w:t xml:space="preserve">F-test </w:t>
            </w:r>
            <w:r>
              <w:rPr>
                <w:rFonts w:cstheme="minorHAnsi"/>
                <w:szCs w:val="20"/>
              </w:rPr>
              <w:t xml:space="preserve">with </w:t>
            </w:r>
            <w:r w:rsidRPr="00B41CBC">
              <w:rPr>
                <w:rFonts w:cstheme="minorHAnsi"/>
                <w:i/>
                <w:iCs/>
                <w:szCs w:val="20"/>
              </w:rPr>
              <w:t>p</w:t>
            </w:r>
            <w:r w:rsidRPr="00B41CBC">
              <w:rPr>
                <w:rFonts w:cstheme="minorHAnsi"/>
                <w:szCs w:val="20"/>
              </w:rPr>
              <w:t>-value &lt; 0.0001).</w:t>
            </w:r>
            <w:r>
              <w:rPr>
                <w:rFonts w:cstheme="minorHAnsi"/>
                <w:szCs w:val="20"/>
              </w:rPr>
              <w:t xml:space="preserve"> </w:t>
            </w:r>
            <w:r w:rsidRPr="00B41CBC">
              <w:rPr>
                <w:rFonts w:cstheme="minorHAnsi"/>
                <w:b/>
                <w:bCs/>
                <w:szCs w:val="20"/>
              </w:rPr>
              <w:t>(</w:t>
            </w:r>
            <w:r>
              <w:rPr>
                <w:rFonts w:cstheme="minorHAnsi"/>
                <w:b/>
                <w:bCs/>
                <w:szCs w:val="20"/>
              </w:rPr>
              <w:t>C</w:t>
            </w:r>
            <w:r w:rsidRPr="00B41CBC">
              <w:rPr>
                <w:rFonts w:cstheme="minorHAnsi"/>
                <w:b/>
                <w:bCs/>
                <w:szCs w:val="20"/>
              </w:rPr>
              <w:t>)</w:t>
            </w:r>
            <w:r w:rsidRPr="00B41CBC">
              <w:rPr>
                <w:rFonts w:cstheme="minorHAnsi"/>
                <w:szCs w:val="20"/>
              </w:rPr>
              <w:t xml:space="preserve"> The distribution of the T</w:t>
            </w:r>
            <w:r w:rsidRPr="002D2102">
              <w:rPr>
                <w:rFonts w:cstheme="minorHAnsi"/>
                <w:szCs w:val="20"/>
                <w:vertAlign w:val="subscript"/>
              </w:rPr>
              <w:t>m</w:t>
            </w:r>
            <w:r w:rsidRPr="00B41CBC">
              <w:rPr>
                <w:rFonts w:cstheme="minorHAnsi"/>
                <w:szCs w:val="20"/>
              </w:rPr>
              <w:t xml:space="preserve"> values for the </w:t>
            </w:r>
            <w:r>
              <w:rPr>
                <w:rFonts w:cstheme="minorHAnsi"/>
                <w:szCs w:val="20"/>
              </w:rPr>
              <w:t>commonly profiled</w:t>
            </w:r>
            <w:r w:rsidRPr="00B41CBC">
              <w:rPr>
                <w:rFonts w:cstheme="minorHAnsi"/>
                <w:szCs w:val="20"/>
              </w:rPr>
              <w:t xml:space="preserve"> VACV peptides a</w:t>
            </w:r>
            <w:r>
              <w:rPr>
                <w:rFonts w:cstheme="minorHAnsi"/>
                <w:szCs w:val="20"/>
              </w:rPr>
              <w:t>nd</w:t>
            </w:r>
            <w:r w:rsidRPr="00B41CBC">
              <w:rPr>
                <w:rFonts w:cstheme="minorHAnsi"/>
                <w:szCs w:val="20"/>
              </w:rPr>
              <w:t xml:space="preserve"> unique peptides</w:t>
            </w:r>
            <w:r>
              <w:rPr>
                <w:rFonts w:cstheme="minorHAnsi"/>
                <w:szCs w:val="20"/>
              </w:rPr>
              <w:t xml:space="preserve"> (</w:t>
            </w:r>
            <w:r w:rsidRPr="00B41CBC">
              <w:rPr>
                <w:rFonts w:cstheme="minorHAnsi"/>
                <w:szCs w:val="20"/>
              </w:rPr>
              <w:t>exclusively profiled by</w:t>
            </w:r>
            <w:r>
              <w:rPr>
                <w:rFonts w:cstheme="minorHAnsi"/>
                <w:szCs w:val="20"/>
              </w:rPr>
              <w:t xml:space="preserve"> MS-</w:t>
            </w:r>
            <w:r w:rsidRPr="00B41CBC">
              <w:rPr>
                <w:rFonts w:cstheme="minorHAnsi"/>
                <w:szCs w:val="20"/>
              </w:rPr>
              <w:t>thermostability assays</w:t>
            </w:r>
            <w:r>
              <w:rPr>
                <w:rFonts w:cstheme="minorHAnsi"/>
                <w:szCs w:val="20"/>
              </w:rPr>
              <w:t>)</w:t>
            </w:r>
            <w:r w:rsidRPr="00B41CBC">
              <w:rPr>
                <w:rFonts w:cstheme="minorHAnsi"/>
                <w:szCs w:val="20"/>
              </w:rPr>
              <w:t>.</w:t>
            </w:r>
            <w:r>
              <w:rPr>
                <w:rFonts w:cstheme="minorHAnsi"/>
                <w:szCs w:val="20"/>
              </w:rPr>
              <w:t xml:space="preserve"> </w:t>
            </w:r>
            <w:r w:rsidRPr="001D5D23">
              <w:rPr>
                <w:rFonts w:cstheme="majorBidi"/>
                <w:b/>
                <w:bCs/>
                <w:szCs w:val="20"/>
              </w:rPr>
              <w:t>(</w:t>
            </w:r>
            <w:r>
              <w:rPr>
                <w:rFonts w:cstheme="majorBidi"/>
                <w:b/>
                <w:bCs/>
                <w:szCs w:val="20"/>
              </w:rPr>
              <w:t>D</w:t>
            </w:r>
            <w:r w:rsidRPr="001D5D23">
              <w:rPr>
                <w:rFonts w:cstheme="majorBidi"/>
                <w:b/>
                <w:bCs/>
                <w:szCs w:val="20"/>
              </w:rPr>
              <w:t>)</w:t>
            </w:r>
            <w:r>
              <w:rPr>
                <w:rFonts w:cstheme="majorBidi"/>
                <w:szCs w:val="20"/>
              </w:rPr>
              <w:t xml:space="preserve"> </w:t>
            </w:r>
            <w:r w:rsidRPr="00D10E11">
              <w:rPr>
                <w:szCs w:val="20"/>
              </w:rPr>
              <w:t>The distribution of T</w:t>
            </w:r>
            <w:r w:rsidRPr="002D2102">
              <w:rPr>
                <w:szCs w:val="20"/>
                <w:vertAlign w:val="subscript"/>
              </w:rPr>
              <w:t>m</w:t>
            </w:r>
            <w:r w:rsidRPr="00D10E11">
              <w:rPr>
                <w:szCs w:val="20"/>
              </w:rPr>
              <w:t xml:space="preserve"> values for viral </w:t>
            </w:r>
            <w:proofErr w:type="spellStart"/>
            <w:r w:rsidRPr="00D10E11">
              <w:rPr>
                <w:szCs w:val="20"/>
              </w:rPr>
              <w:t>pMHC</w:t>
            </w:r>
            <w:proofErr w:type="spellEnd"/>
            <w:r w:rsidRPr="00D10E11">
              <w:rPr>
                <w:szCs w:val="20"/>
              </w:rPr>
              <w:t xml:space="preserve"> complexes across the number of mice responding positively to each VACV peptide</w:t>
            </w:r>
            <w:r>
              <w:rPr>
                <w:szCs w:val="20"/>
              </w:rPr>
              <w:t xml:space="preserve"> revealed</w:t>
            </w:r>
            <w:r w:rsidRPr="00D10E11">
              <w:rPr>
                <w:szCs w:val="20"/>
              </w:rPr>
              <w:t xml:space="preserve"> a gradual increase in the T</w:t>
            </w:r>
            <w:r w:rsidRPr="002D2102">
              <w:rPr>
                <w:szCs w:val="20"/>
                <w:vertAlign w:val="subscript"/>
              </w:rPr>
              <w:t>m</w:t>
            </w:r>
            <w:r w:rsidRPr="00D10E11">
              <w:rPr>
                <w:szCs w:val="20"/>
              </w:rPr>
              <w:t xml:space="preserve"> values across the reactivity level of peptides out of eight immunogenic</w:t>
            </w:r>
            <w:r>
              <w:rPr>
                <w:szCs w:val="20"/>
              </w:rPr>
              <w:t>ity</w:t>
            </w:r>
            <w:r w:rsidRPr="00D10E11">
              <w:rPr>
                <w:szCs w:val="20"/>
              </w:rPr>
              <w:t xml:space="preserve"> measurements.</w:t>
            </w:r>
            <w:r>
              <w:rPr>
                <w:szCs w:val="20"/>
              </w:rPr>
              <w:t xml:space="preserve"> </w:t>
            </w:r>
            <w:r w:rsidRPr="00D10E11">
              <w:rPr>
                <w:b/>
                <w:bCs/>
                <w:szCs w:val="20"/>
              </w:rPr>
              <w:t>(</w:t>
            </w:r>
            <w:r>
              <w:rPr>
                <w:b/>
                <w:bCs/>
                <w:szCs w:val="20"/>
              </w:rPr>
              <w:t>E</w:t>
            </w:r>
            <w:r w:rsidRPr="00D10E11">
              <w:rPr>
                <w:b/>
                <w:bCs/>
                <w:szCs w:val="20"/>
              </w:rPr>
              <w:t>)</w:t>
            </w:r>
            <w:r w:rsidRPr="00D10E11">
              <w:rPr>
                <w:szCs w:val="20"/>
              </w:rPr>
              <w:t xml:space="preserve"> The distribution of the T</w:t>
            </w:r>
            <w:r w:rsidRPr="002D2102">
              <w:rPr>
                <w:szCs w:val="20"/>
                <w:vertAlign w:val="subscript"/>
              </w:rPr>
              <w:t>m</w:t>
            </w:r>
            <w:r w:rsidRPr="00D10E11">
              <w:rPr>
                <w:szCs w:val="20"/>
              </w:rPr>
              <w:t xml:space="preserve"> values for</w:t>
            </w:r>
            <w:r>
              <w:rPr>
                <w:szCs w:val="20"/>
              </w:rPr>
              <w:t xml:space="preserve"> 110</w:t>
            </w:r>
            <w:r w:rsidRPr="00D10E11">
              <w:rPr>
                <w:szCs w:val="20"/>
              </w:rPr>
              <w:t xml:space="preserve"> </w:t>
            </w:r>
            <w:r>
              <w:rPr>
                <w:szCs w:val="20"/>
              </w:rPr>
              <w:t xml:space="preserve">immunogenicity-ranked </w:t>
            </w:r>
            <w:r w:rsidRPr="00D10E11">
              <w:rPr>
                <w:szCs w:val="20"/>
              </w:rPr>
              <w:t>VACV peptides</w:t>
            </w:r>
            <w:r>
              <w:rPr>
                <w:szCs w:val="20"/>
              </w:rPr>
              <w:t xml:space="preserve"> shows</w:t>
            </w:r>
            <w:r w:rsidRPr="00D10E11">
              <w:rPr>
                <w:szCs w:val="20"/>
              </w:rPr>
              <w:t xml:space="preserve"> the shifts in the distribution to the higher T</w:t>
            </w:r>
            <w:r w:rsidRPr="002D2102">
              <w:rPr>
                <w:szCs w:val="20"/>
                <w:vertAlign w:val="subscript"/>
              </w:rPr>
              <w:t>m</w:t>
            </w:r>
            <w:r w:rsidRPr="00D10E11">
              <w:rPr>
                <w:szCs w:val="20"/>
              </w:rPr>
              <w:t xml:space="preserve"> values for major and minor immunogenic VACV peptides.</w:t>
            </w:r>
            <w:r>
              <w:rPr>
                <w:szCs w:val="20"/>
              </w:rPr>
              <w:t xml:space="preserve"> </w:t>
            </w:r>
            <w:r w:rsidR="006702F0" w:rsidRPr="008A1C10">
              <w:rPr>
                <w:i/>
                <w:iCs/>
                <w:szCs w:val="20"/>
              </w:rPr>
              <w:t>The</w:t>
            </w:r>
            <w:r w:rsidR="006702F0">
              <w:rPr>
                <w:szCs w:val="20"/>
              </w:rPr>
              <w:t xml:space="preserve"> </w:t>
            </w:r>
            <w:r w:rsidR="006702F0">
              <w:rPr>
                <w:i/>
                <w:iCs/>
                <w:szCs w:val="20"/>
                <w:shd w:val="clear" w:color="auto" w:fill="FFFFFF"/>
              </w:rPr>
              <w:t>o</w:t>
            </w:r>
            <w:r w:rsidR="006702F0" w:rsidRPr="00D10E11">
              <w:rPr>
                <w:i/>
                <w:iCs/>
                <w:szCs w:val="20"/>
                <w:shd w:val="clear" w:color="auto" w:fill="FFFFFF"/>
              </w:rPr>
              <w:t>rdinary one-way ANOVA</w:t>
            </w:r>
            <w:r w:rsidR="006702F0">
              <w:rPr>
                <w:i/>
                <w:iCs/>
                <w:szCs w:val="20"/>
                <w:shd w:val="clear" w:color="auto" w:fill="FFFFFF"/>
              </w:rPr>
              <w:t xml:space="preserve"> (D) </w:t>
            </w:r>
            <w:r w:rsidR="006702F0" w:rsidRPr="00862AE7">
              <w:rPr>
                <w:i/>
                <w:iCs/>
                <w:szCs w:val="20"/>
                <w:shd w:val="clear" w:color="auto" w:fill="FFFFFF"/>
              </w:rPr>
              <w:t>multiple comparison tests were used to determine the significance of the pairs. ns, not significant; *p-value &lt; 0.05; **p-value &lt; 0.01; ***p-value &lt; 0.001; and ****p-value &lt; 0.0001.</w:t>
            </w:r>
            <w:r w:rsidR="006702F0">
              <w:rPr>
                <w:i/>
                <w:iCs/>
                <w:szCs w:val="20"/>
                <w:shd w:val="clear" w:color="auto" w:fill="FFFFFF"/>
              </w:rPr>
              <w:t xml:space="preserve"> </w:t>
            </w:r>
          </w:p>
        </w:tc>
      </w:tr>
    </w:tbl>
    <w:p w14:paraId="6B3F4698" w14:textId="20308F69" w:rsidR="0009562E" w:rsidRDefault="00703741" w:rsidP="0009562E">
      <w:r w:rsidRPr="000F76D9">
        <w:rPr>
          <w:rFonts w:cstheme="majorBidi"/>
        </w:rPr>
        <w:lastRenderedPageBreak/>
        <w:t>We analy</w:t>
      </w:r>
      <w:r w:rsidR="002D2102">
        <w:rPr>
          <w:rFonts w:cstheme="majorBidi"/>
        </w:rPr>
        <w:t>s</w:t>
      </w:r>
      <w:r w:rsidRPr="000F76D9">
        <w:rPr>
          <w:rFonts w:cstheme="majorBidi"/>
        </w:rPr>
        <w:t>ed the Pearson correlations between the calculated T</w:t>
      </w:r>
      <w:r w:rsidRPr="002D2102">
        <w:rPr>
          <w:rFonts w:cstheme="majorBidi"/>
          <w:vertAlign w:val="subscript"/>
        </w:rPr>
        <w:t>m</w:t>
      </w:r>
      <w:r w:rsidRPr="000F76D9">
        <w:rPr>
          <w:rFonts w:cstheme="majorBidi"/>
        </w:rPr>
        <w:t xml:space="preserve"> values in this study and measured anti-VACV CD8</w:t>
      </w:r>
      <w:r w:rsidRPr="007D6B3A">
        <w:rPr>
          <w:rFonts w:cstheme="majorBidi"/>
          <w:vertAlign w:val="superscript"/>
        </w:rPr>
        <w:t>+</w:t>
      </w:r>
      <w:r w:rsidRPr="000F76D9">
        <w:rPr>
          <w:rFonts w:cstheme="majorBidi"/>
        </w:rPr>
        <w:t xml:space="preserve"> T cell responses for SWATH</w:t>
      </w:r>
      <w:r>
        <w:rPr>
          <w:rFonts w:cstheme="majorBidi"/>
        </w:rPr>
        <w:t>-DIA</w:t>
      </w:r>
      <w:r w:rsidRPr="000F76D9">
        <w:rPr>
          <w:rFonts w:cstheme="majorBidi"/>
        </w:rPr>
        <w:t xml:space="preserve"> MS-thermostability assay (PCC = 0.509 for 98 VACV IDs</w:t>
      </w:r>
      <w:r>
        <w:rPr>
          <w:rFonts w:cstheme="majorBidi"/>
        </w:rPr>
        <w:t xml:space="preserve">, </w:t>
      </w:r>
      <w:r w:rsidRPr="000F76D9">
        <w:rPr>
          <w:rFonts w:cstheme="majorBidi"/>
          <w:color w:val="0070C0"/>
        </w:rPr>
        <w:t>Figure</w:t>
      </w:r>
      <w:r>
        <w:rPr>
          <w:rFonts w:cstheme="majorBidi"/>
        </w:rPr>
        <w:t xml:space="preserve"> </w:t>
      </w:r>
      <w:r w:rsidRPr="00D10E11">
        <w:rPr>
          <w:color w:val="0070C0"/>
        </w:rPr>
        <w:t>S</w:t>
      </w:r>
      <w:r w:rsidR="0009562E">
        <w:rPr>
          <w:color w:val="0070C0"/>
        </w:rPr>
        <w:t>6</w:t>
      </w:r>
      <w:r>
        <w:rPr>
          <w:color w:val="0070C0"/>
        </w:rPr>
        <w:t>A</w:t>
      </w:r>
      <w:r w:rsidRPr="00D10E11">
        <w:rPr>
          <w:color w:val="0070C0"/>
        </w:rPr>
        <w:t xml:space="preserve"> – Supplemental Data</w:t>
      </w:r>
      <w:r w:rsidRPr="000F76D9">
        <w:rPr>
          <w:rFonts w:cstheme="majorBidi"/>
        </w:rPr>
        <w:t>)</w:t>
      </w:r>
      <w:r>
        <w:rPr>
          <w:rFonts w:cstheme="majorBidi"/>
        </w:rPr>
        <w:t>.</w:t>
      </w:r>
      <w:r w:rsidRPr="000F76D9">
        <w:rPr>
          <w:rFonts w:cstheme="majorBidi"/>
        </w:rPr>
        <w:t xml:space="preserve"> We averaged T</w:t>
      </w:r>
      <w:r w:rsidRPr="002D2102">
        <w:rPr>
          <w:rFonts w:cstheme="majorBidi"/>
          <w:vertAlign w:val="subscript"/>
        </w:rPr>
        <w:t>m</w:t>
      </w:r>
      <w:r w:rsidRPr="000F76D9">
        <w:rPr>
          <w:rFonts w:cstheme="majorBidi"/>
        </w:rPr>
        <w:t xml:space="preserve"> values for 89 </w:t>
      </w:r>
      <w:proofErr w:type="gramStart"/>
      <w:r w:rsidRPr="000F76D9">
        <w:rPr>
          <w:rFonts w:cstheme="majorBidi"/>
        </w:rPr>
        <w:t>commonly-profiled</w:t>
      </w:r>
      <w:proofErr w:type="gramEnd"/>
      <w:r w:rsidRPr="000F76D9">
        <w:rPr>
          <w:rFonts w:cstheme="majorBidi"/>
        </w:rPr>
        <w:t xml:space="preserve"> VACV peptides calculated across two MS thermostability assays (regarding their high correlation revealed in </w:t>
      </w:r>
      <w:r w:rsidRPr="000F76D9">
        <w:rPr>
          <w:rFonts w:cstheme="majorBidi"/>
          <w:color w:val="0070C0"/>
        </w:rPr>
        <w:t>Figure 2</w:t>
      </w:r>
      <w:r w:rsidR="00E81A69">
        <w:rPr>
          <w:rFonts w:cstheme="majorBidi"/>
          <w:color w:val="0070C0"/>
        </w:rPr>
        <w:t>D</w:t>
      </w:r>
      <w:r w:rsidRPr="000F76D9">
        <w:rPr>
          <w:rFonts w:cstheme="majorBidi"/>
        </w:rPr>
        <w:t>). Subsequently, we assessed the correlation between the averaged T</w:t>
      </w:r>
      <w:r w:rsidRPr="002D2102">
        <w:rPr>
          <w:rFonts w:cstheme="majorBidi"/>
          <w:vertAlign w:val="subscript"/>
        </w:rPr>
        <w:t>m</w:t>
      </w:r>
      <w:r w:rsidRPr="000F76D9">
        <w:rPr>
          <w:rFonts w:cstheme="majorBidi"/>
        </w:rPr>
        <w:t xml:space="preserve"> values and anti-VACV CD8</w:t>
      </w:r>
      <w:r w:rsidRPr="00AB0AB7">
        <w:rPr>
          <w:rFonts w:cstheme="majorBidi"/>
          <w:vertAlign w:val="superscript"/>
        </w:rPr>
        <w:t>+</w:t>
      </w:r>
      <w:r w:rsidRPr="000F76D9">
        <w:rPr>
          <w:rFonts w:cstheme="majorBidi"/>
        </w:rPr>
        <w:t xml:space="preserve"> T cell responses</w:t>
      </w:r>
      <w:r>
        <w:rPr>
          <w:rFonts w:cstheme="majorBidi"/>
        </w:rPr>
        <w:t xml:space="preserve"> with</w:t>
      </w:r>
      <w:r w:rsidRPr="00703741">
        <w:t xml:space="preserve"> </w:t>
      </w:r>
      <w:r w:rsidRPr="00703741">
        <w:rPr>
          <w:rFonts w:cstheme="majorBidi"/>
        </w:rPr>
        <w:t xml:space="preserve">a PCC of 0.425 for all 110 profiled VACV </w:t>
      </w:r>
      <w:proofErr w:type="spellStart"/>
      <w:r w:rsidRPr="00703741">
        <w:rPr>
          <w:rFonts w:cstheme="majorBidi"/>
        </w:rPr>
        <w:t>pMHCIs</w:t>
      </w:r>
      <w:proofErr w:type="spellEnd"/>
      <w:r>
        <w:rPr>
          <w:rFonts w:cstheme="majorBidi"/>
        </w:rPr>
        <w:t>.</w:t>
      </w:r>
      <w:r w:rsidR="00243B97">
        <w:rPr>
          <w:rFonts w:cstheme="majorBidi"/>
        </w:rPr>
        <w:t xml:space="preserve"> </w:t>
      </w:r>
      <w:r w:rsidR="00243B97" w:rsidRPr="00A06F86">
        <w:t xml:space="preserve">Within the major immunogenicity category, </w:t>
      </w:r>
      <w:r w:rsidR="002D2102">
        <w:t>more stable peptides are identified as major epitopes than</w:t>
      </w:r>
      <w:r w:rsidR="00243B97" w:rsidRPr="00A06F86">
        <w:t xml:space="preserve"> non- and semi-stable peptides</w:t>
      </w:r>
      <w:r w:rsidR="00243B97">
        <w:t xml:space="preserve">, further </w:t>
      </w:r>
      <w:r w:rsidR="00243B97" w:rsidRPr="00D10E11">
        <w:t>confirming the relationship between thermostability and immunogenicity (</w:t>
      </w:r>
      <w:r w:rsidR="00243B97" w:rsidRPr="000F76D9">
        <w:rPr>
          <w:rFonts w:cstheme="majorBidi"/>
          <w:color w:val="0070C0"/>
        </w:rPr>
        <w:t>Figure</w:t>
      </w:r>
      <w:r w:rsidR="00243B97">
        <w:rPr>
          <w:rFonts w:cstheme="majorBidi"/>
        </w:rPr>
        <w:t xml:space="preserve"> </w:t>
      </w:r>
      <w:r w:rsidR="00243B97" w:rsidRPr="00D10E11">
        <w:rPr>
          <w:color w:val="0070C0"/>
        </w:rPr>
        <w:t>S</w:t>
      </w:r>
      <w:r w:rsidR="0009562E">
        <w:rPr>
          <w:color w:val="0070C0"/>
        </w:rPr>
        <w:t>6</w:t>
      </w:r>
      <w:r w:rsidR="00243B97">
        <w:rPr>
          <w:color w:val="0070C0"/>
        </w:rPr>
        <w:t>B-C</w:t>
      </w:r>
      <w:r w:rsidR="00243B97" w:rsidRPr="00D10E11">
        <w:rPr>
          <w:color w:val="0070C0"/>
        </w:rPr>
        <w:t xml:space="preserve"> – Supplemental Data</w:t>
      </w:r>
      <w:r w:rsidR="00243B97" w:rsidRPr="00D10E11">
        <w:t>).</w:t>
      </w:r>
      <w:r w:rsidR="00243B97">
        <w:t xml:space="preserve"> </w:t>
      </w:r>
      <w:r w:rsidR="0009562E" w:rsidRPr="00A06F86">
        <w:t xml:space="preserve">Within the major immunogenicity category, </w:t>
      </w:r>
      <w:r w:rsidR="0009562E">
        <w:t>more highly stable peptides are identified as major epitopes than</w:t>
      </w:r>
      <w:r w:rsidR="0009562E" w:rsidRPr="00A06F86">
        <w:t xml:space="preserve"> non- and semi-stable peptides</w:t>
      </w:r>
      <w:r w:rsidR="0009562E">
        <w:t xml:space="preserve">, further </w:t>
      </w:r>
      <w:r w:rsidR="0009562E" w:rsidRPr="00D10E11">
        <w:t>confirming the relationship between thermostability and immunogenicity (</w:t>
      </w:r>
      <w:r w:rsidR="0009562E" w:rsidRPr="000F76D9">
        <w:rPr>
          <w:rFonts w:cstheme="majorBidi"/>
          <w:color w:val="0070C0"/>
        </w:rPr>
        <w:t>Figure</w:t>
      </w:r>
      <w:r w:rsidR="0009562E">
        <w:rPr>
          <w:rFonts w:cstheme="majorBidi"/>
        </w:rPr>
        <w:t xml:space="preserve"> </w:t>
      </w:r>
      <w:r w:rsidR="0009562E" w:rsidRPr="00D10E11">
        <w:rPr>
          <w:color w:val="0070C0"/>
        </w:rPr>
        <w:t>S</w:t>
      </w:r>
      <w:r w:rsidR="0009562E">
        <w:rPr>
          <w:color w:val="0070C0"/>
        </w:rPr>
        <w:t>6B-C</w:t>
      </w:r>
      <w:r w:rsidR="0009562E" w:rsidRPr="00D10E11">
        <w:rPr>
          <w:color w:val="0070C0"/>
        </w:rPr>
        <w:t xml:space="preserve"> – Supplemental Data</w:t>
      </w:r>
      <w:r w:rsidR="0009562E" w:rsidRPr="00D10E11">
        <w:t>).</w:t>
      </w:r>
      <w:r w:rsidR="0009562E">
        <w:t xml:space="preserve"> </w:t>
      </w:r>
      <w:r w:rsidR="00243B97">
        <w:t>Besides, w</w:t>
      </w:r>
      <w:r w:rsidR="00243B97" w:rsidRPr="00D10E11">
        <w:t xml:space="preserve">e </w:t>
      </w:r>
      <w:r w:rsidR="00243B97">
        <w:t>evaluated</w:t>
      </w:r>
      <w:r w:rsidR="00243B97" w:rsidRPr="00D10E11">
        <w:t xml:space="preserve"> </w:t>
      </w:r>
      <w:r w:rsidR="00243B97">
        <w:t xml:space="preserve">the range of the calculated </w:t>
      </w:r>
      <w:r w:rsidR="00243B97" w:rsidRPr="00D10E11">
        <w:t>T</w:t>
      </w:r>
      <w:r w:rsidR="00243B97" w:rsidRPr="002D2102">
        <w:rPr>
          <w:vertAlign w:val="subscript"/>
        </w:rPr>
        <w:t>m</w:t>
      </w:r>
      <w:r w:rsidR="00243B97" w:rsidRPr="00D10E11">
        <w:t xml:space="preserve"> values </w:t>
      </w:r>
      <w:r w:rsidR="00243B97">
        <w:t>across</w:t>
      </w:r>
      <w:r w:rsidR="00243B97" w:rsidRPr="00D10E11">
        <w:t xml:space="preserve"> three replicates (T</w:t>
      </w:r>
      <w:r w:rsidR="00243B97" w:rsidRPr="002D2102">
        <w:rPr>
          <w:vertAlign w:val="subscript"/>
        </w:rPr>
        <w:t>m</w:t>
      </w:r>
      <w:r w:rsidR="00243B97" w:rsidRPr="00D10E11">
        <w:t xml:space="preserve"> bounds). The T</w:t>
      </w:r>
      <w:r w:rsidR="00243B97" w:rsidRPr="002D2102">
        <w:rPr>
          <w:vertAlign w:val="subscript"/>
        </w:rPr>
        <w:t>m</w:t>
      </w:r>
      <w:r w:rsidR="00243B97" w:rsidRPr="00D10E11">
        <w:t xml:space="preserve"> bounds calculated for the joint VACV peptides profiled by both MS thermostability assays (i.e., SWATH</w:t>
      </w:r>
      <w:r w:rsidR="00243B97">
        <w:t>-DIA</w:t>
      </w:r>
      <w:r w:rsidR="00243B97" w:rsidRPr="00D10E11">
        <w:t xml:space="preserve"> and MRM</w:t>
      </w:r>
      <w:r w:rsidR="00243B97" w:rsidRPr="00D10E11">
        <w:rPr>
          <w:vertAlign w:val="superscript"/>
        </w:rPr>
        <w:t>HR</w:t>
      </w:r>
      <w:r w:rsidR="00243B97" w:rsidRPr="00D10E11">
        <w:t>) and the bound profiles showed good accordance in most VACV peptides (</w:t>
      </w:r>
      <w:r w:rsidR="00243B97" w:rsidRPr="00D10E11">
        <w:rPr>
          <w:color w:val="0070C0"/>
        </w:rPr>
        <w:t xml:space="preserve">Figure </w:t>
      </w:r>
      <w:r w:rsidR="00243B97">
        <w:rPr>
          <w:color w:val="0070C0"/>
        </w:rPr>
        <w:t>S</w:t>
      </w:r>
      <w:r w:rsidR="0009562E">
        <w:rPr>
          <w:color w:val="0070C0"/>
        </w:rPr>
        <w:t>6</w:t>
      </w:r>
      <w:r w:rsidR="00243B97">
        <w:rPr>
          <w:color w:val="0070C0"/>
        </w:rPr>
        <w:t xml:space="preserve">D </w:t>
      </w:r>
      <w:r w:rsidR="00243B97" w:rsidRPr="00D10E11">
        <w:rPr>
          <w:color w:val="0070C0"/>
        </w:rPr>
        <w:t>– Supplemental Data</w:t>
      </w:r>
      <w:r w:rsidR="00243B97" w:rsidRPr="00D10E11">
        <w:t>).</w:t>
      </w:r>
      <w:r w:rsidR="0009562E">
        <w:t xml:space="preserve"> </w:t>
      </w:r>
    </w:p>
    <w:p w14:paraId="3FD9CAFC" w14:textId="6C5746AD" w:rsidR="00243B97" w:rsidRDefault="00243B97" w:rsidP="00477F54">
      <w:pPr>
        <w:rPr>
          <w:lang w:eastAsia="en-AU"/>
        </w:rPr>
      </w:pPr>
    </w:p>
    <w:tbl>
      <w:tblPr>
        <w:tblStyle w:val="TableGrid"/>
        <w:tblW w:w="1116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66"/>
      </w:tblGrid>
      <w:tr w:rsidR="00477F54" w14:paraId="553E4129" w14:textId="77777777" w:rsidTr="009709A6">
        <w:trPr>
          <w:jc w:val="center"/>
        </w:trPr>
        <w:tc>
          <w:tcPr>
            <w:tcW w:w="11166" w:type="dxa"/>
          </w:tcPr>
          <w:p w14:paraId="204013A4" w14:textId="77777777" w:rsidR="00477F54" w:rsidRDefault="00385FD2" w:rsidP="00F11901">
            <w:pPr>
              <w:spacing w:before="0"/>
              <w:rPr>
                <w:lang w:eastAsia="en-AU"/>
              </w:rPr>
            </w:pPr>
            <w:r>
              <w:rPr>
                <w:noProof/>
                <w:lang w:eastAsia="en-AU"/>
              </w:rPr>
              <w:lastRenderedPageBreak/>
              <w:drawing>
                <wp:inline distT="0" distB="0" distL="0" distR="0" wp14:anchorId="762D8B48" wp14:editId="36EE1313">
                  <wp:extent cx="6953693" cy="5878195"/>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956989" cy="5880981"/>
                          </a:xfrm>
                          <a:prstGeom prst="rect">
                            <a:avLst/>
                          </a:prstGeom>
                          <a:noFill/>
                        </pic:spPr>
                      </pic:pic>
                    </a:graphicData>
                  </a:graphic>
                </wp:inline>
              </w:drawing>
            </w:r>
          </w:p>
        </w:tc>
      </w:tr>
      <w:tr w:rsidR="00477F54" w14:paraId="7AECF593" w14:textId="77777777" w:rsidTr="009709A6">
        <w:trPr>
          <w:jc w:val="center"/>
        </w:trPr>
        <w:tc>
          <w:tcPr>
            <w:tcW w:w="11166" w:type="dxa"/>
          </w:tcPr>
          <w:p w14:paraId="50569FC7" w14:textId="561069DA" w:rsidR="003C786F" w:rsidRPr="003C786F" w:rsidRDefault="00E51822" w:rsidP="003C786F">
            <w:pPr>
              <w:pStyle w:val="MyFigures"/>
              <w:rPr>
                <w:szCs w:val="20"/>
              </w:rPr>
            </w:pPr>
            <w:r w:rsidRPr="003C786F">
              <w:rPr>
                <w:szCs w:val="20"/>
              </w:rPr>
              <w:t>Figure S</w:t>
            </w:r>
            <w:r w:rsidR="0009562E">
              <w:rPr>
                <w:szCs w:val="20"/>
              </w:rPr>
              <w:t>6</w:t>
            </w:r>
            <w:r w:rsidR="00F11901" w:rsidRPr="003C786F">
              <w:rPr>
                <w:szCs w:val="20"/>
              </w:rPr>
              <w:t xml:space="preserve">. </w:t>
            </w:r>
            <w:r w:rsidR="003C786F" w:rsidRPr="003C786F">
              <w:rPr>
                <w:szCs w:val="20"/>
              </w:rPr>
              <w:t xml:space="preserve">Correlation between thermostability and immunogenicity profiles and assessment of thermostability association with immunogenicity for VACV-derived </w:t>
            </w:r>
            <w:proofErr w:type="spellStart"/>
            <w:r w:rsidR="003C786F" w:rsidRPr="003C786F">
              <w:rPr>
                <w:szCs w:val="20"/>
              </w:rPr>
              <w:t>pMHCs</w:t>
            </w:r>
            <w:proofErr w:type="spellEnd"/>
            <w:r w:rsidR="003C786F" w:rsidRPr="003C786F">
              <w:rPr>
                <w:szCs w:val="20"/>
              </w:rPr>
              <w:t>.</w:t>
            </w:r>
          </w:p>
          <w:p w14:paraId="263C85FD" w14:textId="01D66F33" w:rsidR="008C7640" w:rsidRDefault="00F11901" w:rsidP="003C786F">
            <w:pPr>
              <w:spacing w:line="240" w:lineRule="auto"/>
              <w:rPr>
                <w:lang w:eastAsia="en-AU"/>
              </w:rPr>
            </w:pPr>
            <w:r w:rsidRPr="003C786F">
              <w:rPr>
                <w:b/>
                <w:bCs/>
                <w:szCs w:val="20"/>
                <w:lang w:eastAsia="en-AU"/>
              </w:rPr>
              <w:t>(A)</w:t>
            </w:r>
            <w:r w:rsidRPr="003C786F">
              <w:rPr>
                <w:szCs w:val="20"/>
                <w:lang w:eastAsia="en-AU"/>
              </w:rPr>
              <w:t xml:space="preserve"> </w:t>
            </w:r>
            <w:r w:rsidR="003C786F" w:rsidRPr="003C786F">
              <w:rPr>
                <w:szCs w:val="20"/>
              </w:rPr>
              <w:t>The correlation for the T</w:t>
            </w:r>
            <w:r w:rsidR="003C786F" w:rsidRPr="002D2102">
              <w:rPr>
                <w:szCs w:val="20"/>
                <w:vertAlign w:val="subscript"/>
              </w:rPr>
              <w:t>m</w:t>
            </w:r>
            <w:r w:rsidR="003C786F" w:rsidRPr="003C786F">
              <w:rPr>
                <w:szCs w:val="20"/>
              </w:rPr>
              <w:t xml:space="preserve"> values </w:t>
            </w:r>
            <w:r w:rsidR="002D2102">
              <w:rPr>
                <w:szCs w:val="20"/>
              </w:rPr>
              <w:t>was measured by Zeno SWATH-DIA data in this study, and anti-VACV CD8+ T cell responses were measured</w:t>
            </w:r>
            <w:r w:rsidR="003C786F" w:rsidRPr="003C786F">
              <w:rPr>
                <w:szCs w:val="20"/>
              </w:rPr>
              <w:t xml:space="preserve"> (PCC = 0.509 for 98 VACV IDs). </w:t>
            </w:r>
            <w:r w:rsidR="003C786F" w:rsidRPr="003C786F">
              <w:rPr>
                <w:b/>
                <w:bCs/>
                <w:szCs w:val="20"/>
              </w:rPr>
              <w:t>(B)</w:t>
            </w:r>
            <w:r w:rsidR="003C786F" w:rsidRPr="003C786F">
              <w:rPr>
                <w:szCs w:val="20"/>
              </w:rPr>
              <w:t xml:space="preserve"> The VACV peptides were classified as non-stable, semi-stable, and (highly-)stable within each immunogenicity category to demonstrate the presence of more stable or highly stable peptides among the major epitopes. </w:t>
            </w:r>
            <w:r w:rsidR="003C786F" w:rsidRPr="003C786F">
              <w:rPr>
                <w:b/>
                <w:bCs/>
                <w:szCs w:val="20"/>
              </w:rPr>
              <w:t>(C)</w:t>
            </w:r>
            <w:r w:rsidR="003C786F" w:rsidRPr="003C786F">
              <w:rPr>
                <w:szCs w:val="20"/>
              </w:rPr>
              <w:t xml:space="preserve"> More major epitopes were classified as (highly-)stable, which insists on the observed trend between thermostability and immunogenicity levels. </w:t>
            </w:r>
            <w:r w:rsidR="008C7640" w:rsidRPr="003C786F">
              <w:rPr>
                <w:b/>
                <w:bCs/>
                <w:szCs w:val="20"/>
              </w:rPr>
              <w:t>(D)</w:t>
            </w:r>
            <w:r w:rsidR="008C7640" w:rsidRPr="003C786F">
              <w:rPr>
                <w:szCs w:val="20"/>
              </w:rPr>
              <w:t xml:space="preserve"> The T</w:t>
            </w:r>
            <w:r w:rsidR="008C7640" w:rsidRPr="002D2102">
              <w:rPr>
                <w:szCs w:val="20"/>
                <w:vertAlign w:val="subscript"/>
              </w:rPr>
              <w:t>m</w:t>
            </w:r>
            <w:r w:rsidR="008C7640" w:rsidRPr="003C786F">
              <w:rPr>
                <w:szCs w:val="20"/>
              </w:rPr>
              <w:t xml:space="preserve"> values for three replicates were calculated, and the ranges of the calculated T</w:t>
            </w:r>
            <w:r w:rsidR="008C7640" w:rsidRPr="002D2102">
              <w:rPr>
                <w:szCs w:val="20"/>
                <w:vertAlign w:val="subscript"/>
              </w:rPr>
              <w:t>m</w:t>
            </w:r>
            <w:r w:rsidR="008C7640" w:rsidRPr="003C786F">
              <w:rPr>
                <w:szCs w:val="20"/>
              </w:rPr>
              <w:t xml:space="preserve"> values (T</w:t>
            </w:r>
            <w:r w:rsidR="008C7640" w:rsidRPr="002D2102">
              <w:rPr>
                <w:szCs w:val="20"/>
                <w:vertAlign w:val="subscript"/>
              </w:rPr>
              <w:t>m</w:t>
            </w:r>
            <w:r w:rsidR="008C7640" w:rsidRPr="003C786F">
              <w:rPr>
                <w:szCs w:val="20"/>
              </w:rPr>
              <w:t xml:space="preserve"> bounds) were analy</w:t>
            </w:r>
            <w:r w:rsidR="002D2102">
              <w:rPr>
                <w:szCs w:val="20"/>
              </w:rPr>
              <w:t>s</w:t>
            </w:r>
            <w:r w:rsidR="008C7640" w:rsidRPr="003C786F">
              <w:rPr>
                <w:szCs w:val="20"/>
              </w:rPr>
              <w:t>ed. These T</w:t>
            </w:r>
            <w:r w:rsidR="008C7640" w:rsidRPr="002D2102">
              <w:rPr>
                <w:szCs w:val="20"/>
                <w:vertAlign w:val="subscript"/>
              </w:rPr>
              <w:t>m</w:t>
            </w:r>
            <w:r w:rsidR="008C7640" w:rsidRPr="003C786F">
              <w:rPr>
                <w:szCs w:val="20"/>
              </w:rPr>
              <w:t xml:space="preserve"> bounds were calculated for the joint VACV peptides profiled by both MS thermostability assays (i.e., Zeno SWATH and MRM</w:t>
            </w:r>
            <w:r w:rsidR="008C7640" w:rsidRPr="003C786F">
              <w:rPr>
                <w:szCs w:val="20"/>
                <w:vertAlign w:val="superscript"/>
              </w:rPr>
              <w:t>HR</w:t>
            </w:r>
            <w:r w:rsidR="008C7640" w:rsidRPr="003C786F">
              <w:rPr>
                <w:szCs w:val="20"/>
              </w:rPr>
              <w:t>), and the bound profiles showed very good accordance in most VACV peptides.</w:t>
            </w:r>
            <w:r w:rsidR="00705CE5">
              <w:rPr>
                <w:szCs w:val="20"/>
              </w:rPr>
              <w:t xml:space="preserve"> </w:t>
            </w:r>
            <w:r w:rsidR="00705CE5" w:rsidRPr="00CF4E5A">
              <w:rPr>
                <w:i/>
                <w:iCs/>
                <w:szCs w:val="20"/>
              </w:rPr>
              <w:t>PCC, Pearson correlation coefficient</w:t>
            </w:r>
            <w:r w:rsidR="00705CE5">
              <w:rPr>
                <w:i/>
                <w:iCs/>
                <w:szCs w:val="20"/>
              </w:rPr>
              <w:t>.</w:t>
            </w:r>
          </w:p>
        </w:tc>
      </w:tr>
    </w:tbl>
    <w:p w14:paraId="6F961138" w14:textId="77777777" w:rsidR="00477F54" w:rsidRDefault="00477F54" w:rsidP="00477F54">
      <w:pPr>
        <w:rPr>
          <w:lang w:eastAsia="en-AU"/>
        </w:rPr>
      </w:pPr>
    </w:p>
    <w:p w14:paraId="6F4A5BD7" w14:textId="59E682BA" w:rsidR="006F33C6" w:rsidRDefault="002374C3" w:rsidP="009709A6">
      <w:bookmarkStart w:id="2" w:name="_Hlk145322268"/>
      <w:r w:rsidRPr="00D10E11">
        <w:t xml:space="preserve">We also assessed the robustness of the model over 300 iterations </w:t>
      </w:r>
      <w:bookmarkEnd w:id="2"/>
      <w:r w:rsidRPr="00D10E11">
        <w:t>(</w:t>
      </w:r>
      <w:r w:rsidRPr="00D10E11">
        <w:rPr>
          <w:color w:val="0070C0"/>
        </w:rPr>
        <w:t>Supplemental Data – Figure S</w:t>
      </w:r>
      <w:r w:rsidR="00596FAB">
        <w:rPr>
          <w:color w:val="0070C0"/>
        </w:rPr>
        <w:t>7</w:t>
      </w:r>
      <w:r w:rsidRPr="00D10E11">
        <w:rPr>
          <w:color w:val="0070C0"/>
        </w:rPr>
        <w:t>A</w:t>
      </w:r>
      <w:r>
        <w:rPr>
          <w:color w:val="0070C0"/>
        </w:rPr>
        <w:t>-</w:t>
      </w:r>
      <w:r w:rsidRPr="00D10E11">
        <w:rPr>
          <w:color w:val="0070C0"/>
        </w:rPr>
        <w:t xml:space="preserve">B) </w:t>
      </w:r>
      <w:r w:rsidRPr="00D10E11">
        <w:t>for the model</w:t>
      </w:r>
      <w:r>
        <w:t>s</w:t>
      </w:r>
      <w:r w:rsidRPr="00D10E11">
        <w:t xml:space="preserve"> </w:t>
      </w:r>
      <w:r>
        <w:t xml:space="preserve">with and </w:t>
      </w:r>
      <w:r w:rsidRPr="00D10E11">
        <w:t>without thermostability, revealing a significant improvement (</w:t>
      </w:r>
      <w:r w:rsidRPr="00AB0AB7">
        <w:rPr>
          <w:i/>
          <w:iCs/>
        </w:rPr>
        <w:t>p</w:t>
      </w:r>
      <w:r w:rsidRPr="00D10E11">
        <w:t>-value of &lt;0.0001) in the model performance upon the inclusion of thermostability predictors.</w:t>
      </w:r>
      <w:r w:rsidR="009709A6">
        <w:t xml:space="preserve"> </w:t>
      </w:r>
      <w:r w:rsidR="006F33C6" w:rsidRPr="00D10E11">
        <w:t xml:space="preserve">Due to the low </w:t>
      </w:r>
      <w:r w:rsidR="002D2102">
        <w:t>amount of peptide data for this quantitative immunogenicity model, there can be a probability of the</w:t>
      </w:r>
      <w:r w:rsidR="006F33C6" w:rsidRPr="00D10E11">
        <w:t xml:space="preserve"> </w:t>
      </w:r>
      <w:r w:rsidR="006F33C6" w:rsidRPr="00D10E11">
        <w:lastRenderedPageBreak/>
        <w:t>model overfitting. There is a demonstrated approach to test for overfitting in the models, which is an unbalanced model performance in training and validation steps. Thus, we analysed loss over the iterations of training and external validation (test), where a clear gap was obvious between the training and test validations (</w:t>
      </w:r>
      <w:r w:rsidR="006F33C6" w:rsidRPr="00D10E11">
        <w:rPr>
          <w:color w:val="0070C0"/>
        </w:rPr>
        <w:t>Supplemental Data – Figure S</w:t>
      </w:r>
      <w:r w:rsidR="00596FAB">
        <w:rPr>
          <w:color w:val="0070C0"/>
        </w:rPr>
        <w:t>7</w:t>
      </w:r>
      <w:r w:rsidR="006F33C6" w:rsidRPr="00D10E11">
        <w:rPr>
          <w:color w:val="0070C0"/>
        </w:rPr>
        <w:t>C</w:t>
      </w:r>
      <w:r w:rsidR="006F33C6" w:rsidRPr="00D10E11">
        <w:t xml:space="preserve">). Therefore, these results suggested that </w:t>
      </w:r>
      <w:r w:rsidR="002D2102">
        <w:t>overfitting occurs</w:t>
      </w:r>
      <w:r w:rsidR="006F33C6" w:rsidRPr="00D10E11">
        <w:t xml:space="preserve"> in this model. </w:t>
      </w:r>
    </w:p>
    <w:p w14:paraId="4831B384" w14:textId="77777777" w:rsidR="003131AB" w:rsidRDefault="003131AB"/>
    <w:tbl>
      <w:tblPr>
        <w:tblStyle w:val="TableGrid"/>
        <w:tblW w:w="1120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08"/>
      </w:tblGrid>
      <w:tr w:rsidR="00477F54" w:rsidRPr="00D10E11" w14:paraId="388EA2A5" w14:textId="77777777" w:rsidTr="00F90368">
        <w:trPr>
          <w:jc w:val="center"/>
        </w:trPr>
        <w:tc>
          <w:tcPr>
            <w:tcW w:w="11208" w:type="dxa"/>
          </w:tcPr>
          <w:p w14:paraId="35C097DC" w14:textId="77777777" w:rsidR="00477F54" w:rsidRPr="00D10E11" w:rsidRDefault="00477F54" w:rsidP="004B7C8B">
            <w:pPr>
              <w:spacing w:before="0" w:after="0"/>
              <w:rPr>
                <w:lang w:eastAsia="en-AU"/>
              </w:rPr>
            </w:pPr>
            <w:r w:rsidRPr="00D10E11">
              <w:rPr>
                <w:noProof/>
                <w:lang w:eastAsia="en-AU"/>
              </w:rPr>
              <w:drawing>
                <wp:inline distT="0" distB="0" distL="0" distR="0" wp14:anchorId="183ECA34" wp14:editId="4BAAD5F7">
                  <wp:extent cx="6979949" cy="2782570"/>
                  <wp:effectExtent l="0" t="0" r="0" b="0"/>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981518" cy="2783195"/>
                          </a:xfrm>
                          <a:prstGeom prst="rect">
                            <a:avLst/>
                          </a:prstGeom>
                          <a:noFill/>
                        </pic:spPr>
                      </pic:pic>
                    </a:graphicData>
                  </a:graphic>
                </wp:inline>
              </w:drawing>
            </w:r>
          </w:p>
        </w:tc>
      </w:tr>
      <w:tr w:rsidR="00477F54" w:rsidRPr="00D10E11" w14:paraId="20C151BE" w14:textId="77777777" w:rsidTr="00F90368">
        <w:trPr>
          <w:jc w:val="center"/>
        </w:trPr>
        <w:tc>
          <w:tcPr>
            <w:tcW w:w="11208" w:type="dxa"/>
          </w:tcPr>
          <w:p w14:paraId="530277F8" w14:textId="0902A792" w:rsidR="00477F54" w:rsidRPr="00D10E11" w:rsidRDefault="00477F54" w:rsidP="002374C3">
            <w:pPr>
              <w:spacing w:line="240" w:lineRule="auto"/>
              <w:rPr>
                <w:lang w:eastAsia="en-AU"/>
              </w:rPr>
            </w:pPr>
            <w:r w:rsidRPr="00D10E11">
              <w:rPr>
                <w:b/>
                <w:bCs/>
                <w:szCs w:val="20"/>
              </w:rPr>
              <w:t>Figure S</w:t>
            </w:r>
            <w:r w:rsidR="00596FAB">
              <w:rPr>
                <w:b/>
                <w:bCs/>
                <w:szCs w:val="20"/>
              </w:rPr>
              <w:t>7</w:t>
            </w:r>
            <w:r w:rsidRPr="00D10E11">
              <w:rPr>
                <w:b/>
                <w:bCs/>
                <w:szCs w:val="20"/>
              </w:rPr>
              <w:t>. Analysis of the robustness and overfitting in the models for predicting anti-VACV CD8+ T cell responses.</w:t>
            </w:r>
            <w:r w:rsidRPr="00D10E11">
              <w:rPr>
                <w:szCs w:val="20"/>
              </w:rPr>
              <w:t xml:space="preserve"> </w:t>
            </w:r>
            <w:r w:rsidRPr="00D10E11">
              <w:rPr>
                <w:b/>
                <w:bCs/>
                <w:szCs w:val="20"/>
              </w:rPr>
              <w:t>(A</w:t>
            </w:r>
            <w:r w:rsidR="00565B88">
              <w:rPr>
                <w:b/>
                <w:bCs/>
                <w:szCs w:val="20"/>
              </w:rPr>
              <w:t>-B</w:t>
            </w:r>
            <w:r w:rsidRPr="00D10E11">
              <w:rPr>
                <w:b/>
                <w:bCs/>
                <w:szCs w:val="20"/>
              </w:rPr>
              <w:t>)</w:t>
            </w:r>
            <w:r w:rsidRPr="00D10E11">
              <w:rPr>
                <w:szCs w:val="20"/>
              </w:rPr>
              <w:t xml:space="preserve"> The performance of the regression model in predicting T cell responses over 300 iterations, revealing a significant improvement in the PCC values of predicted versus measured T cell responses (</w:t>
            </w:r>
            <w:r w:rsidRPr="00D10E11">
              <w:rPr>
                <w:i/>
                <w:iCs/>
                <w:szCs w:val="20"/>
              </w:rPr>
              <w:t>p</w:t>
            </w:r>
            <w:r w:rsidRPr="00D10E11">
              <w:rPr>
                <w:szCs w:val="20"/>
              </w:rPr>
              <w:t xml:space="preserve">-value of &lt;0.0001, </w:t>
            </w:r>
            <w:r w:rsidRPr="00D10E11">
              <w:rPr>
                <w:i/>
                <w:iCs/>
                <w:szCs w:val="20"/>
              </w:rPr>
              <w:t>Mann-Whitney statistical test</w:t>
            </w:r>
            <w:r w:rsidRPr="00D10E11">
              <w:rPr>
                <w:szCs w:val="20"/>
              </w:rPr>
              <w:t xml:space="preserve">). </w:t>
            </w:r>
            <w:r w:rsidRPr="00D10E11">
              <w:rPr>
                <w:b/>
                <w:bCs/>
                <w:szCs w:val="20"/>
              </w:rPr>
              <w:t>(B)</w:t>
            </w:r>
            <w:r w:rsidRPr="00D10E11">
              <w:rPr>
                <w:szCs w:val="20"/>
              </w:rPr>
              <w:t xml:space="preserve"> A positive shift in the distribution of the PCC values for 300 iterations of the immunogenicity model in the model with the inclusion of thermostability predictors compared the model without. </w:t>
            </w:r>
            <w:r w:rsidRPr="00D10E11">
              <w:rPr>
                <w:b/>
                <w:bCs/>
                <w:szCs w:val="20"/>
              </w:rPr>
              <w:t>(C)</w:t>
            </w:r>
            <w:r w:rsidRPr="00D10E11">
              <w:rPr>
                <w:szCs w:val="20"/>
              </w:rPr>
              <w:t xml:space="preserve"> The examination of overfitting in the model by the analysis of the loss (mean squared error) over the iterations of training and external validation (test), showing a gap between the training and test validations. </w:t>
            </w:r>
            <w:r w:rsidR="00F04D0A" w:rsidRPr="00CF4E5A">
              <w:rPr>
                <w:i/>
                <w:iCs/>
                <w:szCs w:val="20"/>
              </w:rPr>
              <w:t xml:space="preserve">PCC, Pearson correlation </w:t>
            </w:r>
            <w:proofErr w:type="spellStart"/>
            <w:r w:rsidR="00F04D0A" w:rsidRPr="00CF4E5A">
              <w:rPr>
                <w:i/>
                <w:iCs/>
                <w:szCs w:val="20"/>
              </w:rPr>
              <w:t>coefiecient</w:t>
            </w:r>
            <w:proofErr w:type="spellEnd"/>
            <w:r w:rsidR="00F04D0A">
              <w:rPr>
                <w:i/>
                <w:iCs/>
                <w:szCs w:val="20"/>
              </w:rPr>
              <w:t>.</w:t>
            </w:r>
            <w:r w:rsidRPr="00D10E11">
              <w:rPr>
                <w:szCs w:val="20"/>
              </w:rPr>
              <w:t xml:space="preserve">   </w:t>
            </w:r>
          </w:p>
        </w:tc>
      </w:tr>
    </w:tbl>
    <w:p w14:paraId="3369A809" w14:textId="21D41B5F" w:rsidR="00477F54" w:rsidRDefault="00477F54" w:rsidP="00477F54">
      <w:pPr>
        <w:rPr>
          <w:lang w:eastAsia="en-AU"/>
        </w:rPr>
      </w:pPr>
    </w:p>
    <w:p w14:paraId="612ACF65" w14:textId="42634543" w:rsidR="0075780B" w:rsidRDefault="0075780B" w:rsidP="00477F54">
      <w:pPr>
        <w:rPr>
          <w:lang w:eastAsia="en-AU"/>
        </w:rPr>
      </w:pPr>
    </w:p>
    <w:p w14:paraId="7564E092" w14:textId="3A083AF3" w:rsidR="0075780B" w:rsidRDefault="0075780B" w:rsidP="00477F54">
      <w:pPr>
        <w:rPr>
          <w:lang w:eastAsia="en-AU"/>
        </w:rPr>
      </w:pPr>
    </w:p>
    <w:p w14:paraId="68CA4422" w14:textId="32A4AD9C" w:rsidR="0075780B" w:rsidRDefault="0075780B" w:rsidP="00477F54">
      <w:pPr>
        <w:rPr>
          <w:lang w:eastAsia="en-AU"/>
        </w:rPr>
      </w:pPr>
    </w:p>
    <w:p w14:paraId="72A50AAB" w14:textId="40972986" w:rsidR="0075780B" w:rsidRDefault="0075780B" w:rsidP="00477F54">
      <w:pPr>
        <w:rPr>
          <w:lang w:eastAsia="en-AU"/>
        </w:rPr>
      </w:pPr>
    </w:p>
    <w:p w14:paraId="0220C6A3" w14:textId="3E70FD3C" w:rsidR="0075780B" w:rsidRDefault="0075780B" w:rsidP="00477F54">
      <w:pPr>
        <w:rPr>
          <w:lang w:eastAsia="en-AU"/>
        </w:rPr>
      </w:pPr>
    </w:p>
    <w:p w14:paraId="0FAFAC1C" w14:textId="616A7953" w:rsidR="0075780B" w:rsidRDefault="0075780B" w:rsidP="00477F54">
      <w:pPr>
        <w:rPr>
          <w:lang w:eastAsia="en-AU"/>
        </w:rPr>
      </w:pPr>
    </w:p>
    <w:p w14:paraId="4CBD461C" w14:textId="14377BAA" w:rsidR="0075780B" w:rsidRDefault="0075780B" w:rsidP="00477F54">
      <w:pPr>
        <w:rPr>
          <w:lang w:eastAsia="en-AU"/>
        </w:rPr>
      </w:pPr>
    </w:p>
    <w:p w14:paraId="2F8FD3EB" w14:textId="3BC1A9D3" w:rsidR="0075780B" w:rsidRDefault="0075780B" w:rsidP="00477F54">
      <w:pPr>
        <w:rPr>
          <w:lang w:eastAsia="en-AU"/>
        </w:rPr>
      </w:pPr>
    </w:p>
    <w:p w14:paraId="0F9CDA1F" w14:textId="0F68A245" w:rsidR="0075780B" w:rsidRDefault="0075780B" w:rsidP="00477F54">
      <w:pPr>
        <w:rPr>
          <w:lang w:eastAsia="en-AU"/>
        </w:rPr>
      </w:pPr>
    </w:p>
    <w:p w14:paraId="41EDD12A" w14:textId="578CC431" w:rsidR="00477F54" w:rsidRDefault="001D5AF1" w:rsidP="00477F54">
      <w:pPr>
        <w:rPr>
          <w:lang w:eastAsia="en-AU"/>
        </w:rPr>
      </w:pPr>
      <w:r>
        <w:lastRenderedPageBreak/>
        <w:t xml:space="preserve">To reduce the </w:t>
      </w:r>
      <w:r w:rsidR="002D2102">
        <w:t xml:space="preserve">risk of overfitting, we expanded the training set by adding the 12 unique VACV peptides </w:t>
      </w:r>
      <w:r>
        <w:t>profiled exclusively by MRM</w:t>
      </w:r>
      <w:r w:rsidRPr="00024144">
        <w:rPr>
          <w:vertAlign w:val="superscript"/>
        </w:rPr>
        <w:t>HR</w:t>
      </w:r>
      <w:r>
        <w:t xml:space="preserve">. </w:t>
      </w:r>
      <w:r w:rsidRPr="00D10E11">
        <w:t>We assessed the ML regression model to predict anti-VACV CD8</w:t>
      </w:r>
      <w:r w:rsidRPr="00D10E11">
        <w:rPr>
          <w:vertAlign w:val="superscript"/>
        </w:rPr>
        <w:t>+</w:t>
      </w:r>
      <w:r w:rsidRPr="00D10E11">
        <w:t xml:space="preserve"> T cell responses</w:t>
      </w:r>
      <w:r>
        <w:t>,</w:t>
      </w:r>
      <w:r w:rsidRPr="00D10E11">
        <w:t xml:space="preserve"> without (only SWATH with 98 IDs) and with 12 unique peptides which were profiled by MRM</w:t>
      </w:r>
      <w:r w:rsidRPr="00D10E11">
        <w:rPr>
          <w:vertAlign w:val="superscript"/>
        </w:rPr>
        <w:t>HR</w:t>
      </w:r>
      <w:r w:rsidRPr="00D10E11">
        <w:t xml:space="preserve"> thermostability assay (SWATH &amp; MRM with 110 IDs) to show the impact of the expanded thermostability dataset by MRM</w:t>
      </w:r>
      <w:r w:rsidRPr="00D10E11">
        <w:rPr>
          <w:vertAlign w:val="superscript"/>
        </w:rPr>
        <w:t>HR</w:t>
      </w:r>
      <w:r w:rsidRPr="00D10E11">
        <w:t xml:space="preserve"> method on the immunogenicity model that we developed for the VACV peptides as a primitive model. Once we involved the T</w:t>
      </w:r>
      <w:r w:rsidRPr="002D2102">
        <w:rPr>
          <w:vertAlign w:val="subscript"/>
        </w:rPr>
        <w:t>m</w:t>
      </w:r>
      <w:r w:rsidRPr="00D10E11">
        <w:t xml:space="preserve"> values from those 12 additional MRM</w:t>
      </w:r>
      <w:r w:rsidRPr="00D10E11">
        <w:rPr>
          <w:vertAlign w:val="superscript"/>
        </w:rPr>
        <w:t>HR</w:t>
      </w:r>
      <w:r w:rsidRPr="00D10E11">
        <w:t>-</w:t>
      </w:r>
      <w:r>
        <w:t xml:space="preserve">profiled </w:t>
      </w:r>
      <w:r w:rsidRPr="00D10E11">
        <w:t>VACV peptides, we observed a significant improvement in the developed model predicting anti-VACV CD8</w:t>
      </w:r>
      <w:r w:rsidRPr="00D10E11">
        <w:rPr>
          <w:vertAlign w:val="superscript"/>
        </w:rPr>
        <w:t>+</w:t>
      </w:r>
      <w:r w:rsidRPr="00D10E11">
        <w:t xml:space="preserve"> T cell responses with a higher correlation between the predicted (by our model) and empirically measured values (</w:t>
      </w:r>
      <w:r w:rsidR="009709A6" w:rsidRPr="009709A6">
        <w:rPr>
          <w:color w:val="0070C0"/>
        </w:rPr>
        <w:t>Supplemental Data – Figure S</w:t>
      </w:r>
      <w:r w:rsidR="00596FAB">
        <w:rPr>
          <w:color w:val="0070C0"/>
        </w:rPr>
        <w:t>8</w:t>
      </w:r>
      <w:r w:rsidR="009709A6" w:rsidRPr="009709A6">
        <w:rPr>
          <w:color w:val="0070C0"/>
        </w:rPr>
        <w:t>A</w:t>
      </w:r>
      <w:r w:rsidRPr="00D10E11">
        <w:t>). Moreover, this expanded model showed significantly lower error (root mean squared error (RMSE)) compared with the model developed with only SWATH-derived predictors (</w:t>
      </w:r>
      <w:r w:rsidR="009709A6" w:rsidRPr="009709A6">
        <w:rPr>
          <w:color w:val="0070C0"/>
        </w:rPr>
        <w:t>Supplemental Data – Figure S</w:t>
      </w:r>
      <w:r w:rsidR="00596FAB">
        <w:rPr>
          <w:color w:val="0070C0"/>
        </w:rPr>
        <w:t>8</w:t>
      </w:r>
      <w:r w:rsidR="009709A6" w:rsidRPr="009709A6">
        <w:rPr>
          <w:color w:val="0070C0"/>
        </w:rPr>
        <w:t>B</w:t>
      </w:r>
      <w:r w:rsidRPr="00D10E11">
        <w:t>). Therefore, the expanded MS-thermostability dataset could improve the predictive model even more in predicting CD8</w:t>
      </w:r>
      <w:r w:rsidRPr="00D10E11">
        <w:rPr>
          <w:vertAlign w:val="superscript"/>
        </w:rPr>
        <w:t>+</w:t>
      </w:r>
      <w:r w:rsidRPr="00D10E11">
        <w:t xml:space="preserve"> T cell responses by expanding the number of VACV peptides used for training.</w:t>
      </w:r>
      <w:r>
        <w:t xml:space="preserve"> </w:t>
      </w:r>
      <w:r w:rsidRPr="00D10E11">
        <w:t>As discussed above, increasing the training data size would be a</w:t>
      </w:r>
      <w:r>
        <w:t>n</w:t>
      </w:r>
      <w:r w:rsidRPr="00D10E11">
        <w:t xml:space="preserve"> improvement to reduce this risk of overfitting. Furthermore, </w:t>
      </w:r>
      <w:r>
        <w:t>using</w:t>
      </w:r>
      <w:r w:rsidRPr="00D10E11">
        <w:t xml:space="preserve"> feature selection methods for variable selection might help reduce the number of predictors and, consequently, the risk of encountering overfitting.   </w:t>
      </w:r>
    </w:p>
    <w:p w14:paraId="0C3335A8" w14:textId="150A60C2" w:rsidR="001D5AF1" w:rsidRDefault="001D5AF1" w:rsidP="00477F54">
      <w:pPr>
        <w:rPr>
          <w:lang w:eastAsia="en-AU"/>
        </w:rPr>
      </w:pPr>
    </w:p>
    <w:tbl>
      <w:tblPr>
        <w:tblStyle w:val="TableGrid"/>
        <w:tblW w:w="10349"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9"/>
      </w:tblGrid>
      <w:tr w:rsidR="009709A6" w14:paraId="037B47DF" w14:textId="77777777" w:rsidTr="008540EE">
        <w:trPr>
          <w:jc w:val="center"/>
        </w:trPr>
        <w:tc>
          <w:tcPr>
            <w:tcW w:w="10349" w:type="dxa"/>
          </w:tcPr>
          <w:p w14:paraId="21FD0A27" w14:textId="0909A4BD" w:rsidR="009709A6" w:rsidRDefault="00766979" w:rsidP="0075780B">
            <w:pPr>
              <w:jc w:val="center"/>
              <w:rPr>
                <w:lang w:eastAsia="en-AU"/>
              </w:rPr>
            </w:pPr>
            <w:r>
              <w:rPr>
                <w:noProof/>
                <w:lang w:eastAsia="en-AU"/>
              </w:rPr>
              <w:drawing>
                <wp:inline distT="0" distB="0" distL="0" distR="0" wp14:anchorId="70E0DA3D" wp14:editId="6E984713">
                  <wp:extent cx="5153025" cy="32648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65642" cy="3272834"/>
                          </a:xfrm>
                          <a:prstGeom prst="rect">
                            <a:avLst/>
                          </a:prstGeom>
                          <a:noFill/>
                        </pic:spPr>
                      </pic:pic>
                    </a:graphicData>
                  </a:graphic>
                </wp:inline>
              </w:drawing>
            </w:r>
          </w:p>
        </w:tc>
      </w:tr>
      <w:tr w:rsidR="009709A6" w14:paraId="0D9DFA29" w14:textId="77777777" w:rsidTr="008540EE">
        <w:trPr>
          <w:jc w:val="center"/>
        </w:trPr>
        <w:tc>
          <w:tcPr>
            <w:tcW w:w="10349" w:type="dxa"/>
          </w:tcPr>
          <w:p w14:paraId="2B80F75A" w14:textId="06B18571" w:rsidR="009709A6" w:rsidRDefault="00496B87" w:rsidP="00496B87">
            <w:pPr>
              <w:spacing w:line="240" w:lineRule="auto"/>
              <w:rPr>
                <w:lang w:eastAsia="en-AU"/>
              </w:rPr>
            </w:pPr>
            <w:r w:rsidRPr="00D10E11">
              <w:rPr>
                <w:b/>
                <w:bCs/>
                <w:szCs w:val="20"/>
              </w:rPr>
              <w:t>Figure S</w:t>
            </w:r>
            <w:r w:rsidR="00596FAB">
              <w:rPr>
                <w:b/>
                <w:bCs/>
                <w:szCs w:val="20"/>
              </w:rPr>
              <w:t>8</w:t>
            </w:r>
            <w:r w:rsidRPr="00D10E11">
              <w:rPr>
                <w:b/>
                <w:bCs/>
                <w:szCs w:val="20"/>
              </w:rPr>
              <w:t xml:space="preserve">. </w:t>
            </w:r>
            <w:r w:rsidRPr="00496B87">
              <w:rPr>
                <w:b/>
                <w:bCs/>
                <w:szCs w:val="20"/>
              </w:rPr>
              <w:t>Expansion of the predictive models by the MRM</w:t>
            </w:r>
            <w:r w:rsidRPr="00496B87">
              <w:rPr>
                <w:b/>
                <w:bCs/>
                <w:szCs w:val="20"/>
                <w:vertAlign w:val="superscript"/>
              </w:rPr>
              <w:t>HR</w:t>
            </w:r>
            <w:r w:rsidRPr="00496B87">
              <w:rPr>
                <w:b/>
                <w:bCs/>
                <w:szCs w:val="20"/>
              </w:rPr>
              <w:t xml:space="preserve"> thermostability assay.</w:t>
            </w:r>
            <w:r w:rsidRPr="00D10E11">
              <w:rPr>
                <w:szCs w:val="20"/>
              </w:rPr>
              <w:t xml:space="preserve"> </w:t>
            </w:r>
            <w:r w:rsidRPr="00496B87">
              <w:rPr>
                <w:szCs w:val="20"/>
              </w:rPr>
              <w:t>Assessment of the ML regression model in predicting anti-VACV CD8</w:t>
            </w:r>
            <w:r w:rsidRPr="00496B87">
              <w:rPr>
                <w:szCs w:val="20"/>
                <w:vertAlign w:val="superscript"/>
              </w:rPr>
              <w:t>+</w:t>
            </w:r>
            <w:r w:rsidRPr="00496B87">
              <w:rPr>
                <w:szCs w:val="20"/>
              </w:rPr>
              <w:t xml:space="preserve"> T cell responses without (only SWATH</w:t>
            </w:r>
            <w:r w:rsidR="002D2102">
              <w:rPr>
                <w:szCs w:val="20"/>
              </w:rPr>
              <w:t>-DIA</w:t>
            </w:r>
            <w:r w:rsidRPr="00496B87">
              <w:rPr>
                <w:szCs w:val="20"/>
              </w:rPr>
              <w:t xml:space="preserve"> with 98 VACV peptides) and with 12 unique peptides profiled by MRM</w:t>
            </w:r>
            <w:r w:rsidRPr="00496B87">
              <w:rPr>
                <w:szCs w:val="20"/>
                <w:vertAlign w:val="superscript"/>
              </w:rPr>
              <w:t>HR</w:t>
            </w:r>
            <w:r w:rsidRPr="00496B87">
              <w:rPr>
                <w:szCs w:val="20"/>
              </w:rPr>
              <w:t xml:space="preserve"> thermostability assay (SWATH &amp; MRM with 110 VACV peptides). Adding T</w:t>
            </w:r>
            <w:r w:rsidRPr="002D2102">
              <w:rPr>
                <w:szCs w:val="20"/>
                <w:vertAlign w:val="subscript"/>
              </w:rPr>
              <w:t>m</w:t>
            </w:r>
            <w:r w:rsidRPr="00496B87">
              <w:rPr>
                <w:szCs w:val="20"/>
              </w:rPr>
              <w:t xml:space="preserve"> values of 12 VACV peptides that the MRM</w:t>
            </w:r>
            <w:r w:rsidRPr="00496B87">
              <w:rPr>
                <w:szCs w:val="20"/>
                <w:vertAlign w:val="superscript"/>
              </w:rPr>
              <w:t>HR</w:t>
            </w:r>
            <w:r w:rsidRPr="00496B87">
              <w:rPr>
                <w:szCs w:val="20"/>
              </w:rPr>
              <w:t xml:space="preserve"> thermostability assay profiled showed a significant improvement in the developed model in predicting anti-VACV CD8</w:t>
            </w:r>
            <w:r w:rsidRPr="00496B87">
              <w:rPr>
                <w:szCs w:val="20"/>
                <w:vertAlign w:val="superscript"/>
              </w:rPr>
              <w:t>+</w:t>
            </w:r>
            <w:r w:rsidRPr="00496B87">
              <w:rPr>
                <w:szCs w:val="20"/>
              </w:rPr>
              <w:t xml:space="preserve"> T cell responses. </w:t>
            </w:r>
            <w:r w:rsidRPr="00496B87">
              <w:rPr>
                <w:b/>
                <w:bCs/>
                <w:szCs w:val="20"/>
              </w:rPr>
              <w:t>(F)</w:t>
            </w:r>
            <w:r w:rsidRPr="00496B87">
              <w:rPr>
                <w:szCs w:val="20"/>
              </w:rPr>
              <w:t xml:space="preserve"> PCC and </w:t>
            </w:r>
            <w:r w:rsidRPr="00496B87">
              <w:rPr>
                <w:b/>
                <w:bCs/>
                <w:szCs w:val="20"/>
              </w:rPr>
              <w:t>(G)</w:t>
            </w:r>
            <w:r w:rsidRPr="00496B87">
              <w:rPr>
                <w:szCs w:val="20"/>
              </w:rPr>
              <w:t xml:space="preserve"> RMSE error between the predicted (by our model) and empirically measured values of CD8+ T cell responses</w:t>
            </w:r>
            <w:r>
              <w:rPr>
                <w:szCs w:val="20"/>
              </w:rPr>
              <w:t>.</w:t>
            </w:r>
            <w:r w:rsidRPr="00496B87">
              <w:rPr>
                <w:szCs w:val="20"/>
              </w:rPr>
              <w:t xml:space="preserve"> </w:t>
            </w:r>
          </w:p>
        </w:tc>
      </w:tr>
    </w:tbl>
    <w:p w14:paraId="4A2EB8E9" w14:textId="77777777" w:rsidR="009709A6" w:rsidRPr="00D10E11" w:rsidRDefault="009709A6" w:rsidP="00477F54">
      <w:pPr>
        <w:rPr>
          <w:lang w:eastAsia="en-AU"/>
        </w:rPr>
      </w:pPr>
    </w:p>
    <w:tbl>
      <w:tblPr>
        <w:tblStyle w:val="TableGrid"/>
        <w:tblW w:w="109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16"/>
      </w:tblGrid>
      <w:tr w:rsidR="00385FD2" w14:paraId="0660F3EB" w14:textId="77777777" w:rsidTr="00665647">
        <w:trPr>
          <w:jc w:val="center"/>
        </w:trPr>
        <w:tc>
          <w:tcPr>
            <w:tcW w:w="10916" w:type="dxa"/>
          </w:tcPr>
          <w:p w14:paraId="239E2E3F" w14:textId="77777777" w:rsidR="00385FD2" w:rsidRDefault="00385FD2" w:rsidP="00665647">
            <w:pPr>
              <w:spacing w:before="0" w:line="240" w:lineRule="auto"/>
            </w:pPr>
            <w:r>
              <w:rPr>
                <w:noProof/>
              </w:rPr>
              <w:drawing>
                <wp:inline distT="0" distB="0" distL="0" distR="0" wp14:anchorId="1A443E91" wp14:editId="6765E90F">
                  <wp:extent cx="6755840" cy="5902701"/>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766377" cy="5911908"/>
                          </a:xfrm>
                          <a:prstGeom prst="rect">
                            <a:avLst/>
                          </a:prstGeom>
                          <a:noFill/>
                        </pic:spPr>
                      </pic:pic>
                    </a:graphicData>
                  </a:graphic>
                </wp:inline>
              </w:drawing>
            </w:r>
          </w:p>
        </w:tc>
      </w:tr>
      <w:tr w:rsidR="00385FD2" w14:paraId="5BF7FC8F" w14:textId="77777777" w:rsidTr="00665647">
        <w:trPr>
          <w:jc w:val="center"/>
        </w:trPr>
        <w:tc>
          <w:tcPr>
            <w:tcW w:w="10916" w:type="dxa"/>
          </w:tcPr>
          <w:p w14:paraId="507A275B" w14:textId="1E1F3719" w:rsidR="003C786F" w:rsidRDefault="003C786F" w:rsidP="003C786F">
            <w:pPr>
              <w:spacing w:line="240" w:lineRule="auto"/>
              <w:rPr>
                <w:b/>
                <w:bCs/>
                <w:szCs w:val="20"/>
              </w:rPr>
            </w:pPr>
            <w:r w:rsidRPr="00D10E11">
              <w:rPr>
                <w:b/>
                <w:bCs/>
                <w:szCs w:val="20"/>
              </w:rPr>
              <w:t>Figure S</w:t>
            </w:r>
            <w:r w:rsidR="00596FAB">
              <w:rPr>
                <w:b/>
                <w:bCs/>
                <w:szCs w:val="20"/>
              </w:rPr>
              <w:t>9</w:t>
            </w:r>
            <w:r w:rsidRPr="00D10E11">
              <w:rPr>
                <w:b/>
                <w:bCs/>
                <w:szCs w:val="20"/>
              </w:rPr>
              <w:t xml:space="preserve">. Analysis of the </w:t>
            </w:r>
            <w:r>
              <w:rPr>
                <w:b/>
                <w:bCs/>
                <w:szCs w:val="20"/>
              </w:rPr>
              <w:t>differences between ROC and P</w:t>
            </w:r>
            <w:r w:rsidR="00665647">
              <w:rPr>
                <w:b/>
                <w:bCs/>
                <w:szCs w:val="20"/>
              </w:rPr>
              <w:t>recision-</w:t>
            </w:r>
            <w:r>
              <w:rPr>
                <w:b/>
                <w:bCs/>
                <w:szCs w:val="20"/>
              </w:rPr>
              <w:t>R</w:t>
            </w:r>
            <w:r w:rsidR="00665647">
              <w:rPr>
                <w:b/>
                <w:bCs/>
                <w:szCs w:val="20"/>
              </w:rPr>
              <w:t>ecall</w:t>
            </w:r>
            <w:r>
              <w:rPr>
                <w:b/>
                <w:bCs/>
                <w:szCs w:val="20"/>
              </w:rPr>
              <w:t xml:space="preserve"> curves </w:t>
            </w:r>
            <w:r w:rsidRPr="00D10E11">
              <w:rPr>
                <w:b/>
                <w:bCs/>
                <w:szCs w:val="20"/>
              </w:rPr>
              <w:t xml:space="preserve">in the </w:t>
            </w:r>
            <w:r>
              <w:rPr>
                <w:b/>
                <w:bCs/>
                <w:szCs w:val="20"/>
              </w:rPr>
              <w:t xml:space="preserve">classification </w:t>
            </w:r>
            <w:r w:rsidRPr="00D10E11">
              <w:rPr>
                <w:b/>
                <w:bCs/>
                <w:szCs w:val="20"/>
              </w:rPr>
              <w:t xml:space="preserve">models </w:t>
            </w:r>
            <w:r>
              <w:rPr>
                <w:b/>
                <w:bCs/>
                <w:szCs w:val="20"/>
              </w:rPr>
              <w:t>to distinguish immunogenic from non-immunogenic</w:t>
            </w:r>
            <w:r w:rsidR="00AE4FEA">
              <w:rPr>
                <w:b/>
                <w:bCs/>
                <w:szCs w:val="20"/>
              </w:rPr>
              <w:t xml:space="preserve"> MHCI VACV peptides</w:t>
            </w:r>
            <w:r w:rsidRPr="00D10E11">
              <w:rPr>
                <w:b/>
                <w:bCs/>
                <w:szCs w:val="20"/>
              </w:rPr>
              <w:t>.</w:t>
            </w:r>
            <w:r w:rsidR="00AE4FEA">
              <w:rPr>
                <w:b/>
                <w:bCs/>
                <w:szCs w:val="20"/>
              </w:rPr>
              <w:t xml:space="preserve"> </w:t>
            </w:r>
          </w:p>
          <w:p w14:paraId="7944B59B" w14:textId="77777777" w:rsidR="000E5D9F" w:rsidRDefault="000E5D9F" w:rsidP="003C786F">
            <w:pPr>
              <w:spacing w:line="240" w:lineRule="auto"/>
            </w:pPr>
            <w:r w:rsidRPr="00D10E11">
              <w:rPr>
                <w:b/>
                <w:bCs/>
                <w:szCs w:val="20"/>
              </w:rPr>
              <w:t>(</w:t>
            </w:r>
            <w:r w:rsidR="003C786F">
              <w:rPr>
                <w:b/>
                <w:bCs/>
                <w:szCs w:val="20"/>
              </w:rPr>
              <w:t>A</w:t>
            </w:r>
            <w:r w:rsidRPr="00D10E11">
              <w:rPr>
                <w:b/>
                <w:bCs/>
                <w:szCs w:val="20"/>
              </w:rPr>
              <w:t>-</w:t>
            </w:r>
            <w:r w:rsidR="003C786F">
              <w:rPr>
                <w:b/>
                <w:bCs/>
                <w:szCs w:val="20"/>
              </w:rPr>
              <w:t>B</w:t>
            </w:r>
            <w:r w:rsidRPr="00D10E11">
              <w:rPr>
                <w:b/>
                <w:bCs/>
                <w:szCs w:val="20"/>
              </w:rPr>
              <w:t>)</w:t>
            </w:r>
            <w:r w:rsidRPr="00D10E11">
              <w:rPr>
                <w:szCs w:val="20"/>
              </w:rPr>
              <w:t xml:space="preserve"> The ROC curves (true positive versus false positive rates) are derived from two classification models without </w:t>
            </w:r>
            <w:r w:rsidRPr="00D10E11">
              <w:rPr>
                <w:b/>
                <w:bCs/>
                <w:szCs w:val="20"/>
              </w:rPr>
              <w:t>(</w:t>
            </w:r>
            <w:r w:rsidR="003C786F">
              <w:rPr>
                <w:b/>
                <w:bCs/>
                <w:szCs w:val="20"/>
              </w:rPr>
              <w:t>A</w:t>
            </w:r>
            <w:r w:rsidRPr="00D10E11">
              <w:rPr>
                <w:b/>
                <w:bCs/>
                <w:szCs w:val="20"/>
              </w:rPr>
              <w:t>)</w:t>
            </w:r>
            <w:r w:rsidRPr="00D10E11">
              <w:rPr>
                <w:szCs w:val="20"/>
              </w:rPr>
              <w:t xml:space="preserve"> and with </w:t>
            </w:r>
            <w:r w:rsidRPr="00D10E11">
              <w:rPr>
                <w:b/>
                <w:bCs/>
                <w:szCs w:val="20"/>
              </w:rPr>
              <w:t>(</w:t>
            </w:r>
            <w:r w:rsidR="003C786F">
              <w:rPr>
                <w:b/>
                <w:bCs/>
                <w:szCs w:val="20"/>
              </w:rPr>
              <w:t>B</w:t>
            </w:r>
            <w:r w:rsidRPr="00D10E11">
              <w:rPr>
                <w:b/>
                <w:bCs/>
                <w:szCs w:val="20"/>
              </w:rPr>
              <w:t>)</w:t>
            </w:r>
            <w:r w:rsidRPr="00D10E11">
              <w:rPr>
                <w:szCs w:val="20"/>
              </w:rPr>
              <w:t xml:space="preserve"> thermostability predictors. This analysis revealed slightly higher AUC values for the model with thermostability (for the non-immunogenic class; AUC = 0.8881 ± 0.0071 and 0.8604 ± 0.0075 and for the immunogenic class; AUC = 0.8793 </w:t>
            </w:r>
            <w:r w:rsidRPr="00D10E11">
              <w:rPr>
                <w:rFonts w:cstheme="majorBidi"/>
                <w:szCs w:val="20"/>
              </w:rPr>
              <w:t>±</w:t>
            </w:r>
            <w:r w:rsidRPr="00D10E11">
              <w:rPr>
                <w:szCs w:val="20"/>
              </w:rPr>
              <w:t xml:space="preserve"> 0.0070 vs. 0.8615 </w:t>
            </w:r>
            <w:r w:rsidRPr="00D10E11">
              <w:rPr>
                <w:rFonts w:cstheme="majorBidi"/>
                <w:szCs w:val="20"/>
              </w:rPr>
              <w:t>±</w:t>
            </w:r>
            <w:r w:rsidRPr="00D10E11">
              <w:rPr>
                <w:szCs w:val="20"/>
              </w:rPr>
              <w:t xml:space="preserve"> 0.0073).</w:t>
            </w:r>
            <w:r>
              <w:rPr>
                <w:szCs w:val="20"/>
              </w:rPr>
              <w:t xml:space="preserve"> </w:t>
            </w:r>
            <w:r w:rsidRPr="00D10E11">
              <w:rPr>
                <w:b/>
                <w:bCs/>
                <w:szCs w:val="20"/>
              </w:rPr>
              <w:t>(</w:t>
            </w:r>
            <w:r w:rsidR="003C786F">
              <w:rPr>
                <w:b/>
                <w:bCs/>
                <w:szCs w:val="20"/>
              </w:rPr>
              <w:t>C</w:t>
            </w:r>
            <w:r w:rsidRPr="00D10E11">
              <w:rPr>
                <w:b/>
                <w:bCs/>
                <w:szCs w:val="20"/>
              </w:rPr>
              <w:t>-</w:t>
            </w:r>
            <w:r w:rsidR="003C786F">
              <w:rPr>
                <w:b/>
                <w:bCs/>
                <w:szCs w:val="20"/>
              </w:rPr>
              <w:t>D</w:t>
            </w:r>
            <w:r w:rsidRPr="00D10E11">
              <w:rPr>
                <w:b/>
                <w:bCs/>
                <w:szCs w:val="20"/>
              </w:rPr>
              <w:t>)</w:t>
            </w:r>
            <w:r w:rsidRPr="00D10E11">
              <w:rPr>
                <w:szCs w:val="20"/>
              </w:rPr>
              <w:t xml:space="preserve"> The PR curves for the classification models without </w:t>
            </w:r>
            <w:r w:rsidRPr="00D10E11">
              <w:rPr>
                <w:b/>
                <w:bCs/>
                <w:szCs w:val="20"/>
              </w:rPr>
              <w:t>(</w:t>
            </w:r>
            <w:r w:rsidR="003C786F">
              <w:rPr>
                <w:b/>
                <w:bCs/>
                <w:szCs w:val="20"/>
              </w:rPr>
              <w:t>C</w:t>
            </w:r>
            <w:r w:rsidRPr="00D10E11">
              <w:rPr>
                <w:b/>
                <w:bCs/>
                <w:szCs w:val="20"/>
              </w:rPr>
              <w:t>)</w:t>
            </w:r>
            <w:r w:rsidRPr="00D10E11">
              <w:rPr>
                <w:szCs w:val="20"/>
              </w:rPr>
              <w:t xml:space="preserve"> and with </w:t>
            </w:r>
            <w:r w:rsidRPr="00D10E11">
              <w:rPr>
                <w:b/>
                <w:bCs/>
                <w:szCs w:val="20"/>
              </w:rPr>
              <w:t>(</w:t>
            </w:r>
            <w:r w:rsidR="003C786F">
              <w:rPr>
                <w:b/>
                <w:bCs/>
                <w:szCs w:val="20"/>
              </w:rPr>
              <w:t>D</w:t>
            </w:r>
            <w:r w:rsidRPr="00D10E11">
              <w:rPr>
                <w:b/>
                <w:bCs/>
                <w:szCs w:val="20"/>
              </w:rPr>
              <w:t>)</w:t>
            </w:r>
            <w:r w:rsidRPr="00D10E11">
              <w:rPr>
                <w:szCs w:val="20"/>
              </w:rPr>
              <w:t xml:space="preserve"> thermostability predictors. The PR curves showed slightly higher AUCPR values for the model with thermostability (for the non-immunogenic class, AUCPR = 0.8738 </w:t>
            </w:r>
            <w:r w:rsidRPr="00D10E11">
              <w:rPr>
                <w:rFonts w:cstheme="majorBidi"/>
                <w:szCs w:val="20"/>
              </w:rPr>
              <w:t>±</w:t>
            </w:r>
            <w:r w:rsidRPr="00D10E11">
              <w:rPr>
                <w:szCs w:val="20"/>
              </w:rPr>
              <w:t xml:space="preserve"> 0.0088 vs. 0.8708 </w:t>
            </w:r>
            <w:r w:rsidRPr="00D10E11">
              <w:rPr>
                <w:rFonts w:cstheme="majorBidi"/>
                <w:szCs w:val="20"/>
              </w:rPr>
              <w:t>±</w:t>
            </w:r>
            <w:r w:rsidRPr="00D10E11">
              <w:rPr>
                <w:szCs w:val="20"/>
              </w:rPr>
              <w:t xml:space="preserve"> 0.0114 and for the immunogenic class; AUCPR = 0.8660 </w:t>
            </w:r>
            <w:r w:rsidRPr="00D10E11">
              <w:rPr>
                <w:rFonts w:cstheme="majorBidi"/>
                <w:szCs w:val="20"/>
              </w:rPr>
              <w:t>±</w:t>
            </w:r>
            <w:r w:rsidRPr="00D10E11">
              <w:rPr>
                <w:szCs w:val="20"/>
              </w:rPr>
              <w:t xml:space="preserve"> 0.0090 vs. 0.8450 </w:t>
            </w:r>
            <w:r w:rsidRPr="00D10E11">
              <w:rPr>
                <w:rFonts w:cstheme="majorBidi"/>
                <w:szCs w:val="20"/>
              </w:rPr>
              <w:t>±</w:t>
            </w:r>
            <w:r w:rsidRPr="00D10E11">
              <w:rPr>
                <w:szCs w:val="20"/>
              </w:rPr>
              <w:t xml:space="preserve"> 0.0152).</w:t>
            </w:r>
            <w:r w:rsidR="00137992">
              <w:rPr>
                <w:szCs w:val="20"/>
              </w:rPr>
              <w:t xml:space="preserve"> </w:t>
            </w:r>
            <w:r w:rsidR="00137992" w:rsidRPr="002C6781">
              <w:rPr>
                <w:i/>
                <w:iCs/>
                <w:szCs w:val="20"/>
              </w:rPr>
              <w:t>ROC, Receiver operating characteristic; PR, Precision-recall; AUC, Area under the ROC curve; AUCPR, Area under the PR curve.</w:t>
            </w:r>
          </w:p>
        </w:tc>
      </w:tr>
    </w:tbl>
    <w:p w14:paraId="53A0E086" w14:textId="77777777" w:rsidR="004B7C8B" w:rsidRDefault="004B7C8B"/>
    <w:p w14:paraId="5DD26811" w14:textId="77777777" w:rsidR="006F33C6" w:rsidRDefault="006F33C6"/>
    <w:p w14:paraId="6BEF49E3" w14:textId="77777777" w:rsidR="00665647" w:rsidRDefault="00665647"/>
    <w:p w14:paraId="55F27104" w14:textId="77777777" w:rsidR="00665647" w:rsidRDefault="00665647"/>
    <w:p w14:paraId="50E6817E" w14:textId="0A6533CD" w:rsidR="00E51822" w:rsidRPr="00D10E11" w:rsidRDefault="00E51822" w:rsidP="00E51822">
      <w:bookmarkStart w:id="3" w:name="_Hlk152670513"/>
      <w:r w:rsidRPr="00D10E11">
        <w:t>Four metrics revealing the classification model performance were assessed to compare the two models under study, including AUC, precision, sensitivity, and specificity (the parameters are defined in Methods).</w:t>
      </w:r>
      <w:bookmarkEnd w:id="3"/>
      <w:r w:rsidRPr="00D10E11">
        <w:t xml:space="preserve"> For the first class, non-immunogenic peptides, the AUC values significantly differed between the model without and with thermostability, where higher AUC values were found for the model with the inclusion of T</w:t>
      </w:r>
      <w:r w:rsidRPr="002D2102">
        <w:rPr>
          <w:vertAlign w:val="subscript"/>
        </w:rPr>
        <w:t>m</w:t>
      </w:r>
      <w:r w:rsidRPr="00D10E11">
        <w:t xml:space="preserve"> values (</w:t>
      </w:r>
      <w:r w:rsidRPr="00D10E11">
        <w:rPr>
          <w:i/>
          <w:iCs/>
        </w:rPr>
        <w:t>p</w:t>
      </w:r>
      <w:r w:rsidRPr="00D10E11">
        <w:t>-value of 0.0492) (</w:t>
      </w:r>
      <w:r w:rsidRPr="00D10E11">
        <w:rPr>
          <w:color w:val="0070C0"/>
        </w:rPr>
        <w:t xml:space="preserve">Supplemental Data – </w:t>
      </w:r>
      <w:r>
        <w:rPr>
          <w:rFonts w:cstheme="majorBidi"/>
          <w:color w:val="0070C0"/>
        </w:rPr>
        <w:t>Figure S</w:t>
      </w:r>
      <w:r w:rsidR="00596FAB">
        <w:rPr>
          <w:rFonts w:cstheme="majorBidi"/>
          <w:color w:val="0070C0"/>
        </w:rPr>
        <w:t>10</w:t>
      </w:r>
      <w:r>
        <w:rPr>
          <w:rFonts w:cstheme="majorBidi"/>
          <w:color w:val="0070C0"/>
        </w:rPr>
        <w:t>A</w:t>
      </w:r>
      <w:r w:rsidRPr="00D10E11">
        <w:t>). For the second class, immunogenic peptides, we found no significant differences (</w:t>
      </w:r>
      <w:r w:rsidRPr="00D10E11">
        <w:rPr>
          <w:i/>
          <w:iCs/>
        </w:rPr>
        <w:t>p</w:t>
      </w:r>
      <w:r w:rsidRPr="00D10E11">
        <w:t>-value of 0.0728) between AUC values for the models without and with thermostability (with higher AUC values) (</w:t>
      </w:r>
      <w:r w:rsidRPr="00D10E11">
        <w:rPr>
          <w:color w:val="0070C0"/>
        </w:rPr>
        <w:t xml:space="preserve">Supplemental Data – </w:t>
      </w:r>
      <w:r>
        <w:rPr>
          <w:rFonts w:cstheme="majorBidi"/>
          <w:color w:val="0070C0"/>
        </w:rPr>
        <w:t>Figure S</w:t>
      </w:r>
      <w:r w:rsidR="00596FAB">
        <w:rPr>
          <w:rFonts w:cstheme="majorBidi"/>
          <w:color w:val="0070C0"/>
        </w:rPr>
        <w:t>10</w:t>
      </w:r>
      <w:r>
        <w:rPr>
          <w:rFonts w:cstheme="majorBidi"/>
          <w:color w:val="0070C0"/>
        </w:rPr>
        <w:t>B</w:t>
      </w:r>
      <w:r w:rsidRPr="00D10E11">
        <w:t>). The model precision, showing the capability of the models to predict the positive (targeted) class, was comparable between the model without and with thermostability for both classes (</w:t>
      </w:r>
      <w:r w:rsidRPr="00D10E11">
        <w:rPr>
          <w:color w:val="0070C0"/>
        </w:rPr>
        <w:t xml:space="preserve">Supplemental Data – </w:t>
      </w:r>
      <w:r>
        <w:rPr>
          <w:rFonts w:cstheme="majorBidi"/>
          <w:color w:val="0070C0"/>
        </w:rPr>
        <w:t>Figure S</w:t>
      </w:r>
      <w:r w:rsidR="00596FAB">
        <w:rPr>
          <w:rFonts w:cstheme="majorBidi"/>
          <w:color w:val="0070C0"/>
        </w:rPr>
        <w:t>10</w:t>
      </w:r>
      <w:r>
        <w:rPr>
          <w:rFonts w:cstheme="majorBidi"/>
          <w:color w:val="0070C0"/>
        </w:rPr>
        <w:t>C</w:t>
      </w:r>
      <w:r w:rsidRPr="00D10E11">
        <w:rPr>
          <w:color w:val="0070C0"/>
        </w:rPr>
        <w:t>-D</w:t>
      </w:r>
      <w:r w:rsidRPr="00D10E11">
        <w:t xml:space="preserve">). </w:t>
      </w:r>
    </w:p>
    <w:p w14:paraId="36028CDA" w14:textId="31E01789" w:rsidR="00E51822" w:rsidRPr="00D10E11" w:rsidRDefault="00E51822" w:rsidP="00E51822">
      <w:r w:rsidRPr="00D10E11">
        <w:t xml:space="preserve">We calculated sensitivity (recall), showing the true positive rate (how well the models predict the positive class compared with the actual response) per class for both models. Moreover, the model specificity (demonstrating the true negative rate) was also assessed to evaluate the models. The sensitivities (Mann Whitney test, </w:t>
      </w:r>
      <w:r w:rsidRPr="00D10E11">
        <w:rPr>
          <w:i/>
          <w:iCs/>
        </w:rPr>
        <w:t>p</w:t>
      </w:r>
      <w:r w:rsidRPr="00D10E11">
        <w:t xml:space="preserve">-value &lt; 0.0001 and = 0.0003, for non-immunogenic and immunogenic classes, respectively) and specificities (Mann Whitney test, </w:t>
      </w:r>
      <w:r w:rsidRPr="00D10E11">
        <w:rPr>
          <w:i/>
          <w:iCs/>
        </w:rPr>
        <w:t>p</w:t>
      </w:r>
      <w:r w:rsidRPr="00D10E11">
        <w:t>-value = 0.0003 and &lt; 0.0001, for non-immunogenic and immunogenic classes, respectively) were compared for both classes, where significant differences were found between the models without and with thermostability (</w:t>
      </w:r>
      <w:r w:rsidRPr="00D10E11">
        <w:rPr>
          <w:color w:val="0070C0"/>
        </w:rPr>
        <w:t xml:space="preserve">Supplemental Data – </w:t>
      </w:r>
      <w:r>
        <w:rPr>
          <w:rFonts w:cstheme="majorBidi"/>
          <w:color w:val="0070C0"/>
        </w:rPr>
        <w:t>Figure S</w:t>
      </w:r>
      <w:r w:rsidR="00596FAB">
        <w:rPr>
          <w:rFonts w:cstheme="majorBidi"/>
          <w:color w:val="0070C0"/>
        </w:rPr>
        <w:t>10</w:t>
      </w:r>
      <w:r>
        <w:rPr>
          <w:rFonts w:cstheme="majorBidi"/>
          <w:color w:val="0070C0"/>
        </w:rPr>
        <w:t>E-H</w:t>
      </w:r>
      <w:r w:rsidRPr="00D10E11">
        <w:t xml:space="preserve">). </w:t>
      </w:r>
    </w:p>
    <w:p w14:paraId="1AE24504" w14:textId="77777777" w:rsidR="00385FD2" w:rsidRDefault="00385FD2"/>
    <w:p w14:paraId="757E584E" w14:textId="77777777" w:rsidR="00385FD2" w:rsidRDefault="00385FD2"/>
    <w:p w14:paraId="0B0EAED6" w14:textId="77777777" w:rsidR="00385FD2" w:rsidRDefault="00385FD2"/>
    <w:tbl>
      <w:tblPr>
        <w:tblStyle w:val="TableGrid"/>
        <w:tblW w:w="11058"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56"/>
      </w:tblGrid>
      <w:tr w:rsidR="00385FD2" w14:paraId="76D861E9" w14:textId="77777777" w:rsidTr="006F33C6">
        <w:trPr>
          <w:jc w:val="center"/>
        </w:trPr>
        <w:tc>
          <w:tcPr>
            <w:tcW w:w="11058" w:type="dxa"/>
          </w:tcPr>
          <w:p w14:paraId="4D55FD04" w14:textId="77777777" w:rsidR="00385FD2" w:rsidRDefault="00565B88">
            <w:r>
              <w:rPr>
                <w:noProof/>
              </w:rPr>
              <w:lastRenderedPageBreak/>
              <w:drawing>
                <wp:inline distT="0" distB="0" distL="0" distR="0" wp14:anchorId="5A67FE1E" wp14:editId="628CAC26">
                  <wp:extent cx="7198995" cy="5495925"/>
                  <wp:effectExtent l="0" t="0" r="190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206915" cy="5501971"/>
                          </a:xfrm>
                          <a:prstGeom prst="rect">
                            <a:avLst/>
                          </a:prstGeom>
                          <a:noFill/>
                        </pic:spPr>
                      </pic:pic>
                    </a:graphicData>
                  </a:graphic>
                </wp:inline>
              </w:drawing>
            </w:r>
          </w:p>
        </w:tc>
      </w:tr>
      <w:tr w:rsidR="00385FD2" w14:paraId="3DB10025" w14:textId="77777777" w:rsidTr="006F33C6">
        <w:trPr>
          <w:jc w:val="center"/>
        </w:trPr>
        <w:tc>
          <w:tcPr>
            <w:tcW w:w="11058" w:type="dxa"/>
          </w:tcPr>
          <w:p w14:paraId="66311137" w14:textId="343910BF" w:rsidR="006F33C6" w:rsidRPr="006F33C6" w:rsidRDefault="006F33C6" w:rsidP="006F33C6">
            <w:pPr>
              <w:pStyle w:val="MyFigures"/>
              <w:rPr>
                <w:b w:val="0"/>
                <w:bCs/>
              </w:rPr>
            </w:pPr>
            <w:r>
              <w:t>Figure S</w:t>
            </w:r>
            <w:r w:rsidR="00596FAB">
              <w:t>10</w:t>
            </w:r>
            <w:r>
              <w:t xml:space="preserve">. </w:t>
            </w:r>
            <w:r w:rsidRPr="006F33C6">
              <w:t>Evaluation metrics of the classification model.</w:t>
            </w:r>
          </w:p>
          <w:p w14:paraId="036E68A4" w14:textId="77777777" w:rsidR="00385FD2" w:rsidRDefault="006F33C6" w:rsidP="006F33C6">
            <w:pPr>
              <w:spacing w:line="240" w:lineRule="auto"/>
            </w:pPr>
            <w:r w:rsidRPr="00D10E11">
              <w:rPr>
                <w:b/>
                <w:bCs/>
                <w:szCs w:val="20"/>
              </w:rPr>
              <w:t xml:space="preserve">(A-B) </w:t>
            </w:r>
            <w:r w:rsidRPr="00D10E11">
              <w:rPr>
                <w:szCs w:val="20"/>
              </w:rPr>
              <w:t xml:space="preserve">Comparing the calculated AUC values (derived from ROC curves) shows classification model performance in distinguishing immunogenic from non-immunogenic peptides. </w:t>
            </w:r>
            <w:r w:rsidRPr="00D10E11">
              <w:rPr>
                <w:b/>
                <w:bCs/>
                <w:szCs w:val="20"/>
              </w:rPr>
              <w:t xml:space="preserve">(A) </w:t>
            </w:r>
            <w:r w:rsidRPr="00D10E11">
              <w:rPr>
                <w:szCs w:val="20"/>
              </w:rPr>
              <w:t>For the non-immunogenic class, the AUC for the model with thermostability was slightly higher than the model without thermostability (</w:t>
            </w:r>
            <w:r w:rsidRPr="00D10E11">
              <w:rPr>
                <w:i/>
                <w:iCs/>
                <w:szCs w:val="20"/>
              </w:rPr>
              <w:t>p</w:t>
            </w:r>
            <w:r w:rsidRPr="00D10E11">
              <w:rPr>
                <w:szCs w:val="20"/>
              </w:rPr>
              <w:t xml:space="preserve">-value of 0.0492). </w:t>
            </w:r>
            <w:r w:rsidRPr="00D10E11">
              <w:rPr>
                <w:b/>
                <w:bCs/>
                <w:szCs w:val="20"/>
              </w:rPr>
              <w:t>(B)</w:t>
            </w:r>
            <w:r w:rsidRPr="00D10E11">
              <w:rPr>
                <w:szCs w:val="20"/>
              </w:rPr>
              <w:t xml:space="preserve"> For the immunogenic class, the AUC for the model with thermostability showed no significant difference compared with the model without thermostability (</w:t>
            </w:r>
            <w:r w:rsidRPr="00D10E11">
              <w:rPr>
                <w:i/>
                <w:iCs/>
                <w:szCs w:val="20"/>
              </w:rPr>
              <w:t>p</w:t>
            </w:r>
            <w:r w:rsidRPr="00D10E11">
              <w:rPr>
                <w:szCs w:val="20"/>
              </w:rPr>
              <w:t xml:space="preserve">-value of 0.0728). </w:t>
            </w:r>
            <w:r w:rsidRPr="00D10E11">
              <w:rPr>
                <w:b/>
                <w:bCs/>
                <w:szCs w:val="20"/>
              </w:rPr>
              <w:t>(C-D)</w:t>
            </w:r>
            <w:r w:rsidRPr="00D10E11">
              <w:rPr>
                <w:szCs w:val="20"/>
              </w:rPr>
              <w:t xml:space="preserve"> The model precisions for both classes were comparable between the model without and with thermostability for </w:t>
            </w:r>
            <w:r w:rsidRPr="00D10E11">
              <w:rPr>
                <w:b/>
                <w:bCs/>
                <w:szCs w:val="20"/>
              </w:rPr>
              <w:t>(C)</w:t>
            </w:r>
            <w:r w:rsidRPr="00D10E11">
              <w:rPr>
                <w:szCs w:val="20"/>
              </w:rPr>
              <w:t xml:space="preserve"> the non-immunogenic class (</w:t>
            </w:r>
            <w:r w:rsidRPr="00D10E11">
              <w:rPr>
                <w:i/>
                <w:iCs/>
                <w:szCs w:val="20"/>
              </w:rPr>
              <w:t>p</w:t>
            </w:r>
            <w:r w:rsidRPr="00D10E11">
              <w:rPr>
                <w:szCs w:val="20"/>
              </w:rPr>
              <w:t xml:space="preserve">-value = 0.3029) and </w:t>
            </w:r>
            <w:r w:rsidRPr="00D10E11">
              <w:rPr>
                <w:b/>
                <w:bCs/>
                <w:szCs w:val="20"/>
              </w:rPr>
              <w:t>(D)</w:t>
            </w:r>
            <w:r w:rsidRPr="00D10E11">
              <w:rPr>
                <w:szCs w:val="20"/>
              </w:rPr>
              <w:t xml:space="preserve"> the immunogenic class (</w:t>
            </w:r>
            <w:r w:rsidRPr="00D10E11">
              <w:rPr>
                <w:i/>
                <w:iCs/>
                <w:szCs w:val="20"/>
              </w:rPr>
              <w:t>p</w:t>
            </w:r>
            <w:r w:rsidRPr="00D10E11">
              <w:rPr>
                <w:szCs w:val="20"/>
              </w:rPr>
              <w:t xml:space="preserve">-value = 0.8744). </w:t>
            </w:r>
            <w:r w:rsidRPr="00D10E11">
              <w:rPr>
                <w:b/>
                <w:bCs/>
                <w:szCs w:val="20"/>
              </w:rPr>
              <w:t>(E-F)</w:t>
            </w:r>
            <w:r w:rsidRPr="00D10E11">
              <w:rPr>
                <w:szCs w:val="20"/>
              </w:rPr>
              <w:t xml:space="preserve"> The comparison of sensitivity achieved by the models without and with thermostability shows significant differences for the</w:t>
            </w:r>
            <w:r w:rsidRPr="00D10E11">
              <w:rPr>
                <w:b/>
                <w:bCs/>
                <w:szCs w:val="20"/>
              </w:rPr>
              <w:t xml:space="preserve"> (E)</w:t>
            </w:r>
            <w:r w:rsidRPr="00D10E11">
              <w:rPr>
                <w:szCs w:val="20"/>
              </w:rPr>
              <w:t xml:space="preserve"> non-immunogenic class (</w:t>
            </w:r>
            <w:r w:rsidRPr="00D10E11">
              <w:rPr>
                <w:i/>
                <w:iCs/>
                <w:szCs w:val="20"/>
              </w:rPr>
              <w:t>p</w:t>
            </w:r>
            <w:r w:rsidRPr="00D10E11">
              <w:rPr>
                <w:szCs w:val="20"/>
              </w:rPr>
              <w:t xml:space="preserve">-value &lt; 0.0001) and </w:t>
            </w:r>
            <w:r w:rsidRPr="00D10E11">
              <w:rPr>
                <w:b/>
                <w:bCs/>
                <w:szCs w:val="20"/>
              </w:rPr>
              <w:t>(F)</w:t>
            </w:r>
            <w:r w:rsidRPr="00D10E11">
              <w:rPr>
                <w:szCs w:val="20"/>
              </w:rPr>
              <w:t xml:space="preserve"> immunogenic class (</w:t>
            </w:r>
            <w:r w:rsidRPr="00D10E11">
              <w:rPr>
                <w:i/>
                <w:iCs/>
                <w:szCs w:val="20"/>
              </w:rPr>
              <w:t>p</w:t>
            </w:r>
            <w:r w:rsidRPr="00D10E11">
              <w:rPr>
                <w:szCs w:val="20"/>
              </w:rPr>
              <w:t xml:space="preserve">-value = 0.0003). </w:t>
            </w:r>
            <w:r w:rsidRPr="00D10E11">
              <w:rPr>
                <w:b/>
                <w:bCs/>
                <w:szCs w:val="20"/>
              </w:rPr>
              <w:t>(G-H)</w:t>
            </w:r>
            <w:r w:rsidRPr="00D10E11">
              <w:rPr>
                <w:szCs w:val="20"/>
              </w:rPr>
              <w:t xml:space="preserve"> The comparison of specificity calculated from the models without and with thermostability reveals significant differences for the</w:t>
            </w:r>
            <w:r w:rsidRPr="00D10E11">
              <w:rPr>
                <w:b/>
                <w:bCs/>
                <w:szCs w:val="20"/>
              </w:rPr>
              <w:t xml:space="preserve"> (G)</w:t>
            </w:r>
            <w:r w:rsidRPr="00D10E11">
              <w:rPr>
                <w:szCs w:val="20"/>
              </w:rPr>
              <w:t xml:space="preserve"> non-immunogenic class (</w:t>
            </w:r>
            <w:r w:rsidRPr="00D10E11">
              <w:rPr>
                <w:i/>
                <w:iCs/>
                <w:szCs w:val="20"/>
              </w:rPr>
              <w:t>p</w:t>
            </w:r>
            <w:r w:rsidRPr="00D10E11">
              <w:rPr>
                <w:szCs w:val="20"/>
              </w:rPr>
              <w:t xml:space="preserve">-value = 0.0003) and </w:t>
            </w:r>
            <w:r w:rsidRPr="00D10E11">
              <w:rPr>
                <w:b/>
                <w:bCs/>
                <w:szCs w:val="20"/>
              </w:rPr>
              <w:t>(H)</w:t>
            </w:r>
            <w:r w:rsidRPr="00D10E11">
              <w:rPr>
                <w:szCs w:val="20"/>
              </w:rPr>
              <w:t xml:space="preserve"> immunogenic class (</w:t>
            </w:r>
            <w:r w:rsidRPr="00D10E11">
              <w:rPr>
                <w:i/>
                <w:iCs/>
                <w:szCs w:val="20"/>
              </w:rPr>
              <w:t>p</w:t>
            </w:r>
            <w:r w:rsidRPr="00D10E11">
              <w:rPr>
                <w:szCs w:val="20"/>
              </w:rPr>
              <w:t xml:space="preserve">-value &lt; 0.0001). </w:t>
            </w:r>
            <w:r w:rsidRPr="00D10E11">
              <w:rPr>
                <w:i/>
                <w:iCs/>
                <w:szCs w:val="20"/>
              </w:rPr>
              <w:t xml:space="preserve">The Mann-Whitney statistical t-test was used to determine the significance. ns, not significant; *p-value &lt; 0.05; **p-value &lt; 0.01; ***p-value &lt; 0.001; and ****p-value &lt; 0.0001. </w:t>
            </w:r>
            <w:r w:rsidRPr="00137992">
              <w:rPr>
                <w:i/>
                <w:iCs/>
                <w:szCs w:val="20"/>
              </w:rPr>
              <w:t>AUC, Area under the ROC curve.</w:t>
            </w:r>
            <w:r w:rsidRPr="00D10E11">
              <w:rPr>
                <w:szCs w:val="20"/>
              </w:rPr>
              <w:t xml:space="preserve">  </w:t>
            </w:r>
          </w:p>
        </w:tc>
      </w:tr>
    </w:tbl>
    <w:p w14:paraId="4A5F577E" w14:textId="4C79CEFB" w:rsidR="0026317D" w:rsidRDefault="0026317D"/>
    <w:p w14:paraId="780656FC" w14:textId="6283E0E5" w:rsidR="00AF3F7A" w:rsidRDefault="00AF3F7A">
      <w:r>
        <w:t xml:space="preserve">Moreover, we trained the model using a support vector machine (SVM) classifier, another commonly used ML algorithm with the same dataset, to examine the model by changing the ML algorithm. We observed similar performance (e.g., model accuracy) </w:t>
      </w:r>
      <w:r w:rsidR="002F53B9">
        <w:t xml:space="preserve">from the SVM models compared with ANN, </w:t>
      </w:r>
      <w:r w:rsidR="002F53B9">
        <w:lastRenderedPageBreak/>
        <w:t xml:space="preserve">where PTCs could significantly improve the model </w:t>
      </w:r>
      <w:r w:rsidR="00147A52">
        <w:t>for</w:t>
      </w:r>
      <w:r w:rsidR="002F53B9">
        <w:t xml:space="preserve"> distinguishing immunogenic </w:t>
      </w:r>
      <w:r w:rsidR="00147A52">
        <w:t>VACV- and IAV-</w:t>
      </w:r>
      <w:r w:rsidR="002F53B9">
        <w:t xml:space="preserve">derived </w:t>
      </w:r>
      <w:r w:rsidR="00147A52">
        <w:t>peptides</w:t>
      </w:r>
      <w:r w:rsidR="002F53B9">
        <w:t xml:space="preserve"> (Supplemental Data—</w:t>
      </w:r>
      <w:r>
        <w:rPr>
          <w:rFonts w:cstheme="majorBidi"/>
          <w:color w:val="0070C0"/>
        </w:rPr>
        <w:t>Figure S</w:t>
      </w:r>
      <w:r w:rsidR="007707D1">
        <w:rPr>
          <w:rFonts w:cstheme="majorBidi"/>
          <w:color w:val="0070C0"/>
        </w:rPr>
        <w:t>1</w:t>
      </w:r>
      <w:r w:rsidR="00596FAB">
        <w:rPr>
          <w:rFonts w:cstheme="majorBidi"/>
          <w:color w:val="0070C0"/>
        </w:rPr>
        <w:t>1</w:t>
      </w:r>
      <w:r>
        <w:rPr>
          <w:rFonts w:cstheme="majorBidi"/>
          <w:color w:val="0070C0"/>
        </w:rPr>
        <w:t>B</w:t>
      </w:r>
      <w:r>
        <w:t>).</w:t>
      </w:r>
    </w:p>
    <w:tbl>
      <w:tblPr>
        <w:tblStyle w:val="TableGrid"/>
        <w:tblW w:w="1131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16"/>
      </w:tblGrid>
      <w:tr w:rsidR="00CD05FF" w14:paraId="5E9D1E86" w14:textId="77777777" w:rsidTr="009319D8">
        <w:trPr>
          <w:jc w:val="center"/>
        </w:trPr>
        <w:tc>
          <w:tcPr>
            <w:tcW w:w="11316" w:type="dxa"/>
          </w:tcPr>
          <w:p w14:paraId="46AC64A0" w14:textId="77777777" w:rsidR="00CD05FF" w:rsidRDefault="00CD05FF" w:rsidP="00CD05FF">
            <w:r>
              <w:rPr>
                <w:noProof/>
              </w:rPr>
              <w:drawing>
                <wp:inline distT="0" distB="0" distL="0" distR="0" wp14:anchorId="49B5132F" wp14:editId="4C364FA5">
                  <wp:extent cx="7048500" cy="340868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049577" cy="3409201"/>
                          </a:xfrm>
                          <a:prstGeom prst="rect">
                            <a:avLst/>
                          </a:prstGeom>
                          <a:noFill/>
                        </pic:spPr>
                      </pic:pic>
                    </a:graphicData>
                  </a:graphic>
                </wp:inline>
              </w:drawing>
            </w:r>
          </w:p>
        </w:tc>
      </w:tr>
      <w:tr w:rsidR="00CD05FF" w14:paraId="5B7D81E0" w14:textId="77777777" w:rsidTr="009319D8">
        <w:trPr>
          <w:jc w:val="center"/>
        </w:trPr>
        <w:tc>
          <w:tcPr>
            <w:tcW w:w="11316" w:type="dxa"/>
          </w:tcPr>
          <w:p w14:paraId="4CA8D0B2" w14:textId="288CA04E" w:rsidR="00CD05FF" w:rsidRPr="006F33C6" w:rsidRDefault="00CD05FF" w:rsidP="00F90368">
            <w:pPr>
              <w:pStyle w:val="MyFigures"/>
              <w:rPr>
                <w:b w:val="0"/>
                <w:bCs/>
              </w:rPr>
            </w:pPr>
            <w:r>
              <w:t>Figure S</w:t>
            </w:r>
            <w:r w:rsidR="007707D1">
              <w:t>1</w:t>
            </w:r>
            <w:r w:rsidR="00596FAB">
              <w:t>1</w:t>
            </w:r>
            <w:r>
              <w:t xml:space="preserve">. </w:t>
            </w:r>
            <w:r w:rsidR="00B67444">
              <w:t>ROC curve and the comparison of AUC values for the ANN and SVM models with and without PTC predictor.</w:t>
            </w:r>
          </w:p>
          <w:p w14:paraId="035B2A97" w14:textId="620FFD9D" w:rsidR="00CD05FF" w:rsidRDefault="00B67444" w:rsidP="00F90368">
            <w:pPr>
              <w:spacing w:line="240" w:lineRule="auto"/>
            </w:pPr>
            <w:r w:rsidRPr="00F90368">
              <w:rPr>
                <w:b/>
                <w:bCs/>
              </w:rPr>
              <w:t>(A)</w:t>
            </w:r>
            <w:r>
              <w:t xml:space="preserve"> </w:t>
            </w:r>
            <w:r w:rsidRPr="00B67444">
              <w:t xml:space="preserve">The ROC curves are shown for the non-immunogenic and immunogenic peptide classes alongside the overall ROC </w:t>
            </w:r>
            <w:r>
              <w:t xml:space="preserve">for </w:t>
            </w:r>
            <w:r w:rsidRPr="00B67444">
              <w:t>the best model with</w:t>
            </w:r>
            <w:r>
              <w:t>out</w:t>
            </w:r>
            <w:r w:rsidRPr="00B67444">
              <w:t xml:space="preserve"> the involvement of the PTC predictor (AUC = 0.802</w:t>
            </w:r>
            <w:r>
              <w:t xml:space="preserve">). </w:t>
            </w:r>
            <w:r w:rsidRPr="00F90368">
              <w:rPr>
                <w:b/>
                <w:bCs/>
              </w:rPr>
              <w:t>(B)</w:t>
            </w:r>
            <w:r w:rsidR="00F90368">
              <w:t xml:space="preserve"> Comparison between the ANN and SVM (as another commonly used ML algorithm) models</w:t>
            </w:r>
            <w:r>
              <w:t xml:space="preserve"> </w:t>
            </w:r>
            <w:r w:rsidR="00F90368">
              <w:t xml:space="preserve">with and without the inclusion of PTC predictor, showing </w:t>
            </w:r>
            <w:r w:rsidR="007625FC">
              <w:t>a very similar performance f</w:t>
            </w:r>
            <w:r w:rsidR="002D2102">
              <w:t>ro</w:t>
            </w:r>
            <w:r w:rsidR="007625FC">
              <w:t>m the SVM models compared with ANN where PTCs could improve the model significantly</w:t>
            </w:r>
            <w:r w:rsidR="00F90368">
              <w:t xml:space="preserve"> (</w:t>
            </w:r>
            <w:r w:rsidR="00F90368" w:rsidRPr="00AE7554">
              <w:rPr>
                <w:i/>
                <w:iCs/>
              </w:rPr>
              <w:t>p</w:t>
            </w:r>
            <w:r w:rsidR="00F90368">
              <w:t>-value &lt; 0.0001)</w:t>
            </w:r>
            <w:r w:rsidR="007625FC">
              <w:t xml:space="preserve"> in distinguishing immunogenic peptides derived from VACV and IAV</w:t>
            </w:r>
            <w:r w:rsidR="00F90368">
              <w:t xml:space="preserve">. </w:t>
            </w:r>
            <w:r w:rsidR="00AE7554" w:rsidRPr="00D10E11">
              <w:rPr>
                <w:i/>
                <w:iCs/>
                <w:szCs w:val="20"/>
              </w:rPr>
              <w:t>The Mann-Whitney test statistical test was used to determine the significance. ns, not significant; *p-value &lt; 0.05; **p-value &lt; 0.01; ***p-value &lt; 0.001; and ****p-value &lt; 0.0001.</w:t>
            </w:r>
            <w:r>
              <w:t xml:space="preserve"> </w:t>
            </w:r>
            <w:r w:rsidR="00137992">
              <w:rPr>
                <w:rFonts w:cstheme="minorHAnsi"/>
                <w:i/>
                <w:iCs/>
              </w:rPr>
              <w:t xml:space="preserve">ANN, artificial neural network; Support vector machine (SVM); </w:t>
            </w:r>
            <w:r w:rsidR="00137992" w:rsidRPr="00137992">
              <w:rPr>
                <w:rFonts w:cstheme="minorHAnsi"/>
                <w:i/>
                <w:iCs/>
              </w:rPr>
              <w:t>ROC, Receiver operating characteristic;</w:t>
            </w:r>
            <w:r w:rsidR="00137992">
              <w:t xml:space="preserve"> </w:t>
            </w:r>
            <w:r w:rsidR="00137992" w:rsidRPr="00137992">
              <w:rPr>
                <w:rFonts w:cstheme="minorHAnsi"/>
                <w:i/>
                <w:iCs/>
              </w:rPr>
              <w:t>AUC, Area under the ROC curve</w:t>
            </w:r>
            <w:r w:rsidR="00137992">
              <w:rPr>
                <w:rFonts w:cstheme="minorHAnsi"/>
                <w:i/>
                <w:iCs/>
              </w:rPr>
              <w:t>.</w:t>
            </w:r>
          </w:p>
        </w:tc>
      </w:tr>
    </w:tbl>
    <w:p w14:paraId="31880E2F" w14:textId="77777777" w:rsidR="00BF6C3F" w:rsidRDefault="00BF6C3F"/>
    <w:p w14:paraId="67317D17" w14:textId="7098D5DC" w:rsidR="009319D8" w:rsidRDefault="009319D8"/>
    <w:p w14:paraId="5589D333" w14:textId="561EADCB" w:rsidR="005310CF" w:rsidRDefault="005310CF" w:rsidP="00282808"/>
    <w:p w14:paraId="7A046FBB" w14:textId="77777777" w:rsidR="00DF0426" w:rsidRDefault="00DF0426"/>
    <w:p w14:paraId="34F2915C" w14:textId="77777777" w:rsidR="0026317D" w:rsidRPr="006F33C6" w:rsidRDefault="006F33C6">
      <w:pPr>
        <w:rPr>
          <w:b/>
          <w:bCs/>
        </w:rPr>
      </w:pPr>
      <w:r w:rsidRPr="006F33C6">
        <w:rPr>
          <w:b/>
          <w:bCs/>
        </w:rPr>
        <w:t>References</w:t>
      </w:r>
    </w:p>
    <w:p w14:paraId="58BF343D" w14:textId="77777777" w:rsidR="00AE2CA3" w:rsidRPr="00AE2CA3" w:rsidRDefault="0026317D" w:rsidP="00AE2CA3">
      <w:pPr>
        <w:pStyle w:val="EndNoteBibliography"/>
        <w:ind w:left="720" w:hanging="720"/>
      </w:pPr>
      <w:r>
        <w:fldChar w:fldCharType="begin"/>
      </w:r>
      <w:r>
        <w:instrText xml:space="preserve"> ADDIN EN.REFLIST </w:instrText>
      </w:r>
      <w:r>
        <w:fldChar w:fldCharType="separate"/>
      </w:r>
      <w:r w:rsidR="00AE2CA3" w:rsidRPr="00AE2CA3">
        <w:t>1.</w:t>
      </w:r>
      <w:r w:rsidR="00AE2CA3" w:rsidRPr="00AE2CA3">
        <w:tab/>
        <w:t>Croft, N.P.</w:t>
      </w:r>
      <w:r w:rsidR="00AE2CA3" w:rsidRPr="00AE2CA3">
        <w:rPr>
          <w:i/>
        </w:rPr>
        <w:t xml:space="preserve"> et al.</w:t>
      </w:r>
      <w:r w:rsidR="00AE2CA3" w:rsidRPr="00AE2CA3">
        <w:t xml:space="preserve"> Most viral peptides displayed by class I MHC on infected cells are immunogenic. </w:t>
      </w:r>
      <w:r w:rsidR="00AE2CA3" w:rsidRPr="00AE2CA3">
        <w:rPr>
          <w:i/>
        </w:rPr>
        <w:t>Proceedings of the National Academy of Sciences</w:t>
      </w:r>
      <w:r w:rsidR="00AE2CA3" w:rsidRPr="00AE2CA3">
        <w:t xml:space="preserve"> </w:t>
      </w:r>
      <w:r w:rsidR="00AE2CA3" w:rsidRPr="00AE2CA3">
        <w:rPr>
          <w:b/>
        </w:rPr>
        <w:t>116</w:t>
      </w:r>
      <w:r w:rsidR="00AE2CA3" w:rsidRPr="00AE2CA3">
        <w:t>,</w:t>
      </w:r>
      <w:r w:rsidR="00AE2CA3" w:rsidRPr="00AE2CA3">
        <w:rPr>
          <w:b/>
        </w:rPr>
        <w:t xml:space="preserve"> </w:t>
      </w:r>
      <w:r w:rsidR="00AE2CA3" w:rsidRPr="00AE2CA3">
        <w:t>3112 (2019).</w:t>
      </w:r>
    </w:p>
    <w:p w14:paraId="586A555F" w14:textId="2E34461D" w:rsidR="00AE2CA3" w:rsidRPr="00AE2CA3" w:rsidRDefault="00AE2CA3" w:rsidP="00AE2CA3">
      <w:pPr>
        <w:pStyle w:val="EndNoteBibliography"/>
        <w:ind w:left="720" w:hanging="720"/>
      </w:pPr>
      <w:r w:rsidRPr="00AE2CA3">
        <w:t>2.</w:t>
      </w:r>
      <w:r w:rsidRPr="00AE2CA3">
        <w:tab/>
        <w:t>Mullan, K.A.</w:t>
      </w:r>
      <w:r w:rsidRPr="00AE2CA3">
        <w:rPr>
          <w:i/>
        </w:rPr>
        <w:t xml:space="preserve"> et al.</w:t>
      </w:r>
      <w:r w:rsidRPr="00AE2CA3">
        <w:t xml:space="preserve"> ggVolcanoR: A Shiny app for customi</w:t>
      </w:r>
      <w:r w:rsidR="002D2102">
        <w:t>s</w:t>
      </w:r>
      <w:r w:rsidRPr="00AE2CA3">
        <w:t>able visuali</w:t>
      </w:r>
      <w:r w:rsidR="002D2102">
        <w:t>s</w:t>
      </w:r>
      <w:r w:rsidRPr="00AE2CA3">
        <w:t xml:space="preserve">ation of differential expression datasets. </w:t>
      </w:r>
      <w:r w:rsidRPr="00AE2CA3">
        <w:rPr>
          <w:i/>
        </w:rPr>
        <w:t>Computational and Structural Biotechnology Journal</w:t>
      </w:r>
      <w:r w:rsidRPr="00AE2CA3">
        <w:t xml:space="preserve"> </w:t>
      </w:r>
      <w:r w:rsidRPr="00AE2CA3">
        <w:rPr>
          <w:b/>
        </w:rPr>
        <w:t>19</w:t>
      </w:r>
      <w:r w:rsidRPr="00AE2CA3">
        <w:t>,</w:t>
      </w:r>
      <w:r w:rsidRPr="00AE2CA3">
        <w:rPr>
          <w:b/>
        </w:rPr>
        <w:t xml:space="preserve"> </w:t>
      </w:r>
      <w:r w:rsidRPr="00AE2CA3">
        <w:t>5735-5740 (2021).</w:t>
      </w:r>
    </w:p>
    <w:p w14:paraId="0259F914" w14:textId="77777777" w:rsidR="00AE2CA3" w:rsidRPr="00AE2CA3" w:rsidRDefault="00AE2CA3" w:rsidP="00AE2CA3">
      <w:pPr>
        <w:pStyle w:val="EndNoteBibliography"/>
      </w:pPr>
    </w:p>
    <w:p w14:paraId="50B52664" w14:textId="77777777" w:rsidR="00385FD2" w:rsidRDefault="0026317D" w:rsidP="00AE2CA3">
      <w:pPr>
        <w:spacing w:before="0" w:after="0" w:line="240" w:lineRule="auto"/>
      </w:pPr>
      <w:r>
        <w:fldChar w:fldCharType="end"/>
      </w:r>
    </w:p>
    <w:sectPr w:rsidR="00385FD2">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174071" w14:textId="77777777" w:rsidR="001E0D95" w:rsidRDefault="001E0D95" w:rsidP="002F53B9">
      <w:pPr>
        <w:spacing w:before="0" w:after="0" w:line="240" w:lineRule="auto"/>
      </w:pPr>
      <w:r>
        <w:separator/>
      </w:r>
    </w:p>
  </w:endnote>
  <w:endnote w:type="continuationSeparator" w:id="0">
    <w:p w14:paraId="088BAE89" w14:textId="77777777" w:rsidR="001E0D95" w:rsidRDefault="001E0D95" w:rsidP="002F53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71439239"/>
      <w:docPartObj>
        <w:docPartGallery w:val="Page Numbers (Bottom of Page)"/>
        <w:docPartUnique/>
      </w:docPartObj>
    </w:sdtPr>
    <w:sdtEndPr>
      <w:rPr>
        <w:noProof/>
      </w:rPr>
    </w:sdtEndPr>
    <w:sdtContent>
      <w:p w14:paraId="2A01ED1B" w14:textId="27764086" w:rsidR="002F53B9" w:rsidRDefault="002F53B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00C244E" w14:textId="77777777" w:rsidR="002F53B9" w:rsidRDefault="002F53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E43966" w14:textId="77777777" w:rsidR="001E0D95" w:rsidRDefault="001E0D95" w:rsidP="002F53B9">
      <w:pPr>
        <w:spacing w:before="0" w:after="0" w:line="240" w:lineRule="auto"/>
      </w:pPr>
      <w:r>
        <w:separator/>
      </w:r>
    </w:p>
  </w:footnote>
  <w:footnote w:type="continuationSeparator" w:id="0">
    <w:p w14:paraId="715AB926" w14:textId="77777777" w:rsidR="001E0D95" w:rsidRDefault="001E0D95" w:rsidP="002F53B9">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B02C93"/>
    <w:multiLevelType w:val="hybridMultilevel"/>
    <w:tmpl w:val="181EBC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E3741AE"/>
    <w:multiLevelType w:val="hybridMultilevel"/>
    <w:tmpl w:val="F15CD660"/>
    <w:lvl w:ilvl="0" w:tplc="CC80C8A4">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6C7D4B9F"/>
    <w:multiLevelType w:val="hybridMultilevel"/>
    <w:tmpl w:val="812CEBD6"/>
    <w:lvl w:ilvl="0" w:tplc="C5FAA5FE">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1905332310">
    <w:abstractNumId w:val="1"/>
  </w:num>
  <w:num w:numId="2" w16cid:durableId="2076850871">
    <w:abstractNumId w:val="2"/>
  </w:num>
  <w:num w:numId="3" w16cid:durableId="95193740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bU0NbMwNDQxNTawNDFS0lEKTi0uzszPAykwrQUAravyniwAAAA="/>
    <w:docVar w:name="EN.Layout" w:val="&lt;ENLayout&gt;&lt;Style&gt;Nature Immunology&lt;/Style&gt;&lt;LeftDelim&gt;{&lt;/LeftDelim&gt;&lt;RightDelim&gt;}&lt;/RightDelim&gt;&lt;FontName&gt;Times New Roman&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fewewtfnfedpsed0znpf9daztt0xd20tt2x&quot;&gt;PhD Project EndNote Library&lt;record-ids&gt;&lt;item&gt;22&lt;/item&gt;&lt;item&gt;700&lt;/item&gt;&lt;/record-ids&gt;&lt;/item&gt;&lt;/Libraries&gt;"/>
  </w:docVars>
  <w:rsids>
    <w:rsidRoot w:val="00477F54"/>
    <w:rsid w:val="00063E98"/>
    <w:rsid w:val="00066576"/>
    <w:rsid w:val="000852C9"/>
    <w:rsid w:val="0009562E"/>
    <w:rsid w:val="000961E6"/>
    <w:rsid w:val="000A73CC"/>
    <w:rsid w:val="000E5D9F"/>
    <w:rsid w:val="000F7945"/>
    <w:rsid w:val="00137992"/>
    <w:rsid w:val="00147A52"/>
    <w:rsid w:val="001D5AF1"/>
    <w:rsid w:val="001E0D95"/>
    <w:rsid w:val="002374C3"/>
    <w:rsid w:val="00243B97"/>
    <w:rsid w:val="0026317D"/>
    <w:rsid w:val="00282808"/>
    <w:rsid w:val="002B60B0"/>
    <w:rsid w:val="002D2102"/>
    <w:rsid w:val="002F53B9"/>
    <w:rsid w:val="003131AB"/>
    <w:rsid w:val="00316348"/>
    <w:rsid w:val="00347EEA"/>
    <w:rsid w:val="003754EB"/>
    <w:rsid w:val="00385FD2"/>
    <w:rsid w:val="003C786F"/>
    <w:rsid w:val="003E55BE"/>
    <w:rsid w:val="003F5059"/>
    <w:rsid w:val="0042356D"/>
    <w:rsid w:val="00477F54"/>
    <w:rsid w:val="00490FD0"/>
    <w:rsid w:val="00496B87"/>
    <w:rsid w:val="004B2E2A"/>
    <w:rsid w:val="004B7C8B"/>
    <w:rsid w:val="00500B04"/>
    <w:rsid w:val="00515539"/>
    <w:rsid w:val="00523A1F"/>
    <w:rsid w:val="005310CF"/>
    <w:rsid w:val="00565B88"/>
    <w:rsid w:val="00596FAB"/>
    <w:rsid w:val="005A53BF"/>
    <w:rsid w:val="005A7475"/>
    <w:rsid w:val="00662DBF"/>
    <w:rsid w:val="00665647"/>
    <w:rsid w:val="00665C11"/>
    <w:rsid w:val="006702F0"/>
    <w:rsid w:val="006E510C"/>
    <w:rsid w:val="006F33C6"/>
    <w:rsid w:val="00703741"/>
    <w:rsid w:val="007058B8"/>
    <w:rsid w:val="00705CE5"/>
    <w:rsid w:val="00710BA1"/>
    <w:rsid w:val="0075780B"/>
    <w:rsid w:val="007625FC"/>
    <w:rsid w:val="00766979"/>
    <w:rsid w:val="007707D1"/>
    <w:rsid w:val="007A25C8"/>
    <w:rsid w:val="007E2578"/>
    <w:rsid w:val="0081211B"/>
    <w:rsid w:val="008540EE"/>
    <w:rsid w:val="008B748C"/>
    <w:rsid w:val="008C7640"/>
    <w:rsid w:val="009116F2"/>
    <w:rsid w:val="009319D8"/>
    <w:rsid w:val="00943CF2"/>
    <w:rsid w:val="009626BB"/>
    <w:rsid w:val="009709A6"/>
    <w:rsid w:val="009D7A66"/>
    <w:rsid w:val="009F121E"/>
    <w:rsid w:val="00A81E96"/>
    <w:rsid w:val="00AD3511"/>
    <w:rsid w:val="00AE2019"/>
    <w:rsid w:val="00AE2CA3"/>
    <w:rsid w:val="00AE4FEA"/>
    <w:rsid w:val="00AE7554"/>
    <w:rsid w:val="00AF3F7A"/>
    <w:rsid w:val="00B17FF4"/>
    <w:rsid w:val="00B25970"/>
    <w:rsid w:val="00B66EAC"/>
    <w:rsid w:val="00B67444"/>
    <w:rsid w:val="00BC4332"/>
    <w:rsid w:val="00BF6C3F"/>
    <w:rsid w:val="00C13ACC"/>
    <w:rsid w:val="00C447EA"/>
    <w:rsid w:val="00CD05FF"/>
    <w:rsid w:val="00CF1A01"/>
    <w:rsid w:val="00CF6F32"/>
    <w:rsid w:val="00D520CB"/>
    <w:rsid w:val="00D90335"/>
    <w:rsid w:val="00D90F0D"/>
    <w:rsid w:val="00DA4362"/>
    <w:rsid w:val="00DA7C38"/>
    <w:rsid w:val="00DE0A0D"/>
    <w:rsid w:val="00DF0426"/>
    <w:rsid w:val="00DF1BE5"/>
    <w:rsid w:val="00E13712"/>
    <w:rsid w:val="00E26266"/>
    <w:rsid w:val="00E51822"/>
    <w:rsid w:val="00E544D4"/>
    <w:rsid w:val="00E81A69"/>
    <w:rsid w:val="00EF214B"/>
    <w:rsid w:val="00F02ABF"/>
    <w:rsid w:val="00F04D0A"/>
    <w:rsid w:val="00F11901"/>
    <w:rsid w:val="00F348C9"/>
    <w:rsid w:val="00F34AF0"/>
    <w:rsid w:val="00F52A28"/>
    <w:rsid w:val="00F90368"/>
    <w:rsid w:val="00FD4748"/>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A23DC8"/>
  <w15:chartTrackingRefBased/>
  <w15:docId w15:val="{B4CFE3E3-F3EE-44F0-900C-81BA38247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7F54"/>
    <w:pPr>
      <w:spacing w:before="120" w:after="120" w:line="360" w:lineRule="auto"/>
      <w:jc w:val="both"/>
    </w:pPr>
    <w:rPr>
      <w:rFonts w:ascii="Times New Roman" w:eastAsia="Times New Roman" w:hAnsi="Times New Roman" w:cs="Times New Roman"/>
      <w:szCs w:val="24"/>
    </w:rPr>
  </w:style>
  <w:style w:type="paragraph" w:styleId="Heading2">
    <w:name w:val="heading 2"/>
    <w:basedOn w:val="Normal"/>
    <w:next w:val="Normal"/>
    <w:link w:val="Heading2Char"/>
    <w:uiPriority w:val="9"/>
    <w:unhideWhenUsed/>
    <w:qFormat/>
    <w:rsid w:val="00477F54"/>
    <w:pPr>
      <w:keepNext/>
      <w:keepLines/>
      <w:spacing w:before="80" w:after="80"/>
      <w:outlineLvl w:val="1"/>
    </w:pPr>
    <w:rPr>
      <w:rFonts w:asciiTheme="majorBidi" w:eastAsiaTheme="majorEastAsia" w:hAnsiTheme="majorBidi" w:cstheme="majorBidi"/>
      <w:b/>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77F54"/>
    <w:rPr>
      <w:rFonts w:asciiTheme="majorBidi" w:eastAsiaTheme="majorEastAsia" w:hAnsiTheme="majorBidi" w:cstheme="majorBidi"/>
      <w:b/>
      <w:sz w:val="24"/>
      <w:szCs w:val="26"/>
    </w:rPr>
  </w:style>
  <w:style w:type="character" w:styleId="Hyperlink">
    <w:name w:val="Hyperlink"/>
    <w:uiPriority w:val="99"/>
    <w:rsid w:val="00477F54"/>
    <w:rPr>
      <w:color w:val="0000FF"/>
      <w:u w:val="single"/>
    </w:rPr>
  </w:style>
  <w:style w:type="table" w:styleId="TableGrid">
    <w:name w:val="Table Grid"/>
    <w:basedOn w:val="TableNormal"/>
    <w:uiPriority w:val="39"/>
    <w:rsid w:val="00477F54"/>
    <w:pPr>
      <w:spacing w:after="0" w:line="240" w:lineRule="auto"/>
    </w:pPr>
    <w:rPr>
      <w:rFonts w:ascii="Times New Roman" w:eastAsia="Times New Roman" w:hAnsi="Times New Roman" w:cs="Times New Roman"/>
      <w:sz w:val="20"/>
      <w:szCs w:val="20"/>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477F54"/>
    <w:rPr>
      <w:sz w:val="16"/>
      <w:szCs w:val="16"/>
    </w:rPr>
  </w:style>
  <w:style w:type="paragraph" w:styleId="CommentText">
    <w:name w:val="annotation text"/>
    <w:basedOn w:val="Normal"/>
    <w:link w:val="CommentTextChar"/>
    <w:uiPriority w:val="99"/>
    <w:unhideWhenUsed/>
    <w:rsid w:val="00477F54"/>
    <w:pPr>
      <w:spacing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477F54"/>
    <w:rPr>
      <w:sz w:val="20"/>
      <w:szCs w:val="20"/>
    </w:rPr>
  </w:style>
  <w:style w:type="paragraph" w:styleId="BalloonText">
    <w:name w:val="Balloon Text"/>
    <w:basedOn w:val="Normal"/>
    <w:link w:val="BalloonTextChar"/>
    <w:uiPriority w:val="99"/>
    <w:semiHidden/>
    <w:unhideWhenUsed/>
    <w:rsid w:val="00477F54"/>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7F54"/>
    <w:rPr>
      <w:rFonts w:ascii="Segoe UI" w:eastAsia="Times New Roman" w:hAnsi="Segoe UI" w:cs="Segoe UI"/>
      <w:sz w:val="18"/>
      <w:szCs w:val="18"/>
    </w:rPr>
  </w:style>
  <w:style w:type="paragraph" w:customStyle="1" w:styleId="MyFigures">
    <w:name w:val="My Figures"/>
    <w:basedOn w:val="Caption"/>
    <w:next w:val="Caption"/>
    <w:qFormat/>
    <w:rsid w:val="00E51822"/>
    <w:pPr>
      <w:spacing w:after="0"/>
      <w:outlineLvl w:val="0"/>
    </w:pPr>
    <w:rPr>
      <w:rFonts w:asciiTheme="majorBidi" w:hAnsiTheme="majorBidi" w:cstheme="majorBidi"/>
      <w:b/>
      <w:i w:val="0"/>
      <w:color w:val="auto"/>
      <w:sz w:val="20"/>
      <w:szCs w:val="32"/>
      <w:lang w:eastAsia="en-AU"/>
    </w:rPr>
  </w:style>
  <w:style w:type="paragraph" w:styleId="Caption">
    <w:name w:val="caption"/>
    <w:basedOn w:val="Normal"/>
    <w:next w:val="Normal"/>
    <w:uiPriority w:val="35"/>
    <w:semiHidden/>
    <w:unhideWhenUsed/>
    <w:qFormat/>
    <w:rsid w:val="00E51822"/>
    <w:pPr>
      <w:spacing w:before="0" w:after="200" w:line="240" w:lineRule="auto"/>
    </w:pPr>
    <w:rPr>
      <w:i/>
      <w:iCs/>
      <w:color w:val="44546A" w:themeColor="text2"/>
      <w:sz w:val="18"/>
      <w:szCs w:val="18"/>
    </w:rPr>
  </w:style>
  <w:style w:type="paragraph" w:customStyle="1" w:styleId="EndNoteBibliographyTitle">
    <w:name w:val="EndNote Bibliography Title"/>
    <w:basedOn w:val="Normal"/>
    <w:link w:val="EndNoteBibliographyTitleChar"/>
    <w:rsid w:val="0026317D"/>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26317D"/>
    <w:rPr>
      <w:rFonts w:ascii="Times New Roman" w:eastAsia="Times New Roman" w:hAnsi="Times New Roman" w:cs="Times New Roman"/>
      <w:noProof/>
      <w:szCs w:val="24"/>
      <w:lang w:val="en-US"/>
    </w:rPr>
  </w:style>
  <w:style w:type="paragraph" w:customStyle="1" w:styleId="EndNoteBibliography">
    <w:name w:val="EndNote Bibliography"/>
    <w:basedOn w:val="Normal"/>
    <w:link w:val="EndNoteBibliographyChar"/>
    <w:rsid w:val="0026317D"/>
    <w:pPr>
      <w:spacing w:line="240" w:lineRule="auto"/>
    </w:pPr>
    <w:rPr>
      <w:noProof/>
      <w:lang w:val="en-US"/>
    </w:rPr>
  </w:style>
  <w:style w:type="character" w:customStyle="1" w:styleId="EndNoteBibliographyChar">
    <w:name w:val="EndNote Bibliography Char"/>
    <w:basedOn w:val="DefaultParagraphFont"/>
    <w:link w:val="EndNoteBibliography"/>
    <w:rsid w:val="0026317D"/>
    <w:rPr>
      <w:rFonts w:ascii="Times New Roman" w:eastAsia="Times New Roman" w:hAnsi="Times New Roman" w:cs="Times New Roman"/>
      <w:noProof/>
      <w:szCs w:val="24"/>
      <w:lang w:val="en-US"/>
    </w:rPr>
  </w:style>
  <w:style w:type="paragraph" w:styleId="ListParagraph">
    <w:name w:val="List Paragraph"/>
    <w:basedOn w:val="Normal"/>
    <w:uiPriority w:val="34"/>
    <w:qFormat/>
    <w:rsid w:val="00CF6F32"/>
    <w:pPr>
      <w:ind w:left="720"/>
      <w:contextualSpacing/>
    </w:pPr>
  </w:style>
  <w:style w:type="paragraph" w:styleId="NormalWeb">
    <w:name w:val="Normal (Web)"/>
    <w:basedOn w:val="Normal"/>
    <w:uiPriority w:val="99"/>
    <w:semiHidden/>
    <w:unhideWhenUsed/>
    <w:rsid w:val="00CD05FF"/>
    <w:pPr>
      <w:spacing w:before="100" w:beforeAutospacing="1" w:after="100" w:afterAutospacing="1" w:line="240" w:lineRule="auto"/>
      <w:jc w:val="left"/>
    </w:pPr>
    <w:rPr>
      <w:rFonts w:eastAsiaTheme="minorEastAsia"/>
      <w:sz w:val="24"/>
      <w:lang w:eastAsia="en-AU"/>
    </w:rPr>
  </w:style>
  <w:style w:type="paragraph" w:customStyle="1" w:styleId="Default">
    <w:name w:val="Default"/>
    <w:rsid w:val="000852C9"/>
    <w:pPr>
      <w:autoSpaceDE w:val="0"/>
      <w:autoSpaceDN w:val="0"/>
      <w:adjustRightInd w:val="0"/>
      <w:spacing w:after="0" w:line="240" w:lineRule="auto"/>
    </w:pPr>
    <w:rPr>
      <w:rFonts w:ascii="Calibri" w:hAnsi="Calibri" w:cs="Calibri"/>
      <w:color w:val="000000"/>
      <w:sz w:val="24"/>
      <w:szCs w:val="24"/>
    </w:rPr>
  </w:style>
  <w:style w:type="paragraph" w:styleId="Header">
    <w:name w:val="header"/>
    <w:basedOn w:val="Normal"/>
    <w:link w:val="HeaderChar"/>
    <w:uiPriority w:val="99"/>
    <w:unhideWhenUsed/>
    <w:rsid w:val="002F53B9"/>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2F53B9"/>
    <w:rPr>
      <w:rFonts w:ascii="Times New Roman" w:eastAsia="Times New Roman" w:hAnsi="Times New Roman" w:cs="Times New Roman"/>
      <w:szCs w:val="24"/>
    </w:rPr>
  </w:style>
  <w:style w:type="paragraph" w:styleId="Footer">
    <w:name w:val="footer"/>
    <w:basedOn w:val="Normal"/>
    <w:link w:val="FooterChar"/>
    <w:uiPriority w:val="99"/>
    <w:unhideWhenUsed/>
    <w:rsid w:val="002F53B9"/>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2F53B9"/>
    <w:rPr>
      <w:rFonts w:ascii="Times New Roman" w:eastAsia="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han.croft@monash.edu" TargetMode="Externa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yperlink" Target="mailto:anthony.purcell@monash.edu" TargetMode="Externa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eviewer_pxd058188@ebi.ac.uk"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footer" Target="footer1.xml"/><Relationship Id="rId10" Type="http://schemas.openxmlformats.org/officeDocument/2006/relationships/hyperlink" Target="mailto:reviewer_pxd057919@ebi.ac.uk"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mailto:reviewer_pxd057866@ebi.ac.uk" TargetMode="External"/><Relationship Id="rId14" Type="http://schemas.openxmlformats.org/officeDocument/2006/relationships/image" Target="media/image3.png"/><Relationship Id="rId22"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2452</TotalTime>
  <Pages>16</Pages>
  <Words>5212</Words>
  <Characters>29715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Monash University</Company>
  <LinksUpToDate>false</LinksUpToDate>
  <CharactersWithSpaces>34858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Mohammad Shahbazy</dc:creator>
  <cp:keywords/>
  <dc:description/>
  <cp:lastModifiedBy>Shahbazy, Mohammad</cp:lastModifiedBy>
  <cp:revision>17</cp:revision>
  <dcterms:created xsi:type="dcterms:W3CDTF">2023-11-27T02:48:00Z</dcterms:created>
  <dcterms:modified xsi:type="dcterms:W3CDTF">2025-01-14T02:32:00Z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68a5762e-a086-4f24-8ed4-f823465a95fe</vt:lpwstr>
  </property>
</Properties>
</file>