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C14B2" w14:textId="77777777" w:rsidR="00A736FB" w:rsidRPr="00D7269B" w:rsidRDefault="00A736FB" w:rsidP="00A736FB">
      <w:pPr>
        <w:rPr>
          <w:rFonts w:asciiTheme="majorBidi" w:hAnsiTheme="majorBidi" w:cstheme="majorBidi"/>
          <w:b/>
          <w:bCs/>
        </w:rPr>
      </w:pPr>
      <w:r w:rsidRPr="00D7269B">
        <w:rPr>
          <w:rFonts w:asciiTheme="majorBidi" w:hAnsiTheme="majorBidi" w:cstheme="majorBidi"/>
          <w:b/>
          <w:bCs/>
        </w:rPr>
        <w:t>Highlights</w:t>
      </w:r>
    </w:p>
    <w:p w14:paraId="2DB2D0CC" w14:textId="77777777" w:rsidR="00A736FB" w:rsidRPr="00D7269B" w:rsidRDefault="00A736FB" w:rsidP="00D7269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D7269B">
        <w:rPr>
          <w:rFonts w:asciiTheme="majorBidi" w:hAnsiTheme="majorBidi" w:cstheme="majorBidi"/>
          <w:sz w:val="20"/>
          <w:szCs w:val="20"/>
        </w:rPr>
        <w:t>This study investigates the prevalence of the dengue arbovirus in Bushehr Province, Iran, using ELISA testing on human blood samples.</w:t>
      </w:r>
    </w:p>
    <w:p w14:paraId="4000FDAC" w14:textId="77777777" w:rsidR="00A736FB" w:rsidRPr="00D7269B" w:rsidRDefault="00A736FB" w:rsidP="00D7269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D7269B">
        <w:rPr>
          <w:rFonts w:asciiTheme="majorBidi" w:hAnsiTheme="majorBidi" w:cstheme="majorBidi"/>
          <w:sz w:val="20"/>
          <w:szCs w:val="20"/>
        </w:rPr>
        <w:t>Five positive cases were detected among 180 samples, indicating a 2.78% prevalence rate of dengue virus antibodies in the region.</w:t>
      </w:r>
    </w:p>
    <w:p w14:paraId="011087FB" w14:textId="77777777" w:rsidR="00A736FB" w:rsidRPr="00D7269B" w:rsidRDefault="00A736FB" w:rsidP="00D7269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D7269B">
        <w:rPr>
          <w:rFonts w:asciiTheme="majorBidi" w:hAnsiTheme="majorBidi" w:cstheme="majorBidi"/>
          <w:sz w:val="20"/>
          <w:szCs w:val="20"/>
        </w:rPr>
        <w:t>Results reveal active circulation of dengue virus in several cities, emphasizing the importance of targeted surveillance and vector control measures.</w:t>
      </w:r>
    </w:p>
    <w:p w14:paraId="723D4926" w14:textId="77777777" w:rsidR="00A736FB" w:rsidRPr="00D7269B" w:rsidRDefault="00A736FB" w:rsidP="00D7269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D7269B">
        <w:rPr>
          <w:rFonts w:asciiTheme="majorBidi" w:hAnsiTheme="majorBidi" w:cstheme="majorBidi"/>
          <w:sz w:val="20"/>
          <w:szCs w:val="20"/>
        </w:rPr>
        <w:t>The study provides critical insights into the public health risks posed by dengue in coastal regions with favorable climatic conditions for Aedes mosquito proliferation.</w:t>
      </w:r>
    </w:p>
    <w:p w14:paraId="342C3403" w14:textId="77777777" w:rsidR="00A736FB" w:rsidRPr="00D7269B" w:rsidRDefault="00A736FB" w:rsidP="00D7269B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D7269B">
        <w:rPr>
          <w:rFonts w:asciiTheme="majorBidi" w:hAnsiTheme="majorBidi" w:cstheme="majorBidi"/>
          <w:sz w:val="20"/>
          <w:szCs w:val="20"/>
        </w:rPr>
        <w:t>Findings support the implementation of proactive public health strategies, including community awareness, improved healthcare infrastructure, and integrated vector management programs.</w:t>
      </w:r>
    </w:p>
    <w:p w14:paraId="149E4E67" w14:textId="77777777" w:rsidR="00A736FB" w:rsidRPr="00D7269B" w:rsidRDefault="00A736FB" w:rsidP="00C412FD">
      <w:pPr>
        <w:rPr>
          <w:rFonts w:asciiTheme="majorBidi" w:hAnsiTheme="majorBidi" w:cstheme="majorBidi"/>
          <w:sz w:val="20"/>
          <w:szCs w:val="20"/>
        </w:rPr>
      </w:pPr>
    </w:p>
    <w:sectPr w:rsidR="00A736FB" w:rsidRPr="00D72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32B42"/>
    <w:multiLevelType w:val="multilevel"/>
    <w:tmpl w:val="723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C5F9D"/>
    <w:multiLevelType w:val="hybridMultilevel"/>
    <w:tmpl w:val="BAAC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80108">
    <w:abstractNumId w:val="0"/>
  </w:num>
  <w:num w:numId="2" w16cid:durableId="1511607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AD"/>
    <w:rsid w:val="003764A1"/>
    <w:rsid w:val="004A6BA1"/>
    <w:rsid w:val="005F16AD"/>
    <w:rsid w:val="007A6F77"/>
    <w:rsid w:val="007D561E"/>
    <w:rsid w:val="00813452"/>
    <w:rsid w:val="00835F25"/>
    <w:rsid w:val="00A736FB"/>
    <w:rsid w:val="00C412FD"/>
    <w:rsid w:val="00D6344F"/>
    <w:rsid w:val="00D7269B"/>
    <w:rsid w:val="00F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91EE"/>
  <w15:chartTrackingRefBased/>
  <w15:docId w15:val="{E91C48C7-C27A-46CB-B77F-D62A51AA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2024-12-17T12:32:00Z</dcterms:created>
  <dcterms:modified xsi:type="dcterms:W3CDTF">2024-12-18T12:18:00Z</dcterms:modified>
</cp:coreProperties>
</file>